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kinsoku w:val="0"/>
        <w:autoSpaceDE w:val="0"/>
        <w:autoSpaceDN w:val="0"/>
        <w:adjustRightInd w:val="0"/>
        <w:snapToGrid w:val="0"/>
        <w:spacing w:before="0" w:line="398" w:lineRule="auto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0"/>
          <w:szCs w:val="30"/>
          <w:lang w:val="zh-CN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0"/>
          <w:szCs w:val="30"/>
          <w:lang w:val="en-US" w:eastAsia="zh-CN"/>
        </w:rPr>
        <w:t>6.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240" w:lineRule="auto"/>
        <w:jc w:val="center"/>
        <w:rPr>
          <w:rFonts w:hint="eastAsia" w:ascii="方正黑体_GBK" w:hAnsi="方正黑体_GBK" w:eastAsia="方正黑体_GBK" w:cs="方正黑体_GBK"/>
          <w:b/>
          <w:bCs/>
          <w:sz w:val="36"/>
          <w:szCs w:val="36"/>
          <w:u w:color="000000"/>
          <w:lang w:val="zh-CN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u w:color="000000"/>
          <w:lang w:val="zh-CN" w:eastAsia="zh-CN"/>
        </w:rPr>
        <w:t>京基智慧科园配套宿舍等物业2025-2026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240" w:lineRule="auto"/>
        <w:jc w:val="center"/>
        <w:rPr>
          <w:rFonts w:hint="eastAsia" w:eastAsia="PingFang SC Regular"/>
          <w:sz w:val="36"/>
          <w:szCs w:val="36"/>
          <w:u w:color="00000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u w:color="000000"/>
          <w:lang w:val="zh-CN" w:eastAsia="zh-CN"/>
        </w:rPr>
        <w:t>年度财产一切险采购项目</w:t>
      </w: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u w:color="000000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6"/>
          <w:szCs w:val="36"/>
          <w:u w:color="000000"/>
          <w:lang w:val="en-US" w:eastAsia="zh-CN"/>
        </w:rPr>
        <w:t xml:space="preserve"> </w:t>
      </w:r>
      <w:r>
        <w:rPr>
          <w:rFonts w:hint="eastAsia" w:eastAsia="PingFang SC Regular"/>
          <w:sz w:val="36"/>
          <w:szCs w:val="36"/>
          <w:u w:color="000000"/>
          <w:lang w:val="en-US" w:eastAsia="zh-CN"/>
        </w:rPr>
        <w:t xml:space="preserve">                  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240" w:lineRule="auto"/>
        <w:jc w:val="center"/>
        <w:rPr>
          <w:rFonts w:hint="default" w:eastAsia="PingFang SC Regular"/>
          <w:kern w:val="2"/>
          <w:sz w:val="36"/>
          <w:szCs w:val="36"/>
          <w:u w:color="000000"/>
        </w:rPr>
      </w:pPr>
      <w:r>
        <w:rPr>
          <w:rFonts w:eastAsia="PingFang SC Regular"/>
          <w:kern w:val="2"/>
          <w:sz w:val="36"/>
          <w:szCs w:val="36"/>
          <w:u w:color="000000"/>
        </w:rPr>
        <w:t>综合评分表</w:t>
      </w:r>
    </w:p>
    <w:tbl>
      <w:tblPr>
        <w:tblStyle w:val="8"/>
        <w:tblW w:w="917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795"/>
        <w:gridCol w:w="4632"/>
        <w:gridCol w:w="1515"/>
        <w:gridCol w:w="116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Header/>
          <w:jc w:val="center"/>
        </w:trPr>
        <w:tc>
          <w:tcPr>
            <w:tcW w:w="106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u w:color="000000"/>
              </w:rPr>
              <w:t>序号</w:t>
            </w:r>
          </w:p>
        </w:tc>
        <w:tc>
          <w:tcPr>
            <w:tcW w:w="7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u w:color="000000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u w:color="000000"/>
              </w:rPr>
              <w:t>评审</w:t>
            </w:r>
          </w:p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u w:color="000000"/>
              </w:rPr>
              <w:t>项目</w:t>
            </w:r>
          </w:p>
        </w:tc>
        <w:tc>
          <w:tcPr>
            <w:tcW w:w="46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u w:color="000000"/>
              </w:rPr>
              <w:t>评审标准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u w:color="000000"/>
              </w:rPr>
              <w:t>证明材料</w:t>
            </w:r>
          </w:p>
        </w:tc>
        <w:tc>
          <w:tcPr>
            <w:tcW w:w="11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u w:color="000000"/>
              </w:rPr>
              <w:t>分值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1"/>
                <w:u w:color="000000"/>
                <w:lang w:val="en-US"/>
              </w:rPr>
              <w:t>报价</w:t>
            </w:r>
          </w:p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1"/>
                <w:u w:color="000000"/>
                <w:lang w:val="en-US"/>
              </w:rPr>
              <w:t>得分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1"/>
                <w:u w:color="000000"/>
                <w:lang w:val="en-US"/>
              </w:rPr>
              <w:t>符合要求且最低的响应报价为基准价，其价格分为满分。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1"/>
                <w:u w:color="000000"/>
                <w:lang w:val="en-US"/>
              </w:rPr>
              <w:t>其他响应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单位</w:t>
            </w:r>
            <w:r>
              <w:rPr>
                <w:rFonts w:ascii="仿宋" w:hAnsi="仿宋" w:eastAsia="仿宋" w:cs="仿宋"/>
                <w:kern w:val="2"/>
                <w:sz w:val="21"/>
                <w:szCs w:val="21"/>
                <w:u w:color="000000"/>
                <w:lang w:val="en-US"/>
              </w:rPr>
              <w:t>的价格分统一按照报价得分=(基准价/响应报价)×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40分</w:t>
            </w:r>
            <w:r>
              <w:rPr>
                <w:rFonts w:ascii="仿宋" w:hAnsi="仿宋" w:eastAsia="仿宋" w:cs="仿宋"/>
                <w:kern w:val="2"/>
                <w:sz w:val="21"/>
                <w:szCs w:val="21"/>
                <w:u w:color="000000"/>
                <w:lang w:val="en-US"/>
              </w:rPr>
              <w:t>计算。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1"/>
                <w:u w:color="000000"/>
              </w:rPr>
              <w:t>提供响应报价，并加盖公章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40</w:t>
            </w:r>
            <w:r>
              <w:rPr>
                <w:rFonts w:ascii="仿宋" w:hAnsi="仿宋" w:eastAsia="仿宋" w:cs="仿宋"/>
                <w:kern w:val="2"/>
                <w:sz w:val="21"/>
                <w:szCs w:val="21"/>
                <w:u w:color="000000"/>
              </w:rPr>
              <w:t>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国际评级</w:t>
            </w:r>
          </w:p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根据供应商提供的国际三大</w:t>
            </w:r>
            <w:r>
              <w:rPr>
                <w:rFonts w:ascii="仿宋" w:hAnsi="仿宋" w:eastAsia="仿宋" w:cs="仿宋"/>
                <w:sz w:val="21"/>
                <w:szCs w:val="21"/>
              </w:rPr>
              <w:t>评级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机构（标准</w:t>
            </w:r>
            <w:r>
              <w:rPr>
                <w:rFonts w:ascii="仿宋" w:hAnsi="仿宋" w:eastAsia="仿宋" w:cs="仿宋"/>
                <w:sz w:val="21"/>
                <w:szCs w:val="21"/>
              </w:rPr>
              <w:t>普尔、穆迪、惠誉国际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  <w:r>
              <w:rPr>
                <w:rFonts w:ascii="仿宋" w:hAnsi="仿宋" w:eastAsia="仿宋" w:cs="仿宋"/>
                <w:sz w:val="21"/>
                <w:szCs w:val="21"/>
              </w:rPr>
              <w:t>出具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的评级报告，202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年度的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国际评级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进行评审：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（1）供应商在评级中获得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A级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及A级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以上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评价的，得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分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（2）供应商在风险综合评级中获得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B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级评价的，得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分；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（3）其他情况或未提供证明文件者不得分。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提供信用评级证书或其他证明文件的复印件加盖投标人公章。未按要求提供或资料不清晰导致专家无法判定的不得分。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保险业绩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eastAsia="zh-CN"/>
              </w:rPr>
              <w:t>年（合同公告日倒算）响应单位的物业财产保险中，单一保单保额大于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30亿元的业绩，每有1个业绩得2分， 最高得10分。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提供保单或合同，加盖公章。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保险偿付能力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投标人（如投标人为分公司的，则以总公司的核心偿付能力充足率为准）2024年第二季度至2025年第一季度的核心偿付能力充足率情况：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1、核心偿付能力充足率≥200%，得15分；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2、170%≤核心偿付能力充足率＜200%，得9分；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3、100%≤核心偿付能力充足率＜170%，得6分；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4、其他情况不得分。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提供偿付能力证明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保单扩展条款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响应单位增加有利于采购人的扩展条款，1、有扩展玻璃破碎条款、地震损失条款、自动喷淋水损拓展条款、水箱及水管爆裂拓展条款的，得4分；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2、其他扩展条款由供应商自主提供，由评审人员根据响应单位拓展条款方案进行评审，优的得6分，良得4份，一般得2分，差不得分。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提供拓展条款方案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3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保险理赔服务方案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eastAsia="zh-CN"/>
              </w:rPr>
              <w:t>综合比较投标人的项目服务方案，横向对比保险理赔报案及理赔方案（含流程）、勘察定损方案（幕墙玻璃定损方案）、定损及理赔费用拨付的时效性相关承诺等进行打分：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eastAsia="zh-CN"/>
              </w:rPr>
              <w:t>优：方案及流程齐全，符合项目实际，可行性强，时效快的，得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8-10分；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eastAsia="zh-CN"/>
              </w:rPr>
              <w:t>一般：内容完整，较符合实际，可行性一般、服务一般，得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4-7分；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差：未提供资料或提供的内容不完整，针对性差，得0-3分。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eastAsia="zh-CN"/>
              </w:rPr>
              <w:t>提供项目相关服务方案及响应承诺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eastAsia="zh-CN"/>
              </w:rPr>
              <w:t>免赔额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一、一般事故免赔额部分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eastAsia="zh-CN"/>
              </w:rPr>
              <w:t>单次事故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免赔额最高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1000元或损失金额的5%（以较高值为准），满足该条件的，得2分，不满足该条款，不得分。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2、无免赔额的，得5分。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二、地震免赔额部分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1、有地震拓展条款，且地震单次事故免赔额最高为 200000 元或损失金额的 20%，两者以高者为准，满足该条件的，得2分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2、地震单次事故免赔额最高为100000元或损失金额的10%，两者以高者为准，满足该条件的，得4分；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color="000000"/>
                <w:lang w:val="en-US" w:eastAsia="zh-CN"/>
              </w:rPr>
              <w:t>3、无地震事故免赔额的，得5分。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color="000000"/>
                <w:lang w:eastAsia="zh-CN"/>
              </w:rPr>
              <w:t>提供免赔额方案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801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CECFE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1"/>
                <w:u w:color="000000"/>
              </w:rPr>
              <w:t>合计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CFE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1"/>
                <w:u w:color="000000"/>
                <w:lang w:val="en-US"/>
              </w:rPr>
              <w:t>100</w:t>
            </w:r>
            <w:r>
              <w:rPr>
                <w:rFonts w:ascii="仿宋" w:hAnsi="仿宋" w:eastAsia="仿宋" w:cs="仿宋"/>
                <w:kern w:val="2"/>
                <w:sz w:val="21"/>
                <w:szCs w:val="21"/>
                <w:u w:color="000000"/>
              </w:rPr>
              <w:t>分</w:t>
            </w:r>
          </w:p>
        </w:tc>
      </w:tr>
    </w:tbl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ind w:firstLine="420" w:firstLineChars="200"/>
        <w:jc w:val="both"/>
        <w:rPr>
          <w:rFonts w:hint="default" w:ascii="黑体" w:hAnsi="黑体" w:eastAsia="黑体" w:cs="黑体"/>
          <w:kern w:val="2"/>
          <w:sz w:val="21"/>
          <w:szCs w:val="21"/>
          <w:u w:color="000000"/>
        </w:rPr>
      </w:pPr>
      <w:r>
        <w:rPr>
          <w:rFonts w:ascii="黑体" w:hAnsi="黑体" w:eastAsia="黑体" w:cs="黑体"/>
          <w:kern w:val="2"/>
          <w:sz w:val="21"/>
          <w:szCs w:val="21"/>
          <w:u w:color="000000"/>
        </w:rPr>
        <w:t>备注：</w:t>
      </w:r>
      <w:r>
        <w:rPr>
          <w:rFonts w:ascii="黑体" w:hAnsi="黑体" w:eastAsia="黑体" w:cs="黑体"/>
          <w:kern w:val="2"/>
          <w:sz w:val="21"/>
          <w:szCs w:val="21"/>
          <w:u w:color="000000"/>
          <w:lang w:val="en-US"/>
        </w:rPr>
        <w:t>1.</w:t>
      </w:r>
      <w:r>
        <w:rPr>
          <w:rFonts w:ascii="黑体" w:hAnsi="黑体" w:eastAsia="黑体" w:cs="黑体"/>
          <w:kern w:val="2"/>
          <w:sz w:val="21"/>
          <w:szCs w:val="21"/>
          <w:u w:color="000000"/>
        </w:rPr>
        <w:t>各项评审打分按照四舍五入，小数点后保留</w:t>
      </w:r>
      <w:r>
        <w:rPr>
          <w:rFonts w:ascii="黑体" w:hAnsi="黑体" w:eastAsia="黑体" w:cs="黑体"/>
          <w:kern w:val="2"/>
          <w:sz w:val="21"/>
          <w:szCs w:val="21"/>
          <w:u w:color="000000"/>
          <w:lang w:val="en-US"/>
        </w:rPr>
        <w:t>2</w:t>
      </w:r>
      <w:r>
        <w:rPr>
          <w:rFonts w:ascii="黑体" w:hAnsi="黑体" w:eastAsia="黑体" w:cs="黑体"/>
          <w:kern w:val="2"/>
          <w:sz w:val="21"/>
          <w:szCs w:val="21"/>
          <w:u w:color="000000"/>
        </w:rPr>
        <w:t>位进行计算；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ind w:left="1050" w:hanging="1050"/>
        <w:jc w:val="both"/>
        <w:rPr>
          <w:rFonts w:hint="default"/>
        </w:rPr>
      </w:pPr>
      <w:r>
        <w:rPr>
          <w:rFonts w:ascii="黑体" w:hAnsi="黑体" w:eastAsia="黑体" w:cs="黑体"/>
          <w:kern w:val="2"/>
          <w:sz w:val="21"/>
          <w:szCs w:val="21"/>
          <w:u w:color="000000"/>
          <w:lang w:val="en-US"/>
        </w:rPr>
        <w:t xml:space="preserve">      </w:t>
      </w:r>
      <w:r>
        <w:rPr>
          <w:rFonts w:hint="eastAsia" w:ascii="黑体" w:hAnsi="黑体" w:eastAsia="黑体" w:cs="黑体"/>
          <w:kern w:val="2"/>
          <w:sz w:val="21"/>
          <w:szCs w:val="21"/>
          <w:u w:color="000000"/>
          <w:lang w:val="en-US" w:eastAsia="zh-CN"/>
        </w:rPr>
        <w:t xml:space="preserve">         </w:t>
      </w:r>
      <w:r>
        <w:rPr>
          <w:rFonts w:ascii="黑体" w:hAnsi="黑体" w:eastAsia="黑体" w:cs="黑体"/>
          <w:kern w:val="2"/>
          <w:sz w:val="21"/>
          <w:szCs w:val="21"/>
          <w:u w:color="000000"/>
          <w:lang w:val="en-US"/>
        </w:rPr>
        <w:t xml:space="preserve">    2.</w:t>
      </w:r>
      <w:r>
        <w:rPr>
          <w:rFonts w:hint="eastAsia" w:ascii="黑体" w:hAnsi="黑体" w:eastAsia="黑体" w:cs="黑体"/>
          <w:kern w:val="2"/>
          <w:sz w:val="21"/>
          <w:szCs w:val="21"/>
          <w:u w:color="000000"/>
          <w:lang w:val="en-US"/>
        </w:rPr>
        <w:t>选取综合排名第一的响应单位推荐为拟委托单位，如出现拟推荐委托单位排名相同情形，则按报价低者入围；如再次出现报价相同情形，则采用抽签法直接选取。</w:t>
      </w:r>
    </w:p>
    <w:sectPr>
      <w:headerReference r:id="rId4" w:type="default"/>
      <w:footerReference r:id="rId5" w:type="default"/>
      <w:pgSz w:w="11906" w:h="16838"/>
      <w:pgMar w:top="1134" w:right="1134" w:bottom="1134" w:left="1134" w:header="709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C059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PingFang SC Regular">
    <w:altName w:val="C059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CE4159"/>
    <w:multiLevelType w:val="singleLevel"/>
    <w:tmpl w:val="C2CE415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kZjQ3OTQ2Zjc3NjA5ZjgwZjYwMGNhZGMzOGM4NTQifQ=="/>
  </w:docVars>
  <w:rsids>
    <w:rsidRoot w:val="00495DF8"/>
    <w:rsid w:val="00495DF8"/>
    <w:rsid w:val="00826958"/>
    <w:rsid w:val="00C74CA0"/>
    <w:rsid w:val="00F03ADC"/>
    <w:rsid w:val="00FF3EB1"/>
    <w:rsid w:val="022565C3"/>
    <w:rsid w:val="02792278"/>
    <w:rsid w:val="03303F04"/>
    <w:rsid w:val="0A4A5805"/>
    <w:rsid w:val="0B5F43AA"/>
    <w:rsid w:val="0D2722E2"/>
    <w:rsid w:val="0D554FDF"/>
    <w:rsid w:val="0F9712A6"/>
    <w:rsid w:val="116A6D7C"/>
    <w:rsid w:val="154947A3"/>
    <w:rsid w:val="173D31C8"/>
    <w:rsid w:val="18F87776"/>
    <w:rsid w:val="19E33AAB"/>
    <w:rsid w:val="1AB86343"/>
    <w:rsid w:val="1C6857BA"/>
    <w:rsid w:val="1D0E2EE1"/>
    <w:rsid w:val="1DB75F8E"/>
    <w:rsid w:val="1E8559B0"/>
    <w:rsid w:val="1EB36510"/>
    <w:rsid w:val="1F7EC69B"/>
    <w:rsid w:val="1F9C2EC5"/>
    <w:rsid w:val="1FE5029E"/>
    <w:rsid w:val="211540F0"/>
    <w:rsid w:val="220B0C00"/>
    <w:rsid w:val="2280797B"/>
    <w:rsid w:val="23AD493A"/>
    <w:rsid w:val="241D73C0"/>
    <w:rsid w:val="26813670"/>
    <w:rsid w:val="270218DC"/>
    <w:rsid w:val="27FFF12E"/>
    <w:rsid w:val="28064B56"/>
    <w:rsid w:val="289E773E"/>
    <w:rsid w:val="29923E25"/>
    <w:rsid w:val="29964A08"/>
    <w:rsid w:val="29A602E4"/>
    <w:rsid w:val="2A4F2CEC"/>
    <w:rsid w:val="2A8C0497"/>
    <w:rsid w:val="2B981630"/>
    <w:rsid w:val="2BFA7C62"/>
    <w:rsid w:val="2C541DFF"/>
    <w:rsid w:val="2CA77070"/>
    <w:rsid w:val="2D3E50E7"/>
    <w:rsid w:val="2D5DD9BC"/>
    <w:rsid w:val="2E082E63"/>
    <w:rsid w:val="2F03631E"/>
    <w:rsid w:val="2FB44EEF"/>
    <w:rsid w:val="308F0B1D"/>
    <w:rsid w:val="30E85FBB"/>
    <w:rsid w:val="31A3629F"/>
    <w:rsid w:val="321333C8"/>
    <w:rsid w:val="372E4027"/>
    <w:rsid w:val="37996C8B"/>
    <w:rsid w:val="37DC7428"/>
    <w:rsid w:val="39D61D1E"/>
    <w:rsid w:val="3B7F11A2"/>
    <w:rsid w:val="3BBB0933"/>
    <w:rsid w:val="3D221A9D"/>
    <w:rsid w:val="41A037AD"/>
    <w:rsid w:val="428A0583"/>
    <w:rsid w:val="42B21633"/>
    <w:rsid w:val="43372D08"/>
    <w:rsid w:val="43DF6845"/>
    <w:rsid w:val="44F01A33"/>
    <w:rsid w:val="496E2CD9"/>
    <w:rsid w:val="4A3046FF"/>
    <w:rsid w:val="4AF43D81"/>
    <w:rsid w:val="4B7C34F8"/>
    <w:rsid w:val="4D001B20"/>
    <w:rsid w:val="4E3D7492"/>
    <w:rsid w:val="50A626FC"/>
    <w:rsid w:val="51352406"/>
    <w:rsid w:val="515F0B34"/>
    <w:rsid w:val="517C662B"/>
    <w:rsid w:val="5199169B"/>
    <w:rsid w:val="53E45333"/>
    <w:rsid w:val="5430212F"/>
    <w:rsid w:val="54BF230B"/>
    <w:rsid w:val="57031AF6"/>
    <w:rsid w:val="57562C67"/>
    <w:rsid w:val="58764CCC"/>
    <w:rsid w:val="587E3787"/>
    <w:rsid w:val="58C022AF"/>
    <w:rsid w:val="5C0C162C"/>
    <w:rsid w:val="5C1A2750"/>
    <w:rsid w:val="5D5C103F"/>
    <w:rsid w:val="5E4575EA"/>
    <w:rsid w:val="5EF71019"/>
    <w:rsid w:val="5F815717"/>
    <w:rsid w:val="5FA8354E"/>
    <w:rsid w:val="5FE9252D"/>
    <w:rsid w:val="61EC7774"/>
    <w:rsid w:val="652F0DE7"/>
    <w:rsid w:val="67B722A2"/>
    <w:rsid w:val="69437E1B"/>
    <w:rsid w:val="6ACA7C59"/>
    <w:rsid w:val="6B722D11"/>
    <w:rsid w:val="6C0A4F1F"/>
    <w:rsid w:val="6C3A5FCA"/>
    <w:rsid w:val="6CF05300"/>
    <w:rsid w:val="6E4B0621"/>
    <w:rsid w:val="6EF66B7F"/>
    <w:rsid w:val="705F3AE1"/>
    <w:rsid w:val="71C628C1"/>
    <w:rsid w:val="73200C89"/>
    <w:rsid w:val="75FDDD4D"/>
    <w:rsid w:val="76400CBC"/>
    <w:rsid w:val="77164B27"/>
    <w:rsid w:val="787768D5"/>
    <w:rsid w:val="7BBE2922"/>
    <w:rsid w:val="7EDC2F6E"/>
    <w:rsid w:val="7F0E3B00"/>
    <w:rsid w:val="7F651FF7"/>
    <w:rsid w:val="7F666206"/>
    <w:rsid w:val="7FDFD8DE"/>
    <w:rsid w:val="86EF285E"/>
    <w:rsid w:val="AD67D127"/>
    <w:rsid w:val="C77C06CF"/>
    <w:rsid w:val="DDAF84ED"/>
    <w:rsid w:val="DFF7950C"/>
    <w:rsid w:val="E3FFEDA2"/>
    <w:rsid w:val="EB59EF03"/>
    <w:rsid w:val="EFEE4654"/>
    <w:rsid w:val="F5F13C52"/>
    <w:rsid w:val="F6EF0680"/>
    <w:rsid w:val="FCEB0375"/>
    <w:rsid w:val="FEE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/>
    </w:pPr>
    <w:rPr>
      <w:rFonts w:hint="eastAsia" w:ascii="Arial Unicode MS" w:hAnsi="Arial Unicode MS" w:eastAsia="Helvetica Neue" w:cs="Arial Unicode MS"/>
      <w:color w:val="000000"/>
      <w:sz w:val="24"/>
      <w:szCs w:val="24"/>
      <w:lang w:val="zh-TW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/>
      <w:szCs w:val="20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1438</Words>
  <Characters>1553</Characters>
  <Lines>6</Lines>
  <Paragraphs>1</Paragraphs>
  <TotalTime>7</TotalTime>
  <ScaleCrop>false</ScaleCrop>
  <LinksUpToDate>false</LinksUpToDate>
  <CharactersWithSpaces>1587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2020-12-02T01:41:00Z</dcterms:created>
  <dc:creator>user</dc:creator>
  <cp:lastModifiedBy>杨倩欣</cp:lastModifiedBy>
  <cp:lastPrinted>2025-07-22T19:59:00Z</cp:lastPrinted>
  <dcterms:modified xsi:type="dcterms:W3CDTF">2025-07-22T14:42:47Z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DD5DC6536522414B986D83885BD1AD3D</vt:lpwstr>
  </property>
</Properties>
</file>