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南联社康中心后补式冷库采购</w:t>
      </w:r>
      <w:r>
        <w:rPr>
          <w:rFonts w:hint="eastAsia" w:ascii="仿宋" w:hAnsi="仿宋" w:eastAsia="仿宋" w:cs="仿宋"/>
          <w:b/>
          <w:bCs/>
          <w:sz w:val="44"/>
          <w:szCs w:val="44"/>
          <w:highlight w:val="none"/>
        </w:rPr>
        <w:t>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LGZXYYZBB20250723-1</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南联社康中心后补式冷库采购</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pPr>
        <w:pStyle w:val="16"/>
        <w:jc w:val="center"/>
        <w:outlineLvl w:val="1"/>
        <w:rPr>
          <w:rFonts w:hint="eastAsia" w:ascii="仿宋" w:hAnsi="仿宋" w:eastAsia="仿宋" w:cs="仿宋"/>
          <w:sz w:val="24"/>
          <w:szCs w:val="24"/>
          <w:highlight w:val="none"/>
        </w:rPr>
      </w:pPr>
    </w:p>
    <w:p>
      <w:pPr>
        <w:pStyle w:val="16"/>
        <w:jc w:val="center"/>
        <w:outlineLvl w:val="1"/>
        <w:rPr>
          <w:rFonts w:hint="eastAsia" w:ascii="仿宋" w:hAnsi="仿宋" w:eastAsia="仿宋" w:cs="仿宋"/>
          <w:sz w:val="24"/>
          <w:szCs w:val="24"/>
          <w:highlight w:val="none"/>
        </w:rPr>
      </w:pPr>
    </w:p>
    <w:p>
      <w:pPr>
        <w:pStyle w:val="16"/>
        <w:jc w:val="center"/>
        <w:outlineLvl w:val="1"/>
        <w:rPr>
          <w:rFonts w:hint="eastAsia" w:ascii="仿宋" w:hAnsi="仿宋" w:eastAsia="仿宋" w:cs="仿宋"/>
          <w:sz w:val="24"/>
          <w:szCs w:val="24"/>
          <w:highlight w:val="none"/>
        </w:rPr>
      </w:pPr>
    </w:p>
    <w:p>
      <w:pPr>
        <w:pStyle w:val="16"/>
        <w:widowControl/>
        <w:jc w:val="center"/>
        <w:outlineLvl w:val="1"/>
        <w:rPr>
          <w:rFonts w:hint="eastAsia" w:ascii="仿宋" w:hAnsi="仿宋" w:eastAsia="仿宋" w:cs="仿宋"/>
          <w:sz w:val="40"/>
          <w:szCs w:val="40"/>
          <w:highlight w:val="none"/>
        </w:rPr>
      </w:pPr>
    </w:p>
    <w:p>
      <w:pPr>
        <w:pStyle w:val="16"/>
        <w:widowControl/>
        <w:jc w:val="center"/>
        <w:outlineLvl w:val="1"/>
        <w:rPr>
          <w:rFonts w:hint="eastAsia" w:ascii="仿宋" w:hAnsi="仿宋" w:eastAsia="仿宋" w:cs="仿宋"/>
          <w:sz w:val="40"/>
          <w:szCs w:val="40"/>
          <w:highlight w:val="none"/>
        </w:rPr>
      </w:pPr>
    </w:p>
    <w:p>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1"/>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PrEx>
        <w:trPr>
          <w:trHeight w:val="617" w:hRule="atLeast"/>
        </w:trPr>
        <w:tc>
          <w:tcPr>
            <w:tcW w:w="7999" w:type="dxa"/>
            <w:tcBorders>
              <w:top w:val="single" w:color="000000" w:sz="8" w:space="0"/>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pPr>
        <w:jc w:val="center"/>
        <w:rPr>
          <w:rFonts w:hint="eastAsia" w:ascii="仿宋" w:hAnsi="仿宋" w:eastAsia="仿宋" w:cs="仿宋"/>
          <w:b/>
          <w:bCs/>
          <w:color w:val="auto"/>
          <w:kern w:val="44"/>
          <w:sz w:val="32"/>
          <w:szCs w:val="32"/>
          <w:lang w:val="en-US" w:eastAsia="zh-CN"/>
        </w:rPr>
      </w:pPr>
    </w:p>
    <w:p>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pPr>
        <w:pStyle w:val="52"/>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pPr>
        <w:pStyle w:val="52"/>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pPr>
        <w:pStyle w:val="16"/>
        <w:jc w:val="center"/>
        <w:outlineLvl w:val="1"/>
        <w:rPr>
          <w:rFonts w:hint="eastAsia" w:ascii="仿宋" w:hAnsi="仿宋" w:eastAsia="仿宋" w:cs="仿宋"/>
          <w:sz w:val="40"/>
          <w:szCs w:val="40"/>
          <w:highlight w:val="none"/>
        </w:rPr>
      </w:pPr>
    </w:p>
    <w:p>
      <w:pPr>
        <w:pStyle w:val="16"/>
        <w:jc w:val="center"/>
        <w:outlineLvl w:val="1"/>
        <w:rPr>
          <w:rFonts w:hint="eastAsia" w:ascii="仿宋" w:hAnsi="仿宋" w:eastAsia="仿宋" w:cs="仿宋"/>
          <w:sz w:val="24"/>
          <w:szCs w:val="24"/>
          <w:highlight w:val="none"/>
        </w:rPr>
      </w:pPr>
    </w:p>
    <w:p>
      <w:pPr>
        <w:pStyle w:val="16"/>
        <w:jc w:val="center"/>
        <w:outlineLvl w:val="1"/>
        <w:rPr>
          <w:rFonts w:hint="eastAsia" w:ascii="仿宋" w:hAnsi="仿宋" w:eastAsia="仿宋" w:cs="仿宋"/>
          <w:sz w:val="24"/>
          <w:szCs w:val="24"/>
          <w:highlight w:val="none"/>
        </w:rPr>
      </w:pPr>
    </w:p>
    <w:p>
      <w:pPr>
        <w:pStyle w:val="16"/>
        <w:spacing w:after="1134"/>
        <w:jc w:val="center"/>
        <w:outlineLvl w:val="1"/>
        <w:rPr>
          <w:rFonts w:hint="eastAsia" w:ascii="仿宋" w:hAnsi="仿宋" w:eastAsia="仿宋" w:cs="仿宋"/>
          <w:b/>
          <w:bCs/>
          <w:sz w:val="32"/>
          <w:szCs w:val="32"/>
          <w:highlight w:val="none"/>
        </w:rPr>
      </w:pPr>
    </w:p>
    <w:p>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p>
    <w:p>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3" w:type="pct"/>
        <w:jc w:val="center"/>
        <w:tblCellSpacing w:w="0" w:type="dxa"/>
        <w:tblLayout w:type="autofit"/>
        <w:tblCellMar>
          <w:top w:w="45" w:type="dxa"/>
          <w:left w:w="45" w:type="dxa"/>
          <w:bottom w:w="45" w:type="dxa"/>
          <w:right w:w="45" w:type="dxa"/>
        </w:tblCellMar>
      </w:tblPr>
      <w:tblGrid>
        <w:gridCol w:w="450"/>
        <w:gridCol w:w="44"/>
        <w:gridCol w:w="61"/>
        <w:gridCol w:w="526"/>
        <w:gridCol w:w="1713"/>
        <w:gridCol w:w="854"/>
        <w:gridCol w:w="4335"/>
        <w:gridCol w:w="128"/>
        <w:gridCol w:w="689"/>
        <w:gridCol w:w="457"/>
      </w:tblGrid>
      <w:tr>
        <w:tblPrEx>
          <w:tblCellMar>
            <w:top w:w="45" w:type="dxa"/>
            <w:left w:w="45" w:type="dxa"/>
            <w:bottom w:w="45" w:type="dxa"/>
            <w:right w:w="45" w:type="dxa"/>
          </w:tblCellMar>
        </w:tblPrEx>
        <w:trPr>
          <w:gridBefore w:val="1"/>
          <w:gridAfter w:val="2"/>
          <w:wBefore w:w="243" w:type="pct"/>
          <w:wAfter w:w="618" w:type="pct"/>
          <w:tblCellSpacing w:w="0" w:type="dxa"/>
          <w:jc w:val="center"/>
        </w:trPr>
        <w:tc>
          <w:tcPr>
            <w:tcW w:w="4068" w:type="pct"/>
            <w:gridSpan w:val="6"/>
            <w:tcBorders>
              <w:top w:val="nil"/>
              <w:left w:val="nil"/>
              <w:bottom w:val="nil"/>
              <w:right w:val="nil"/>
            </w:tcBorders>
            <w:vAlign w:val="center"/>
          </w:tcPr>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69" w:type="pct"/>
            <w:tcBorders>
              <w:top w:val="nil"/>
              <w:left w:val="nil"/>
              <w:bottom w:val="nil"/>
              <w:right w:val="nil"/>
            </w:tcBorders>
            <w:vAlign w:val="center"/>
          </w:tcPr>
          <w:p>
            <w:pPr>
              <w:rPr>
                <w:rFonts w:hint="eastAsia" w:ascii="仿宋" w:hAnsi="仿宋" w:eastAsia="仿宋" w:cs="仿宋"/>
                <w:b/>
                <w:bCs/>
                <w:sz w:val="24"/>
                <w:szCs w:val="24"/>
                <w:highlight w:val="none"/>
              </w:rPr>
            </w:pPr>
          </w:p>
        </w:tc>
      </w:tr>
      <w:tr>
        <w:tblPrEx>
          <w:tblCellMar>
            <w:top w:w="45" w:type="dxa"/>
            <w:left w:w="45" w:type="dxa"/>
            <w:bottom w:w="45" w:type="dxa"/>
            <w:right w:w="45" w:type="dxa"/>
          </w:tblCellMar>
        </w:tblPrEx>
        <w:trPr>
          <w:gridBefore w:val="2"/>
          <w:gridAfter w:val="1"/>
          <w:wBefore w:w="267" w:type="pct"/>
          <w:wAfter w:w="247" w:type="pct"/>
          <w:trHeight w:val="90" w:hRule="atLeast"/>
          <w:tblCellSpacing w:w="0" w:type="dxa"/>
          <w:jc w:val="center"/>
        </w:trPr>
        <w:tc>
          <w:tcPr>
            <w:tcW w:w="4485"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216"/>
            </w:tblGrid>
            <w:tr>
              <w:trPr>
                <w:tblCellSpacing w:w="0" w:type="dxa"/>
                <w:jc w:val="center"/>
              </w:trPr>
              <w:tc>
                <w:tcPr>
                  <w:tcW w:w="5000" w:type="pct"/>
                  <w:tcBorders>
                    <w:top w:val="nil"/>
                    <w:left w:val="nil"/>
                    <w:bottom w:val="nil"/>
                    <w:right w:val="nil"/>
                  </w:tcBorders>
                  <w:vAlign w:val="center"/>
                </w:tcPr>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pPr>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vMerge w:val="restart"/>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r>
              <w:rPr>
                <w:rFonts w:hint="eastAsia" w:ascii="仿宋" w:hAnsi="仿宋" w:eastAsia="仿宋" w:cs="仿宋"/>
                <w:sz w:val="24"/>
                <w:szCs w:val="24"/>
                <w:highlight w:val="none"/>
                <w:lang w:val="en-US" w:eastAsia="zh-CN"/>
              </w:rPr>
              <w:t>重点参数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参数）响应情况评价</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（一）评分内容：</w:t>
            </w:r>
          </w:p>
          <w:p>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w:t>
            </w:r>
            <w:r>
              <w:rPr>
                <w:rFonts w:hint="eastAsia" w:ascii="仿宋" w:hAnsi="仿宋" w:eastAsia="仿宋" w:cs="仿宋"/>
                <w:color w:val="auto"/>
                <w:sz w:val="24"/>
                <w:szCs w:val="24"/>
                <w:highlight w:val="none"/>
                <w:lang w:val="en-US" w:eastAsia="zh-CN"/>
              </w:rPr>
              <w:t>重点参数</w:t>
            </w:r>
            <w:r>
              <w:rPr>
                <w:rFonts w:hint="eastAsia" w:ascii="仿宋" w:hAnsi="仿宋" w:eastAsia="仿宋" w:cs="仿宋"/>
                <w:color w:val="auto"/>
                <w:sz w:val="24"/>
                <w:szCs w:val="24"/>
                <w:highlight w:val="none"/>
              </w:rPr>
              <w:t>全部满足得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分；有负偏离的，每负偏离一项扣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分，负偏离达</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项本项不得分。</w:t>
            </w:r>
          </w:p>
          <w:p>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（二）评审依据：</w:t>
            </w:r>
          </w:p>
          <w:p>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条款</w:t>
            </w:r>
            <w:r>
              <w:rPr>
                <w:rFonts w:hint="eastAsia" w:ascii="仿宋" w:hAnsi="仿宋" w:eastAsia="仿宋" w:cs="仿宋"/>
                <w:color w:val="auto"/>
                <w:sz w:val="24"/>
                <w:szCs w:val="24"/>
                <w:highlight w:val="none"/>
              </w:rPr>
              <w:t>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p>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所投产品一般技术参数全部满足得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；有负偏离的，每负偏离一项扣</w:t>
            </w:r>
            <w:r>
              <w:rPr>
                <w:rFonts w:hint="eastAsia" w:ascii="仿宋" w:hAnsi="仿宋" w:eastAsia="仿宋" w:cs="仿宋"/>
                <w:color w:val="auto"/>
                <w:sz w:val="24"/>
                <w:szCs w:val="24"/>
                <w:highlight w:val="none"/>
                <w:lang w:val="en-US" w:eastAsia="zh-CN"/>
              </w:rPr>
              <w:t>0.77分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负偏离达13项本项不得分。</w:t>
            </w:r>
          </w:p>
          <w:p>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（二）评分依据：</w:t>
            </w:r>
          </w:p>
          <w:p>
            <w:pPr>
              <w:keepNext w:val="0"/>
              <w:keepLines w:val="0"/>
              <w:pageBreakBefore w:val="0"/>
              <w:wordWrap w:val="0"/>
              <w:overflowPunct/>
              <w:topLinePunct w:val="0"/>
              <w:bidi w:val="0"/>
              <w:spacing w:line="240" w:lineRule="auto"/>
              <w:ind w:firstLine="0" w:firstLineChars="0"/>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4"/>
                <w:highlight w:val="none"/>
              </w:rPr>
              <w:t>投标人应如实填写《技术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偏离表》，评审委员会根据投标人对招标文件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章用户需求书 四、技术要求</w:t>
            </w:r>
            <w:r>
              <w:rPr>
                <w:rFonts w:hint="eastAsia" w:ascii="仿宋" w:hAnsi="仿宋" w:eastAsia="仿宋" w:cs="仿宋"/>
                <w:color w:val="auto"/>
                <w:sz w:val="24"/>
                <w:szCs w:val="24"/>
                <w:highlight w:val="none"/>
                <w:lang w:val="en-US" w:eastAsia="zh-CN"/>
              </w:rPr>
              <w:t xml:space="preserve"> （二）后补式冷库技术参数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的响应情况进行评审</w:t>
            </w:r>
            <w:r>
              <w:rPr>
                <w:rFonts w:hint="eastAsia" w:ascii="仿宋" w:hAnsi="仿宋" w:eastAsia="仿宋" w:cs="仿宋"/>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pPr>
              <w:pStyle w:val="27"/>
              <w:snapToGrid w:val="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工作方案和售后服务内容</w:t>
            </w:r>
          </w:p>
        </w:tc>
        <w:tc>
          <w:tcPr>
            <w:tcW w:w="46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lang w:val="en-US" w:eastAsia="zh-CN"/>
              </w:rPr>
              <w:t>15</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（一）评审内容：</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w:t>
            </w:r>
            <w:r>
              <w:rPr>
                <w:rFonts w:hint="eastAsia" w:ascii="仿宋" w:hAnsi="仿宋" w:eastAsia="仿宋" w:cs="仿宋"/>
                <w:sz w:val="24"/>
                <w:szCs w:val="24"/>
                <w:highlight w:val="none"/>
              </w:rPr>
              <w:t>工作方案和售后服务内容</w:t>
            </w:r>
            <w:r>
              <w:rPr>
                <w:rFonts w:hint="eastAsia" w:ascii="仿宋" w:hAnsi="仿宋" w:eastAsia="仿宋" w:cs="仿宋"/>
                <w:color w:val="000000"/>
                <w:sz w:val="24"/>
                <w:szCs w:val="24"/>
              </w:rPr>
              <w:t>进行评审，包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1.服务承诺书；</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进度安排及安装方案；</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售后人员配备情况；</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产品培训计划、维护服务；</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备品备件、产品配件价格优惠。</w:t>
            </w:r>
          </w:p>
          <w:p>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6.设计方案及说明。</w:t>
            </w:r>
          </w:p>
          <w:p>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（二）评分依据：</w:t>
            </w:r>
          </w:p>
          <w:p>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1.每提供上述任意一项内容的得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分，本项最高得</w:t>
            </w:r>
            <w:r>
              <w:rPr>
                <w:rFonts w:hint="eastAsia" w:ascii="仿宋" w:hAnsi="仿宋" w:eastAsia="仿宋" w:cs="仿宋"/>
                <w:color w:val="auto"/>
                <w:sz w:val="24"/>
                <w:szCs w:val="24"/>
                <w:lang w:val="en-US" w:eastAsia="zh-CN"/>
              </w:rPr>
              <w:t>9</w:t>
            </w:r>
            <w:r>
              <w:rPr>
                <w:rFonts w:hint="eastAsia" w:ascii="仿宋" w:hAnsi="仿宋" w:eastAsia="仿宋" w:cs="仿宋"/>
                <w:color w:val="000000"/>
                <w:sz w:val="24"/>
                <w:szCs w:val="24"/>
              </w:rPr>
              <w:t>分。</w:t>
            </w:r>
          </w:p>
          <w:p>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r>
              <w:rPr>
                <w:rFonts w:hint="eastAsia" w:ascii="仿宋" w:hAnsi="仿宋" w:eastAsia="仿宋" w:cs="仿宋"/>
                <w:color w:val="000000"/>
                <w:sz w:val="24"/>
                <w:szCs w:val="24"/>
              </w:rPr>
              <w:t>：</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加2</w:t>
            </w:r>
            <w:r>
              <w:rPr>
                <w:rFonts w:hint="eastAsia" w:ascii="仿宋" w:hAnsi="仿宋" w:eastAsia="仿宋" w:cs="仿宋"/>
                <w:color w:val="000000"/>
                <w:sz w:val="24"/>
                <w:szCs w:val="24"/>
              </w:rPr>
              <w:t>分；</w:t>
            </w:r>
          </w:p>
          <w:p>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rPr>
              <w:t>质量保障措施方案</w:t>
            </w:r>
          </w:p>
        </w:tc>
        <w:tc>
          <w:tcPr>
            <w:tcW w:w="461" w:type="pct"/>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lang w:val="en-US" w:eastAsia="zh-CN"/>
              </w:rPr>
              <w:t>10</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一）评分内容：</w:t>
            </w:r>
          </w:p>
          <w:p>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根据投标人提供的质量保障措施方案</w:t>
            </w:r>
            <w:r>
              <w:rPr>
                <w:rFonts w:hint="eastAsia" w:ascii="仿宋" w:hAnsi="仿宋" w:eastAsia="仿宋" w:cs="仿宋"/>
                <w:color w:val="000000"/>
                <w:sz w:val="24"/>
                <w:szCs w:val="24"/>
                <w:lang w:val="en-US" w:eastAsia="zh-CN"/>
              </w:rPr>
              <w:t>进行评审，</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1.完成时间保障措施及方案；</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安全保障措施及方案；</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应急措施及方案。</w:t>
            </w:r>
          </w:p>
          <w:p>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4.质量保证措施。</w:t>
            </w:r>
          </w:p>
          <w:p>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5.售后维修应急响应时间保证。</w:t>
            </w:r>
          </w:p>
          <w:p>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二）评分依据：</w:t>
            </w:r>
          </w:p>
          <w:p>
            <w:pPr>
              <w:widowControl/>
              <w:wordWrap w:val="0"/>
              <w:spacing w:line="320" w:lineRule="exact"/>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1.每提供上述任意一项内容的得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rPr>
              <w:t>分。</w:t>
            </w:r>
          </w:p>
          <w:p>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加1</w:t>
            </w:r>
            <w:r>
              <w:rPr>
                <w:rFonts w:hint="eastAsia" w:ascii="仿宋" w:hAnsi="仿宋" w:eastAsia="仿宋" w:cs="仿宋"/>
                <w:color w:val="000000"/>
                <w:sz w:val="24"/>
                <w:szCs w:val="24"/>
              </w:rPr>
              <w:t>分；</w:t>
            </w:r>
          </w:p>
          <w:p>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项目重点、难点分析；应对措施及相关的合理化建议</w:t>
            </w:r>
          </w:p>
        </w:tc>
        <w:tc>
          <w:tcPr>
            <w:tcW w:w="461" w:type="pct"/>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一）评分内容：</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根据投标人提供的项目重点难点分析、应对措施及相关的合理化建议进行评审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r>
              <w:rPr>
                <w:rFonts w:hint="eastAsia" w:ascii="仿宋" w:hAnsi="仿宋" w:eastAsia="仿宋" w:cs="仿宋"/>
                <w:color w:val="000000"/>
                <w:sz w:val="24"/>
                <w:szCs w:val="24"/>
                <w:highlight w:val="none"/>
              </w:rPr>
              <w:t>：</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难点分析；</w:t>
            </w:r>
          </w:p>
          <w:p>
            <w:pPr>
              <w:widowControl/>
              <w:wordWrap w:val="0"/>
              <w:spacing w:line="320" w:lineRule="exact"/>
              <w:rPr>
                <w:rFonts w:hint="default" w:eastAsia="仿宋"/>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针对项目重点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难点</w:t>
            </w:r>
            <w:r>
              <w:rPr>
                <w:rFonts w:hint="eastAsia" w:ascii="仿宋" w:hAnsi="仿宋" w:eastAsia="仿宋" w:cs="仿宋"/>
                <w:color w:val="000000"/>
                <w:sz w:val="24"/>
                <w:szCs w:val="24"/>
                <w:highlight w:val="none"/>
              </w:rPr>
              <w:t>逐项提出应对措施</w:t>
            </w:r>
            <w:r>
              <w:rPr>
                <w:rFonts w:hint="eastAsia" w:ascii="仿宋" w:hAnsi="仿宋" w:eastAsia="仿宋" w:cs="仿宋"/>
                <w:color w:val="000000"/>
                <w:sz w:val="24"/>
                <w:szCs w:val="24"/>
                <w:highlight w:val="none"/>
                <w:lang w:val="en-US" w:eastAsia="zh-CN"/>
              </w:rPr>
              <w:t>及</w:t>
            </w:r>
            <w:r>
              <w:rPr>
                <w:rFonts w:hint="eastAsia" w:ascii="仿宋" w:hAnsi="仿宋" w:eastAsia="仿宋" w:cs="仿宋"/>
                <w:color w:val="000000"/>
                <w:sz w:val="24"/>
                <w:szCs w:val="24"/>
                <w:highlight w:val="none"/>
              </w:rPr>
              <w:t>合理化建议。</w:t>
            </w:r>
          </w:p>
          <w:p>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二）评分依据：</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每提供上述任意一项内容的得</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zh-CN"/>
              </w:rPr>
              <w:t>分，本项最高得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highlight w:val="none"/>
              </w:rPr>
              <w:t>。</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（1）重点难点分析全面，应对措施可行性高，相关建议科学合理，评审为优的，加</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（2）重点难点分析</w:t>
            </w:r>
            <w:r>
              <w:rPr>
                <w:rFonts w:hint="eastAsia" w:ascii="仿宋" w:hAnsi="仿宋" w:eastAsia="仿宋" w:cs="仿宋"/>
                <w:color w:val="000000"/>
                <w:sz w:val="24"/>
                <w:szCs w:val="24"/>
                <w:highlight w:val="none"/>
                <w:lang w:val="en-US" w:eastAsia="zh-CN"/>
              </w:rPr>
              <w:t>较全面</w:t>
            </w:r>
            <w:r>
              <w:rPr>
                <w:rFonts w:hint="eastAsia" w:ascii="仿宋" w:hAnsi="仿宋" w:eastAsia="仿宋" w:cs="仿宋"/>
                <w:color w:val="000000"/>
                <w:sz w:val="24"/>
                <w:szCs w:val="24"/>
                <w:highlight w:val="none"/>
              </w:rPr>
              <w:t>，应对措施可行性</w:t>
            </w:r>
            <w:r>
              <w:rPr>
                <w:rFonts w:hint="eastAsia" w:ascii="仿宋" w:hAnsi="仿宋" w:eastAsia="仿宋" w:cs="仿宋"/>
                <w:color w:val="000000"/>
                <w:sz w:val="24"/>
                <w:szCs w:val="24"/>
                <w:highlight w:val="none"/>
                <w:lang w:val="en-US" w:eastAsia="zh-CN"/>
              </w:rPr>
              <w:t>较高</w:t>
            </w:r>
            <w:r>
              <w:rPr>
                <w:rFonts w:hint="eastAsia" w:ascii="仿宋" w:hAnsi="仿宋" w:eastAsia="仿宋" w:cs="仿宋"/>
                <w:color w:val="000000"/>
                <w:sz w:val="24"/>
                <w:szCs w:val="24"/>
                <w:highlight w:val="none"/>
              </w:rPr>
              <w:t>，相关建议</w:t>
            </w:r>
            <w:r>
              <w:rPr>
                <w:rFonts w:hint="eastAsia" w:ascii="仿宋" w:hAnsi="仿宋" w:eastAsia="仿宋" w:cs="仿宋"/>
                <w:color w:val="000000"/>
                <w:sz w:val="24"/>
                <w:szCs w:val="24"/>
                <w:highlight w:val="none"/>
                <w:lang w:val="en-US" w:eastAsia="zh-CN"/>
              </w:rPr>
              <w:t>较</w:t>
            </w:r>
            <w:r>
              <w:rPr>
                <w:rFonts w:hint="eastAsia" w:ascii="仿宋" w:hAnsi="仿宋" w:eastAsia="仿宋" w:cs="仿宋"/>
                <w:color w:val="000000"/>
                <w:sz w:val="24"/>
                <w:szCs w:val="24"/>
                <w:highlight w:val="none"/>
              </w:rPr>
              <w:t>科学合理，评审为良</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，加</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rPr>
              <w:t xml:space="preserve"> 分；​</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（3）重点难点分析一般，应对措施可行性一般，相关建议一般，评审为中的，加</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（4）重点难点分析不够全面，应对措施可行性</w:t>
            </w:r>
            <w:r>
              <w:rPr>
                <w:rFonts w:hint="eastAsia" w:ascii="仿宋" w:hAnsi="仿宋" w:eastAsia="仿宋" w:cs="仿宋"/>
                <w:color w:val="000000"/>
                <w:sz w:val="24"/>
                <w:szCs w:val="24"/>
                <w:highlight w:val="none"/>
                <w:lang w:val="en-US" w:eastAsia="zh-CN"/>
              </w:rPr>
              <w:t>低</w:t>
            </w:r>
            <w:r>
              <w:rPr>
                <w:rFonts w:hint="eastAsia" w:ascii="仿宋" w:hAnsi="仿宋" w:eastAsia="仿宋" w:cs="仿宋"/>
                <w:color w:val="000000"/>
                <w:sz w:val="24"/>
                <w:szCs w:val="24"/>
                <w:highlight w:val="none"/>
              </w:rPr>
              <w:t>，相关建议不够合理，评审为差</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不加分。</w:t>
            </w:r>
          </w:p>
          <w:p>
            <w:pPr>
              <w:widowControl/>
              <w:wordWrap w:val="0"/>
              <w:spacing w:line="320" w:lineRule="exact"/>
              <w:rPr>
                <w:rFonts w:hint="eastAsia" w:ascii="仿宋" w:hAnsi="仿宋" w:eastAsia="仿宋" w:cs="仿宋"/>
                <w:sz w:val="24"/>
                <w:highlight w:val="none"/>
              </w:rPr>
            </w:pPr>
            <w:r>
              <w:rPr>
                <w:rFonts w:hint="eastAsia" w:ascii="仿宋" w:hAnsi="仿宋" w:eastAsia="仿宋" w:cs="仿宋"/>
                <w:color w:val="000000"/>
                <w:sz w:val="24"/>
                <w:szCs w:val="24"/>
                <w:highlight w:val="none"/>
              </w:rPr>
              <w:t>未提供方案或提供的不符合或专家无法凭所提供材料判断是否得分的情况，一律作不得分处理。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restart"/>
            <w:tcBorders>
              <w:top w:val="single" w:color="auto" w:sz="4" w:space="0"/>
              <w:left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67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商务</w:t>
            </w:r>
            <w:r>
              <w:rPr>
                <w:rFonts w:hint="eastAsia" w:ascii="仿宋" w:hAnsi="仿宋" w:eastAsia="仿宋" w:cs="仿宋"/>
                <w:b/>
                <w:sz w:val="24"/>
                <w:szCs w:val="24"/>
                <w:highlight w:val="none"/>
              </w:rPr>
              <w:t>部分</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8" w:type="pct"/>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6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auto"/>
                <w:sz w:val="24"/>
                <w:highlight w:val="none"/>
                <w:lang w:val="en-US" w:eastAsia="zh-CN"/>
              </w:rPr>
              <w:t>2</w:t>
            </w:r>
          </w:p>
        </w:tc>
        <w:tc>
          <w:tcPr>
            <w:tcW w:w="3028" w:type="pct"/>
            <w:gridSpan w:val="4"/>
            <w:tcBorders>
              <w:top w:val="single" w:color="auto" w:sz="4" w:space="0"/>
              <w:left w:val="single" w:color="auto" w:sz="4" w:space="0"/>
              <w:bottom w:val="single" w:color="auto" w:sz="4" w:space="0"/>
              <w:right w:val="single" w:color="auto" w:sz="4" w:space="0"/>
            </w:tcBorders>
            <w:vAlign w:val="top"/>
          </w:tcPr>
          <w:p>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pPr>
              <w:widowControl/>
              <w:wordWrap w:val="0"/>
              <w:spacing w:line="320" w:lineRule="exact"/>
              <w:rPr>
                <w:rFonts w:hint="eastAsia" w:ascii="仿宋" w:hAnsi="仿宋" w:eastAsia="仿宋" w:cs="仿宋"/>
                <w:sz w:val="24"/>
                <w:szCs w:val="24"/>
              </w:rPr>
            </w:pPr>
            <w:r>
              <w:rPr>
                <w:rFonts w:hint="eastAsia" w:ascii="仿宋" w:hAnsi="仿宋" w:eastAsia="仿宋" w:cs="仿宋"/>
                <w:sz w:val="24"/>
                <w:szCs w:val="24"/>
              </w:rPr>
              <w:t>投标人提供从2022年</w:t>
            </w:r>
            <w:r>
              <w:rPr>
                <w:rFonts w:hint="eastAsia" w:ascii="仿宋" w:hAnsi="仿宋" w:eastAsia="仿宋" w:cs="仿宋"/>
                <w:sz w:val="24"/>
                <w:szCs w:val="24"/>
                <w:lang w:val="en-US" w:eastAsia="zh-CN"/>
              </w:rPr>
              <w:t>6</w:t>
            </w:r>
            <w:r>
              <w:rPr>
                <w:rFonts w:hint="eastAsia" w:ascii="仿宋" w:hAnsi="仿宋" w:eastAsia="仿宋" w:cs="仿宋"/>
                <w:sz w:val="24"/>
                <w:szCs w:val="24"/>
              </w:rPr>
              <w:t>月1日至本项目投标截止日（以合同签订日期为准）</w:t>
            </w:r>
            <w:r>
              <w:rPr>
                <w:rFonts w:hint="eastAsia" w:ascii="仿宋" w:hAnsi="仿宋" w:eastAsia="仿宋" w:cs="仿宋"/>
                <w:sz w:val="24"/>
                <w:szCs w:val="24"/>
                <w:lang w:val="en-US" w:eastAsia="zh-CN"/>
              </w:rPr>
              <w:t>所投冷库</w:t>
            </w:r>
            <w:r>
              <w:rPr>
                <w:rFonts w:hint="eastAsia" w:ascii="仿宋" w:hAnsi="仿宋" w:eastAsia="仿宋" w:cs="仿宋"/>
                <w:sz w:val="24"/>
                <w:szCs w:val="24"/>
              </w:rPr>
              <w:t>项目业绩，每提供1项得</w:t>
            </w: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分。</w:t>
            </w:r>
          </w:p>
          <w:p>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提供销售合同关键页（应包含但不限于合同签约主体名称、项目（合同）名称、服务内容、签订合同时间、签约主体公章等关键信息）。</w:t>
            </w:r>
          </w:p>
          <w:p>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32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rPr>
              <w:t>认证情况</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32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color w:val="auto"/>
                <w:kern w:val="2"/>
                <w:sz w:val="24"/>
                <w:lang w:val="en-US" w:eastAsia="zh-CN"/>
              </w:rPr>
              <w:t>3</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320" w:lineRule="exact"/>
              <w:jc w:val="both"/>
              <w:rPr>
                <w:rFonts w:ascii="仿宋" w:hAnsi="仿宋" w:eastAsia="仿宋" w:cs="仿宋"/>
              </w:rPr>
            </w:pPr>
            <w:r>
              <w:rPr>
                <w:rFonts w:hint="eastAsia" w:ascii="仿宋" w:hAnsi="仿宋" w:eastAsia="仿宋" w:cs="仿宋"/>
                <w:b/>
                <w:bCs/>
                <w:color w:val="000000"/>
              </w:rPr>
              <w:t>（一）评分内容：</w:t>
            </w:r>
          </w:p>
          <w:p>
            <w:pPr>
              <w:pStyle w:val="16"/>
              <w:spacing w:line="320" w:lineRule="exact"/>
              <w:jc w:val="both"/>
              <w:rPr>
                <w:rFonts w:ascii="仿宋" w:hAnsi="仿宋" w:eastAsia="仿宋" w:cs="仿宋"/>
                <w:color w:val="000000"/>
              </w:rPr>
            </w:pPr>
            <w:r>
              <w:rPr>
                <w:rFonts w:hint="eastAsia" w:ascii="仿宋" w:hAnsi="仿宋" w:eastAsia="仿宋" w:cs="仿宋"/>
                <w:color w:val="000000"/>
              </w:rPr>
              <w:t>投标人或</w:t>
            </w:r>
            <w:r>
              <w:rPr>
                <w:rFonts w:hint="eastAsia" w:ascii="仿宋" w:hAnsi="仿宋" w:eastAsia="仿宋" w:cs="仿宋"/>
                <w:color w:val="auto"/>
                <w:lang w:val="en-US" w:eastAsia="zh-CN"/>
              </w:rPr>
              <w:t>核心产品</w:t>
            </w:r>
            <w:r>
              <w:rPr>
                <w:rFonts w:hint="eastAsia" w:ascii="仿宋" w:hAnsi="仿宋" w:eastAsia="仿宋" w:cs="仿宋"/>
                <w:color w:val="000000"/>
              </w:rPr>
              <w:t>制造商具有以下认证证书：</w:t>
            </w:r>
          </w:p>
          <w:p>
            <w:pPr>
              <w:pStyle w:val="16"/>
              <w:spacing w:line="320" w:lineRule="exact"/>
              <w:jc w:val="both"/>
              <w:rPr>
                <w:rFonts w:ascii="仿宋" w:hAnsi="仿宋" w:eastAsia="仿宋" w:cs="仿宋"/>
                <w:color w:val="000000"/>
              </w:rPr>
            </w:pPr>
            <w:r>
              <w:rPr>
                <w:rFonts w:hint="eastAsia" w:ascii="仿宋" w:hAnsi="仿宋" w:eastAsia="仿宋" w:cs="仿宋"/>
                <w:color w:val="000000"/>
                <w:lang w:val="en-US" w:eastAsia="zh-CN"/>
              </w:rPr>
              <w:t>1.</w:t>
            </w:r>
            <w:r>
              <w:rPr>
                <w:rFonts w:hint="eastAsia" w:ascii="仿宋" w:hAnsi="仿宋" w:eastAsia="仿宋" w:cs="仿宋"/>
                <w:color w:val="000000"/>
              </w:rPr>
              <w:t>质量管理体系认证证书；</w:t>
            </w:r>
          </w:p>
          <w:p>
            <w:pPr>
              <w:pStyle w:val="16"/>
              <w:spacing w:line="320" w:lineRule="exact"/>
              <w:jc w:val="both"/>
              <w:rPr>
                <w:rFonts w:ascii="仿宋" w:hAnsi="仿宋" w:eastAsia="仿宋" w:cs="仿宋"/>
                <w:color w:val="000000"/>
              </w:rPr>
            </w:pPr>
            <w:r>
              <w:rPr>
                <w:rFonts w:hint="eastAsia" w:ascii="仿宋" w:hAnsi="仿宋" w:eastAsia="仿宋" w:cs="仿宋"/>
                <w:color w:val="000000"/>
                <w:lang w:val="en-US" w:eastAsia="zh-CN"/>
              </w:rPr>
              <w:t>2.</w:t>
            </w:r>
            <w:r>
              <w:rPr>
                <w:rFonts w:hint="eastAsia" w:ascii="仿宋" w:hAnsi="仿宋" w:eastAsia="仿宋" w:cs="仿宋"/>
                <w:color w:val="000000"/>
              </w:rPr>
              <w:t>环境管理体系认证证书；</w:t>
            </w:r>
          </w:p>
          <w:p>
            <w:pPr>
              <w:pStyle w:val="16"/>
              <w:spacing w:line="320" w:lineRule="exact"/>
              <w:jc w:val="both"/>
              <w:rPr>
                <w:rFonts w:hint="eastAsia" w:ascii="仿宋" w:hAnsi="仿宋" w:eastAsia="仿宋" w:cs="仿宋"/>
                <w:color w:val="000000"/>
              </w:rPr>
            </w:pPr>
            <w:r>
              <w:rPr>
                <w:rFonts w:hint="eastAsia" w:ascii="仿宋" w:hAnsi="仿宋" w:eastAsia="仿宋" w:cs="仿宋"/>
                <w:color w:val="000000"/>
                <w:lang w:val="en-US" w:eastAsia="zh-CN"/>
              </w:rPr>
              <w:t>3.</w:t>
            </w:r>
            <w:r>
              <w:rPr>
                <w:rFonts w:hint="eastAsia" w:ascii="仿宋" w:hAnsi="仿宋" w:eastAsia="仿宋" w:cs="仿宋"/>
                <w:color w:val="000000"/>
              </w:rPr>
              <w:t>职业健康安全管理体系认证证书；</w:t>
            </w:r>
          </w:p>
          <w:p>
            <w:pPr>
              <w:pStyle w:val="16"/>
              <w:spacing w:line="320" w:lineRule="exact"/>
              <w:jc w:val="both"/>
              <w:rPr>
                <w:rFonts w:ascii="仿宋" w:hAnsi="仿宋" w:eastAsia="仿宋" w:cs="仿宋"/>
                <w:color w:val="000000"/>
              </w:rPr>
            </w:pPr>
            <w:r>
              <w:rPr>
                <w:rFonts w:hint="eastAsia" w:ascii="仿宋" w:hAnsi="仿宋" w:eastAsia="仿宋" w:cs="仿宋"/>
                <w:color w:val="000000"/>
              </w:rPr>
              <w:t>提供以上认证证书且认证范围涵盖低温储</w:t>
            </w:r>
            <w:r>
              <w:rPr>
                <w:rFonts w:hint="eastAsia" w:ascii="仿宋" w:hAnsi="仿宋" w:eastAsia="仿宋" w:cs="仿宋"/>
                <w:color w:val="000000"/>
                <w:lang w:val="en-US" w:eastAsia="zh-CN"/>
              </w:rPr>
              <w:t>存</w:t>
            </w:r>
            <w:r>
              <w:rPr>
                <w:rFonts w:hint="eastAsia" w:ascii="仿宋" w:hAnsi="仿宋" w:eastAsia="仿宋" w:cs="仿宋"/>
                <w:color w:val="000000"/>
              </w:rPr>
              <w:t>设备</w:t>
            </w:r>
            <w:r>
              <w:rPr>
                <w:rFonts w:hint="eastAsia" w:ascii="仿宋" w:hAnsi="仿宋" w:eastAsia="仿宋" w:cs="仿宋"/>
                <w:color w:val="000000"/>
                <w:lang w:val="en-US" w:eastAsia="zh-CN"/>
              </w:rPr>
              <w:t>及自动化系统</w:t>
            </w:r>
            <w:r>
              <w:rPr>
                <w:rFonts w:hint="eastAsia" w:ascii="仿宋" w:hAnsi="仿宋" w:eastAsia="仿宋" w:cs="仿宋"/>
                <w:color w:val="000000"/>
              </w:rPr>
              <w:t>，每提供1项得</w:t>
            </w:r>
            <w:r>
              <w:rPr>
                <w:rFonts w:hint="eastAsia" w:ascii="仿宋" w:hAnsi="仿宋" w:eastAsia="仿宋" w:cs="仿宋"/>
                <w:color w:val="000000"/>
                <w:lang w:val="en-US" w:eastAsia="zh-CN"/>
              </w:rPr>
              <w:t>1</w:t>
            </w:r>
            <w:r>
              <w:rPr>
                <w:rFonts w:hint="eastAsia" w:ascii="仿宋" w:hAnsi="仿宋" w:eastAsia="仿宋" w:cs="仿宋"/>
                <w:color w:val="000000"/>
              </w:rPr>
              <w:t>分，最高得</w:t>
            </w:r>
            <w:r>
              <w:rPr>
                <w:rFonts w:hint="eastAsia" w:ascii="仿宋" w:hAnsi="仿宋" w:eastAsia="仿宋" w:cs="仿宋"/>
                <w:color w:val="000000"/>
                <w:lang w:val="en-US" w:eastAsia="zh-CN"/>
              </w:rPr>
              <w:t>3</w:t>
            </w:r>
            <w:r>
              <w:rPr>
                <w:rFonts w:hint="eastAsia" w:ascii="仿宋" w:hAnsi="仿宋" w:eastAsia="仿宋" w:cs="仿宋"/>
                <w:color w:val="000000"/>
              </w:rPr>
              <w:t>分。投标人或</w:t>
            </w:r>
            <w:r>
              <w:rPr>
                <w:rFonts w:hint="eastAsia" w:ascii="仿宋" w:hAnsi="仿宋" w:eastAsia="仿宋" w:cs="仿宋"/>
                <w:color w:val="auto"/>
                <w:lang w:val="en-US" w:eastAsia="zh-CN"/>
              </w:rPr>
              <w:t>核心产品</w:t>
            </w:r>
            <w:r>
              <w:rPr>
                <w:rFonts w:hint="eastAsia" w:ascii="仿宋" w:hAnsi="仿宋" w:eastAsia="仿宋" w:cs="仿宋"/>
                <w:color w:val="000000"/>
                <w:highlight w:val="none"/>
              </w:rPr>
              <w:t>制造商</w:t>
            </w:r>
            <w:r>
              <w:rPr>
                <w:rFonts w:hint="eastAsia" w:ascii="仿宋" w:hAnsi="仿宋" w:eastAsia="仿宋" w:cs="仿宋"/>
                <w:color w:val="000000"/>
              </w:rPr>
              <w:t>因成立不足三个月，而未取得以上认证证书的，</w:t>
            </w:r>
            <w:r>
              <w:rPr>
                <w:rFonts w:hint="eastAsia" w:ascii="仿宋" w:hAnsi="仿宋" w:eastAsia="仿宋" w:cs="仿宋"/>
                <w:color w:val="000000"/>
                <w:lang w:val="en-US" w:eastAsia="zh-CN"/>
              </w:rPr>
              <w:t>可</w:t>
            </w:r>
            <w:r>
              <w:rPr>
                <w:rFonts w:hint="eastAsia" w:ascii="仿宋" w:hAnsi="仿宋" w:eastAsia="仿宋" w:cs="仿宋"/>
                <w:color w:val="000000"/>
              </w:rPr>
              <w:t>提供</w:t>
            </w:r>
            <w:r>
              <w:rPr>
                <w:rFonts w:hint="eastAsia" w:ascii="仿宋" w:hAnsi="仿宋" w:eastAsia="仿宋" w:cs="仿宋"/>
                <w:color w:val="000000"/>
                <w:lang w:val="en-US" w:eastAsia="zh-CN"/>
              </w:rPr>
              <w:t>承诺函</w:t>
            </w:r>
            <w:r>
              <w:rPr>
                <w:rFonts w:hint="eastAsia" w:ascii="仿宋" w:hAnsi="仿宋" w:eastAsia="仿宋" w:cs="仿宋"/>
                <w:color w:val="000000"/>
              </w:rPr>
              <w:t>【格式自拟，至少包含中标（成交）后4个月内取得评审因素相关认证证书等内容】，亦视为符合。</w:t>
            </w:r>
          </w:p>
          <w:p>
            <w:pPr>
              <w:pStyle w:val="16"/>
              <w:spacing w:line="320" w:lineRule="exact"/>
              <w:jc w:val="both"/>
              <w:rPr>
                <w:rFonts w:ascii="仿宋" w:hAnsi="仿宋" w:eastAsia="仿宋" w:cs="仿宋"/>
                <w:b/>
                <w:bCs/>
                <w:color w:val="000000"/>
              </w:rPr>
            </w:pPr>
            <w:r>
              <w:rPr>
                <w:rFonts w:hint="eastAsia" w:ascii="仿宋" w:hAnsi="仿宋" w:eastAsia="仿宋" w:cs="仿宋"/>
                <w:b/>
                <w:bCs/>
                <w:color w:val="000000"/>
              </w:rPr>
              <w:t>（二）评分依据： </w:t>
            </w:r>
          </w:p>
          <w:p>
            <w:pPr>
              <w:pStyle w:val="16"/>
              <w:wordWrap w:val="0"/>
              <w:topLinePunct/>
              <w:autoSpaceDE w:val="0"/>
              <w:spacing w:line="320" w:lineRule="exact"/>
              <w:rPr>
                <w:rFonts w:ascii="仿宋" w:hAnsi="仿宋" w:eastAsia="仿宋" w:cs="仿宋"/>
                <w:color w:val="000000"/>
              </w:rPr>
            </w:pPr>
            <w:r>
              <w:rPr>
                <w:rFonts w:hint="eastAsia" w:ascii="仿宋" w:hAnsi="仿宋" w:eastAsia="仿宋" w:cs="仿宋"/>
                <w:color w:val="000000"/>
              </w:rPr>
              <w:t>1、投标人或</w:t>
            </w:r>
            <w:r>
              <w:rPr>
                <w:rFonts w:hint="eastAsia" w:ascii="仿宋" w:hAnsi="仿宋" w:eastAsia="仿宋" w:cs="仿宋"/>
                <w:color w:val="auto"/>
                <w:lang w:val="en-US" w:eastAsia="zh-CN"/>
              </w:rPr>
              <w:t>核心产品</w:t>
            </w:r>
            <w:r>
              <w:rPr>
                <w:rFonts w:hint="eastAsia" w:ascii="仿宋" w:hAnsi="仿宋" w:eastAsia="仿宋" w:cs="仿宋"/>
                <w:color w:val="000000"/>
                <w:highlight w:val="none"/>
              </w:rPr>
              <w:t>制造商</w:t>
            </w:r>
            <w:r>
              <w:rPr>
                <w:rFonts w:hint="eastAsia" w:ascii="仿宋" w:hAnsi="仿宋" w:eastAsia="仿宋" w:cs="仿宋"/>
                <w:color w:val="000000"/>
              </w:rPr>
              <w:t>同时提供有效期内的体系认证证书</w:t>
            </w:r>
            <w:r>
              <w:rPr>
                <w:rFonts w:hint="eastAsia" w:ascii="仿宋" w:hAnsi="仿宋" w:eastAsia="仿宋" w:cs="仿宋"/>
                <w:color w:val="000000"/>
                <w:lang w:val="en-US" w:eastAsia="zh-CN"/>
              </w:rPr>
              <w:t>扫描件</w:t>
            </w:r>
            <w:r>
              <w:rPr>
                <w:rFonts w:hint="eastAsia" w:ascii="仿宋" w:hAnsi="仿宋" w:eastAsia="仿宋" w:cs="仿宋"/>
                <w:color w:val="000000"/>
              </w:rPr>
              <w:t>及在全国认证认可信息公共服务平台（认 e 云）（http://cx.cnca.cn/CertECloud/index/index/page）查询有效的截图且编号一致。</w:t>
            </w:r>
          </w:p>
          <w:p>
            <w:pPr>
              <w:pStyle w:val="16"/>
              <w:spacing w:line="320" w:lineRule="exact"/>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rPr>
              <w:t>2、原件备查，未提供或未按要求提供或提供的不清晰导致专家无法判断的，不得分。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1" w:hRule="atLeast"/>
          <w:tblCellSpacing w:w="0" w:type="dxa"/>
          <w:jc w:val="center"/>
        </w:trPr>
        <w:tc>
          <w:tcPr>
            <w:tcW w:w="300"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宋体" w:hAnsi="宋体" w:eastAsia="宋体" w:cs="宋体"/>
                <w:b w:val="0"/>
                <w:bCs w:val="0"/>
                <w:kern w:val="0"/>
                <w:sz w:val="21"/>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pPr>
              <w:pStyle w:val="16"/>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rPr>
              <w:t>软件著作</w:t>
            </w:r>
            <w:r>
              <w:rPr>
                <w:rFonts w:hint="eastAsia" w:ascii="仿宋" w:hAnsi="仿宋" w:eastAsia="仿宋" w:cs="仿宋"/>
                <w:color w:val="auto"/>
              </w:rPr>
              <w:t>权</w:t>
            </w:r>
            <w:r>
              <w:rPr>
                <w:rFonts w:hint="eastAsia" w:ascii="仿宋" w:hAnsi="仿宋" w:eastAsia="仿宋" w:cs="仿宋"/>
                <w:color w:val="auto"/>
                <w:lang w:val="en-US" w:eastAsia="zh-CN"/>
              </w:rPr>
              <w:t>及专利证书</w:t>
            </w:r>
          </w:p>
        </w:tc>
        <w:tc>
          <w:tcPr>
            <w:tcW w:w="8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 w:hAnsi="仿宋" w:eastAsia="仿宋" w:cs="仿宋"/>
                <w:sz w:val="24"/>
                <w:highlight w:val="none"/>
                <w:lang w:val="en-US" w:eastAsia="zh-CN"/>
              </w:rPr>
            </w:pPr>
            <w:r>
              <w:rPr>
                <w:rFonts w:hint="eastAsia" w:ascii="宋体" w:hAnsi="宋体" w:cs="宋体"/>
                <w:b w:val="0"/>
                <w:bCs w:val="0"/>
                <w:color w:val="000000"/>
                <w:sz w:val="21"/>
                <w:szCs w:val="21"/>
                <w:highlight w:val="none"/>
                <w:lang w:val="en-US" w:eastAsia="zh-CN"/>
              </w:rPr>
              <w:t>6</w:t>
            </w:r>
          </w:p>
        </w:tc>
        <w:tc>
          <w:tcPr>
            <w:tcW w:w="5817" w:type="dxa"/>
            <w:gridSpan w:val="4"/>
            <w:tcBorders>
              <w:top w:val="single" w:color="auto" w:sz="4" w:space="0"/>
              <w:left w:val="single" w:color="auto" w:sz="4" w:space="0"/>
              <w:bottom w:val="single" w:color="auto" w:sz="4" w:space="0"/>
              <w:right w:val="single" w:color="auto" w:sz="4" w:space="0"/>
            </w:tcBorders>
            <w:vAlign w:val="center"/>
          </w:tcPr>
          <w:p>
            <w:pPr>
              <w:widowControl/>
              <w:spacing w:after="0" w:line="300" w:lineRule="exact"/>
              <w:jc w:val="lef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（一）评分内容：</w:t>
            </w:r>
          </w:p>
          <w:p>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投标人</w:t>
            </w:r>
            <w:r>
              <w:rPr>
                <w:rFonts w:hint="eastAsia" w:ascii="仿宋" w:hAnsi="仿宋" w:eastAsia="仿宋" w:cs="仿宋"/>
                <w:color w:val="000000"/>
                <w:lang w:val="en-US" w:eastAsia="zh-CN"/>
              </w:rPr>
              <w:t>或核心产品制造商具有以下证书（自有或购买或租赁）</w:t>
            </w:r>
            <w:r>
              <w:rPr>
                <w:rFonts w:hint="eastAsia" w:ascii="仿宋" w:hAnsi="仿宋" w:eastAsia="仿宋" w:cs="仿宋"/>
                <w:color w:val="000000"/>
                <w:lang w:eastAsia="zh-CN"/>
              </w:rPr>
              <w:t>：</w:t>
            </w:r>
          </w:p>
          <w:p>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1</w:t>
            </w:r>
            <w:r>
              <w:rPr>
                <w:rFonts w:hint="eastAsia" w:ascii="仿宋" w:hAnsi="仿宋" w:eastAsia="仿宋" w:cs="仿宋"/>
                <w:color w:val="000000"/>
                <w:lang w:eastAsia="zh-CN"/>
              </w:rPr>
              <w:t>、</w:t>
            </w:r>
            <w:r>
              <w:rPr>
                <w:rFonts w:hint="eastAsia" w:ascii="仿宋" w:hAnsi="仿宋" w:eastAsia="仿宋" w:cs="仿宋"/>
                <w:color w:val="000000"/>
              </w:rPr>
              <w:t>具有</w:t>
            </w:r>
            <w:r>
              <w:rPr>
                <w:rFonts w:hint="eastAsia" w:ascii="仿宋" w:hAnsi="仿宋" w:eastAsia="仿宋" w:cs="仿宋"/>
                <w:color w:val="000000"/>
                <w:lang w:val="en-US" w:eastAsia="zh-CN"/>
              </w:rPr>
              <w:t>低温全自动疫苗安全智能存储系统有关的计算机软件</w:t>
            </w:r>
            <w:r>
              <w:rPr>
                <w:rFonts w:hint="eastAsia" w:ascii="仿宋" w:hAnsi="仿宋" w:eastAsia="仿宋" w:cs="仿宋"/>
                <w:color w:val="000000"/>
              </w:rPr>
              <w:t>著作权登记证书</w:t>
            </w:r>
            <w:r>
              <w:rPr>
                <w:rFonts w:hint="eastAsia" w:ascii="仿宋" w:hAnsi="仿宋" w:eastAsia="仿宋" w:cs="仿宋"/>
                <w:color w:val="000000"/>
                <w:lang w:eastAsia="zh-CN"/>
              </w:rPr>
              <w:t>；</w:t>
            </w:r>
          </w:p>
          <w:p>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2</w:t>
            </w:r>
            <w:r>
              <w:rPr>
                <w:rFonts w:hint="eastAsia" w:ascii="仿宋" w:hAnsi="仿宋" w:eastAsia="仿宋" w:cs="仿宋"/>
                <w:color w:val="000000"/>
                <w:lang w:eastAsia="zh-CN"/>
              </w:rPr>
              <w:t>、</w:t>
            </w:r>
            <w:r>
              <w:rPr>
                <w:rFonts w:hint="eastAsia" w:ascii="仿宋" w:hAnsi="仿宋" w:eastAsia="仿宋" w:cs="仿宋"/>
                <w:color w:val="000000"/>
                <w:lang w:val="en-US" w:eastAsia="zh-CN"/>
              </w:rPr>
              <w:t>具有自动化冷库管理</w:t>
            </w:r>
            <w:r>
              <w:rPr>
                <w:rFonts w:hint="eastAsia" w:ascii="仿宋" w:hAnsi="仿宋" w:eastAsia="仿宋" w:cs="仿宋"/>
                <w:color w:val="000000"/>
              </w:rPr>
              <w:t>系统</w:t>
            </w:r>
            <w:r>
              <w:rPr>
                <w:rFonts w:hint="eastAsia" w:ascii="仿宋" w:hAnsi="仿宋" w:eastAsia="仿宋" w:cs="仿宋"/>
                <w:color w:val="000000"/>
                <w:lang w:eastAsia="zh-CN"/>
              </w:rPr>
              <w:t>有关的</w:t>
            </w:r>
            <w:r>
              <w:rPr>
                <w:rFonts w:hint="eastAsia" w:ascii="仿宋" w:hAnsi="仿宋" w:eastAsia="仿宋" w:cs="仿宋"/>
                <w:color w:val="000000"/>
              </w:rPr>
              <w:t>计算机软件著作权登记证书</w:t>
            </w:r>
            <w:r>
              <w:rPr>
                <w:rFonts w:hint="eastAsia" w:ascii="仿宋" w:hAnsi="仿宋" w:eastAsia="仿宋" w:cs="仿宋"/>
                <w:color w:val="000000"/>
                <w:lang w:eastAsia="zh-CN"/>
              </w:rPr>
              <w:t>；</w:t>
            </w:r>
          </w:p>
          <w:p>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3</w:t>
            </w:r>
            <w:r>
              <w:rPr>
                <w:rFonts w:hint="eastAsia" w:ascii="仿宋" w:hAnsi="仿宋" w:eastAsia="仿宋" w:cs="仿宋"/>
                <w:color w:val="000000"/>
                <w:lang w:eastAsia="zh-CN"/>
              </w:rPr>
              <w:t>、</w:t>
            </w:r>
            <w:r>
              <w:rPr>
                <w:rFonts w:hint="eastAsia" w:ascii="仿宋" w:hAnsi="仿宋" w:eastAsia="仿宋" w:cs="仿宋"/>
                <w:color w:val="000000"/>
                <w:lang w:val="en-US" w:eastAsia="zh-CN"/>
              </w:rPr>
              <w:t>具有用于冷库的制冷装置、冷库</w:t>
            </w:r>
            <w:r>
              <w:rPr>
                <w:rFonts w:hint="eastAsia" w:ascii="仿宋" w:hAnsi="仿宋" w:eastAsia="仿宋" w:cs="仿宋"/>
                <w:color w:val="000000"/>
              </w:rPr>
              <w:t>实用新型专利证书</w:t>
            </w:r>
            <w:r>
              <w:rPr>
                <w:rFonts w:hint="eastAsia" w:ascii="仿宋" w:hAnsi="仿宋" w:eastAsia="仿宋" w:cs="仿宋"/>
                <w:color w:val="000000"/>
                <w:lang w:eastAsia="zh-CN"/>
              </w:rPr>
              <w:t>。</w:t>
            </w:r>
          </w:p>
          <w:p>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lang w:eastAsia="zh-CN"/>
              </w:rPr>
              <w:t>每提供</w:t>
            </w:r>
            <w:r>
              <w:rPr>
                <w:rFonts w:hint="eastAsia" w:ascii="仿宋" w:hAnsi="仿宋" w:eastAsia="仿宋" w:cs="仿宋"/>
                <w:color w:val="000000"/>
                <w:lang w:val="en-US" w:eastAsia="zh-CN"/>
              </w:rPr>
              <w:t>1</w:t>
            </w:r>
            <w:r>
              <w:rPr>
                <w:rFonts w:hint="eastAsia" w:ascii="仿宋" w:hAnsi="仿宋" w:eastAsia="仿宋" w:cs="仿宋"/>
                <w:color w:val="000000"/>
                <w:lang w:eastAsia="zh-CN"/>
              </w:rPr>
              <w:t>个</w:t>
            </w:r>
            <w:r>
              <w:rPr>
                <w:rFonts w:hint="eastAsia" w:ascii="仿宋" w:hAnsi="仿宋" w:eastAsia="仿宋" w:cs="仿宋"/>
                <w:color w:val="000000"/>
                <w:lang w:val="en-US" w:eastAsia="zh-CN"/>
              </w:rPr>
              <w:t>以上证书</w:t>
            </w:r>
            <w:r>
              <w:rPr>
                <w:rFonts w:hint="eastAsia" w:ascii="仿宋" w:hAnsi="仿宋" w:eastAsia="仿宋" w:cs="仿宋"/>
                <w:color w:val="000000"/>
                <w:lang w:eastAsia="zh-CN"/>
              </w:rPr>
              <w:t>得</w:t>
            </w:r>
            <w:r>
              <w:rPr>
                <w:rFonts w:hint="eastAsia" w:ascii="仿宋" w:hAnsi="仿宋" w:eastAsia="仿宋" w:cs="仿宋"/>
                <w:color w:val="000000"/>
                <w:lang w:val="en-US" w:eastAsia="zh-CN"/>
              </w:rPr>
              <w:t>2</w:t>
            </w:r>
            <w:r>
              <w:rPr>
                <w:rFonts w:hint="eastAsia" w:ascii="仿宋" w:hAnsi="仿宋" w:eastAsia="仿宋" w:cs="仿宋"/>
                <w:color w:val="000000"/>
                <w:lang w:eastAsia="zh-CN"/>
              </w:rPr>
              <w:t>分，最高</w:t>
            </w:r>
            <w:r>
              <w:rPr>
                <w:rFonts w:hint="eastAsia" w:ascii="仿宋" w:hAnsi="仿宋" w:eastAsia="仿宋" w:cs="仿宋"/>
                <w:color w:val="000000"/>
                <w:lang w:val="en-US" w:eastAsia="zh-CN"/>
              </w:rPr>
              <w:t>得6</w:t>
            </w:r>
            <w:r>
              <w:rPr>
                <w:rFonts w:hint="eastAsia" w:ascii="仿宋" w:hAnsi="仿宋" w:eastAsia="仿宋" w:cs="仿宋"/>
                <w:color w:val="000000"/>
                <w:lang w:eastAsia="zh-CN"/>
              </w:rPr>
              <w:t>分。</w:t>
            </w:r>
          </w:p>
          <w:p>
            <w:pPr>
              <w:widowControl/>
              <w:spacing w:after="0" w:line="300" w:lineRule="exact"/>
              <w:jc w:val="lef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（二）评分依据：</w:t>
            </w:r>
          </w:p>
          <w:p>
            <w:pPr>
              <w:pStyle w:val="16"/>
              <w:spacing w:line="320" w:lineRule="exact"/>
              <w:jc w:val="both"/>
              <w:rPr>
                <w:rFonts w:hint="eastAsia" w:ascii="仿宋" w:hAnsi="仿宋" w:eastAsia="仿宋" w:cs="仿宋"/>
                <w:color w:val="000000"/>
                <w:lang w:val="en-US" w:eastAsia="zh-CN"/>
              </w:rPr>
            </w:pPr>
            <w:r>
              <w:rPr>
                <w:rFonts w:hint="eastAsia" w:ascii="宋体" w:hAnsi="宋体" w:eastAsia="宋体" w:cs="宋体"/>
                <w:color w:val="auto"/>
                <w:sz w:val="21"/>
                <w:szCs w:val="21"/>
                <w:highlight w:val="none"/>
              </w:rPr>
              <w:t>1、</w:t>
            </w:r>
            <w:r>
              <w:rPr>
                <w:rFonts w:hint="eastAsia" w:ascii="仿宋" w:hAnsi="仿宋" w:eastAsia="仿宋" w:cs="仿宋"/>
                <w:color w:val="000000"/>
                <w:lang w:val="en-US" w:eastAsia="zh-CN"/>
              </w:rPr>
              <w:t>第1-2项投标人或核心产品制造商自有的，提供计算机软件著作权登记证书（著作权人为投标人或核心产品制造商）及其在中国版权中心（http://www.ccopyright.com.cn）的查询截图；投标人租赁（或购买）的，在提供证书扫描件及查询截图的基础上，还需提供租赁（或购买）合同关键页（合同内容包含但不限于：签订合同双方的单位名称、签订合同双方的落款盖章、签订日期及计算机软件著作权登记证书名称等）和租赁（或购买）转账凭证；</w:t>
            </w:r>
          </w:p>
          <w:p>
            <w:pPr>
              <w:pStyle w:val="16"/>
              <w:spacing w:line="320" w:lineRule="exact"/>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2、第3项投标人或核心产品制造商自有的，提供发明专利证书（著作权人为投标人或核心产品制造商）及其在国家知识产权局（https://www.cnipa.gov.cn/）的查询截图；投标人租赁（或购买）的，在提供证书扫描件及查询截图的基础上，还需提供租赁（或购买）合同关键页（合同内容包含但不限于：签订合同双方的单位名称、签订合同双方的落款盖章、签订日期及发明专利证书名称等）和租赁（或购买）转账凭证；</w:t>
            </w:r>
          </w:p>
          <w:p>
            <w:pPr>
              <w:pStyle w:val="16"/>
              <w:spacing w:line="320" w:lineRule="exact"/>
              <w:jc w:val="both"/>
              <w:rPr>
                <w:rFonts w:hint="eastAsia" w:ascii="仿宋" w:hAnsi="仿宋" w:eastAsia="仿宋" w:cs="仿宋"/>
                <w:color w:val="000000"/>
              </w:rPr>
            </w:pPr>
            <w:r>
              <w:rPr>
                <w:rFonts w:hint="eastAsia" w:ascii="仿宋" w:hAnsi="仿宋" w:eastAsia="仿宋" w:cs="仿宋"/>
                <w:color w:val="000000"/>
                <w:lang w:val="en-US" w:eastAsia="zh-CN"/>
              </w:rPr>
              <w:t>3、以上证明文件原件备查。未按要求提供或提供不清晰导致专家无法判断的不得分。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1" w:hRule="atLeast"/>
          <w:tblCellSpacing w:w="0" w:type="dxa"/>
          <w:jc w:val="center"/>
        </w:trPr>
        <w:tc>
          <w:tcPr>
            <w:tcW w:w="300"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免费保修期年限</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320" w:lineRule="exact"/>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lang w:val="en-US" w:eastAsia="zh-CN"/>
              </w:rPr>
              <w:t>2</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（一）评分内容：</w:t>
            </w:r>
          </w:p>
          <w:p>
            <w:pPr>
              <w:pStyle w:val="16"/>
              <w:wordWrap w:val="0"/>
              <w:topLinePunct/>
              <w:autoSpaceDE w:val="0"/>
              <w:spacing w:line="320" w:lineRule="exact"/>
              <w:rPr>
                <w:rFonts w:hint="eastAsia" w:ascii="仿宋" w:hAnsi="仿宋" w:eastAsia="仿宋" w:cs="仿宋"/>
                <w:color w:val="000000"/>
                <w:lang w:eastAsia="zh-CN"/>
              </w:rPr>
            </w:pPr>
            <w:r>
              <w:rPr>
                <w:rFonts w:hint="eastAsia" w:ascii="仿宋" w:hAnsi="仿宋" w:eastAsia="仿宋" w:cs="仿宋"/>
                <w:color w:val="000000"/>
              </w:rPr>
              <w:t>按投标人提供的</w:t>
            </w:r>
            <w:r>
              <w:rPr>
                <w:rFonts w:hint="eastAsia" w:ascii="仿宋" w:hAnsi="仿宋" w:eastAsia="仿宋" w:cs="仿宋"/>
                <w:color w:val="000000"/>
                <w:lang w:val="en-US" w:eastAsia="zh-CN"/>
              </w:rPr>
              <w:t>免费保修期年限进行</w:t>
            </w:r>
            <w:r>
              <w:rPr>
                <w:rFonts w:hint="eastAsia" w:ascii="仿宋" w:hAnsi="仿宋" w:eastAsia="仿宋" w:cs="仿宋"/>
                <w:color w:val="000000"/>
              </w:rPr>
              <w:t>评</w:t>
            </w:r>
            <w:r>
              <w:rPr>
                <w:rFonts w:hint="eastAsia" w:ascii="仿宋" w:hAnsi="仿宋" w:eastAsia="仿宋" w:cs="仿宋"/>
                <w:color w:val="000000"/>
                <w:lang w:val="en-US" w:eastAsia="zh-CN"/>
              </w:rPr>
              <w:t>审</w:t>
            </w:r>
            <w:r>
              <w:rPr>
                <w:rFonts w:hint="eastAsia" w:ascii="仿宋" w:hAnsi="仿宋" w:eastAsia="仿宋" w:cs="仿宋"/>
                <w:color w:val="000000"/>
                <w:lang w:eastAsia="zh-CN"/>
              </w:rPr>
              <w:t>：</w:t>
            </w:r>
          </w:p>
          <w:p>
            <w:pPr>
              <w:pStyle w:val="16"/>
              <w:wordWrap w:val="0"/>
              <w:topLinePunct/>
              <w:autoSpaceDE w:val="0"/>
              <w:spacing w:line="320" w:lineRule="exact"/>
              <w:rPr>
                <w:rFonts w:hint="eastAsia" w:ascii="仿宋" w:hAnsi="仿宋" w:eastAsia="仿宋" w:cs="仿宋"/>
                <w:color w:val="000000"/>
              </w:rPr>
            </w:pPr>
            <w:r>
              <w:rPr>
                <w:rFonts w:hint="eastAsia" w:ascii="仿宋" w:hAnsi="仿宋" w:eastAsia="仿宋" w:cs="仿宋"/>
                <w:color w:val="000000"/>
                <w:lang w:eastAsia="zh-CN"/>
              </w:rPr>
              <w:t>在至少2年的免费保修期的基础上，</w:t>
            </w:r>
            <w:r>
              <w:rPr>
                <w:rFonts w:hint="eastAsia" w:ascii="仿宋" w:hAnsi="仿宋" w:eastAsia="仿宋" w:cs="仿宋"/>
                <w:color w:val="000000"/>
                <w:lang w:val="en-US" w:eastAsia="zh-CN"/>
              </w:rPr>
              <w:t>免费保修期年限</w:t>
            </w:r>
            <w:r>
              <w:rPr>
                <w:rFonts w:hint="eastAsia" w:ascii="仿宋" w:hAnsi="仿宋" w:eastAsia="仿宋" w:cs="仿宋"/>
                <w:color w:val="000000"/>
              </w:rPr>
              <w:t>每增加</w:t>
            </w:r>
            <w:r>
              <w:rPr>
                <w:rFonts w:hint="eastAsia" w:ascii="仿宋" w:hAnsi="仿宋" w:eastAsia="仿宋" w:cs="仿宋"/>
                <w:color w:val="000000"/>
                <w:lang w:val="en-US" w:eastAsia="zh-CN"/>
              </w:rPr>
              <w:t>1</w:t>
            </w:r>
            <w:r>
              <w:rPr>
                <w:rFonts w:hint="eastAsia" w:ascii="仿宋" w:hAnsi="仿宋" w:eastAsia="仿宋" w:cs="仿宋"/>
                <w:color w:val="000000"/>
              </w:rPr>
              <w:t>年得</w:t>
            </w:r>
            <w:r>
              <w:rPr>
                <w:rFonts w:hint="eastAsia" w:ascii="仿宋" w:hAnsi="仿宋" w:eastAsia="仿宋" w:cs="仿宋"/>
                <w:color w:val="000000"/>
                <w:lang w:val="en-US" w:eastAsia="zh-CN"/>
              </w:rPr>
              <w:t>1</w:t>
            </w:r>
            <w:r>
              <w:rPr>
                <w:rFonts w:hint="eastAsia" w:ascii="仿宋" w:hAnsi="仿宋" w:eastAsia="仿宋" w:cs="仿宋"/>
                <w:color w:val="000000"/>
              </w:rPr>
              <w:t>分，最高得</w:t>
            </w:r>
            <w:r>
              <w:rPr>
                <w:rFonts w:hint="eastAsia" w:ascii="仿宋" w:hAnsi="仿宋" w:eastAsia="仿宋" w:cs="仿宋"/>
                <w:color w:val="000000"/>
                <w:lang w:val="en-US" w:eastAsia="zh-CN"/>
              </w:rPr>
              <w:t>2</w:t>
            </w:r>
            <w:r>
              <w:rPr>
                <w:rFonts w:hint="eastAsia" w:ascii="仿宋" w:hAnsi="仿宋" w:eastAsia="仿宋" w:cs="仿宋"/>
                <w:color w:val="000000"/>
              </w:rPr>
              <w:t>分。</w:t>
            </w:r>
          </w:p>
          <w:p>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（二）评分依据：</w:t>
            </w:r>
          </w:p>
          <w:p>
            <w:pPr>
              <w:widowControl/>
              <w:wordWrap w:val="0"/>
              <w:spacing w:line="32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提供承诺函（格式自拟，加盖投标人公章）。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5</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pPr>
              <w:pStyle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pPr>
              <w:pStyle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rPr>
        <w:t>注：以上评分项目如需提供资料/材料的，未提供证明材料或提供的不符合或专家无法凭所提供材料判断是否得分的情况，一律作不得分处理。</w:t>
      </w:r>
    </w:p>
    <w:p>
      <w:pPr>
        <w:rPr>
          <w:rFonts w:hint="eastAsia" w:ascii="仿宋" w:hAnsi="仿宋" w:eastAsia="仿宋" w:cs="仿宋"/>
          <w:color w:val="auto"/>
          <w:sz w:val="28"/>
          <w:szCs w:val="28"/>
          <w:highlight w:val="none"/>
        </w:rPr>
      </w:pPr>
    </w:p>
    <w:p>
      <w:pPr>
        <w:pStyle w:val="3"/>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pPr>
        <w:spacing w:line="300" w:lineRule="auto"/>
        <w:jc w:val="center"/>
        <w:rPr>
          <w:rFonts w:hint="eastAsia" w:ascii="仿宋" w:hAnsi="仿宋" w:eastAsia="仿宋" w:cs="仿宋"/>
          <w:b/>
          <w:sz w:val="24"/>
          <w:szCs w:val="24"/>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pPr>
        <w:pStyle w:val="3"/>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5"/>
        <w:gridCol w:w="31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LGZXYYZBB20250723-1</w:t>
            </w:r>
          </w:p>
        </w:tc>
        <w:tc>
          <w:tcPr>
            <w:tcW w:w="1848" w:type="pct"/>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深圳市龙岗中心医院南联社康中心后补式冷库采购</w:t>
            </w:r>
          </w:p>
        </w:tc>
        <w:tc>
          <w:tcPr>
            <w:tcW w:w="1378" w:type="pct"/>
            <w:vAlign w:val="center"/>
          </w:tcPr>
          <w:p>
            <w:pPr>
              <w:jc w:val="center"/>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173361.44</w:t>
            </w:r>
          </w:p>
        </w:tc>
      </w:tr>
    </w:tbl>
    <w:p>
      <w:pPr>
        <w:rPr>
          <w:rFonts w:hint="eastAsia" w:ascii="仿宋" w:hAnsi="仿宋" w:eastAsia="仿宋" w:cs="仿宋"/>
          <w:sz w:val="24"/>
          <w:highlight w:val="none"/>
        </w:rPr>
      </w:pPr>
    </w:p>
    <w:p>
      <w:pPr>
        <w:pStyle w:val="3"/>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14"/>
        <w:gridCol w:w="2212"/>
        <w:gridCol w:w="1070"/>
        <w:gridCol w:w="767"/>
        <w:gridCol w:w="11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63" w:type="pct"/>
            <w:tcBorders>
              <w:bottom w:val="single" w:color="auto" w:sz="4" w:space="0"/>
            </w:tcBorders>
            <w:vAlign w:val="center"/>
          </w:tcPr>
          <w:p>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779" w:type="pct"/>
            <w:tcBorders>
              <w:bottom w:val="single" w:color="auto" w:sz="4" w:space="0"/>
            </w:tcBorders>
            <w:vAlign w:val="center"/>
          </w:tcPr>
          <w:p>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1312" w:type="pct"/>
            <w:tcBorders>
              <w:bottom w:val="single" w:color="auto" w:sz="4" w:space="0"/>
            </w:tcBorders>
            <w:vAlign w:val="center"/>
          </w:tcPr>
          <w:p>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635" w:type="pct"/>
            <w:tcBorders>
              <w:bottom w:val="single" w:color="auto" w:sz="4" w:space="0"/>
            </w:tcBorders>
            <w:vAlign w:val="center"/>
          </w:tcPr>
          <w:p>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455" w:type="pct"/>
            <w:tcBorders>
              <w:bottom w:val="single" w:color="auto" w:sz="4" w:space="0"/>
            </w:tcBorders>
            <w:vAlign w:val="center"/>
          </w:tcPr>
          <w:p>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678" w:type="pct"/>
            <w:tcBorders>
              <w:bottom w:val="single" w:color="auto" w:sz="4" w:space="0"/>
            </w:tcBorders>
            <w:vAlign w:val="center"/>
          </w:tcPr>
          <w:p>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拒绝/接受进口</w:t>
            </w:r>
          </w:p>
        </w:tc>
        <w:tc>
          <w:tcPr>
            <w:tcW w:w="675" w:type="pct"/>
            <w:tcBorders>
              <w:bottom w:val="single" w:color="auto" w:sz="4" w:space="0"/>
            </w:tcBorders>
            <w:vAlign w:val="center"/>
          </w:tcPr>
          <w:p>
            <w:pPr>
              <w:widowControl w:val="0"/>
              <w:jc w:val="center"/>
              <w:rPr>
                <w:rFonts w:hint="eastAsia" w:ascii="仿宋" w:hAnsi="仿宋" w:eastAsia="仿宋" w:cs="仿宋"/>
                <w:b w:val="0"/>
                <w:bCs w:val="0"/>
                <w:color w:val="auto"/>
                <w:kern w:val="2"/>
                <w:sz w:val="24"/>
                <w:szCs w:val="24"/>
                <w:highlight w:val="none"/>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63" w:type="pct"/>
            <w:vMerge w:val="restart"/>
            <w:tcBorders>
              <w:top w:val="single" w:color="auto" w:sz="4" w:space="0"/>
              <w:left w:val="single" w:color="auto" w:sz="4" w:space="0"/>
              <w:right w:val="single" w:color="auto" w:sz="4" w:space="0"/>
            </w:tcBorders>
            <w:vAlign w:val="center"/>
          </w:tcPr>
          <w:p>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779" w:type="pct"/>
            <w:vMerge w:val="restart"/>
            <w:tcBorders>
              <w:left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LGZXYYZBB20250723-1</w:t>
            </w:r>
          </w:p>
        </w:tc>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后补式冷库（含库体、制冷主机系统、电气系统）</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c>
          <w:tcPr>
            <w:tcW w:w="6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拒绝进口</w:t>
            </w:r>
          </w:p>
        </w:tc>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63" w:type="pct"/>
            <w:vMerge w:val="continue"/>
            <w:tcBorders>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bCs/>
                <w:color w:val="auto"/>
                <w:kern w:val="2"/>
                <w:sz w:val="24"/>
                <w:szCs w:val="24"/>
                <w:highlight w:val="none"/>
                <w:lang w:val="en-US" w:eastAsia="zh-CN"/>
              </w:rPr>
            </w:pPr>
          </w:p>
        </w:tc>
        <w:tc>
          <w:tcPr>
            <w:tcW w:w="779" w:type="pct"/>
            <w:vMerge w:val="continue"/>
            <w:tcBorders>
              <w:left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lang w:val="en-US" w:eastAsia="zh-CN"/>
              </w:rPr>
            </w:pPr>
          </w:p>
        </w:tc>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发电机</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台</w:t>
            </w:r>
          </w:p>
        </w:tc>
        <w:tc>
          <w:tcPr>
            <w:tcW w:w="6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拒绝进口</w:t>
            </w:r>
          </w:p>
        </w:tc>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sz w:val="24"/>
                <w:szCs w:val="24"/>
                <w:highlight w:val="none"/>
              </w:rPr>
            </w:pPr>
          </w:p>
        </w:tc>
      </w:tr>
    </w:tbl>
    <w:p>
      <w:pPr>
        <w:pStyle w:val="3"/>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备注：1.注明“拒绝进口”的产品不接受投标人选用进口产品参与投标；注明“接受进口”的产品允许投标人选用进口产品参与投标，但不排斥国内产品。 </w:t>
      </w:r>
    </w:p>
    <w:p>
      <w:pPr>
        <w:pStyle w:val="3"/>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pStyle w:val="3"/>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后补式冷库（含库体、制冷主机系统、电气系统）  。</w:t>
      </w:r>
    </w:p>
    <w:p>
      <w:pPr>
        <w:pStyle w:val="3"/>
        <w:spacing w:before="120" w:beforeLines="50" w:after="120" w:afterLines="50"/>
        <w:jc w:val="both"/>
        <w:rPr>
          <w:rFonts w:hint="eastAsia" w:ascii="仿宋" w:hAnsi="仿宋" w:eastAsia="仿宋" w:cs="仿宋"/>
          <w:szCs w:val="24"/>
          <w:highlight w:val="none"/>
        </w:rPr>
      </w:pPr>
    </w:p>
    <w:p>
      <w:pPr>
        <w:pStyle w:val="3"/>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vAlign w:val="top"/>
          </w:tcPr>
          <w:p>
            <w:pPr>
              <w:numPr>
                <w:ilvl w:val="0"/>
                <w:numId w:val="0"/>
              </w:numPr>
              <w:spacing w:line="276" w:lineRule="auto"/>
              <w:ind w:left="425" w:leftChars="0" w:hanging="425" w:firstLineChars="0"/>
              <w:jc w:val="left"/>
              <w:rPr>
                <w:rFonts w:hint="eastAsia" w:ascii="宋体" w:hAnsi="宋体" w:eastAsia="宋体" w:cs="宋体"/>
                <w:color w:val="auto"/>
                <w:kern w:val="0"/>
                <w:sz w:val="24"/>
                <w:szCs w:val="24"/>
                <w:highlight w:val="none"/>
              </w:rPr>
            </w:pPr>
            <w:r>
              <w:rPr>
                <w:rFonts w:hint="eastAsia" w:eastAsia="宋体" w:cs="Times New Roman"/>
                <w:b/>
                <w:bCs/>
                <w:sz w:val="21"/>
                <w:szCs w:val="21"/>
                <w:lang w:val="en-US" w:eastAsia="zh-CN"/>
              </w:rPr>
              <w:t>★（五）配齐满足以上性能且正常使用所需要的所有配置及配件。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70" w:type="pct"/>
            <w:vAlign w:val="top"/>
          </w:tcPr>
          <w:p>
            <w:pPr>
              <w:rPr>
                <w:rFonts w:hint="eastAsia" w:ascii="宋体" w:hAnsi="宋体" w:eastAsia="宋体" w:cs="宋体"/>
                <w:color w:val="auto"/>
                <w:sz w:val="24"/>
                <w:szCs w:val="24"/>
                <w:highlight w:val="none"/>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70" w:type="pct"/>
            <w:vAlign w:val="top"/>
          </w:tcPr>
          <w:p>
            <w:pPr>
              <w:rPr>
                <w:rFonts w:hint="eastAsia" w:ascii="宋体" w:hAnsi="宋体" w:eastAsia="宋体" w:cs="宋体"/>
                <w:color w:val="auto"/>
                <w:sz w:val="24"/>
                <w:szCs w:val="24"/>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70" w:type="pct"/>
            <w:vAlign w:val="top"/>
          </w:tcPr>
          <w:p>
            <w:pPr>
              <w:rPr>
                <w:rFonts w:hint="eastAsia" w:ascii="宋体" w:hAnsi="宋体" w:eastAsia="宋体" w:cs="Calibri"/>
                <w:kern w:val="2"/>
                <w:sz w:val="21"/>
                <w:szCs w:val="21"/>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r>
    </w:tbl>
    <w:p>
      <w:pPr>
        <w:pStyle w:val="5"/>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pPr>
        <w:rPr>
          <w:rFonts w:hint="eastAsia" w:ascii="仿宋" w:hAnsi="仿宋" w:eastAsia="仿宋" w:cs="仿宋"/>
          <w:b/>
          <w:bCs/>
          <w:sz w:val="24"/>
          <w:highlight w:val="none"/>
        </w:rPr>
      </w:pPr>
    </w:p>
    <w:p>
      <w:pPr>
        <w:ind w:left="2800"/>
        <w:jc w:val="left"/>
        <w:outlineLvl w:val="0"/>
        <w:rPr>
          <w:rFonts w:hint="eastAsia" w:ascii="仿宋" w:hAnsi="仿宋" w:eastAsia="仿宋" w:cs="仿宋"/>
          <w:b/>
          <w:bCs w:val="0"/>
          <w:kern w:val="0"/>
          <w:sz w:val="24"/>
          <w:szCs w:val="24"/>
          <w:highlight w:val="none"/>
          <w:lang w:val="en-US" w:eastAsia="zh-CN" w:bidi="ar-SA"/>
        </w:rPr>
      </w:pPr>
    </w:p>
    <w:p>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p>
      <w:pPr>
        <w:pStyle w:val="26"/>
        <w:rPr>
          <w:rFonts w:hint="eastAsia" w:cs="Times New Roman"/>
          <w:b/>
          <w:bCs/>
          <w:color w:val="auto"/>
          <w:sz w:val="21"/>
          <w:szCs w:val="21"/>
          <w:lang w:val="en-US" w:eastAsia="zh-CN"/>
        </w:rPr>
      </w:pPr>
      <w:r>
        <w:rPr>
          <w:rFonts w:hint="eastAsia" w:cs="Times New Roman"/>
          <w:b/>
          <w:bCs/>
          <w:sz w:val="21"/>
          <w:szCs w:val="21"/>
          <w:lang w:val="en-US" w:eastAsia="zh-CN"/>
        </w:rPr>
        <w:t>（一）</w:t>
      </w:r>
      <w:r>
        <w:rPr>
          <w:rFonts w:hint="eastAsia" w:ascii="宋体" w:hAnsi="宋体" w:eastAsia="宋体" w:cs="宋体"/>
          <w:b/>
          <w:bCs/>
          <w:i w:val="0"/>
          <w:iCs w:val="0"/>
          <w:color w:val="000000"/>
          <w:kern w:val="0"/>
          <w:sz w:val="20"/>
          <w:szCs w:val="20"/>
          <w:u w:val="none"/>
          <w:lang w:val="en-US" w:eastAsia="zh-CN" w:bidi="ar"/>
        </w:rPr>
        <w:t>配</w:t>
      </w:r>
      <w:r>
        <w:rPr>
          <w:rFonts w:hint="eastAsia" w:ascii="宋体" w:hAnsi="宋体" w:eastAsia="宋体" w:cs="宋体"/>
          <w:b/>
          <w:bCs/>
          <w:i w:val="0"/>
          <w:iCs w:val="0"/>
          <w:color w:val="auto"/>
          <w:kern w:val="0"/>
          <w:sz w:val="20"/>
          <w:szCs w:val="20"/>
          <w:u w:val="none"/>
          <w:lang w:val="en-US" w:eastAsia="zh-CN" w:bidi="ar"/>
        </w:rPr>
        <w:t>置</w:t>
      </w:r>
      <w:r>
        <w:rPr>
          <w:rFonts w:hint="eastAsia" w:ascii="宋体" w:hAnsi="宋体" w:cs="宋体"/>
          <w:b/>
          <w:bCs/>
          <w:i w:val="0"/>
          <w:iCs w:val="0"/>
          <w:color w:val="auto"/>
          <w:kern w:val="0"/>
          <w:sz w:val="20"/>
          <w:szCs w:val="20"/>
          <w:u w:val="none"/>
          <w:lang w:val="en-US" w:eastAsia="zh-CN" w:bidi="ar"/>
        </w:rPr>
        <w:t>明细</w:t>
      </w:r>
    </w:p>
    <w:tbl>
      <w:tblPr>
        <w:tblStyle w:val="19"/>
        <w:tblW w:w="88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712"/>
        <w:gridCol w:w="684"/>
        <w:gridCol w:w="684"/>
        <w:gridCol w:w="5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auto"/>
                <w:kern w:val="0"/>
                <w:sz w:val="20"/>
                <w:szCs w:val="20"/>
                <w:u w:val="none"/>
                <w:lang w:val="en-US" w:eastAsia="zh-CN" w:bidi="ar"/>
              </w:rPr>
              <w:t>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一、后补式冷库（含库体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制冷主机系统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电气系统</w:t>
            </w:r>
            <w:r>
              <w:rPr>
                <w:rFonts w:hint="eastAsia" w:ascii="仿宋" w:hAnsi="仿宋" w:eastAsia="仿宋" w:cs="仿宋"/>
                <w:b w:val="0"/>
                <w:bCs w:val="0"/>
                <w:color w:val="auto"/>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1、库体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组合冷库用隔热夹芯板</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B2</w:t>
            </w:r>
            <w:r>
              <w:rPr>
                <w:rFonts w:hint="eastAsia" w:ascii="宋体" w:hAnsi="宋体" w:cs="宋体"/>
                <w:i w:val="0"/>
                <w:iCs w:val="0"/>
                <w:color w:val="000000"/>
                <w:kern w:val="0"/>
                <w:sz w:val="18"/>
                <w:szCs w:val="18"/>
                <w:u w:val="none"/>
                <w:lang w:val="en-US" w:eastAsia="zh-CN" w:bidi="ar"/>
              </w:rPr>
              <w:t>级</w:t>
            </w:r>
            <w:r>
              <w:rPr>
                <w:rFonts w:hint="eastAsia" w:ascii="宋体" w:hAnsi="宋体" w:eastAsia="宋体" w:cs="宋体"/>
                <w:i w:val="0"/>
                <w:iCs w:val="0"/>
                <w:color w:val="000000"/>
                <w:sz w:val="20"/>
                <w:szCs w:val="20"/>
                <w:u w:val="none"/>
                <w:lang w:val="en-US" w:eastAsia="zh-CN"/>
              </w:rPr>
              <w:t>组合冷库用隔热夹芯板</w:t>
            </w:r>
            <w:r>
              <w:rPr>
                <w:rFonts w:hint="eastAsia" w:ascii="宋体" w:hAnsi="宋体" w:eastAsia="宋体" w:cs="宋体"/>
                <w:i w:val="0"/>
                <w:iCs w:val="0"/>
                <w:color w:val="000000"/>
                <w:kern w:val="0"/>
                <w:sz w:val="18"/>
                <w:szCs w:val="18"/>
                <w:u w:val="none"/>
                <w:lang w:val="en-US" w:eastAsia="zh-CN" w:bidi="ar"/>
              </w:rPr>
              <w:t>;100mm双面彩钢钢聚氨酯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冷库手拉门（单开）</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700*1800*100mm, 双面彩钢板，带锁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中空玻璃门</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600*1610（含装饰边框，真空玻璃带加热丝防凝露，）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隔板货架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固定孔，层高可调（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7层隔板）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电磁密码锁</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密码和刷卡两种方式开门，配卡</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5张；电磁锁</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4套，密码键盘</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地面防滑不锈钢板</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2.0mm厚；玻璃胶粘贴，定制铝合金压条收口等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2、制冷主机系统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室外机组</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压缩机和冷凝器整装出厂，与库内蒸发器分体式连接,采用风冷箱式压缩机组，整机一体出厂，具备以下功能:广泛的使用工况，蒸发温度范围要求从-20℃-5℃。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吊顶式高效冷风机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高效静音风机:吊顶式前出风后回风的冷风机型蒸发器；随机标配加热丝橡胶冷凝水外排装置，可整体取出维修；风机风量</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1835m³/H;名义冷量≥5300W；220V；50HZ;化霜功率≥2740W；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磷脱氧铜管及保温</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Φ10mm；B1级保温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磷脱氧铜管及保温</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Φ16mm；B1级保温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磷脱氧铜管管件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Φ10/Φ16mm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PVC冷凝水管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⑦</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R404A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⑧</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外机不锈钢架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不低于304不锈钢材质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3、电气系统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冷库温度电控箱</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温度电控箱：PLC双系统控制，数显温度、手、自动切换，压缩机保护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冷库用防水防潮库灯</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30W；带开关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温度传感器线</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带屏蔽；国标电线4*1.0mm²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国标电线2*1.5mm²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国标电线3*2.5mm²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压缩机配电线缆/化霜配电线缆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国标电线3*4.0mm²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⑦</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主电源电缆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⑧</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货架照明系统带开关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LED灯管货架两侧安排；每套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60W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⑨</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PVC线槽线管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⑩</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低温冰箱智慧冰箱电源</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每套：3+2插座；3*2.5mm²电源线</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t>、发电机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柴油发电机</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最大功率：</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8KW；额定功率</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7.3KW；220/380；50HZ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ATS双电源系统</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市电与发电机联锁；断电自动启动，来电自动停机。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10L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发电机信号线电缆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带屏蔽；8*1.0mm²</w:t>
            </w:r>
          </w:p>
        </w:tc>
      </w:tr>
    </w:tbl>
    <w:p>
      <w:pPr>
        <w:pStyle w:val="26"/>
        <w:rPr>
          <w:rFonts w:hint="eastAsia" w:ascii="仿宋" w:hAnsi="仿宋" w:eastAsia="仿宋" w:cs="仿宋"/>
          <w:color w:val="000000"/>
          <w:kern w:val="0"/>
          <w:sz w:val="24"/>
          <w:szCs w:val="24"/>
          <w:highlight w:val="none"/>
          <w:lang w:val="en-US" w:eastAsia="zh-CN"/>
        </w:rPr>
      </w:pPr>
      <w:r>
        <w:rPr>
          <w:rFonts w:hint="eastAsia" w:cs="Times New Roman"/>
          <w:b/>
          <w:bCs/>
          <w:sz w:val="21"/>
          <w:szCs w:val="21"/>
          <w:lang w:eastAsia="zh-CN"/>
        </w:rPr>
        <w:t>（</w:t>
      </w:r>
      <w:r>
        <w:rPr>
          <w:rFonts w:hint="eastAsia" w:cs="Times New Roman"/>
          <w:b/>
          <w:bCs/>
          <w:sz w:val="21"/>
          <w:szCs w:val="21"/>
          <w:lang w:val="en-US" w:eastAsia="zh-CN"/>
        </w:rPr>
        <w:t>二</w:t>
      </w:r>
      <w:r>
        <w:rPr>
          <w:rFonts w:hint="eastAsia" w:cs="Times New Roman"/>
          <w:b/>
          <w:bCs/>
          <w:sz w:val="21"/>
          <w:szCs w:val="21"/>
          <w:lang w:eastAsia="zh-CN"/>
        </w:rPr>
        <w:t>）</w:t>
      </w:r>
      <w:r>
        <w:rPr>
          <w:rFonts w:hint="eastAsia" w:eastAsia="宋体" w:cs="Times New Roman"/>
          <w:b/>
          <w:bCs/>
          <w:sz w:val="21"/>
          <w:szCs w:val="21"/>
          <w:lang w:eastAsia="zh-CN"/>
        </w:rPr>
        <w:t>后补式冷库技术参数</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42"/>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2" w:type="pct"/>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7" w:type="pct"/>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2" w:type="pct"/>
            <w:vMerge w:val="restart"/>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pPr>
              <w:rPr>
                <w:rFonts w:hint="eastAsia" w:ascii="宋体" w:hAnsi="宋体" w:eastAsia="宋体" w:cs="宋体"/>
                <w:sz w:val="21"/>
                <w:szCs w:val="21"/>
              </w:rPr>
            </w:pPr>
            <w:r>
              <w:rPr>
                <w:rFonts w:hint="eastAsia" w:ascii="宋体" w:hAnsi="宋体" w:eastAsia="宋体" w:cs="宋体"/>
                <w:b w:val="0"/>
                <w:bCs w:val="0"/>
                <w:sz w:val="21"/>
                <w:szCs w:val="21"/>
              </w:rPr>
              <w:t>后补式冷库</w:t>
            </w:r>
            <w:r>
              <w:rPr>
                <w:rFonts w:hint="eastAsia" w:ascii="宋体" w:hAnsi="宋体" w:eastAsia="宋体" w:cs="宋体"/>
                <w:b w:val="0"/>
                <w:bCs w:val="0"/>
                <w:color w:val="auto"/>
                <w:sz w:val="21"/>
                <w:szCs w:val="21"/>
                <w:highlight w:val="none"/>
                <w:lang w:val="en-US" w:eastAsia="zh-CN"/>
              </w:rPr>
              <w:t>（含</w:t>
            </w:r>
            <w:r>
              <w:rPr>
                <w:rFonts w:hint="eastAsia" w:ascii="宋体" w:hAnsi="宋体" w:eastAsia="宋体" w:cs="宋体"/>
                <w:i w:val="0"/>
                <w:iCs w:val="0"/>
                <w:color w:val="000000"/>
                <w:kern w:val="0"/>
                <w:sz w:val="21"/>
                <w:szCs w:val="21"/>
                <w:u w:val="none"/>
                <w:lang w:val="en-US" w:eastAsia="zh-CN" w:bidi="ar"/>
              </w:rPr>
              <w:t>库体、制冷主机系统、电气系统</w:t>
            </w:r>
            <w:r>
              <w:rPr>
                <w:rFonts w:hint="eastAsia" w:ascii="宋体" w:hAnsi="宋体" w:eastAsia="宋体" w:cs="宋体"/>
                <w:b w:val="0"/>
                <w:bCs w:val="0"/>
                <w:color w:val="auto"/>
                <w:sz w:val="21"/>
                <w:szCs w:val="21"/>
                <w:highlight w:val="none"/>
                <w:lang w:val="en-US" w:eastAsia="zh-CN"/>
              </w:rPr>
              <w:t>）</w:t>
            </w:r>
          </w:p>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3837" w:type="pct"/>
            <w:shd w:val="clear" w:color="auto" w:fill="auto"/>
            <w:vAlign w:val="center"/>
          </w:tcPr>
          <w:p>
            <w:pPr>
              <w:widowControl/>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▲1.冷库的设计、建设应符合《疫苗流通和预防接种管理条例》、《疫苗储存和运输管理规范》《冷库设计规范》等规范。要求规划建设后备式疫苗冷藏库，规格：冷库</w:t>
            </w:r>
            <w:r>
              <w:rPr>
                <w:rFonts w:hint="eastAsia" w:ascii="宋体" w:hAnsi="宋体" w:eastAsia="宋体" w:cs="宋体"/>
                <w:color w:val="000000"/>
                <w:sz w:val="21"/>
                <w:szCs w:val="21"/>
                <w:lang w:val="en-US" w:eastAsia="zh-CN"/>
              </w:rPr>
              <w:t>容</w:t>
            </w:r>
            <w:r>
              <w:rPr>
                <w:rFonts w:hint="eastAsia" w:ascii="宋体" w:hAnsi="宋体" w:eastAsia="宋体" w:cs="宋体"/>
                <w:color w:val="000000"/>
                <w:sz w:val="21"/>
                <w:szCs w:val="21"/>
              </w:rPr>
              <w:t>积约≥15m³（按实际测量结果定制）。根据现场土建结构的实际情况，冷库要做到建筑空间利用最大化，冷库尽量要做到贴土建墙和土建梁安装。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2.本项目所提交的系统应是通电即可使用的系统。其中包括招标文件中明确描述的以及有效完成系统功能所需的所有设备和服务。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pStyle w:val="8"/>
              <w:rPr>
                <w:rFonts w:hint="eastAsia" w:ascii="宋体" w:hAnsi="宋体" w:eastAsia="宋体" w:cs="宋体"/>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i w:val="0"/>
                <w:iCs w:val="0"/>
                <w:color w:val="000000"/>
                <w:sz w:val="21"/>
                <w:szCs w:val="21"/>
                <w:u w:val="none"/>
                <w:lang w:val="en-US" w:eastAsia="zh-CN"/>
              </w:rPr>
              <w:t>组合冷库用隔热夹芯板</w:t>
            </w:r>
            <w:r>
              <w:rPr>
                <w:rFonts w:hint="eastAsia" w:ascii="宋体" w:hAnsi="宋体" w:eastAsia="宋体" w:cs="宋体"/>
                <w:color w:val="000000"/>
                <w:sz w:val="21"/>
                <w:szCs w:val="21"/>
              </w:rPr>
              <w:t>，采用偏心锁扣连接，玻璃胶密封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采用双面彩钢板中间加阻燃剂的聚氨酯发泡填充，阻燃</w:t>
            </w:r>
            <w:r>
              <w:rPr>
                <w:rFonts w:hint="eastAsia" w:ascii="宋体" w:hAnsi="宋体" w:eastAsia="宋体" w:cs="宋体"/>
                <w:i w:val="0"/>
                <w:iCs w:val="0"/>
                <w:color w:val="000000"/>
                <w:sz w:val="21"/>
                <w:szCs w:val="21"/>
                <w:u w:val="none"/>
                <w:lang w:val="en-US" w:eastAsia="zh-CN"/>
              </w:rPr>
              <w:t>等级≥B2级，厚度≥</w:t>
            </w:r>
            <w:r>
              <w:rPr>
                <w:rFonts w:hint="eastAsia" w:ascii="宋体" w:hAnsi="宋体" w:eastAsia="宋体" w:cs="宋体"/>
                <w:color w:val="000000"/>
                <w:sz w:val="21"/>
                <w:szCs w:val="21"/>
              </w:rPr>
              <w:t>100mm厚，密度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kg/m³；导热系数：≤0.02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W/(m.k)；</w:t>
            </w:r>
            <w:r>
              <w:rPr>
                <w:rFonts w:hint="eastAsia" w:ascii="宋体" w:hAnsi="宋体" w:eastAsia="宋体" w:cs="宋体"/>
                <w:color w:val="000000"/>
                <w:sz w:val="21"/>
                <w:szCs w:val="21"/>
                <w:lang w:val="en-US" w:eastAsia="zh-CN"/>
              </w:rPr>
              <w:t>夹芯板芯层与面板</w:t>
            </w:r>
            <w:r>
              <w:rPr>
                <w:rFonts w:hint="eastAsia" w:ascii="宋体" w:hAnsi="宋体" w:eastAsia="宋体" w:cs="宋体"/>
                <w:color w:val="000000"/>
                <w:sz w:val="21"/>
                <w:szCs w:val="21"/>
              </w:rPr>
              <w:t>粘结强度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＞0.1MPa；抗压强度：≥1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0kPa；</w:t>
            </w:r>
            <w:r>
              <w:rPr>
                <w:rFonts w:hint="eastAsia" w:ascii="宋体" w:hAnsi="宋体" w:eastAsia="宋体" w:cs="宋体"/>
                <w:color w:val="000000"/>
                <w:sz w:val="21"/>
                <w:szCs w:val="21"/>
                <w:lang w:val="en-US" w:eastAsia="zh-CN"/>
              </w:rPr>
              <w:t>平均燃烧时间</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90s</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平均燃烧范围：</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50mm</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每个剥离面的粘结面积：</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粘结在面材上的芯材：应均匀分布</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库体其它：</w:t>
            </w:r>
            <w:r>
              <w:rPr>
                <w:rFonts w:hint="eastAsia" w:ascii="宋体" w:hAnsi="宋体" w:eastAsia="宋体" w:cs="宋体"/>
                <w:i w:val="0"/>
                <w:iCs w:val="0"/>
                <w:color w:val="000000"/>
                <w:kern w:val="0"/>
                <w:sz w:val="21"/>
                <w:szCs w:val="21"/>
                <w:u w:val="none"/>
                <w:lang w:val="en-US" w:eastAsia="zh-CN" w:bidi="ar"/>
              </w:rPr>
              <w:t>①冷库手拉门（单开）：700*1800*100mm, 双面彩钢板，带锁；②中空玻璃门：600*1610mm,含装饰边框，真空玻璃带加热丝防凝露；③隔板货架：固定孔位，层高可调，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7层隔板；④电磁密码锁：密码和刷卡两种方式开门，配卡</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电磁锁</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密码键盘；⑤地面防滑不锈钢板：</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2.0mm厚；玻璃胶粘贴，定制铝合金压条收口</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w:t>
            </w:r>
            <w:r>
              <w:rPr>
                <w:rFonts w:hint="eastAsia" w:ascii="宋体" w:hAnsi="宋体" w:eastAsia="宋体" w:cs="宋体"/>
                <w:i w:val="0"/>
                <w:iCs w:val="0"/>
                <w:color w:val="000000"/>
                <w:kern w:val="0"/>
                <w:sz w:val="21"/>
                <w:szCs w:val="21"/>
                <w:u w:val="none"/>
                <w:lang w:val="en-US" w:eastAsia="zh-CN" w:bidi="ar"/>
              </w:rPr>
              <w:t>室外机组：压缩机和冷凝器整装出厂，与库内蒸发器分体式连接,采用风冷箱式压缩机组，整机一体出厂，具备以下功能:广泛的使用工况，蒸发温度范围要求从-20℃-5℃。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6.</w:t>
            </w:r>
            <w:r>
              <w:rPr>
                <w:rFonts w:hint="eastAsia" w:ascii="宋体" w:hAnsi="宋体" w:eastAsia="宋体" w:cs="宋体"/>
                <w:i w:val="0"/>
                <w:iCs w:val="0"/>
                <w:color w:val="000000"/>
                <w:kern w:val="0"/>
                <w:sz w:val="21"/>
                <w:szCs w:val="21"/>
                <w:u w:val="none"/>
                <w:lang w:val="en-US" w:eastAsia="zh-CN" w:bidi="ar"/>
              </w:rPr>
              <w:t>吊顶式高效冷风机：高效静音风机，吊顶式前出风后回风的冷风机型蒸发器；随机标配加热丝橡胶冷凝水外排装置，可整体取出维修；风机风量</w:t>
            </w:r>
            <w:r>
              <w:rPr>
                <w:rStyle w:val="5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1835m³/H;名义冷量≥5300W；220V；50HZ;化霜功率≥2740W</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磷脱氧铜管，Φ10/Φ16mm，B1级保温</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系统在冷库（空库）密封情况下，</w:t>
            </w:r>
            <w:r>
              <w:rPr>
                <w:rFonts w:hint="eastAsia" w:ascii="宋体" w:hAnsi="宋体" w:eastAsia="宋体" w:cs="宋体"/>
                <w:color w:val="000000"/>
                <w:kern w:val="0"/>
                <w:sz w:val="21"/>
                <w:szCs w:val="21"/>
                <w:u w:val="none"/>
                <w:lang w:val="en-US" w:eastAsia="zh-CN" w:bidi="ar"/>
              </w:rPr>
              <w:t>6</w:t>
            </w:r>
            <w:r>
              <w:rPr>
                <w:rFonts w:hint="eastAsia" w:ascii="宋体" w:hAnsi="宋体" w:eastAsia="宋体" w:cs="宋体"/>
                <w:color w:val="000000"/>
                <w:kern w:val="0"/>
                <w:sz w:val="21"/>
                <w:szCs w:val="21"/>
                <w:u w:val="none"/>
                <w:lang w:bidi="ar"/>
              </w:rPr>
              <w:t>0分钟内达到冷库温度要求</w:t>
            </w:r>
            <w:r>
              <w:rPr>
                <w:rFonts w:hint="eastAsia" w:ascii="宋体" w:hAnsi="宋体" w:eastAsia="宋体" w:cs="宋体"/>
                <w:color w:val="000000"/>
                <w:kern w:val="0"/>
                <w:sz w:val="21"/>
                <w:szCs w:val="21"/>
                <w:u w:val="none"/>
                <w:lang w:eastAsia="zh-CN" w:bidi="ar"/>
              </w:rPr>
              <w:t>：</w:t>
            </w:r>
            <w:r>
              <w:rPr>
                <w:rFonts w:hint="eastAsia" w:ascii="宋体" w:hAnsi="宋体" w:eastAsia="宋体" w:cs="宋体"/>
                <w:color w:val="000000"/>
                <w:kern w:val="0"/>
                <w:sz w:val="21"/>
                <w:szCs w:val="21"/>
                <w:u w:val="none"/>
                <w:lang w:val="en-US" w:eastAsia="zh-CN" w:bidi="ar"/>
              </w:rPr>
              <w:t>2-8</w:t>
            </w:r>
            <w:r>
              <w:rPr>
                <w:rFonts w:hint="eastAsia" w:ascii="宋体" w:hAnsi="宋体" w:eastAsia="宋体" w:cs="宋体"/>
                <w:color w:val="000000"/>
                <w:kern w:val="0"/>
                <w:sz w:val="21"/>
                <w:szCs w:val="21"/>
                <w:u w:val="none"/>
                <w:lang w:bidi="ar"/>
              </w:rPr>
              <w:t>℃（当环境温度为+38℃～+42℃时）</w:t>
            </w:r>
            <w:r>
              <w:rPr>
                <w:rFonts w:hint="eastAsia" w:ascii="宋体" w:hAnsi="宋体" w:eastAsia="宋体" w:cs="宋体"/>
                <w:color w:val="000000"/>
                <w:kern w:val="0"/>
                <w:sz w:val="21"/>
                <w:szCs w:val="21"/>
                <w:u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.冷库具有自动定时和强制除霜功能；做好蒸发器化霜后的积水排放处理，冷库内不能有积水。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电气系统：</w:t>
            </w:r>
            <w:r>
              <w:rPr>
                <w:rFonts w:hint="eastAsia" w:ascii="宋体" w:hAnsi="宋体" w:eastAsia="宋体" w:cs="宋体"/>
                <w:color w:val="000000"/>
                <w:kern w:val="0"/>
                <w:sz w:val="21"/>
                <w:szCs w:val="21"/>
              </w:rPr>
              <w:t>冷库制冷系统配置智能控制功能，达到完全智能运行，无需人员值守和操作。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.冷库采用智能控制系统，数字屏显示。一套系统故障，可实现故障切换。智能控制系统设计合理，使用简便。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双倍输出：采用智能控制方式，1）可通过智能控制系统自动控制两套制冷系统，达到用户设定条件下可以同时开启，输出双倍制冷量。应对非正常工作情况的发生；2）输出异常信号，发出声光报警。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13</w:t>
            </w:r>
            <w:r>
              <w:rPr>
                <w:rFonts w:hint="eastAsia" w:ascii="宋体" w:hAnsi="宋体" w:eastAsia="宋体" w:cs="宋体"/>
                <w:color w:val="000000"/>
                <w:sz w:val="21"/>
                <w:szCs w:val="21"/>
              </w:rPr>
              <w:t>.支持微信报警处理，能够在微信端处理报警，允许提交处理现场的照片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14.</w:t>
            </w:r>
            <w:r>
              <w:rPr>
                <w:rFonts w:hint="eastAsia" w:ascii="宋体" w:hAnsi="宋体" w:eastAsia="宋体" w:cs="宋体"/>
                <w:color w:val="000000"/>
                <w:sz w:val="21"/>
                <w:szCs w:val="21"/>
              </w:rPr>
              <w:t>支持微信端单台设备的状态查看，能够实时查询单台设备的状态信息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并提供证明图片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restart"/>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rPr>
              <w:t>2</w:t>
            </w:r>
          </w:p>
        </w:tc>
        <w:tc>
          <w:tcPr>
            <w:tcW w:w="670" w:type="pct"/>
            <w:vMerge w:val="restart"/>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z w:val="21"/>
                <w:szCs w:val="21"/>
              </w:rPr>
              <w:t>发电机</w:t>
            </w:r>
          </w:p>
        </w:tc>
        <w:tc>
          <w:tcPr>
            <w:tcW w:w="3837" w:type="pct"/>
            <w:vAlign w:val="top"/>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kern w:val="2"/>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.功率≥8000瓦，额定功率（KVA）≥7300瓦。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top"/>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.柴油总升数≥1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L，手电一体启动。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92"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top"/>
          </w:tcPr>
          <w:p>
            <w:pPr>
              <w:widowControl/>
              <w:spacing w:after="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.发电机配备ATS双电源自动切换开关，一旦电路因检修或是发生故障，发电机能够迅速的启动供电。当电路恢复供电时，发电机将自动停止供电。</w:t>
            </w:r>
          </w:p>
        </w:tc>
      </w:tr>
      <w:bookmarkEnd w:id="1"/>
    </w:tbl>
    <w:p>
      <w:pPr>
        <w:pStyle w:val="9"/>
        <w:rPr>
          <w:rFonts w:hint="default" w:eastAsia="宋体" w:cs="Times New Roman"/>
          <w:b/>
          <w:bCs/>
          <w:sz w:val="21"/>
          <w:szCs w:val="21"/>
          <w:lang w:val="en-US" w:eastAsia="zh-CN"/>
        </w:rPr>
      </w:pPr>
      <w:r>
        <w:rPr>
          <w:rFonts w:hint="eastAsia" w:eastAsia="宋体" w:cs="Times New Roman"/>
          <w:b/>
          <w:bCs/>
          <w:sz w:val="21"/>
          <w:szCs w:val="21"/>
          <w:lang w:val="en-US" w:eastAsia="zh-CN"/>
        </w:rPr>
        <w:t>★（五）配齐满足以上性能且正常使用所需要的所有配置及配件。</w:t>
      </w:r>
    </w:p>
    <w:p>
      <w:pPr>
        <w:pStyle w:val="2"/>
        <w:tabs>
          <w:tab w:val="left" w:pos="540"/>
        </w:tabs>
        <w:adjustRightInd w:val="0"/>
        <w:snapToGrid w:val="0"/>
        <w:spacing w:before="156" w:beforeLines="50" w:line="360" w:lineRule="auto"/>
        <w:ind w:left="420" w:hanging="42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r>
        <w:rPr>
          <w:rFonts w:hint="eastAsia" w:ascii="宋体"/>
          <w:b/>
          <w:color w:val="000000"/>
          <w:lang w:val="en-US" w:eastAsia="zh-CN"/>
        </w:rPr>
        <w:t>（</w:t>
      </w:r>
      <w:r>
        <w:rPr>
          <w:rFonts w:hint="eastAsia" w:ascii="宋体" w:hAnsi="宋体" w:eastAsia="宋体" w:cs="宋体"/>
          <w:b/>
          <w:bCs/>
          <w:i w:val="0"/>
          <w:iCs w:val="0"/>
          <w:caps w:val="0"/>
          <w:color w:val="000000"/>
          <w:spacing w:val="0"/>
          <w:sz w:val="21"/>
          <w:szCs w:val="21"/>
          <w:shd w:val="clear" w:fill="FFFFFF"/>
        </w:rPr>
        <w:t>在以下条款中，带“★”标记的为实质性条款，需要投标人作出响应。其他条款为必须满足条</w:t>
      </w:r>
      <w:r>
        <w:rPr>
          <w:rFonts w:hint="eastAsia" w:hAnsi="宋体" w:cs="宋体"/>
          <w:b/>
          <w:bCs/>
          <w:i w:val="0"/>
          <w:iCs w:val="0"/>
          <w:caps w:val="0"/>
          <w:color w:val="000000"/>
          <w:spacing w:val="0"/>
          <w:sz w:val="21"/>
          <w:szCs w:val="21"/>
          <w:shd w:val="clear" w:fill="FFFFFF"/>
          <w:lang w:val="en-US" w:eastAsia="zh-CN"/>
        </w:rPr>
        <w:t>款</w:t>
      </w:r>
      <w:r>
        <w:rPr>
          <w:rFonts w:hint="eastAsia" w:ascii="宋体" w:hAnsi="宋体" w:eastAsia="宋体" w:cs="宋体"/>
          <w:b/>
          <w:bCs/>
          <w:i w:val="0"/>
          <w:iCs w:val="0"/>
          <w:caps w:val="0"/>
          <w:color w:val="000000"/>
          <w:spacing w:val="0"/>
          <w:sz w:val="21"/>
          <w:szCs w:val="21"/>
          <w:shd w:val="clear" w:fill="FFFFFF"/>
        </w:rPr>
        <w:t>，</w:t>
      </w:r>
      <w:r>
        <w:rPr>
          <w:rFonts w:hint="eastAsia" w:hAnsi="宋体" w:cs="宋体"/>
          <w:b/>
          <w:bCs/>
          <w:i w:val="0"/>
          <w:iCs w:val="0"/>
          <w:caps w:val="0"/>
          <w:color w:val="000000"/>
          <w:spacing w:val="0"/>
          <w:sz w:val="21"/>
          <w:szCs w:val="21"/>
          <w:shd w:val="clear" w:fill="FFFFFF"/>
          <w:lang w:val="en-US" w:eastAsia="zh-CN"/>
        </w:rPr>
        <w:t>无</w:t>
      </w:r>
      <w:r>
        <w:rPr>
          <w:rFonts w:hint="eastAsia" w:ascii="宋体"/>
          <w:b/>
          <w:color w:val="000000"/>
          <w:lang w:eastAsia="zh-CN"/>
        </w:rPr>
        <w:t>需投标人响应</w:t>
      </w:r>
      <w:r>
        <w:rPr>
          <w:rFonts w:hint="eastAsia"/>
          <w:b/>
          <w:color w:val="000000"/>
          <w:lang w:eastAsia="zh-CN"/>
        </w:rPr>
        <w:t>，</w:t>
      </w:r>
      <w:r>
        <w:rPr>
          <w:rFonts w:hint="eastAsia" w:ascii="宋体" w:hAnsi="宋体" w:eastAsia="宋体" w:cs="宋体"/>
          <w:b/>
          <w:bCs/>
          <w:i w:val="0"/>
          <w:iCs w:val="0"/>
          <w:caps w:val="0"/>
          <w:color w:val="000000"/>
          <w:spacing w:val="0"/>
          <w:sz w:val="21"/>
          <w:szCs w:val="21"/>
          <w:shd w:val="clear" w:fill="FFFFFF"/>
        </w:rPr>
        <w:t>若未满足，将视为投标无效</w:t>
      </w:r>
      <w:r>
        <w:rPr>
          <w:rFonts w:hint="eastAsia" w:ascii="宋体"/>
          <w:b/>
          <w:color w:val="000000"/>
          <w:lang w:val="en-US" w:eastAsia="zh-CN"/>
        </w:rPr>
        <w:t>）</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1</w:t>
            </w:r>
          </w:p>
        </w:tc>
        <w:tc>
          <w:tcPr>
            <w:tcW w:w="1545" w:type="dxa"/>
            <w:vAlign w:val="center"/>
          </w:tcPr>
          <w:p>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免费保修期</w:t>
            </w:r>
          </w:p>
        </w:tc>
        <w:tc>
          <w:tcPr>
            <w:tcW w:w="6704" w:type="dxa"/>
            <w:vAlign w:val="top"/>
          </w:tcPr>
          <w:p>
            <w:pPr>
              <w:spacing w:line="240" w:lineRule="auto"/>
              <w:rPr>
                <w:rFonts w:hint="eastAsia" w:ascii="仿宋" w:hAnsi="仿宋" w:eastAsia="仿宋" w:cs="仿宋"/>
                <w:b/>
                <w:bCs/>
                <w:sz w:val="24"/>
                <w:szCs w:val="24"/>
                <w:highlight w:val="none"/>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2</w:t>
            </w:r>
          </w:p>
        </w:tc>
        <w:tc>
          <w:tcPr>
            <w:tcW w:w="1545" w:type="dxa"/>
            <w:vAlign w:val="center"/>
          </w:tcPr>
          <w:p>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维修响应及故障解决时间</w:t>
            </w:r>
          </w:p>
        </w:tc>
        <w:tc>
          <w:tcPr>
            <w:tcW w:w="6704" w:type="dxa"/>
            <w:vAlign w:val="top"/>
          </w:tcPr>
          <w:p>
            <w:pPr>
              <w:spacing w:line="240" w:lineRule="auto"/>
              <w:rPr>
                <w:rFonts w:hint="eastAsia" w:ascii="仿宋" w:hAnsi="仿宋" w:eastAsia="仿宋" w:cs="仿宋"/>
                <w:b/>
                <w:bCs/>
                <w:sz w:val="24"/>
                <w:szCs w:val="24"/>
                <w:highlight w:val="none"/>
              </w:rPr>
            </w:pPr>
            <w:r>
              <w:rPr>
                <w:rFonts w:hint="eastAsia" w:ascii="宋体" w:hAnsi="宋体" w:eastAsia="宋体" w:cs="宋体"/>
                <w:b w:val="0"/>
                <w:bCs w:val="0"/>
                <w:color w:val="auto"/>
                <w:sz w:val="21"/>
                <w:szCs w:val="21"/>
                <w:highlight w:val="none"/>
                <w:lang w:val="en-US" w:eastAsia="zh-CN"/>
              </w:rPr>
              <w:t>费</w:t>
            </w:r>
            <w:r>
              <w:rPr>
                <w:rFonts w:hint="eastAsia" w:ascii="宋体" w:hAnsi="宋体" w:eastAsia="宋体" w:cs="宋体"/>
                <w:b w:val="0"/>
                <w:bCs w:val="0"/>
                <w:color w:val="auto"/>
                <w:sz w:val="21"/>
                <w:szCs w:val="21"/>
                <w:highlight w:val="none"/>
              </w:rPr>
              <w:t>保修期内，设备发生质量问题，免费维修，中标人保证在接到通知</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分钟内赶到现场进行修理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室外机组、冷风机、发电机</w:t>
            </w:r>
            <w:r>
              <w:rPr>
                <w:rFonts w:hint="eastAsia" w:ascii="宋体" w:hAnsi="宋体" w:eastAsia="宋体" w:cs="宋体"/>
                <w:b w:val="0"/>
                <w:bCs w:val="0"/>
                <w:color w:val="auto"/>
                <w:sz w:val="21"/>
                <w:szCs w:val="21"/>
                <w:highlight w:val="none"/>
              </w:rPr>
              <w:t>48小时维修不好提供备用设备给采购人使用</w:t>
            </w:r>
            <w:r>
              <w:rPr>
                <w:rFonts w:hint="eastAsia" w:ascii="宋体" w:hAnsi="宋体" w:eastAsia="宋体" w:cs="宋体"/>
                <w:b w:val="0"/>
                <w:bCs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3</w:t>
            </w:r>
          </w:p>
        </w:tc>
        <w:tc>
          <w:tcPr>
            <w:tcW w:w="1545" w:type="dxa"/>
            <w:vAlign w:val="center"/>
          </w:tcPr>
          <w:p>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发生质量问题的处理方式</w:t>
            </w:r>
          </w:p>
        </w:tc>
        <w:tc>
          <w:tcPr>
            <w:tcW w:w="6704" w:type="dxa"/>
            <w:vAlign w:val="top"/>
          </w:tcPr>
          <w:p>
            <w:pPr>
              <w:spacing w:line="240" w:lineRule="auto"/>
              <w:rPr>
                <w:rFonts w:hint="eastAsia" w:ascii="仿宋" w:hAnsi="仿宋" w:eastAsia="仿宋" w:cs="仿宋"/>
                <w:b/>
                <w:bCs/>
                <w:sz w:val="24"/>
                <w:szCs w:val="24"/>
                <w:highlight w:val="none"/>
              </w:rPr>
            </w:pPr>
            <w:r>
              <w:rPr>
                <w:rFonts w:hint="eastAsia" w:ascii="宋体" w:hAnsi="宋体" w:eastAsia="宋体" w:cs="宋体"/>
                <w:b w:val="0"/>
                <w:bCs w:val="0"/>
                <w:sz w:val="21"/>
                <w:szCs w:val="21"/>
              </w:rPr>
              <w:t>免费保修期内，如果有因质量问题而引起的损坏，中标人应对产品予以维修或更换，全部服务费和更换产品或配件的费用由中标人承担，中标人如不能修理或不能调换，按产品原价赔偿处理。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免费保修期外售后服务</w:t>
            </w:r>
          </w:p>
        </w:tc>
        <w:tc>
          <w:tcPr>
            <w:tcW w:w="6704"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免费保修期后继续支持维修，并按成本价标准收取维修及零件费用。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1545" w:type="dxa"/>
            <w:vMerge w:val="restart"/>
            <w:shd w:val="clear" w:color="auto" w:fill="auto"/>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关报价及交货要求</w:t>
            </w:r>
          </w:p>
        </w:tc>
        <w:tc>
          <w:tcPr>
            <w:tcW w:w="6704" w:type="dxa"/>
            <w:shd w:val="clear" w:color="auto" w:fill="auto"/>
            <w:vAlign w:val="top"/>
          </w:tcPr>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1.报价要求</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1.1报价方式：人民币报价，本次招标采用总承包方式，因此投标人的报价应包括人工费、税费、运输费、安装费、场地清理费、设备费等所有的费用。</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1.2投标人应根据本企业的成本自行决定报价。专家认为投标人的报价明显低于其他通过符合性审查投标人的报价，有可能影响服务质量或不能诚信履约的，将会要求该投标人在评标现场合理的时间内提供书面说明和相关证明材料。投标人不能证明其报价合理性的，专家应将其作为无效投标处理。</w:t>
            </w:r>
          </w:p>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rPr>
              <w:t>1.3投标人如没有提出具体的土建要求在后期安装冷库所产生的土建装修等一切费用由投标人自行承担；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top"/>
          </w:tcPr>
          <w:p>
            <w:pPr>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top"/>
          </w:tcPr>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商品运输：合同中所有的商品均须由中标人自行运往采购单位指定地点，不论商品从何处购置、采用何种方式运输，采购单位不承担任何责任及相关费用。中标人应自行处理商品质量和数量短缺等问题。中标人应委派技术人员进行现场安装、调试，并提供货物安装调试的一切技术支持。安装调试的具体时间由采购人提前3天通知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top"/>
          </w:tcPr>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.交货（具体）地点：产品交付、检验、安装使用地点为采购人指定地点。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top"/>
          </w:tcPr>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.从中华人民共和国海关境内提供的货物，技术资料应齐全，提供但不限于如下技术文件和资料：</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（1）产品安装、操作和维修保养手册；</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（2）产品使用说明书；</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（3）产品出厂检验合格证；</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（4）产品到货清单；</w:t>
            </w:r>
          </w:p>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（5）产品保修证明。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1545"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关于验收</w:t>
            </w:r>
          </w:p>
        </w:tc>
        <w:tc>
          <w:tcPr>
            <w:tcW w:w="6704" w:type="dxa"/>
            <w:shd w:val="clear" w:color="auto" w:fill="auto"/>
            <w:vAlign w:val="top"/>
          </w:tcPr>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中标人交付的设备制作及安装应当完全符合采购人要求的设计方案、安装地点、材质、数量和规格，中标人不得少提供货物。中标人提供的设备制作及安装不符合招投标文件和合同规定的，采购人有权拒绝验收，由此引起的风险及费用由乙方承担。</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2.由采购人与中标人双方共同对设备进行验收，若验收不合格则采购人有权退货，中标人应无条件退换货。验收合格后交付采购人使用。</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3.当满足以下条件时，采购人才向中标人签发设备验收报告：</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(1)中标人已按照合同规定提供了全部产品及完整的技术资料。</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(2)货物符合招标文件技术规格书的要求，性能满足要求。</w:t>
            </w:r>
          </w:p>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(3)货物具备产品合格证。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p>
        </w:tc>
        <w:tc>
          <w:tcPr>
            <w:tcW w:w="1545"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付款方式</w:t>
            </w: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采用货到安装完工的付款方式，出具验收清单，按开具验收合格结算金额的合法发票，采购人在收到</w:t>
            </w:r>
            <w:r>
              <w:rPr>
                <w:rFonts w:hint="eastAsia" w:ascii="宋体" w:hAnsi="宋体" w:eastAsia="宋体" w:cs="宋体"/>
                <w:b w:val="0"/>
                <w:bCs w:val="0"/>
                <w:color w:val="000000"/>
                <w:sz w:val="21"/>
                <w:szCs w:val="21"/>
                <w:lang w:val="en-US" w:eastAsia="zh-CN"/>
              </w:rPr>
              <w:t>中标人</w:t>
            </w:r>
            <w:r>
              <w:rPr>
                <w:rFonts w:hint="eastAsia" w:ascii="宋体" w:hAnsi="宋体" w:eastAsia="宋体" w:cs="宋体"/>
                <w:b w:val="0"/>
                <w:bCs w:val="0"/>
                <w:color w:val="000000"/>
                <w:sz w:val="21"/>
                <w:szCs w:val="21"/>
              </w:rPr>
              <w:t>合法发票后</w:t>
            </w:r>
            <w:r>
              <w:rPr>
                <w:rFonts w:hint="eastAsia" w:ascii="宋体" w:hAnsi="宋体" w:eastAsia="宋体" w:cs="宋体"/>
                <w:b w:val="0"/>
                <w:bCs w:val="0"/>
                <w:color w:val="000000"/>
                <w:sz w:val="21"/>
                <w:szCs w:val="21"/>
                <w:lang w:val="en-US" w:eastAsia="zh-CN"/>
              </w:rPr>
              <w:t>按相应时间规定</w:t>
            </w:r>
            <w:r>
              <w:rPr>
                <w:rFonts w:hint="eastAsia" w:ascii="宋体" w:hAnsi="宋体" w:eastAsia="宋体" w:cs="宋体"/>
                <w:b w:val="0"/>
                <w:bCs w:val="0"/>
                <w:color w:val="000000"/>
                <w:sz w:val="21"/>
                <w:szCs w:val="21"/>
              </w:rPr>
              <w:t>以转账方式支付货款。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4</w:t>
            </w:r>
          </w:p>
        </w:tc>
        <w:tc>
          <w:tcPr>
            <w:tcW w:w="1545"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关于知识产权</w:t>
            </w:r>
          </w:p>
        </w:tc>
        <w:tc>
          <w:tcPr>
            <w:tcW w:w="6704" w:type="dxa"/>
            <w:shd w:val="clear" w:color="auto" w:fill="auto"/>
            <w:vAlign w:val="top"/>
          </w:tcPr>
          <w:p>
            <w:pPr>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1.提供的货物必须是合法厂家生产和经销的原包装产品（包括零配件）</w:t>
            </w:r>
            <w:r>
              <w:rPr>
                <w:rFonts w:hint="eastAsia" w:ascii="宋体" w:hAnsi="宋体" w:cs="宋体"/>
                <w:b w:val="0"/>
                <w:bCs w:val="0"/>
                <w:color w:val="000000"/>
                <w:sz w:val="21"/>
                <w:szCs w:val="21"/>
                <w:lang w:eastAsia="zh-CN"/>
              </w:rPr>
              <w:t>。</w:t>
            </w:r>
          </w:p>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5</w:t>
            </w:r>
          </w:p>
        </w:tc>
        <w:tc>
          <w:tcPr>
            <w:tcW w:w="1545"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基本要求</w:t>
            </w:r>
          </w:p>
        </w:tc>
        <w:tc>
          <w:tcPr>
            <w:tcW w:w="6704" w:type="dxa"/>
            <w:shd w:val="clear" w:color="auto" w:fill="auto"/>
            <w:vAlign w:val="top"/>
          </w:tcPr>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每项设备的制作需在采购人规定的时间前完成方案设计、制作及安装。</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采购人反复提出修改意见导致中标人工作不能按时完成时，可按延长时间顺延执行。</w:t>
            </w:r>
          </w:p>
          <w:p>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中标人未能按采购合同供货及提供服务给采购人造成的直接损失，由中标人承担责任。</w:t>
            </w:r>
          </w:p>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4</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在供货服务期内，如出现用户单位对协议供货、服务等投诉问题，经调查属实，将追究供货供应商（中标人）的责任。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6</w:t>
            </w:r>
          </w:p>
        </w:tc>
        <w:tc>
          <w:tcPr>
            <w:tcW w:w="1545" w:type="dxa"/>
            <w:vMerge w:val="restart"/>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关于违约</w:t>
            </w: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中标人不能交货的，需偿付不能交货部分货款的30%的违约金并按主管部门相关规定处理。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中标人逾期交货的，按主管部门相关规定处理。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7</w:t>
            </w:r>
          </w:p>
        </w:tc>
        <w:tc>
          <w:tcPr>
            <w:tcW w:w="1545" w:type="dxa"/>
            <w:vMerge w:val="restart"/>
            <w:shd w:val="clear" w:color="auto" w:fill="auto"/>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关于生产</w:t>
            </w: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1.</w:t>
            </w:r>
            <w:r>
              <w:rPr>
                <w:rFonts w:hint="eastAsia" w:ascii="宋体" w:hAnsi="宋体" w:eastAsia="宋体" w:cs="宋体"/>
                <w:b w:val="0"/>
                <w:bCs w:val="0"/>
                <w:color w:val="000000"/>
                <w:sz w:val="21"/>
                <w:szCs w:val="21"/>
              </w:rPr>
              <w:t>中标人中标后项目不转包，未经采购人同意不进行分包。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本招标文件设备实际尺寸须中标人实地测量供经采购人确认后再制作，否则造成损失由中标人全力承担，工程量计算以实地测量为准。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pPr>
              <w:spacing w:line="360" w:lineRule="auto"/>
              <w:jc w:val="center"/>
              <w:rPr>
                <w:rFonts w:hint="eastAsia" w:ascii="仿宋" w:hAnsi="仿宋" w:eastAsia="仿宋" w:cs="仿宋"/>
                <w:b/>
                <w:bCs/>
                <w:sz w:val="24"/>
                <w:szCs w:val="24"/>
              </w:rPr>
            </w:pP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中标人须提供拟选用的材料</w:t>
            </w:r>
            <w:r>
              <w:rPr>
                <w:rFonts w:hint="eastAsia" w:ascii="宋体" w:hAnsi="宋体" w:eastAsia="宋体" w:cs="宋体"/>
                <w:b w:val="0"/>
                <w:bCs w:val="0"/>
                <w:sz w:val="21"/>
                <w:szCs w:val="21"/>
              </w:rPr>
              <w:t>等</w:t>
            </w:r>
            <w:r>
              <w:rPr>
                <w:rFonts w:hint="eastAsia" w:ascii="宋体" w:hAnsi="宋体" w:eastAsia="宋体" w:cs="宋体"/>
                <w:b w:val="0"/>
                <w:bCs w:val="0"/>
                <w:color w:val="000000"/>
                <w:sz w:val="21"/>
                <w:szCs w:val="21"/>
              </w:rPr>
              <w:t>供采购人确认。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lang w:val="en-US" w:eastAsia="zh-CN"/>
              </w:rPr>
              <w:t>8</w:t>
            </w:r>
          </w:p>
        </w:tc>
        <w:tc>
          <w:tcPr>
            <w:tcW w:w="1545" w:type="dxa"/>
            <w:shd w:val="clear" w:color="auto" w:fill="auto"/>
            <w:vAlign w:val="center"/>
          </w:tcPr>
          <w:p>
            <w:pPr>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rPr>
              <w:t>项目团队</w:t>
            </w:r>
            <w:r>
              <w:rPr>
                <w:rFonts w:hint="eastAsia" w:ascii="宋体" w:hAnsi="宋体" w:eastAsia="宋体" w:cs="宋体"/>
                <w:b w:val="0"/>
                <w:bCs w:val="0"/>
                <w:color w:val="000000"/>
                <w:sz w:val="21"/>
                <w:szCs w:val="21"/>
                <w:highlight w:val="none"/>
                <w:lang w:val="en-US" w:eastAsia="zh-CN"/>
              </w:rPr>
              <w:t>人员</w:t>
            </w:r>
            <w:r>
              <w:rPr>
                <w:rFonts w:hint="eastAsia" w:ascii="宋体" w:hAnsi="宋体" w:eastAsia="宋体" w:cs="宋体"/>
                <w:b w:val="0"/>
                <w:bCs w:val="0"/>
                <w:color w:val="000000"/>
                <w:sz w:val="21"/>
                <w:szCs w:val="21"/>
                <w:highlight w:val="none"/>
              </w:rPr>
              <w:t>情况</w:t>
            </w:r>
          </w:p>
        </w:tc>
        <w:tc>
          <w:tcPr>
            <w:tcW w:w="6704" w:type="dxa"/>
            <w:shd w:val="clear" w:color="auto" w:fill="auto"/>
            <w:vAlign w:val="center"/>
          </w:tcPr>
          <w:p>
            <w:pPr>
              <w:spacing w:line="240" w:lineRule="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r>
    </w:tbl>
    <w:p>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六</w:t>
      </w:r>
      <w:r>
        <w:rPr>
          <w:rFonts w:hint="eastAsia" w:ascii="仿宋" w:hAnsi="仿宋" w:eastAsia="仿宋" w:cs="仿宋"/>
          <w:b/>
          <w:bCs w:val="0"/>
          <w:kern w:val="0"/>
          <w:sz w:val="24"/>
          <w:szCs w:val="24"/>
          <w:highlight w:val="none"/>
          <w:lang w:val="en-US" w:eastAsia="zh-CN" w:bidi="ar-SA"/>
        </w:rPr>
        <w:t>、其他重要条款</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numPr>
          <w:ilvl w:val="0"/>
          <w:numId w:val="0"/>
        </w:numPr>
        <w:ind w:firstLine="0" w:firstLineChars="0"/>
        <w:jc w:val="both"/>
        <w:outlineLvl w:val="0"/>
        <w:rPr>
          <w:rFonts w:hint="eastAsia" w:ascii="仿宋" w:hAnsi="仿宋" w:eastAsia="仿宋" w:cs="仿宋"/>
          <w:b w:val="0"/>
          <w:bCs/>
          <w:kern w:val="0"/>
          <w:sz w:val="24"/>
          <w:szCs w:val="24"/>
          <w:highlight w:val="none"/>
          <w:lang w:val="en-US" w:eastAsia="zh-CN" w:bidi="ar-SA"/>
        </w:rPr>
      </w:pPr>
    </w:p>
    <w:p>
      <w:pPr>
        <w:numPr>
          <w:ilvl w:val="0"/>
          <w:numId w:val="5"/>
        </w:numPr>
        <w:ind w:firstLine="0" w:firstLineChars="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pPr>
        <w:pStyle w:val="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pPr>
        <w:outlineLvl w:val="2"/>
        <w:rPr>
          <w:rFonts w:hint="eastAsia" w:ascii="仿宋" w:hAnsi="仿宋" w:eastAsia="仿宋" w:cs="仿宋"/>
          <w:sz w:val="24"/>
          <w:szCs w:val="24"/>
          <w:highlight w:val="none"/>
        </w:rPr>
      </w:pPr>
      <w:r>
        <w:rPr>
          <w:rStyle w:val="35"/>
          <w:rFonts w:hint="eastAsia" w:ascii="仿宋" w:hAnsi="仿宋" w:eastAsia="仿宋" w:cs="仿宋"/>
          <w:b/>
          <w:bCs w:val="0"/>
          <w:sz w:val="24"/>
          <w:szCs w:val="24"/>
          <w:highlight w:val="none"/>
        </w:rPr>
        <w:t>投标文件组成</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8.合同条款及格式</w:t>
      </w:r>
    </w:p>
    <w:p>
      <w:pPr>
        <w:pStyle w:val="27"/>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9.投标人认为需要加以说明的其他内容</w:t>
      </w: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5"/>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pPr>
        <w:pStyle w:val="9"/>
        <w:rPr>
          <w:rFonts w:hint="eastAsia" w:ascii="仿宋" w:hAnsi="仿宋" w:eastAsia="仿宋" w:cs="仿宋"/>
          <w:highlight w:val="none"/>
        </w:rPr>
      </w:pPr>
    </w:p>
    <w:p>
      <w:pPr>
        <w:keepNext/>
        <w:keepLines/>
        <w:spacing w:line="360" w:lineRule="auto"/>
        <w:outlineLvl w:val="3"/>
        <w:rPr>
          <w:rFonts w:hint="eastAsia" w:ascii="仿宋" w:hAnsi="仿宋" w:eastAsia="仿宋" w:cs="仿宋"/>
          <w:b/>
          <w:bCs/>
          <w:sz w:val="24"/>
          <w:szCs w:val="24"/>
          <w:highlight w:val="none"/>
        </w:rPr>
      </w:pPr>
      <w:bookmarkStart w:id="2" w:name="_Toc18075"/>
      <w:bookmarkStart w:id="3" w:name="_Toc24698"/>
      <w:bookmarkStart w:id="4" w:name="_Toc5828"/>
      <w:bookmarkStart w:id="5" w:name="_Toc24797"/>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restart"/>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restart"/>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hint="eastAsia" w:ascii="仿宋" w:hAnsi="仿宋" w:eastAsia="仿宋" w:cs="仿宋"/>
                <w:b/>
                <w:sz w:val="24"/>
                <w:szCs w:val="24"/>
                <w:highlight w:val="none"/>
              </w:rPr>
            </w:pPr>
          </w:p>
        </w:tc>
        <w:tc>
          <w:tcPr>
            <w:tcW w:w="1255" w:type="dxa"/>
            <w:vMerge w:val="continue"/>
          </w:tcPr>
          <w:p>
            <w:pPr>
              <w:spacing w:line="360" w:lineRule="auto"/>
              <w:rPr>
                <w:rFonts w:hint="eastAsia" w:ascii="仿宋" w:hAnsi="仿宋" w:eastAsia="仿宋" w:cs="仿宋"/>
                <w:b/>
                <w:sz w:val="24"/>
                <w:szCs w:val="24"/>
                <w:highlight w:val="none"/>
              </w:rPr>
            </w:pPr>
          </w:p>
        </w:tc>
        <w:tc>
          <w:tcPr>
            <w:tcW w:w="1927" w:type="dxa"/>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pPr>
        <w:pStyle w:val="6"/>
        <w:ind w:left="0" w:leftChars="0" w:firstLine="0" w:firstLineChars="0"/>
        <w:rPr>
          <w:rFonts w:hint="eastAsia" w:ascii="仿宋" w:hAnsi="仿宋" w:eastAsia="仿宋" w:cs="仿宋"/>
          <w:b w:val="0"/>
          <w:i w:val="0"/>
          <w:caps w:val="0"/>
          <w:spacing w:val="0"/>
          <w:w w:val="100"/>
          <w:sz w:val="28"/>
          <w:highlight w:val="none"/>
        </w:rPr>
      </w:pPr>
    </w:p>
    <w:p>
      <w:pPr>
        <w:pStyle w:val="9"/>
        <w:rPr>
          <w:rFonts w:hint="eastAsia" w:ascii="仿宋" w:hAnsi="仿宋" w:eastAsia="仿宋" w:cs="仿宋"/>
          <w:highlight w:val="none"/>
        </w:rPr>
      </w:pPr>
    </w:p>
    <w:p>
      <w:pPr>
        <w:pStyle w:val="17"/>
        <w:rPr>
          <w:rFonts w:hint="eastAsia" w:ascii="仿宋" w:hAnsi="仿宋" w:eastAsia="仿宋" w:cs="仿宋"/>
          <w:highlight w:val="none"/>
        </w:rPr>
      </w:pPr>
    </w:p>
    <w:p>
      <w:pPr>
        <w:rPr>
          <w:rFonts w:hint="eastAsia" w:ascii="仿宋" w:hAnsi="仿宋" w:eastAsia="仿宋" w:cs="仿宋"/>
          <w:highlight w:val="none"/>
        </w:rPr>
      </w:pPr>
    </w:p>
    <w:p>
      <w:pPr>
        <w:pStyle w:val="27"/>
        <w:rPr>
          <w:rFonts w:hint="eastAsia" w:ascii="仿宋" w:hAnsi="仿宋" w:eastAsia="仿宋" w:cs="仿宋"/>
          <w:highlight w:val="none"/>
        </w:rPr>
      </w:pPr>
    </w:p>
    <w:p>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9"/>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9"/>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pPr>
        <w:ind w:left="540" w:leftChars="257"/>
        <w:rPr>
          <w:rFonts w:hint="eastAsia" w:ascii="仿宋" w:hAnsi="仿宋" w:eastAsia="仿宋" w:cs="仿宋"/>
          <w:color w:val="auto"/>
          <w:sz w:val="24"/>
          <w:szCs w:val="24"/>
          <w:highlight w:val="none"/>
        </w:rPr>
      </w:pP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pPr>
        <w:rPr>
          <w:rFonts w:hint="eastAsia" w:ascii="仿宋" w:hAnsi="仿宋" w:eastAsia="仿宋" w:cs="仿宋"/>
          <w:highlight w:val="none"/>
        </w:rPr>
      </w:pPr>
    </w:p>
    <w:p>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73"/>
        <w:gridCol w:w="1198"/>
        <w:gridCol w:w="455"/>
        <w:gridCol w:w="457"/>
        <w:gridCol w:w="455"/>
        <w:gridCol w:w="455"/>
        <w:gridCol w:w="455"/>
        <w:gridCol w:w="935"/>
        <w:gridCol w:w="9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266" w:type="pct"/>
          </w:tcPr>
          <w:p>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040" w:type="pct"/>
            <w:vMerge w:val="restart"/>
            <w:vAlign w:val="center"/>
          </w:tcPr>
          <w:p>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LGZXYYZBB20250723-1</w:t>
            </w:r>
          </w:p>
        </w:tc>
        <w:tc>
          <w:tcPr>
            <w:tcW w:w="703" w:type="pct"/>
            <w:vAlign w:val="center"/>
          </w:tcPr>
          <w:p>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后补式冷库（</w:t>
            </w:r>
            <w:r>
              <w:rPr>
                <w:rFonts w:hint="eastAsia" w:ascii="仿宋" w:hAnsi="仿宋" w:eastAsia="仿宋" w:cs="仿宋"/>
                <w:bCs/>
                <w:sz w:val="24"/>
                <w:szCs w:val="24"/>
                <w:highlight w:val="none"/>
                <w:lang w:val="en-US" w:eastAsia="zh-CN"/>
              </w:rPr>
              <w:t>含库体、制冷主机系统、电气系统</w:t>
            </w:r>
            <w:r>
              <w:rPr>
                <w:rFonts w:hint="eastAsia" w:ascii="仿宋" w:hAnsi="仿宋" w:eastAsia="仿宋" w:cs="仿宋"/>
                <w:bCs/>
                <w:sz w:val="24"/>
                <w:szCs w:val="24"/>
                <w:highlight w:val="none"/>
              </w:rPr>
              <w:t>）</w:t>
            </w:r>
          </w:p>
        </w:tc>
        <w:tc>
          <w:tcPr>
            <w:tcW w:w="267" w:type="pct"/>
            <w:vAlign w:val="center"/>
          </w:tcPr>
          <w:p>
            <w:pPr>
              <w:rPr>
                <w:rFonts w:hint="eastAsia" w:ascii="仿宋" w:hAnsi="仿宋" w:eastAsia="仿宋" w:cs="仿宋"/>
                <w:bCs/>
                <w:sz w:val="24"/>
                <w:szCs w:val="24"/>
                <w:highlight w:val="none"/>
              </w:rPr>
            </w:pPr>
          </w:p>
        </w:tc>
        <w:tc>
          <w:tcPr>
            <w:tcW w:w="268" w:type="pct"/>
            <w:vAlign w:val="center"/>
          </w:tcPr>
          <w:p>
            <w:pPr>
              <w:rPr>
                <w:rFonts w:hint="eastAsia" w:ascii="仿宋" w:hAnsi="仿宋" w:eastAsia="仿宋" w:cs="仿宋"/>
                <w:bCs/>
                <w:sz w:val="24"/>
                <w:szCs w:val="24"/>
                <w:highlight w:val="none"/>
              </w:rPr>
            </w:pPr>
          </w:p>
        </w:tc>
        <w:tc>
          <w:tcPr>
            <w:tcW w:w="267" w:type="pct"/>
            <w:vAlign w:val="center"/>
          </w:tcPr>
          <w:p>
            <w:pPr>
              <w:rPr>
                <w:rFonts w:hint="eastAsia" w:ascii="仿宋" w:hAnsi="仿宋" w:eastAsia="仿宋" w:cs="仿宋"/>
                <w:bCs/>
                <w:sz w:val="24"/>
                <w:szCs w:val="24"/>
                <w:highlight w:val="none"/>
              </w:rPr>
            </w:pPr>
          </w:p>
        </w:tc>
        <w:tc>
          <w:tcPr>
            <w:tcW w:w="267" w:type="pct"/>
            <w:vAlign w:val="center"/>
          </w:tcPr>
          <w:p>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pPr>
              <w:jc w:val="center"/>
              <w:rPr>
                <w:rFonts w:hint="eastAsia" w:ascii="仿宋" w:hAnsi="仿宋" w:eastAsia="仿宋" w:cs="仿宋"/>
                <w:bCs/>
                <w:sz w:val="24"/>
                <w:szCs w:val="24"/>
                <w:highlight w:val="none"/>
              </w:rPr>
            </w:pPr>
          </w:p>
        </w:tc>
        <w:tc>
          <w:tcPr>
            <w:tcW w:w="548" w:type="pct"/>
            <w:vAlign w:val="center"/>
          </w:tcPr>
          <w:p>
            <w:pPr>
              <w:jc w:val="center"/>
              <w:rPr>
                <w:rFonts w:hint="eastAsia" w:ascii="仿宋" w:hAnsi="仿宋" w:eastAsia="仿宋" w:cs="仿宋"/>
                <w:bCs/>
                <w:sz w:val="24"/>
                <w:szCs w:val="24"/>
                <w:highlight w:val="none"/>
              </w:rPr>
            </w:pPr>
          </w:p>
        </w:tc>
        <w:tc>
          <w:tcPr>
            <w:tcW w:w="554" w:type="pct"/>
            <w:vAlign w:val="center"/>
          </w:tcPr>
          <w:p>
            <w:pPr>
              <w:jc w:val="center"/>
              <w:rPr>
                <w:rFonts w:hint="eastAsia" w:ascii="仿宋" w:hAnsi="仿宋" w:eastAsia="仿宋" w:cs="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6" w:type="pct"/>
          </w:tcPr>
          <w:p>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1040" w:type="pct"/>
            <w:vMerge w:val="continue"/>
            <w:vAlign w:val="center"/>
          </w:tcPr>
          <w:p>
            <w:pPr>
              <w:tabs>
                <w:tab w:val="left" w:pos="528"/>
              </w:tabs>
              <w:jc w:val="center"/>
              <w:rPr>
                <w:rFonts w:hint="eastAsia" w:ascii="仿宋" w:hAnsi="仿宋" w:eastAsia="仿宋" w:cs="仿宋"/>
                <w:bCs/>
                <w:sz w:val="24"/>
                <w:szCs w:val="24"/>
                <w:highlight w:val="none"/>
                <w:lang w:eastAsia="zh-CN"/>
              </w:rPr>
            </w:pPr>
          </w:p>
        </w:tc>
        <w:tc>
          <w:tcPr>
            <w:tcW w:w="703" w:type="pct"/>
            <w:vAlign w:val="center"/>
          </w:tcPr>
          <w:p>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发电机</w:t>
            </w:r>
          </w:p>
        </w:tc>
        <w:tc>
          <w:tcPr>
            <w:tcW w:w="267" w:type="pct"/>
            <w:vAlign w:val="center"/>
          </w:tcPr>
          <w:p>
            <w:pPr>
              <w:rPr>
                <w:rFonts w:hint="eastAsia" w:ascii="仿宋" w:hAnsi="仿宋" w:eastAsia="仿宋" w:cs="仿宋"/>
                <w:bCs/>
                <w:sz w:val="24"/>
                <w:szCs w:val="24"/>
                <w:highlight w:val="none"/>
              </w:rPr>
            </w:pPr>
          </w:p>
        </w:tc>
        <w:tc>
          <w:tcPr>
            <w:tcW w:w="268" w:type="pct"/>
            <w:vAlign w:val="center"/>
          </w:tcPr>
          <w:p>
            <w:pPr>
              <w:rPr>
                <w:rFonts w:hint="eastAsia" w:ascii="仿宋" w:hAnsi="仿宋" w:eastAsia="仿宋" w:cs="仿宋"/>
                <w:bCs/>
                <w:sz w:val="24"/>
                <w:szCs w:val="24"/>
                <w:highlight w:val="none"/>
              </w:rPr>
            </w:pPr>
          </w:p>
        </w:tc>
        <w:tc>
          <w:tcPr>
            <w:tcW w:w="267" w:type="pct"/>
            <w:vAlign w:val="center"/>
          </w:tcPr>
          <w:p>
            <w:pPr>
              <w:rPr>
                <w:rFonts w:hint="eastAsia" w:ascii="仿宋" w:hAnsi="仿宋" w:eastAsia="仿宋" w:cs="仿宋"/>
                <w:bCs/>
                <w:sz w:val="24"/>
                <w:szCs w:val="24"/>
                <w:highlight w:val="none"/>
              </w:rPr>
            </w:pPr>
          </w:p>
        </w:tc>
        <w:tc>
          <w:tcPr>
            <w:tcW w:w="267" w:type="pct"/>
            <w:vAlign w:val="center"/>
          </w:tcPr>
          <w:p>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台</w:t>
            </w:r>
          </w:p>
        </w:tc>
        <w:tc>
          <w:tcPr>
            <w:tcW w:w="548" w:type="pct"/>
            <w:vAlign w:val="center"/>
          </w:tcPr>
          <w:p>
            <w:pPr>
              <w:jc w:val="center"/>
              <w:rPr>
                <w:rFonts w:hint="eastAsia" w:ascii="仿宋" w:hAnsi="仿宋" w:eastAsia="仿宋" w:cs="仿宋"/>
                <w:bCs/>
                <w:sz w:val="24"/>
                <w:szCs w:val="24"/>
                <w:highlight w:val="none"/>
              </w:rPr>
            </w:pPr>
          </w:p>
        </w:tc>
        <w:tc>
          <w:tcPr>
            <w:tcW w:w="548" w:type="pct"/>
            <w:vAlign w:val="center"/>
          </w:tcPr>
          <w:p>
            <w:pPr>
              <w:jc w:val="center"/>
              <w:rPr>
                <w:rFonts w:hint="eastAsia" w:ascii="仿宋" w:hAnsi="仿宋" w:eastAsia="仿宋" w:cs="仿宋"/>
                <w:bCs/>
                <w:sz w:val="24"/>
                <w:szCs w:val="24"/>
                <w:highlight w:val="none"/>
              </w:rPr>
            </w:pPr>
          </w:p>
        </w:tc>
        <w:tc>
          <w:tcPr>
            <w:tcW w:w="554" w:type="pct"/>
            <w:vAlign w:val="center"/>
          </w:tcPr>
          <w:p>
            <w:pPr>
              <w:jc w:val="center"/>
              <w:rPr>
                <w:rFonts w:hint="eastAsia" w:ascii="仿宋" w:hAnsi="仿宋" w:eastAsia="仿宋" w:cs="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000" w:type="pct"/>
            <w:gridSpan w:val="11"/>
          </w:tcPr>
          <w:p>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pPr>
        <w:tabs>
          <w:tab w:val="left" w:pos="720"/>
        </w:tabs>
        <w:jc w:val="center"/>
        <w:rPr>
          <w:rFonts w:hint="eastAsia" w:ascii="仿宋" w:hAnsi="仿宋" w:eastAsia="仿宋" w:cs="仿宋"/>
          <w:b/>
          <w:sz w:val="24"/>
          <w:highlight w:val="none"/>
        </w:rPr>
      </w:pPr>
    </w:p>
    <w:p>
      <w:pPr>
        <w:rPr>
          <w:rFonts w:hint="eastAsia" w:ascii="仿宋" w:hAnsi="仿宋" w:eastAsia="仿宋" w:cs="仿宋"/>
          <w:b/>
          <w:sz w:val="24"/>
          <w:highlight w:val="none"/>
        </w:rPr>
      </w:pPr>
    </w:p>
    <w:p>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pPr>
        <w:rPr>
          <w:rFonts w:hint="eastAsia" w:ascii="仿宋" w:hAnsi="仿宋" w:eastAsia="仿宋" w:cs="仿宋"/>
          <w:b/>
          <w:sz w:val="24"/>
          <w:highlight w:val="none"/>
        </w:rPr>
      </w:pPr>
    </w:p>
    <w:p>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pPr>
        <w:rPr>
          <w:rFonts w:hint="eastAsia" w:ascii="仿宋" w:hAnsi="仿宋" w:eastAsia="仿宋" w:cs="仿宋"/>
          <w:b/>
          <w:sz w:val="24"/>
          <w:highlight w:val="none"/>
        </w:rPr>
      </w:pPr>
    </w:p>
    <w:p>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pPr>
        <w:pStyle w:val="27"/>
        <w:rPr>
          <w:rFonts w:hint="eastAsia" w:ascii="仿宋" w:hAnsi="仿宋" w:eastAsia="仿宋" w:cs="仿宋"/>
          <w:b w:val="0"/>
          <w:bCs/>
          <w:sz w:val="24"/>
          <w:highlight w:val="none"/>
        </w:rPr>
      </w:pPr>
    </w:p>
    <w:p>
      <w:pPr>
        <w:tabs>
          <w:tab w:val="left" w:pos="720"/>
        </w:tabs>
        <w:ind w:firstLine="3132" w:firstLineChars="1300"/>
        <w:rPr>
          <w:rFonts w:hint="eastAsia" w:ascii="仿宋" w:hAnsi="仿宋" w:eastAsia="仿宋" w:cs="仿宋"/>
          <w:b/>
          <w:sz w:val="24"/>
          <w:highlight w:val="none"/>
        </w:rPr>
      </w:pPr>
    </w:p>
    <w:p>
      <w:pPr>
        <w:tabs>
          <w:tab w:val="left" w:pos="720"/>
        </w:tabs>
        <w:ind w:firstLine="3132" w:firstLineChars="1300"/>
        <w:rPr>
          <w:rFonts w:hint="eastAsia" w:ascii="仿宋" w:hAnsi="仿宋" w:eastAsia="仿宋" w:cs="仿宋"/>
          <w:b/>
          <w:sz w:val="24"/>
          <w:highlight w:val="none"/>
        </w:rPr>
      </w:pPr>
    </w:p>
    <w:p>
      <w:pPr>
        <w:tabs>
          <w:tab w:val="left" w:pos="720"/>
        </w:tabs>
        <w:ind w:firstLine="3132" w:firstLineChars="1300"/>
        <w:rPr>
          <w:rFonts w:hint="eastAsia" w:ascii="仿宋" w:hAnsi="仿宋" w:eastAsia="仿宋" w:cs="仿宋"/>
          <w:b/>
          <w:sz w:val="24"/>
          <w:highlight w:val="none"/>
        </w:rPr>
      </w:pPr>
    </w:p>
    <w:p>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pPr>
              <w:spacing w:line="500" w:lineRule="exact"/>
              <w:jc w:val="center"/>
              <w:rPr>
                <w:rFonts w:ascii="仿宋_GB2312" w:hAnsi="宋体" w:eastAsia="仿宋_GB2312"/>
                <w:kern w:val="0"/>
                <w:sz w:val="21"/>
                <w:szCs w:val="21"/>
              </w:rPr>
            </w:pPr>
          </w:p>
        </w:tc>
      </w:tr>
    </w:tbl>
    <w:p>
      <w:pPr>
        <w:spacing w:line="500" w:lineRule="exact"/>
        <w:rPr>
          <w:rFonts w:ascii="仿宋_GB2312" w:hAnsi="宋体" w:eastAsia="仿宋_GB2312"/>
          <w:kern w:val="0"/>
          <w:sz w:val="28"/>
          <w:szCs w:val="28"/>
        </w:rPr>
      </w:pPr>
    </w:p>
    <w:p>
      <w:pPr>
        <w:spacing w:line="500" w:lineRule="exact"/>
        <w:jc w:val="center"/>
        <w:rPr>
          <w:rFonts w:ascii="仿宋_GB2312" w:hAnsi="宋体" w:eastAsia="仿宋_GB2312"/>
          <w:b/>
          <w:kern w:val="0"/>
          <w:sz w:val="28"/>
          <w:szCs w:val="28"/>
        </w:rPr>
      </w:pPr>
      <w:r>
        <w:rPr>
          <w:rFonts w:hint="eastAsia" w:ascii="仿宋" w:hAnsi="仿宋" w:eastAsia="仿宋" w:cs="仿宋"/>
          <w:b/>
          <w:bCs w:val="0"/>
          <w:kern w:val="2"/>
          <w:sz w:val="24"/>
          <w:szCs w:val="24"/>
          <w:highlight w:val="none"/>
          <w:lang w:val="en-US" w:eastAsia="zh-CN"/>
        </w:rPr>
        <w:t>（四）</w:t>
      </w:r>
      <w:r>
        <w:rPr>
          <w:rFonts w:hint="eastAsia" w:ascii="仿宋_GB2312" w:hAnsi="宋体" w:eastAsia="仿宋_GB2312"/>
          <w:b/>
          <w:kern w:val="0"/>
          <w:sz w:val="28"/>
          <w:szCs w:val="28"/>
        </w:rPr>
        <w:t>耗材价格表</w:t>
      </w:r>
    </w:p>
    <w:p>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21"/>
        <w:gridCol w:w="1395"/>
        <w:gridCol w:w="858"/>
        <w:gridCol w:w="686"/>
        <w:gridCol w:w="725"/>
        <w:gridCol w:w="1189"/>
        <w:gridCol w:w="1189"/>
        <w:gridCol w:w="13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89" w:type="dxa"/>
            <w:tcBorders>
              <w:top w:val="double" w:color="auto" w:sz="4" w:space="0"/>
              <w:left w:val="doub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21"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395"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858" w:type="dxa"/>
            <w:tcBorders>
              <w:top w:val="doub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6" w:type="dxa"/>
            <w:tcBorders>
              <w:top w:val="doub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25"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9"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189"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342" w:type="dxa"/>
            <w:tcBorders>
              <w:top w:val="double" w:color="auto" w:sz="4" w:space="0"/>
              <w:left w:val="single" w:color="auto" w:sz="4" w:space="0"/>
              <w:bottom w:val="single" w:color="auto" w:sz="4" w:space="0"/>
              <w:right w:val="doub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8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p>
        </w:tc>
        <w:tc>
          <w:tcPr>
            <w:tcW w:w="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p>
        </w:tc>
        <w:tc>
          <w:tcPr>
            <w:tcW w:w="1342"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spacing w:line="500" w:lineRule="exact"/>
              <w:jc w:val="center"/>
              <w:rPr>
                <w:rFonts w:ascii="仿宋_GB2312" w:hAnsi="宋体" w:eastAsia="仿宋_GB2312"/>
                <w:kern w:val="0"/>
                <w:sz w:val="28"/>
                <w:szCs w:val="28"/>
              </w:rPr>
            </w:pPr>
          </w:p>
        </w:tc>
      </w:tr>
    </w:tbl>
    <w:p>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pPr>
        <w:rPr>
          <w:rFonts w:hint="eastAsia" w:ascii="仿宋" w:hAnsi="仿宋" w:eastAsia="仿宋" w:cs="仿宋"/>
          <w:b/>
          <w:bCs w:val="0"/>
          <w:kern w:val="2"/>
          <w:sz w:val="24"/>
          <w:szCs w:val="24"/>
          <w:highlight w:val="none"/>
          <w:lang w:val="en-US" w:eastAsia="zh-CN"/>
        </w:rPr>
      </w:pPr>
    </w:p>
    <w:p>
      <w:pPr>
        <w:keepNext w:val="0"/>
        <w:keepLines w:val="0"/>
        <w:pageBreakBefore w:val="0"/>
        <w:widowControl/>
        <w:numPr>
          <w:ilvl w:val="-1"/>
          <w:numId w:val="0"/>
        </w:numPr>
        <w:spacing w:line="240" w:lineRule="auto"/>
        <w:ind w:left="0" w:leftChars="0" w:firstLine="0" w:firstLineChars="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pPr>
        <w:keepNext w:val="0"/>
        <w:keepLines w:val="0"/>
        <w:pageBreakBefore w:val="0"/>
        <w:widowControl/>
        <w:numPr>
          <w:ilvl w:val="0"/>
          <w:numId w:val="0"/>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highlight w:val="none"/>
          <w:lang w:val="en-US" w:eastAsia="zh-CN"/>
        </w:rPr>
        <w:t>自行采购项目供应商资格审查表</w:t>
      </w:r>
    </w:p>
    <w:p>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pPr>
              <w:jc w:val="both"/>
              <w:rPr>
                <w:rFonts w:hint="eastAsia" w:ascii="仿宋" w:hAnsi="仿宋" w:eastAsia="仿宋" w:cs="仿宋"/>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pPr>
        <w:outlineLvl w:val="3"/>
        <w:rPr>
          <w:rFonts w:hint="eastAsia" w:ascii="仿宋" w:hAnsi="仿宋" w:eastAsia="仿宋" w:cs="仿宋"/>
          <w:b/>
          <w:szCs w:val="21"/>
          <w:highlight w:val="none"/>
        </w:rPr>
      </w:pPr>
      <w:bookmarkStart w:id="7" w:name="_Toc7602"/>
    </w:p>
    <w:bookmarkEnd w:id="7"/>
    <w:p>
      <w:pPr>
        <w:rPr>
          <w:rFonts w:hint="eastAsia" w:ascii="仿宋" w:hAnsi="仿宋" w:eastAsia="仿宋" w:cs="仿宋"/>
          <w:highlight w:val="none"/>
        </w:rPr>
      </w:pPr>
    </w:p>
    <w:p>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pPr>
        <w:pStyle w:val="6"/>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pPr>
        <w:pStyle w:val="6"/>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pPr>
        <w:adjustRightInd w:val="0"/>
        <w:jc w:val="center"/>
        <w:outlineLvl w:val="4"/>
        <w:rPr>
          <w:rFonts w:hint="eastAsia" w:ascii="仿宋" w:hAnsi="仿宋" w:eastAsia="仿宋" w:cs="仿宋"/>
          <w:b/>
          <w:bCs/>
          <w:sz w:val="24"/>
          <w:szCs w:val="24"/>
          <w:highlight w:val="none"/>
        </w:rPr>
      </w:pPr>
    </w:p>
    <w:p>
      <w:pPr>
        <w:adjustRightInd w:val="0"/>
        <w:jc w:val="both"/>
        <w:outlineLvl w:val="4"/>
        <w:rPr>
          <w:rFonts w:hint="eastAsia" w:ascii="仿宋" w:hAnsi="仿宋" w:eastAsia="仿宋" w:cs="仿宋"/>
          <w:b/>
          <w:bCs/>
          <w:sz w:val="24"/>
          <w:szCs w:val="24"/>
          <w:highlight w:val="none"/>
          <w:lang w:val="en-US" w:eastAsia="zh-CN"/>
        </w:rPr>
      </w:pPr>
    </w:p>
    <w:p>
      <w:pPr>
        <w:adjustRightInd w:val="0"/>
        <w:jc w:val="both"/>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pPr>
        <w:shd w:val="clear"/>
        <w:snapToGrid w:val="0"/>
        <w:spacing w:line="360" w:lineRule="auto"/>
        <w:rPr>
          <w:rFonts w:hint="eastAsia" w:ascii="仿宋" w:hAnsi="仿宋" w:eastAsia="仿宋" w:cs="仿宋"/>
          <w:color w:val="auto"/>
          <w:sz w:val="24"/>
          <w:szCs w:val="24"/>
          <w:highlight w:val="none"/>
        </w:rPr>
      </w:pPr>
    </w:p>
    <w:p>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pPr>
        <w:shd w:val="clear"/>
        <w:spacing w:line="360" w:lineRule="auto"/>
        <w:ind w:firstLine="5760" w:firstLineChars="2400"/>
        <w:jc w:val="left"/>
        <w:rPr>
          <w:rFonts w:hint="eastAsia" w:ascii="仿宋" w:hAnsi="仿宋" w:eastAsia="仿宋" w:cs="仿宋"/>
          <w:color w:val="auto"/>
          <w:sz w:val="24"/>
          <w:szCs w:val="24"/>
          <w:highlight w:val="none"/>
        </w:rPr>
      </w:pPr>
    </w:p>
    <w:p>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pPr>
        <w:pStyle w:val="6"/>
        <w:widowControl w:val="0"/>
        <w:numPr>
          <w:ilvl w:val="0"/>
          <w:numId w:val="0"/>
        </w:numPr>
        <w:jc w:val="both"/>
        <w:rPr>
          <w:rFonts w:hint="default" w:ascii="仿宋" w:hAnsi="仿宋" w:eastAsia="仿宋" w:cs="仿宋"/>
          <w:b/>
          <w:bCs/>
          <w:sz w:val="24"/>
          <w:szCs w:val="24"/>
          <w:highlight w:val="none"/>
          <w:lang w:val="en-US" w:eastAsia="zh-CN"/>
        </w:rPr>
      </w:pPr>
    </w:p>
    <w:p>
      <w:pPr>
        <w:pStyle w:val="6"/>
        <w:widowControl w:val="0"/>
        <w:numPr>
          <w:ilvl w:val="0"/>
          <w:numId w:val="0"/>
        </w:numPr>
        <w:jc w:val="both"/>
        <w:rPr>
          <w:rFonts w:hint="default" w:ascii="仿宋" w:hAnsi="仿宋" w:eastAsia="仿宋" w:cs="仿宋"/>
          <w:b/>
          <w:bCs/>
          <w:sz w:val="24"/>
          <w:szCs w:val="24"/>
          <w:highlight w:val="none"/>
          <w:lang w:val="en-US" w:eastAsia="zh-CN"/>
        </w:rPr>
      </w:pPr>
    </w:p>
    <w:p>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743"/>
      <w:bookmarkStart w:id="9" w:name="_Toc29757"/>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pPr>
        <w:pStyle w:val="2"/>
        <w:spacing w:line="360" w:lineRule="auto"/>
        <w:jc w:val="center"/>
        <w:rPr>
          <w:rFonts w:hint="eastAsia" w:ascii="仿宋" w:hAnsi="仿宋" w:eastAsia="仿宋" w:cs="仿宋"/>
          <w:b/>
          <w:bCs/>
          <w:sz w:val="24"/>
          <w:szCs w:val="24"/>
          <w:highlight w:val="none"/>
        </w:rPr>
      </w:pPr>
    </w:p>
    <w:p>
      <w:pPr>
        <w:pStyle w:val="2"/>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pPr>
        <w:widowControl/>
        <w:autoSpaceDE w:val="0"/>
        <w:autoSpaceDN w:val="0"/>
        <w:ind w:right="893"/>
        <w:jc w:val="center"/>
        <w:textAlignment w:val="bottom"/>
        <w:rPr>
          <w:rFonts w:hint="eastAsia" w:ascii="仿宋" w:hAnsi="仿宋" w:eastAsia="仿宋" w:cs="仿宋"/>
          <w:sz w:val="24"/>
          <w:szCs w:val="24"/>
          <w:highlight w:val="none"/>
        </w:rPr>
      </w:pPr>
    </w:p>
    <w:p>
      <w:pPr>
        <w:pStyle w:val="9"/>
        <w:rPr>
          <w:rFonts w:hint="eastAsia" w:ascii="仿宋" w:hAnsi="仿宋" w:eastAsia="仿宋" w:cs="仿宋"/>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highlight w:val="none"/>
          <w:lang w:val="en-US" w:eastAsia="zh-CN" w:bidi="ar-SA"/>
        </w:rPr>
      </w:pPr>
    </w:p>
    <w:p>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pPr>
        <w:pStyle w:val="2"/>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pStyle w:val="6"/>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pPr>
        <w:spacing w:line="360" w:lineRule="auto"/>
        <w:jc w:val="center"/>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pPr>
        <w:spacing w:line="360" w:lineRule="auto"/>
        <w:jc w:val="center"/>
        <w:rPr>
          <w:rFonts w:hint="eastAsia" w:ascii="仿宋" w:hAnsi="仿宋" w:eastAsia="仿宋" w:cs="仿宋"/>
          <w:sz w:val="24"/>
          <w:szCs w:val="24"/>
          <w:highlight w:val="none"/>
        </w:rPr>
      </w:pP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pPr>
        <w:pStyle w:val="2"/>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pPr>
        <w:pStyle w:val="2"/>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pPr>
        <w:spacing w:line="360" w:lineRule="auto"/>
        <w:rPr>
          <w:rFonts w:hint="eastAsia" w:ascii="仿宋" w:hAnsi="仿宋" w:eastAsia="仿宋" w:cs="仿宋"/>
          <w:color w:val="auto"/>
          <w:sz w:val="24"/>
          <w:szCs w:val="24"/>
          <w:highlight w:val="none"/>
        </w:rPr>
      </w:pPr>
    </w:p>
    <w:p>
      <w:pPr>
        <w:pStyle w:val="2"/>
        <w:rPr>
          <w:rFonts w:hint="eastAsia"/>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pPr>
        <w:pStyle w:val="3"/>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pPr>
              <w:pStyle w:val="6"/>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pStyle w:val="53"/>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pPr>
        <w:spacing w:line="75" w:lineRule="exact"/>
        <w:rPr>
          <w:rFonts w:hint="eastAsia" w:ascii="宋体" w:hAnsi="宋体" w:eastAsia="宋体" w:cs="宋体"/>
          <w:sz w:val="21"/>
          <w:szCs w:val="21"/>
        </w:rPr>
      </w:pPr>
    </w:p>
    <w:p>
      <w:pPr>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bCs w:val="0"/>
          <w:color w:val="FF0000"/>
          <w:szCs w:val="21"/>
          <w:lang w:eastAsia="zh-CN"/>
        </w:rPr>
        <w:t>（</w:t>
      </w:r>
      <w:r>
        <w:rPr>
          <w:rFonts w:hint="eastAsia" w:ascii="宋体" w:hAnsi="宋体" w:cs="宋体"/>
          <w:b/>
          <w:bCs w:val="0"/>
          <w:color w:val="FF0000"/>
          <w:szCs w:val="21"/>
          <w:lang w:val="en-US" w:eastAsia="zh-CN"/>
        </w:rPr>
        <w:t>提供国家企业信用信息公示系统(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r>
        <w:rPr>
          <w:rFonts w:hint="eastAsia" w:ascii="宋体" w:hAnsi="宋体" w:cs="宋体"/>
          <w:b/>
          <w:bCs w:val="0"/>
          <w:color w:val="FF000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pPr>
        <w:pStyle w:val="6"/>
      </w:pPr>
    </w:p>
    <w:p>
      <w:pPr>
        <w:pStyle w:val="29"/>
        <w:rPr>
          <w:rFonts w:hint="eastAsia" w:ascii="宋体" w:hAnsi="宋体" w:eastAsia="宋体" w:cs="宋体"/>
          <w:sz w:val="21"/>
          <w:szCs w:val="21"/>
        </w:rPr>
      </w:pPr>
    </w:p>
    <w:p>
      <w:pPr>
        <w:pStyle w:val="29"/>
        <w:rPr>
          <w:rFonts w:hint="eastAsia" w:ascii="宋体" w:hAnsi="宋体" w:eastAsia="宋体" w:cs="宋体"/>
          <w:sz w:val="21"/>
          <w:szCs w:val="21"/>
        </w:rPr>
      </w:pPr>
    </w:p>
    <w:p>
      <w:pPr>
        <w:pStyle w:val="2"/>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pPr>
        <w:wordWrap w:val="0"/>
        <w:adjustRightInd w:val="0"/>
        <w:snapToGrid w:val="0"/>
        <w:spacing w:line="360" w:lineRule="auto"/>
        <w:ind w:firstLine="4200" w:firstLineChars="2000"/>
        <w:rPr>
          <w:rFonts w:hint="eastAsia" w:ascii="宋体" w:hAnsi="宋体" w:cs="宋体"/>
          <w:szCs w:val="21"/>
        </w:rPr>
      </w:pPr>
    </w:p>
    <w:p>
      <w:pPr>
        <w:wordWrap w:val="0"/>
        <w:adjustRightInd w:val="0"/>
        <w:snapToGrid w:val="0"/>
        <w:spacing w:line="360" w:lineRule="auto"/>
        <w:ind w:firstLine="4200" w:firstLineChars="2000"/>
        <w:rPr>
          <w:rFonts w:hint="eastAsia" w:ascii="宋体" w:hAnsi="宋体" w:cs="宋体"/>
          <w:szCs w:val="21"/>
        </w:rPr>
      </w:pPr>
    </w:p>
    <w:p>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pPr>
        <w:spacing w:before="184" w:line="208" w:lineRule="auto"/>
        <w:ind w:left="2778"/>
        <w:outlineLvl w:val="0"/>
        <w:rPr>
          <w:rFonts w:hint="eastAsia" w:ascii="仿宋" w:hAnsi="仿宋" w:eastAsia="仿宋" w:cs="仿宋"/>
          <w:b/>
          <w:bCs/>
          <w:spacing w:val="9"/>
          <w:sz w:val="43"/>
          <w:szCs w:val="43"/>
          <w:highlight w:val="none"/>
        </w:rPr>
      </w:pPr>
    </w:p>
    <w:p>
      <w:pPr>
        <w:pStyle w:val="6"/>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pPr>
        <w:pStyle w:val="9"/>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pPr>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80" w:firstLineChars="200"/>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pPr>
        <w:widowControl w:val="0"/>
        <w:jc w:val="both"/>
        <w:rPr>
          <w:rFonts w:hint="eastAsia" w:ascii="仿宋" w:hAnsi="仿宋" w:eastAsia="仿宋" w:cs="仿宋"/>
          <w:b/>
          <w:bCs/>
          <w:sz w:val="24"/>
          <w:szCs w:val="24"/>
          <w:highlight w:val="none"/>
        </w:rPr>
      </w:pPr>
    </w:p>
    <w:p>
      <w:pPr>
        <w:widowControl w:val="0"/>
        <w:jc w:val="both"/>
        <w:rPr>
          <w:rFonts w:hint="eastAsia" w:ascii="仿宋" w:hAnsi="仿宋" w:eastAsia="仿宋" w:cs="仿宋"/>
          <w:color w:val="FF0000"/>
          <w:kern w:val="2"/>
          <w:sz w:val="24"/>
          <w:szCs w:val="24"/>
          <w:highlight w:val="none"/>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pPr>
              <w:numPr>
                <w:ilvl w:val="0"/>
                <w:numId w:val="0"/>
              </w:numPr>
              <w:spacing w:line="276" w:lineRule="auto"/>
              <w:ind w:left="5" w:leftChars="0" w:hanging="5" w:firstLineChars="0"/>
              <w:jc w:val="left"/>
              <w:rPr>
                <w:rFonts w:hint="eastAsia" w:ascii="宋体" w:hAnsi="宋体" w:eastAsia="宋体" w:cs="宋体"/>
                <w:color w:val="auto"/>
                <w:kern w:val="0"/>
                <w:sz w:val="24"/>
                <w:szCs w:val="24"/>
                <w:highlight w:val="none"/>
                <w:lang w:val="en-US" w:eastAsia="zh-CN" w:bidi="ar-SA"/>
              </w:rPr>
            </w:pPr>
            <w:r>
              <w:rPr>
                <w:rFonts w:hint="eastAsia" w:eastAsia="宋体" w:cs="Times New Roman"/>
                <w:b/>
                <w:bCs/>
                <w:sz w:val="21"/>
                <w:szCs w:val="21"/>
                <w:lang w:val="en-US" w:eastAsia="zh-CN"/>
              </w:rPr>
              <w:t>★（五）配齐满足以上性能且正常使用所需要的所有配置及配件。</w:t>
            </w:r>
          </w:p>
        </w:tc>
        <w:tc>
          <w:tcPr>
            <w:tcW w:w="3081" w:type="dxa"/>
          </w:tcPr>
          <w:p>
            <w:pPr>
              <w:adjustRightInd w:val="0"/>
              <w:snapToGrid w:val="0"/>
              <w:spacing w:line="360" w:lineRule="auto"/>
              <w:rPr>
                <w:rFonts w:ascii="宋体" w:hAnsi="宋体"/>
                <w:kern w:val="0"/>
                <w:sz w:val="24"/>
                <w:szCs w:val="24"/>
                <w:highlight w:val="none"/>
              </w:rPr>
            </w:pPr>
          </w:p>
        </w:tc>
        <w:tc>
          <w:tcPr>
            <w:tcW w:w="1431" w:type="dxa"/>
          </w:tcPr>
          <w:p>
            <w:pPr>
              <w:adjustRightInd w:val="0"/>
              <w:snapToGrid w:val="0"/>
              <w:spacing w:line="360" w:lineRule="auto"/>
              <w:rPr>
                <w:rFonts w:ascii="宋体" w:hAnsi="宋体"/>
                <w:kern w:val="0"/>
                <w:sz w:val="24"/>
                <w:szCs w:val="24"/>
                <w:highlight w:val="none"/>
              </w:rPr>
            </w:pPr>
          </w:p>
        </w:tc>
        <w:tc>
          <w:tcPr>
            <w:tcW w:w="1160" w:type="dxa"/>
          </w:tcPr>
          <w:p>
            <w:pPr>
              <w:adjustRightInd w:val="0"/>
              <w:snapToGrid w:val="0"/>
              <w:spacing w:line="360" w:lineRule="auto"/>
              <w:rPr>
                <w:rFonts w:ascii="宋体" w:hAnsi="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c>
          <w:tcPr>
            <w:tcW w:w="3081" w:type="dxa"/>
          </w:tcPr>
          <w:p>
            <w:pPr>
              <w:adjustRightInd w:val="0"/>
              <w:snapToGrid w:val="0"/>
              <w:spacing w:line="360" w:lineRule="auto"/>
              <w:rPr>
                <w:rFonts w:ascii="宋体" w:hAnsi="宋体"/>
                <w:kern w:val="0"/>
                <w:sz w:val="24"/>
                <w:szCs w:val="24"/>
                <w:highlight w:val="none"/>
              </w:rPr>
            </w:pPr>
          </w:p>
        </w:tc>
        <w:tc>
          <w:tcPr>
            <w:tcW w:w="1431" w:type="dxa"/>
          </w:tcPr>
          <w:p>
            <w:pPr>
              <w:adjustRightInd w:val="0"/>
              <w:snapToGrid w:val="0"/>
              <w:spacing w:line="360" w:lineRule="auto"/>
              <w:rPr>
                <w:rFonts w:ascii="宋体" w:hAnsi="宋体"/>
                <w:kern w:val="0"/>
                <w:sz w:val="24"/>
                <w:szCs w:val="24"/>
                <w:highlight w:val="none"/>
              </w:rPr>
            </w:pPr>
          </w:p>
        </w:tc>
        <w:tc>
          <w:tcPr>
            <w:tcW w:w="1160" w:type="dxa"/>
          </w:tcPr>
          <w:p>
            <w:pPr>
              <w:adjustRightInd w:val="0"/>
              <w:snapToGrid w:val="0"/>
              <w:spacing w:line="360" w:lineRule="auto"/>
              <w:rPr>
                <w:rFonts w:ascii="宋体" w:hAnsi="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c>
          <w:tcPr>
            <w:tcW w:w="3081" w:type="dxa"/>
          </w:tcPr>
          <w:p>
            <w:pPr>
              <w:adjustRightInd w:val="0"/>
              <w:snapToGrid w:val="0"/>
              <w:spacing w:line="360" w:lineRule="auto"/>
              <w:rPr>
                <w:rFonts w:ascii="宋体" w:hAnsi="宋体"/>
                <w:kern w:val="0"/>
                <w:sz w:val="24"/>
                <w:szCs w:val="24"/>
                <w:highlight w:val="none"/>
              </w:rPr>
            </w:pPr>
          </w:p>
        </w:tc>
        <w:tc>
          <w:tcPr>
            <w:tcW w:w="1431" w:type="dxa"/>
          </w:tcPr>
          <w:p>
            <w:pPr>
              <w:adjustRightInd w:val="0"/>
              <w:snapToGrid w:val="0"/>
              <w:spacing w:line="360" w:lineRule="auto"/>
              <w:rPr>
                <w:rFonts w:ascii="宋体" w:hAnsi="宋体"/>
                <w:kern w:val="0"/>
                <w:sz w:val="24"/>
                <w:szCs w:val="24"/>
                <w:highlight w:val="none"/>
              </w:rPr>
            </w:pPr>
          </w:p>
        </w:tc>
        <w:tc>
          <w:tcPr>
            <w:tcW w:w="1160" w:type="dxa"/>
          </w:tcPr>
          <w:p>
            <w:pPr>
              <w:adjustRightInd w:val="0"/>
              <w:snapToGrid w:val="0"/>
              <w:spacing w:line="360" w:lineRule="auto"/>
              <w:rPr>
                <w:rFonts w:ascii="宋体" w:hAnsi="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c>
          <w:tcPr>
            <w:tcW w:w="3081" w:type="dxa"/>
          </w:tcPr>
          <w:p>
            <w:pPr>
              <w:adjustRightInd w:val="0"/>
              <w:snapToGrid w:val="0"/>
              <w:spacing w:line="360" w:lineRule="auto"/>
              <w:rPr>
                <w:rFonts w:ascii="宋体" w:hAnsi="宋体"/>
                <w:kern w:val="0"/>
                <w:sz w:val="24"/>
                <w:szCs w:val="24"/>
                <w:highlight w:val="none"/>
              </w:rPr>
            </w:pPr>
          </w:p>
        </w:tc>
        <w:tc>
          <w:tcPr>
            <w:tcW w:w="1431" w:type="dxa"/>
          </w:tcPr>
          <w:p>
            <w:pPr>
              <w:adjustRightInd w:val="0"/>
              <w:snapToGrid w:val="0"/>
              <w:spacing w:line="360" w:lineRule="auto"/>
              <w:rPr>
                <w:rFonts w:ascii="宋体" w:hAnsi="宋体"/>
                <w:kern w:val="0"/>
                <w:sz w:val="24"/>
                <w:szCs w:val="24"/>
                <w:highlight w:val="none"/>
              </w:rPr>
            </w:pPr>
          </w:p>
        </w:tc>
        <w:tc>
          <w:tcPr>
            <w:tcW w:w="1160" w:type="dxa"/>
          </w:tcPr>
          <w:p>
            <w:pPr>
              <w:adjustRightInd w:val="0"/>
              <w:snapToGrid w:val="0"/>
              <w:spacing w:line="360" w:lineRule="auto"/>
              <w:rPr>
                <w:rFonts w:ascii="宋体" w:hAnsi="宋体"/>
                <w:kern w:val="0"/>
                <w:sz w:val="24"/>
                <w:szCs w:val="24"/>
                <w:highlight w:val="none"/>
              </w:rPr>
            </w:pPr>
          </w:p>
        </w:tc>
      </w:tr>
    </w:tbl>
    <w:p>
      <w:pPr>
        <w:numPr>
          <w:ilvl w:val="0"/>
          <w:numId w:val="0"/>
        </w:numPr>
        <w:jc w:val="both"/>
        <w:rPr>
          <w:rFonts w:hint="eastAsia" w:ascii="仿宋" w:hAnsi="仿宋" w:eastAsia="仿宋" w:cs="仿宋"/>
          <w:b/>
          <w:sz w:val="24"/>
          <w:highlight w:val="none"/>
          <w:lang w:val="en-US" w:eastAsia="zh-CN"/>
        </w:rPr>
      </w:pPr>
    </w:p>
    <w:p>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pPr>
        <w:numPr>
          <w:ilvl w:val="0"/>
          <w:numId w:val="0"/>
        </w:numPr>
        <w:ind w:leftChars="0"/>
        <w:jc w:val="both"/>
        <w:rPr>
          <w:rFonts w:hint="eastAsia" w:ascii="仿宋" w:hAnsi="仿宋" w:eastAsia="仿宋" w:cs="仿宋"/>
          <w:b/>
          <w:sz w:val="24"/>
          <w:highlight w:val="none"/>
          <w:lang w:val="en-US" w:eastAsia="zh-CN"/>
        </w:rPr>
      </w:pPr>
    </w:p>
    <w:p>
      <w:pPr>
        <w:numPr>
          <w:ilvl w:val="0"/>
          <w:numId w:val="0"/>
        </w:numPr>
        <w:ind w:leftChars="0"/>
        <w:jc w:val="both"/>
        <w:rPr>
          <w:rFonts w:hint="eastAsia" w:ascii="仿宋" w:hAnsi="仿宋" w:eastAsia="仿宋" w:cs="仿宋"/>
          <w:b/>
          <w:sz w:val="24"/>
          <w:highlight w:val="none"/>
          <w:lang w:val="en-US" w:eastAsia="zh-CN"/>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746"/>
        <w:gridCol w:w="3706"/>
        <w:gridCol w:w="1350"/>
        <w:gridCol w:w="119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8" w:type="pct"/>
            <w:vAlign w:val="center"/>
          </w:tcPr>
          <w:p>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5" w:type="pct"/>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93" w:type="pct"/>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restart"/>
            <w:vAlign w:val="center"/>
          </w:tcPr>
          <w:p>
            <w:pPr>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w:t>
            </w:r>
          </w:p>
        </w:tc>
        <w:tc>
          <w:tcPr>
            <w:tcW w:w="438" w:type="pct"/>
            <w:vMerge w:val="restart"/>
            <w:vAlign w:val="center"/>
          </w:tcPr>
          <w:p>
            <w:pPr>
              <w:jc w:val="center"/>
              <w:rPr>
                <w:rFonts w:hint="eastAsia" w:ascii="仿宋" w:hAnsi="仿宋" w:eastAsia="仿宋" w:cs="仿宋"/>
                <w:b/>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后补式冷库（含库体、制冷主机系统、电气系统）</w:t>
            </w:r>
          </w:p>
        </w:tc>
        <w:tc>
          <w:tcPr>
            <w:tcW w:w="2175" w:type="pct"/>
            <w:shd w:val="clear" w:color="auto" w:fill="auto"/>
            <w:vAlign w:val="center"/>
          </w:tcPr>
          <w:p>
            <w:pPr>
              <w:widowControl/>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▲1.冷库的设计、建设应符合《疫苗流通和预防接种管理条例》、《疫苗储存和运输管理规范》《冷库设计规范》等规范。要求规划建设后备式疫苗冷藏库，规格：冷库</w:t>
            </w:r>
            <w:r>
              <w:rPr>
                <w:rFonts w:hint="eastAsia" w:ascii="宋体" w:hAnsi="宋体" w:eastAsia="宋体" w:cs="宋体"/>
                <w:color w:val="000000"/>
                <w:sz w:val="21"/>
                <w:szCs w:val="21"/>
                <w:lang w:val="en-US" w:eastAsia="zh-CN"/>
              </w:rPr>
              <w:t>容</w:t>
            </w:r>
            <w:r>
              <w:rPr>
                <w:rFonts w:hint="eastAsia" w:ascii="宋体" w:hAnsi="宋体" w:eastAsia="宋体" w:cs="宋体"/>
                <w:color w:val="000000"/>
                <w:sz w:val="21"/>
                <w:szCs w:val="21"/>
              </w:rPr>
              <w:t>积约≥15m³（按实际测量结果定制）。根据现场土建结构的实际情况，冷库要做到建筑空间利用最大化，冷库尽量要做到贴土建墙和土建梁安装。</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2.本项目所提交的系统应是通电即可使用的系统。其中包括招标文件中明确描述的以及有效完成系统功能所需的所有设备和服务。</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pStyle w:val="8"/>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▲3.</w:t>
            </w:r>
            <w:r>
              <w:rPr>
                <w:rFonts w:hint="eastAsia" w:ascii="宋体" w:hAnsi="宋体" w:eastAsia="宋体" w:cs="宋体"/>
                <w:i w:val="0"/>
                <w:iCs w:val="0"/>
                <w:color w:val="000000"/>
                <w:sz w:val="21"/>
                <w:szCs w:val="21"/>
                <w:u w:val="none"/>
                <w:lang w:val="en-US" w:eastAsia="zh-CN"/>
              </w:rPr>
              <w:t>组合冷库用隔热夹芯板</w:t>
            </w:r>
            <w:r>
              <w:rPr>
                <w:rFonts w:hint="eastAsia" w:ascii="宋体" w:hAnsi="宋体" w:eastAsia="宋体" w:cs="宋体"/>
                <w:color w:val="000000"/>
                <w:sz w:val="21"/>
                <w:szCs w:val="21"/>
              </w:rPr>
              <w:t>，采用偏心锁扣连接，玻璃胶密封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采用双面彩钢板中间加阻燃剂的聚氨酯发泡填充，阻燃</w:t>
            </w:r>
            <w:r>
              <w:rPr>
                <w:rFonts w:hint="eastAsia" w:ascii="宋体" w:hAnsi="宋体" w:eastAsia="宋体" w:cs="宋体"/>
                <w:i w:val="0"/>
                <w:iCs w:val="0"/>
                <w:color w:val="000000"/>
                <w:sz w:val="21"/>
                <w:szCs w:val="21"/>
                <w:u w:val="none"/>
                <w:lang w:val="en-US" w:eastAsia="zh-CN"/>
              </w:rPr>
              <w:t>等级≥B2级，厚度≥</w:t>
            </w:r>
            <w:r>
              <w:rPr>
                <w:rFonts w:hint="eastAsia" w:ascii="宋体" w:hAnsi="宋体" w:eastAsia="宋体" w:cs="宋体"/>
                <w:color w:val="000000"/>
                <w:sz w:val="21"/>
                <w:szCs w:val="21"/>
              </w:rPr>
              <w:t>100mm厚，密度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kg/m³；导热系数：≤0.02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W/(m.k)；</w:t>
            </w:r>
            <w:r>
              <w:rPr>
                <w:rFonts w:hint="eastAsia" w:ascii="宋体" w:hAnsi="宋体" w:eastAsia="宋体" w:cs="宋体"/>
                <w:color w:val="000000"/>
                <w:sz w:val="21"/>
                <w:szCs w:val="21"/>
                <w:lang w:val="en-US" w:eastAsia="zh-CN"/>
              </w:rPr>
              <w:t>夹芯板芯层与面板</w:t>
            </w:r>
            <w:r>
              <w:rPr>
                <w:rFonts w:hint="eastAsia" w:ascii="宋体" w:hAnsi="宋体" w:eastAsia="宋体" w:cs="宋体"/>
                <w:color w:val="000000"/>
                <w:sz w:val="21"/>
                <w:szCs w:val="21"/>
              </w:rPr>
              <w:t>粘结强度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＞0.1MPa；抗压强度：≥1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0kPa；</w:t>
            </w:r>
            <w:r>
              <w:rPr>
                <w:rFonts w:hint="eastAsia" w:ascii="宋体" w:hAnsi="宋体" w:eastAsia="宋体" w:cs="宋体"/>
                <w:color w:val="000000"/>
                <w:sz w:val="21"/>
                <w:szCs w:val="21"/>
                <w:lang w:val="en-US" w:eastAsia="zh-CN"/>
              </w:rPr>
              <w:t>平均燃烧时间</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90s</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平均燃烧范围：</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50mm</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每个剥离面的粘结面积：</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粘结在面材上的芯材：应均匀分布</w:t>
            </w:r>
            <w:r>
              <w:rPr>
                <w:rFonts w:hint="eastAsia" w:ascii="宋体" w:hAnsi="宋体" w:eastAsia="宋体" w:cs="宋体"/>
                <w:color w:val="000000"/>
                <w:sz w:val="21"/>
                <w:szCs w:val="21"/>
              </w:rPr>
              <w:t>。</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库体其它：</w:t>
            </w:r>
            <w:r>
              <w:rPr>
                <w:rFonts w:hint="eastAsia" w:ascii="宋体" w:hAnsi="宋体" w:eastAsia="宋体" w:cs="宋体"/>
                <w:i w:val="0"/>
                <w:iCs w:val="0"/>
                <w:color w:val="000000"/>
                <w:kern w:val="0"/>
                <w:sz w:val="21"/>
                <w:szCs w:val="21"/>
                <w:u w:val="none"/>
                <w:lang w:val="en-US" w:eastAsia="zh-CN" w:bidi="ar"/>
              </w:rPr>
              <w:t>①冷库手拉门（单开）：700*1800*100mm, 双面彩钢板，带锁；②中空玻璃门：600*1610mm,含装饰边框，真空玻璃带加热丝防凝露；③隔板货架：固定孔位，层高可调，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7层隔板；④电磁密码锁：密码和刷卡两种方式开门，配卡</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电磁锁</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密码键盘；⑤地面防滑不锈钢板：</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2.0mm厚；玻璃胶粘贴，定制铝合金压条收口</w:t>
            </w:r>
            <w:r>
              <w:rPr>
                <w:rFonts w:hint="eastAsia" w:ascii="宋体" w:hAnsi="宋体" w:eastAsia="宋体" w:cs="宋体"/>
                <w:color w:val="000000"/>
                <w:kern w:val="0"/>
                <w:sz w:val="21"/>
                <w:szCs w:val="21"/>
              </w:rPr>
              <w:t>。</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w:t>
            </w:r>
            <w:r>
              <w:rPr>
                <w:rFonts w:hint="eastAsia" w:ascii="宋体" w:hAnsi="宋体" w:eastAsia="宋体" w:cs="宋体"/>
                <w:i w:val="0"/>
                <w:iCs w:val="0"/>
                <w:color w:val="000000"/>
                <w:kern w:val="0"/>
                <w:sz w:val="21"/>
                <w:szCs w:val="21"/>
                <w:u w:val="none"/>
                <w:lang w:val="en-US" w:eastAsia="zh-CN" w:bidi="ar"/>
              </w:rPr>
              <w:t>室外机组：压缩机和冷凝器整装出厂，与库内蒸发器分体式连接,采用风冷箱式压缩机组，整机一体出厂，具备以下功能:广泛的使用工况，蒸发温度范围要求从-20℃-5℃。</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6.</w:t>
            </w:r>
            <w:r>
              <w:rPr>
                <w:rFonts w:hint="eastAsia" w:ascii="宋体" w:hAnsi="宋体" w:eastAsia="宋体" w:cs="宋体"/>
                <w:i w:val="0"/>
                <w:iCs w:val="0"/>
                <w:color w:val="000000"/>
                <w:kern w:val="0"/>
                <w:sz w:val="21"/>
                <w:szCs w:val="21"/>
                <w:u w:val="none"/>
                <w:lang w:val="en-US" w:eastAsia="zh-CN" w:bidi="ar"/>
              </w:rPr>
              <w:t>吊顶式高效冷风机：高效静音风机，吊顶式前出风后回风的冷风机型蒸发器；随机标配加热丝橡胶冷凝水外排装置，可整体取出维修；风机风量</w:t>
            </w:r>
            <w:r>
              <w:rPr>
                <w:rStyle w:val="5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1835m³/H;名义冷量≥5300W；220V；50HZ;化霜功率≥2740W</w:t>
            </w:r>
            <w:r>
              <w:rPr>
                <w:rFonts w:hint="eastAsia" w:ascii="宋体" w:hAnsi="宋体" w:eastAsia="宋体" w:cs="宋体"/>
                <w:color w:val="000000"/>
                <w:kern w:val="0"/>
                <w:sz w:val="21"/>
                <w:szCs w:val="21"/>
              </w:rPr>
              <w:t>。</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磷脱氧铜管，Φ10/Φ16mm，B1级保温</w:t>
            </w:r>
            <w:r>
              <w:rPr>
                <w:rFonts w:hint="eastAsia" w:ascii="宋体" w:hAnsi="宋体" w:eastAsia="宋体" w:cs="宋体"/>
                <w:color w:val="000000"/>
                <w:kern w:val="0"/>
                <w:sz w:val="21"/>
                <w:szCs w:val="21"/>
              </w:rPr>
              <w:t>。</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系统在冷库（空库）密封情况下，</w:t>
            </w:r>
            <w:r>
              <w:rPr>
                <w:rFonts w:hint="eastAsia" w:ascii="宋体" w:hAnsi="宋体" w:eastAsia="宋体" w:cs="宋体"/>
                <w:color w:val="000000"/>
                <w:kern w:val="0"/>
                <w:sz w:val="21"/>
                <w:szCs w:val="21"/>
                <w:u w:val="none"/>
                <w:lang w:val="en-US" w:eastAsia="zh-CN" w:bidi="ar"/>
              </w:rPr>
              <w:t>6</w:t>
            </w:r>
            <w:r>
              <w:rPr>
                <w:rFonts w:hint="eastAsia" w:ascii="宋体" w:hAnsi="宋体" w:eastAsia="宋体" w:cs="宋体"/>
                <w:color w:val="000000"/>
                <w:kern w:val="0"/>
                <w:sz w:val="21"/>
                <w:szCs w:val="21"/>
                <w:u w:val="none"/>
                <w:lang w:bidi="ar"/>
              </w:rPr>
              <w:t>0分钟内达到冷库温度要求</w:t>
            </w:r>
            <w:r>
              <w:rPr>
                <w:rFonts w:hint="eastAsia" w:ascii="宋体" w:hAnsi="宋体" w:eastAsia="宋体" w:cs="宋体"/>
                <w:color w:val="000000"/>
                <w:kern w:val="0"/>
                <w:sz w:val="21"/>
                <w:szCs w:val="21"/>
                <w:u w:val="none"/>
                <w:lang w:eastAsia="zh-CN" w:bidi="ar"/>
              </w:rPr>
              <w:t>：</w:t>
            </w:r>
            <w:r>
              <w:rPr>
                <w:rFonts w:hint="eastAsia" w:ascii="宋体" w:hAnsi="宋体" w:eastAsia="宋体" w:cs="宋体"/>
                <w:color w:val="000000"/>
                <w:kern w:val="0"/>
                <w:sz w:val="21"/>
                <w:szCs w:val="21"/>
                <w:u w:val="none"/>
                <w:lang w:val="en-US" w:eastAsia="zh-CN" w:bidi="ar"/>
              </w:rPr>
              <w:t>2-8</w:t>
            </w:r>
            <w:r>
              <w:rPr>
                <w:rFonts w:hint="eastAsia" w:ascii="宋体" w:hAnsi="宋体" w:eastAsia="宋体" w:cs="宋体"/>
                <w:color w:val="000000"/>
                <w:kern w:val="0"/>
                <w:sz w:val="21"/>
                <w:szCs w:val="21"/>
                <w:u w:val="none"/>
                <w:lang w:bidi="ar"/>
              </w:rPr>
              <w:t>℃（当环境温度为+38℃～+42℃时）</w:t>
            </w:r>
            <w:r>
              <w:rPr>
                <w:rFonts w:hint="eastAsia" w:ascii="宋体" w:hAnsi="宋体" w:eastAsia="宋体" w:cs="宋体"/>
                <w:color w:val="000000"/>
                <w:kern w:val="0"/>
                <w:sz w:val="21"/>
                <w:szCs w:val="21"/>
                <w:u w:val="none"/>
                <w:lang w:eastAsia="zh-CN" w:bidi="ar"/>
              </w:rPr>
              <w:t>。</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.冷库具有自动定时和强制除霜功能；做好蒸发器化霜后的积水排放处理，冷库内不能有积水。</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电气系统：</w:t>
            </w:r>
            <w:r>
              <w:rPr>
                <w:rFonts w:hint="eastAsia" w:ascii="宋体" w:hAnsi="宋体" w:eastAsia="宋体" w:cs="宋体"/>
                <w:color w:val="000000"/>
                <w:kern w:val="0"/>
                <w:sz w:val="21"/>
                <w:szCs w:val="21"/>
              </w:rPr>
              <w:t>冷库制冷系统配置智能控制功能，达到完全智能运行，无需人员值守和操作。</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.冷库采用智能控制系统，数字屏显示。一套系统故障，可实现故障切换。智能控制系统设计合理，使用简便。</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pPr>
              <w:jc w:val="center"/>
              <w:rPr>
                <w:rFonts w:hint="eastAsia" w:ascii="仿宋" w:hAnsi="仿宋" w:eastAsia="仿宋" w:cs="仿宋"/>
                <w:b/>
                <w:sz w:val="24"/>
                <w:szCs w:val="24"/>
                <w:highlight w:val="none"/>
              </w:rPr>
            </w:pPr>
          </w:p>
        </w:tc>
        <w:tc>
          <w:tcPr>
            <w:tcW w:w="438" w:type="pct"/>
            <w:vMerge w:val="continue"/>
            <w:vAlign w:val="center"/>
          </w:tcPr>
          <w:p>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双倍输出：采用智能控制方式，1）可通过智能控制系统自动控制两套制冷系统，达到用户设定条件下可以同时开启，输出双倍制冷量。应对非正常工作情况的发生；2）输出异常信号，发出声光报警。</w:t>
            </w:r>
          </w:p>
        </w:tc>
        <w:tc>
          <w:tcPr>
            <w:tcW w:w="792" w:type="pct"/>
            <w:vAlign w:val="center"/>
          </w:tcPr>
          <w:p>
            <w:pPr>
              <w:jc w:val="center"/>
              <w:rPr>
                <w:rFonts w:hint="eastAsia" w:ascii="仿宋" w:hAnsi="仿宋" w:eastAsia="仿宋" w:cs="仿宋"/>
                <w:b/>
                <w:sz w:val="24"/>
                <w:szCs w:val="24"/>
                <w:highlight w:val="none"/>
              </w:rPr>
            </w:pPr>
          </w:p>
        </w:tc>
        <w:tc>
          <w:tcPr>
            <w:tcW w:w="699" w:type="pct"/>
            <w:vAlign w:val="center"/>
          </w:tcPr>
          <w:p>
            <w:pPr>
              <w:jc w:val="center"/>
              <w:rPr>
                <w:rFonts w:hint="eastAsia" w:ascii="仿宋" w:hAnsi="仿宋" w:eastAsia="仿宋" w:cs="仿宋"/>
                <w:b/>
                <w:sz w:val="24"/>
                <w:szCs w:val="24"/>
                <w:highlight w:val="none"/>
              </w:rPr>
            </w:pPr>
          </w:p>
        </w:tc>
        <w:tc>
          <w:tcPr>
            <w:tcW w:w="593" w:type="pct"/>
            <w:vAlign w:val="center"/>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pPr>
              <w:jc w:val="center"/>
              <w:rPr>
                <w:rFonts w:hint="eastAsia" w:ascii="仿宋" w:hAnsi="仿宋" w:eastAsia="仿宋" w:cs="仿宋"/>
                <w:b/>
                <w:sz w:val="24"/>
                <w:szCs w:val="24"/>
                <w:highlight w:val="none"/>
              </w:rPr>
            </w:pPr>
          </w:p>
        </w:tc>
        <w:tc>
          <w:tcPr>
            <w:tcW w:w="438" w:type="pct"/>
            <w:vMerge w:val="continue"/>
          </w:tcPr>
          <w:p>
            <w:pPr>
              <w:jc w:val="center"/>
              <w:rPr>
                <w:rFonts w:hint="eastAsia" w:ascii="仿宋" w:hAnsi="仿宋" w:eastAsia="仿宋" w:cs="仿宋"/>
                <w:b/>
                <w:sz w:val="24"/>
                <w:szCs w:val="24"/>
                <w:highlight w:val="none"/>
                <w:lang w:val="en-US" w:eastAsia="zh-CN"/>
              </w:rPr>
            </w:pPr>
          </w:p>
        </w:tc>
        <w:tc>
          <w:tcPr>
            <w:tcW w:w="0" w:type="auto"/>
            <w:shd w:val="clear" w:color="auto" w:fill="auto"/>
            <w:vAlign w:val="center"/>
          </w:tcPr>
          <w:p>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13</w:t>
            </w:r>
            <w:r>
              <w:rPr>
                <w:rFonts w:hint="eastAsia" w:ascii="宋体" w:hAnsi="宋体" w:eastAsia="宋体" w:cs="宋体"/>
                <w:color w:val="000000"/>
                <w:sz w:val="21"/>
                <w:szCs w:val="21"/>
              </w:rPr>
              <w:t>.支持微信报警处理，能够在微信端处理报警，允许提交处理现场的照片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并提供证明文件。</w:t>
            </w: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pPr>
              <w:jc w:val="center"/>
              <w:rPr>
                <w:rFonts w:hint="eastAsia" w:ascii="仿宋" w:hAnsi="仿宋" w:eastAsia="仿宋" w:cs="仿宋"/>
                <w:b/>
                <w:sz w:val="24"/>
                <w:szCs w:val="24"/>
                <w:highlight w:val="none"/>
              </w:rPr>
            </w:pPr>
          </w:p>
        </w:tc>
        <w:tc>
          <w:tcPr>
            <w:tcW w:w="438" w:type="pct"/>
            <w:vMerge w:val="continue"/>
          </w:tcPr>
          <w:p>
            <w:pPr>
              <w:jc w:val="center"/>
              <w:rPr>
                <w:rFonts w:hint="eastAsia" w:ascii="仿宋" w:hAnsi="仿宋" w:eastAsia="仿宋" w:cs="仿宋"/>
                <w:b/>
                <w:sz w:val="24"/>
                <w:szCs w:val="24"/>
                <w:highlight w:val="none"/>
                <w:lang w:val="en-US" w:eastAsia="zh-CN"/>
              </w:rPr>
            </w:pPr>
          </w:p>
        </w:tc>
        <w:tc>
          <w:tcPr>
            <w:tcW w:w="0" w:type="auto"/>
            <w:shd w:val="clear" w:color="auto" w:fill="auto"/>
            <w:vAlign w:val="center"/>
          </w:tcPr>
          <w:p>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14.</w:t>
            </w:r>
            <w:r>
              <w:rPr>
                <w:rFonts w:hint="eastAsia" w:ascii="宋体" w:hAnsi="宋体" w:eastAsia="宋体" w:cs="宋体"/>
                <w:color w:val="000000"/>
                <w:sz w:val="21"/>
                <w:szCs w:val="21"/>
              </w:rPr>
              <w:t>支持微信端单台设备的状态查看，能够实时查询单台设备的状态信息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并提供证明图片</w:t>
            </w: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restart"/>
            <w:vAlign w:val="center"/>
          </w:tcPr>
          <w:p>
            <w:pPr>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438" w:type="pct"/>
            <w:vMerge w:val="restart"/>
            <w:vAlign w:val="center"/>
          </w:tcPr>
          <w:p>
            <w:pPr>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发电机</w:t>
            </w:r>
          </w:p>
        </w:tc>
        <w:tc>
          <w:tcPr>
            <w:tcW w:w="0" w:type="auto"/>
            <w:shd w:val="clear" w:color="auto" w:fill="auto"/>
            <w:vAlign w:val="top"/>
          </w:tcPr>
          <w:p>
            <w:pPr>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kern w:val="2"/>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.功率≥8000瓦，额定功率（KVA）≥7300瓦。</w:t>
            </w: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pPr>
              <w:jc w:val="center"/>
              <w:rPr>
                <w:rFonts w:hint="eastAsia" w:ascii="仿宋" w:hAnsi="仿宋" w:eastAsia="仿宋" w:cs="仿宋"/>
                <w:b/>
                <w:sz w:val="24"/>
                <w:szCs w:val="24"/>
                <w:highlight w:val="none"/>
              </w:rPr>
            </w:pPr>
          </w:p>
        </w:tc>
        <w:tc>
          <w:tcPr>
            <w:tcW w:w="438" w:type="pct"/>
            <w:vMerge w:val="continue"/>
          </w:tcPr>
          <w:p>
            <w:pPr>
              <w:jc w:val="center"/>
              <w:rPr>
                <w:rFonts w:hint="eastAsia" w:ascii="仿宋" w:hAnsi="仿宋" w:eastAsia="仿宋" w:cs="仿宋"/>
                <w:b/>
                <w:sz w:val="24"/>
                <w:szCs w:val="24"/>
                <w:highlight w:val="none"/>
                <w:lang w:val="en-US" w:eastAsia="zh-CN"/>
              </w:rPr>
            </w:pPr>
          </w:p>
        </w:tc>
        <w:tc>
          <w:tcPr>
            <w:tcW w:w="0" w:type="auto"/>
            <w:shd w:val="clear" w:color="auto" w:fill="auto"/>
            <w:vAlign w:val="top"/>
          </w:tcPr>
          <w:p>
            <w:pPr>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.柴油总升数≥1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L，手电一体启动。</w:t>
            </w: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pPr>
              <w:jc w:val="center"/>
              <w:rPr>
                <w:rFonts w:hint="eastAsia" w:ascii="仿宋" w:hAnsi="仿宋" w:eastAsia="仿宋" w:cs="仿宋"/>
                <w:b/>
                <w:sz w:val="24"/>
                <w:szCs w:val="24"/>
                <w:highlight w:val="none"/>
              </w:rPr>
            </w:pPr>
          </w:p>
        </w:tc>
        <w:tc>
          <w:tcPr>
            <w:tcW w:w="438" w:type="pct"/>
            <w:vMerge w:val="continue"/>
          </w:tcPr>
          <w:p>
            <w:pPr>
              <w:jc w:val="center"/>
              <w:rPr>
                <w:rFonts w:hint="eastAsia" w:ascii="仿宋" w:hAnsi="仿宋" w:eastAsia="仿宋" w:cs="仿宋"/>
                <w:b/>
                <w:sz w:val="24"/>
                <w:szCs w:val="24"/>
                <w:highlight w:val="none"/>
                <w:lang w:val="en-US" w:eastAsia="zh-CN"/>
              </w:rPr>
            </w:pPr>
          </w:p>
        </w:tc>
        <w:tc>
          <w:tcPr>
            <w:tcW w:w="0" w:type="auto"/>
            <w:shd w:val="clear" w:color="auto" w:fill="auto"/>
            <w:vAlign w:val="top"/>
          </w:tcPr>
          <w:p>
            <w:pPr>
              <w:widowControl/>
              <w:spacing w:after="0" w:line="30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.发电机配备ATS双电源自动切换开关，一旦电路因检修或是发生故障，发电机能够迅速的启动供电。当电路恢复供电时，发电机将自动停止供电。</w:t>
            </w: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c>
          <w:tcPr>
            <w:tcW w:w="0" w:type="auto"/>
          </w:tcPr>
          <w:p>
            <w:pPr>
              <w:jc w:val="center"/>
              <w:rPr>
                <w:rFonts w:hint="eastAsia" w:ascii="仿宋" w:hAnsi="仿宋" w:eastAsia="仿宋" w:cs="仿宋"/>
                <w:b/>
                <w:sz w:val="24"/>
                <w:szCs w:val="24"/>
                <w:highlight w:val="none"/>
              </w:rPr>
            </w:pPr>
          </w:p>
        </w:tc>
      </w:tr>
    </w:tbl>
    <w:p>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numPr>
          <w:ilvl w:val="0"/>
          <w:numId w:val="0"/>
        </w:numPr>
        <w:jc w:val="both"/>
        <w:rPr>
          <w:rFonts w:hint="eastAsia" w:ascii="仿宋" w:hAnsi="仿宋" w:eastAsia="仿宋" w:cs="仿宋"/>
          <w:b/>
          <w:sz w:val="24"/>
          <w:highlight w:val="none"/>
          <w:lang w:val="en-US" w:eastAsia="zh-CN"/>
        </w:rPr>
      </w:pPr>
    </w:p>
    <w:p>
      <w:pPr>
        <w:adjustRightInd w:val="0"/>
        <w:snapToGrid w:val="0"/>
        <w:spacing w:line="300" w:lineRule="auto"/>
        <w:ind w:firstLine="537" w:firstLineChars="224"/>
        <w:rPr>
          <w:rFonts w:hint="eastAsia" w:ascii="仿宋" w:hAnsi="仿宋" w:eastAsia="仿宋" w:cs="仿宋"/>
          <w:sz w:val="24"/>
          <w:highlight w:val="none"/>
        </w:rPr>
      </w:pPr>
    </w:p>
    <w:p>
      <w:pPr>
        <w:outlineLvl w:val="2"/>
        <w:rPr>
          <w:rFonts w:hint="eastAsia" w:ascii="仿宋" w:hAnsi="仿宋" w:eastAsia="仿宋" w:cs="仿宋"/>
          <w:b/>
          <w:sz w:val="24"/>
          <w:highlight w:val="none"/>
          <w:lang w:val="en-US" w:eastAsia="zh-CN"/>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八、合同条款及格式</w:t>
      </w:r>
    </w:p>
    <w:p>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pPr>
        <w:jc w:val="center"/>
        <w:rPr>
          <w:rFonts w:hint="eastAsia" w:ascii="宋体" w:hAnsi="宋体" w:cs="仿宋"/>
          <w:b/>
          <w:bCs/>
          <w:sz w:val="36"/>
          <w:szCs w:val="36"/>
          <w:lang w:val="en-US" w:eastAsia="zh-CN"/>
        </w:rPr>
      </w:pPr>
      <w:r>
        <w:rPr>
          <w:rFonts w:hint="eastAsia" w:ascii="宋体" w:hAnsi="宋体" w:cs="黑体"/>
          <w:b/>
          <w:sz w:val="36"/>
          <w:szCs w:val="36"/>
        </w:rPr>
        <w:t>深圳市龙岗中心医院</w:t>
      </w:r>
      <w:r>
        <w:rPr>
          <w:rFonts w:hint="eastAsia" w:ascii="宋体" w:hAnsi="宋体" w:cs="仿宋"/>
          <w:b/>
          <w:bCs/>
          <w:sz w:val="36"/>
          <w:szCs w:val="36"/>
          <w:lang w:val="en-US" w:eastAsia="zh-CN"/>
        </w:rPr>
        <w:t>********</w:t>
      </w:r>
    </w:p>
    <w:p>
      <w:pPr>
        <w:jc w:val="center"/>
        <w:rPr>
          <w:rFonts w:asciiTheme="minorEastAsia" w:hAnsiTheme="minorEastAsia" w:eastAsiaTheme="minorEastAsia"/>
          <w:sz w:val="44"/>
          <w:szCs w:val="44"/>
        </w:rPr>
      </w:pPr>
      <w:r>
        <w:rPr>
          <w:rFonts w:hint="eastAsia" w:ascii="宋体" w:hAnsi="宋体" w:cs="仿宋"/>
          <w:b/>
          <w:bCs/>
          <w:sz w:val="36"/>
          <w:szCs w:val="36"/>
        </w:rPr>
        <w:t>社康后补式冷库</w:t>
      </w:r>
      <w:r>
        <w:rPr>
          <w:rFonts w:hint="eastAsia" w:ascii="宋体" w:hAnsi="宋体" w:cs="黑体"/>
          <w:b/>
          <w:sz w:val="36"/>
          <w:szCs w:val="36"/>
        </w:rPr>
        <w:t>项目</w:t>
      </w:r>
      <w:r>
        <w:rPr>
          <w:rFonts w:hint="eastAsia" w:ascii="宋体" w:hAnsi="宋体"/>
          <w:b/>
          <w:sz w:val="36"/>
          <w:szCs w:val="36"/>
        </w:rPr>
        <w:t>合同</w:t>
      </w:r>
    </w:p>
    <w:p>
      <w:pPr>
        <w:spacing w:line="400" w:lineRule="exact"/>
        <w:jc w:val="left"/>
        <w:rPr>
          <w:rFonts w:ascii="宋体" w:hAnsi="宋体"/>
          <w:szCs w:val="21"/>
        </w:rPr>
      </w:pPr>
      <w:r>
        <w:rPr>
          <w:rFonts w:hint="eastAsia" w:ascii="宋体" w:hAnsi="宋体"/>
          <w:szCs w:val="21"/>
        </w:rPr>
        <w:t>甲方：</w:t>
      </w:r>
      <w:r>
        <w:rPr>
          <w:rFonts w:hint="eastAsia" w:ascii="宋体" w:hAnsi="宋体"/>
          <w:szCs w:val="21"/>
          <w:u w:val="single"/>
        </w:rPr>
        <w:t>深圳市龙岗中心医院</w:t>
      </w:r>
    </w:p>
    <w:p>
      <w:pPr>
        <w:spacing w:line="400" w:lineRule="exact"/>
        <w:jc w:val="left"/>
        <w:rPr>
          <w:rFonts w:hint="default" w:ascii="宋体" w:hAnsi="宋体" w:eastAsia="宋体"/>
          <w:szCs w:val="21"/>
          <w:lang w:val="en-US" w:eastAsia="zh-CN"/>
        </w:rPr>
      </w:pPr>
      <w:r>
        <w:rPr>
          <w:rFonts w:hint="eastAsia" w:ascii="宋体" w:hAnsi="宋体"/>
          <w:szCs w:val="21"/>
        </w:rPr>
        <w:t>乙方：</w:t>
      </w:r>
      <w:r>
        <w:rPr>
          <w:rFonts w:hint="eastAsia" w:ascii="宋体" w:hAnsi="宋体" w:cs="宋体"/>
          <w:color w:val="000000" w:themeColor="text1"/>
          <w:szCs w:val="21"/>
          <w:u w:val="single"/>
          <w:lang w:val="en-US" w:eastAsia="zh-CN"/>
          <w14:textFill>
            <w14:solidFill>
              <w14:schemeClr w14:val="tx1"/>
            </w14:solidFill>
          </w14:textFill>
        </w:rPr>
        <w:t>**********</w:t>
      </w:r>
    </w:p>
    <w:p>
      <w:pPr>
        <w:jc w:val="center"/>
        <w:rPr>
          <w:rFonts w:ascii="宋体" w:hAnsi="宋体"/>
          <w:szCs w:val="21"/>
        </w:rPr>
      </w:pPr>
      <w:bookmarkStart w:id="12" w:name="_Toc32645"/>
      <w:r>
        <w:rPr>
          <w:rFonts w:hint="eastAsia" w:ascii="宋体" w:hAnsi="宋体"/>
          <w:szCs w:val="21"/>
          <w:lang w:val="en-US" w:eastAsia="zh-CN"/>
        </w:rPr>
        <w:t xml:space="preserve"> </w:t>
      </w:r>
      <w:r>
        <w:rPr>
          <w:rFonts w:hint="eastAsia" w:ascii="宋体" w:hAnsi="宋体"/>
          <w:szCs w:val="21"/>
        </w:rPr>
        <w:t>根据</w:t>
      </w:r>
      <w:r>
        <w:rPr>
          <w:rFonts w:hint="eastAsia" w:ascii="宋体" w:hAnsi="宋体"/>
          <w:szCs w:val="21"/>
          <w:u w:val="single"/>
        </w:rPr>
        <w:t>项目名称：</w:t>
      </w:r>
      <w:r>
        <w:rPr>
          <w:rFonts w:hint="eastAsia" w:ascii="宋体" w:hAnsi="宋体"/>
          <w:b w:val="0"/>
          <w:bCs/>
          <w:color w:val="auto"/>
          <w:sz w:val="21"/>
          <w:szCs w:val="21"/>
          <w:u w:val="single"/>
          <w:lang w:eastAsia="zh-CN"/>
        </w:rPr>
        <w:t>********社康中心后补式冷库采购</w:t>
      </w:r>
      <w:r>
        <w:rPr>
          <w:rFonts w:hint="eastAsia" w:ascii="宋体" w:hAnsi="宋体" w:cs="宋体"/>
          <w:b w:val="0"/>
          <w:bCs/>
          <w:szCs w:val="21"/>
          <w:u w:val="single"/>
          <w:lang w:eastAsia="zh-CN"/>
        </w:rPr>
        <w:t>；</w:t>
      </w:r>
      <w:r>
        <w:rPr>
          <w:rFonts w:hint="eastAsia" w:ascii="宋体" w:hAnsi="宋体" w:eastAsia="宋体" w:cs="宋体"/>
          <w:szCs w:val="21"/>
          <w:u w:val="single"/>
        </w:rPr>
        <w:t>项目编号：</w:t>
      </w:r>
      <w:r>
        <w:rPr>
          <w:rFonts w:hint="eastAsia" w:ascii="宋体" w:hAnsi="宋体" w:cs="宋体"/>
          <w:szCs w:val="21"/>
          <w:u w:val="single"/>
          <w:lang w:val="en-US" w:eastAsia="zh-CN"/>
        </w:rPr>
        <w:t>*******</w:t>
      </w:r>
      <w:r>
        <w:rPr>
          <w:rFonts w:hint="eastAsia" w:ascii="宋体" w:hAnsi="宋体"/>
          <w:szCs w:val="21"/>
        </w:rPr>
        <w:t>的采购文件，按照《中华人民共和国民法典》、《中华人民共和国政府采购法》、《深圳经济特区政府采购条例》等相关法律法规的规定，甲乙双方经协商一致，达成以下合同条款：</w:t>
      </w:r>
      <w:bookmarkEnd w:id="12"/>
      <w:r>
        <w:rPr>
          <w:rFonts w:ascii="宋体" w:hAnsi="宋体"/>
          <w:szCs w:val="21"/>
        </w:rPr>
        <w:t xml:space="preserve"> </w:t>
      </w:r>
    </w:p>
    <w:p>
      <w:pPr>
        <w:spacing w:line="360" w:lineRule="exact"/>
        <w:jc w:val="left"/>
        <w:rPr>
          <w:rFonts w:ascii="宋体" w:hAnsi="宋体"/>
          <w:sz w:val="24"/>
        </w:rPr>
      </w:pPr>
      <w:r>
        <w:rPr>
          <w:rFonts w:hint="eastAsia" w:ascii="宋体" w:hAnsi="宋体"/>
          <w:b/>
          <w:sz w:val="24"/>
        </w:rPr>
        <w:t>一、合同标的</w:t>
      </w:r>
    </w:p>
    <w:p>
      <w:pPr>
        <w:spacing w:line="360" w:lineRule="exact"/>
        <w:jc w:val="left"/>
        <w:rPr>
          <w:rFonts w:ascii="宋体" w:hAnsi="宋体"/>
          <w:szCs w:val="21"/>
        </w:rPr>
      </w:pPr>
      <w:r>
        <w:rPr>
          <w:rFonts w:hint="eastAsia" w:ascii="宋体" w:hAnsi="宋体"/>
          <w:szCs w:val="21"/>
        </w:rPr>
        <w:t>1、</w:t>
      </w:r>
      <w:r>
        <w:rPr>
          <w:rFonts w:ascii="宋体" w:hAnsi="宋体"/>
          <w:szCs w:val="21"/>
        </w:rPr>
        <w:t>乙方根据甲方需求提供下列货物：货物名称、规格及数量详见</w:t>
      </w:r>
      <w:r>
        <w:rPr>
          <w:rFonts w:ascii="宋体" w:hAnsi="宋体"/>
          <w:bCs/>
          <w:szCs w:val="21"/>
        </w:rPr>
        <w:t xml:space="preserve">下表 </w:t>
      </w:r>
      <w:r>
        <w:rPr>
          <w:rFonts w:ascii="宋体" w:hAnsi="宋体"/>
          <w:szCs w:val="21"/>
        </w:rPr>
        <w:t>。</w:t>
      </w:r>
    </w:p>
    <w:tbl>
      <w:tblPr>
        <w:tblStyle w:val="19"/>
        <w:tblW w:w="498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166"/>
        <w:gridCol w:w="1389"/>
        <w:gridCol w:w="538"/>
        <w:gridCol w:w="588"/>
        <w:gridCol w:w="1039"/>
        <w:gridCol w:w="1298"/>
        <w:gridCol w:w="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序号</w:t>
            </w:r>
          </w:p>
        </w:tc>
        <w:tc>
          <w:tcPr>
            <w:tcW w:w="127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37"/>
              </w:tabs>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产品名称</w:t>
            </w:r>
          </w:p>
        </w:tc>
        <w:tc>
          <w:tcPr>
            <w:tcW w:w="81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规格型号</w:t>
            </w:r>
          </w:p>
        </w:tc>
        <w:tc>
          <w:tcPr>
            <w:tcW w:w="3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数量</w:t>
            </w:r>
          </w:p>
        </w:tc>
        <w:tc>
          <w:tcPr>
            <w:tcW w:w="3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单</w:t>
            </w:r>
            <w:r>
              <w:rPr>
                <w:rFonts w:hint="eastAsia" w:ascii="宋体" w:hAnsi="宋体" w:eastAsia="宋体" w:cs="宋体"/>
                <w:b w:val="0"/>
                <w:bCs w:val="0"/>
                <w:sz w:val="18"/>
                <w:szCs w:val="18"/>
              </w:rPr>
              <w:t>位</w:t>
            </w:r>
          </w:p>
        </w:tc>
        <w:tc>
          <w:tcPr>
            <w:tcW w:w="6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单价</w:t>
            </w:r>
          </w:p>
        </w:tc>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总价</w:t>
            </w:r>
          </w:p>
        </w:tc>
        <w:tc>
          <w:tcPr>
            <w:tcW w:w="5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1</w:t>
            </w:r>
          </w:p>
        </w:tc>
        <w:tc>
          <w:tcPr>
            <w:tcW w:w="127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后补式冷库（含温控系统）</w:t>
            </w:r>
          </w:p>
        </w:tc>
        <w:tc>
          <w:tcPr>
            <w:tcW w:w="81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en-US" w:eastAsia="zh-CN"/>
              </w:rPr>
            </w:pPr>
          </w:p>
        </w:tc>
        <w:tc>
          <w:tcPr>
            <w:tcW w:w="3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1</w:t>
            </w:r>
          </w:p>
        </w:tc>
        <w:tc>
          <w:tcPr>
            <w:tcW w:w="3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套</w:t>
            </w:r>
          </w:p>
        </w:tc>
        <w:tc>
          <w:tcPr>
            <w:tcW w:w="6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kern w:val="2"/>
                <w:sz w:val="18"/>
                <w:szCs w:val="18"/>
                <w:lang w:val="zh-CN" w:eastAsia="zh-CN" w:bidi="ar-SA"/>
              </w:rPr>
            </w:pPr>
          </w:p>
        </w:tc>
        <w:tc>
          <w:tcPr>
            <w:tcW w:w="552" w:type="pct"/>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color w:val="auto"/>
                <w:sz w:val="18"/>
                <w:szCs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p>
        </w:tc>
        <w:tc>
          <w:tcPr>
            <w:tcW w:w="127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发电机</w:t>
            </w:r>
          </w:p>
        </w:tc>
        <w:tc>
          <w:tcPr>
            <w:tcW w:w="81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en-US" w:eastAsia="zh-CN"/>
              </w:rPr>
            </w:pPr>
          </w:p>
        </w:tc>
        <w:tc>
          <w:tcPr>
            <w:tcW w:w="3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1</w:t>
            </w:r>
          </w:p>
        </w:tc>
        <w:tc>
          <w:tcPr>
            <w:tcW w:w="3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台</w:t>
            </w:r>
          </w:p>
        </w:tc>
        <w:tc>
          <w:tcPr>
            <w:tcW w:w="6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kern w:val="2"/>
                <w:sz w:val="18"/>
                <w:szCs w:val="18"/>
                <w:lang w:val="zh-CN" w:eastAsia="zh-CN" w:bidi="ar-SA"/>
              </w:rPr>
            </w:pPr>
          </w:p>
        </w:tc>
        <w:tc>
          <w:tcPr>
            <w:tcW w:w="552" w:type="pct"/>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z w:val="18"/>
                <w:szCs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590" w:type="pct"/>
            <w:gridSpan w:val="2"/>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小计</w:t>
            </w:r>
          </w:p>
        </w:tc>
        <w:tc>
          <w:tcPr>
            <w:tcW w:w="2092"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552" w:type="pc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合计：小写：</w:t>
            </w:r>
            <w:r>
              <w:rPr>
                <w:rFonts w:hint="default" w:ascii="Arial" w:hAnsi="Arial" w:eastAsia="宋体" w:cs="Arial"/>
                <w:b w:val="0"/>
                <w:bCs w:val="0"/>
                <w:sz w:val="18"/>
                <w:szCs w:val="18"/>
                <w:lang w:val="en-US" w:eastAsia="zh-CN"/>
              </w:rPr>
              <w:t>¥</w:t>
            </w:r>
            <w:r>
              <w:rPr>
                <w:rFonts w:hint="eastAsia" w:ascii="宋体" w:hAnsi="宋体" w:eastAsia="宋体" w:cs="宋体"/>
                <w:b w:val="0"/>
                <w:bCs w:val="0"/>
                <w:sz w:val="18"/>
                <w:szCs w:val="18"/>
                <w:lang w:val="en-US" w:eastAsia="zh-CN"/>
              </w:rPr>
              <w:t>；大写：</w:t>
            </w:r>
          </w:p>
        </w:tc>
      </w:tr>
    </w:tbl>
    <w:p>
      <w:pPr>
        <w:snapToGrid w:val="0"/>
        <w:spacing w:line="360" w:lineRule="exact"/>
        <w:jc w:val="left"/>
        <w:rPr>
          <w:rFonts w:hint="default" w:ascii="宋体" w:hAnsi="宋体" w:eastAsia="宋体"/>
          <w:szCs w:val="21"/>
          <w:lang w:val="en-US" w:eastAsia="zh-CN"/>
        </w:rPr>
      </w:pPr>
      <w:r>
        <w:rPr>
          <w:rFonts w:hint="eastAsia" w:ascii="宋体" w:hAnsi="宋体" w:cs="宋体"/>
          <w:szCs w:val="21"/>
        </w:rPr>
        <w:t>2、品牌:</w:t>
      </w:r>
      <w:r>
        <w:rPr>
          <w:rFonts w:hint="eastAsia" w:ascii="宋体" w:hAnsi="宋体"/>
          <w:szCs w:val="21"/>
          <w:lang w:val="en-US" w:eastAsia="zh-CN"/>
        </w:rPr>
        <w:t>********</w:t>
      </w:r>
    </w:p>
    <w:p>
      <w:pPr>
        <w:snapToGrid w:val="0"/>
        <w:spacing w:line="360" w:lineRule="exact"/>
        <w:jc w:val="left"/>
        <w:rPr>
          <w:rFonts w:ascii="宋体" w:hAnsi="宋体" w:cs="宋体"/>
          <w:szCs w:val="21"/>
        </w:rPr>
      </w:pPr>
      <w:r>
        <w:rPr>
          <w:rFonts w:hint="eastAsia" w:ascii="宋体" w:hAnsi="宋体" w:cs="宋体"/>
          <w:szCs w:val="21"/>
        </w:rPr>
        <w:t>3、合同总额包括乙方设计、安装、随机零配件、标配工具、运输保险、调试、培训、质保期服务、各项税费及合同实施过程中不可预见费用等项目相关的一切费用。</w:t>
      </w:r>
    </w:p>
    <w:p>
      <w:pPr>
        <w:snapToGrid w:val="0"/>
        <w:spacing w:line="360" w:lineRule="exact"/>
        <w:jc w:val="left"/>
        <w:rPr>
          <w:rFonts w:ascii="宋体" w:hAnsi="宋体" w:cs="宋体"/>
          <w:sz w:val="24"/>
        </w:rPr>
      </w:pPr>
      <w:r>
        <w:rPr>
          <w:rFonts w:hint="eastAsia" w:ascii="宋体" w:hAnsi="宋体" w:cs="宋体"/>
          <w:szCs w:val="21"/>
        </w:rPr>
        <w:t>4、货物名称内容必须与投标文件中货物名称内容一致。</w:t>
      </w:r>
      <w:bookmarkStart w:id="13" w:name="_Toc25015"/>
    </w:p>
    <w:p>
      <w:pPr>
        <w:snapToGrid w:val="0"/>
        <w:spacing w:line="360" w:lineRule="exact"/>
        <w:jc w:val="left"/>
        <w:rPr>
          <w:rFonts w:ascii="宋体" w:hAnsi="宋体" w:cs="宋体"/>
          <w:sz w:val="24"/>
        </w:rPr>
      </w:pPr>
      <w:r>
        <w:rPr>
          <w:rFonts w:hint="eastAsia" w:ascii="宋体" w:hAnsi="宋体" w:cs="宋体"/>
          <w:b/>
          <w:sz w:val="24"/>
        </w:rPr>
        <w:t>二、设备要求</w:t>
      </w:r>
      <w:bookmarkEnd w:id="13"/>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1.货物为原制造商制造的全新产品，整机无污染，无侵权行为、表面无划损、无任何缺陷隐患，在中国境内可依常规安全合法使用。</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2.交付验收标准依次序对照适用标准为：①符合中华人民共和国国家安全质量标准、环保标准或行业标准；②符合招标文件和响应承诺中甲方认可的合理最佳配置、参数及各项要求；③货物来源国官方标准。</w:t>
      </w:r>
    </w:p>
    <w:p>
      <w:pPr>
        <w:tabs>
          <w:tab w:val="left" w:pos="425"/>
          <w:tab w:val="left" w:pos="73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3.货物为原厂商未启封全新包装，具出厂合格证，序列号、包装箱号与出厂批号一致，并可追索查阅。</w:t>
      </w:r>
    </w:p>
    <w:p>
      <w:pPr>
        <w:tabs>
          <w:tab w:val="left" w:pos="360"/>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4.乙方应将关键主机设备的用户手册、保修手册、有关单证资料及配备件、随机工具等交付给甲方，使用操作及安全须知等重要资料应附有中文说明。</w:t>
      </w:r>
    </w:p>
    <w:p>
      <w:pPr>
        <w:tabs>
          <w:tab w:val="left" w:pos="425"/>
        </w:tabs>
        <w:spacing w:line="360" w:lineRule="exact"/>
        <w:jc w:val="left"/>
        <w:outlineLvl w:val="2"/>
        <w:rPr>
          <w:rFonts w:ascii="宋体" w:hAnsi="宋体" w:cs="宋体"/>
          <w:b/>
          <w:sz w:val="24"/>
        </w:rPr>
      </w:pPr>
      <w:bookmarkStart w:id="14" w:name="_Toc9082"/>
      <w:r>
        <w:rPr>
          <w:rFonts w:hint="eastAsia" w:ascii="宋体" w:hAnsi="宋体" w:cs="宋体"/>
          <w:b/>
          <w:sz w:val="24"/>
        </w:rPr>
        <w:t>三、质量要求：</w:t>
      </w:r>
      <w:bookmarkEnd w:id="14"/>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1.乙方须提供全新的货物（含零部件、配件等）表面无划伤、无碰撞痕迹，且权属清楚，不得侵害他人的知识产权。</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2.货物必须符合或优于国家（行业）</w:t>
      </w:r>
      <w:r>
        <w:rPr>
          <w:rFonts w:hint="eastAsia" w:ascii="宋体" w:hAnsi="宋体" w:cs="宋体"/>
          <w:szCs w:val="21"/>
          <w:u w:val="single"/>
        </w:rPr>
        <w:t xml:space="preserve"> 行业  </w:t>
      </w:r>
      <w:r>
        <w:rPr>
          <w:rFonts w:hint="eastAsia" w:ascii="宋体" w:hAnsi="宋体" w:cs="宋体"/>
          <w:szCs w:val="21"/>
        </w:rPr>
        <w:t>标准，以及本项目招标文件的质量要求和技术指标与出厂标准。</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w:t>
      </w:r>
      <w:r>
        <w:rPr>
          <w:rFonts w:hint="eastAsia" w:ascii="宋体" w:hAnsi="宋体"/>
          <w:szCs w:val="21"/>
        </w:rPr>
        <w:t xml:space="preserve"> </w:t>
      </w:r>
      <w:r>
        <w:rPr>
          <w:rFonts w:hint="eastAsia" w:ascii="宋体" w:hAnsi="宋体" w:cs="宋体"/>
          <w:szCs w:val="21"/>
        </w:rPr>
        <w:t>货物质量出现问题，乙方应负责三包（包修、包换、包退），费用由乙方负担，甲方有权到乙方生产场地检查货物质量和生产进度。</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4.货到现场后由于甲方保管不当造成的质量问题，乙方亦应负责修理，但费用由甲方负担。</w:t>
      </w:r>
    </w:p>
    <w:p>
      <w:pPr>
        <w:tabs>
          <w:tab w:val="left" w:pos="425"/>
          <w:tab w:val="left" w:pos="960"/>
        </w:tabs>
        <w:spacing w:line="360" w:lineRule="exact"/>
        <w:jc w:val="left"/>
        <w:outlineLvl w:val="2"/>
        <w:rPr>
          <w:rFonts w:ascii="宋体" w:hAnsi="宋体" w:cs="宋体"/>
          <w:b/>
          <w:sz w:val="24"/>
        </w:rPr>
      </w:pPr>
      <w:bookmarkStart w:id="15" w:name="_Toc14428"/>
      <w:r>
        <w:rPr>
          <w:rFonts w:hint="eastAsia" w:ascii="宋体" w:hAnsi="宋体" w:cs="宋体"/>
          <w:b/>
          <w:sz w:val="24"/>
        </w:rPr>
        <w:t>四、交货期、交货方式及交货地点</w:t>
      </w:r>
      <w:bookmarkEnd w:id="15"/>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1.交货期：</w:t>
      </w:r>
      <w:r>
        <w:rPr>
          <w:rFonts w:hint="eastAsia" w:ascii="宋体" w:hAnsi="宋体"/>
          <w:szCs w:val="21"/>
        </w:rPr>
        <w:t>合同签订后</w:t>
      </w:r>
      <w:r>
        <w:rPr>
          <w:rFonts w:hint="eastAsia" w:ascii="宋体" w:hAnsi="宋体"/>
          <w:szCs w:val="21"/>
          <w:u w:val="single"/>
        </w:rPr>
        <w:t>30</w:t>
      </w:r>
      <w:r>
        <w:rPr>
          <w:rFonts w:hint="eastAsia" w:ascii="宋体" w:hAnsi="宋体"/>
          <w:szCs w:val="21"/>
        </w:rPr>
        <w:t>日内</w:t>
      </w:r>
      <w:r>
        <w:rPr>
          <w:rFonts w:hint="eastAsia" w:ascii="宋体" w:hAnsi="宋体" w:cs="宋体"/>
          <w:szCs w:val="21"/>
        </w:rPr>
        <w:t>（包括交付、安装、调试运行正常至可验收状态）</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2.交货地点：</w:t>
      </w:r>
      <w:r>
        <w:rPr>
          <w:rFonts w:hint="eastAsia" w:ascii="宋体" w:hAnsi="宋体"/>
          <w:szCs w:val="21"/>
        </w:rPr>
        <w:t>采购方指定地点（</w:t>
      </w:r>
      <w:r>
        <w:rPr>
          <w:rFonts w:hint="eastAsia" w:ascii="宋体" w:hAnsi="宋体" w:cs="宋体"/>
          <w:szCs w:val="21"/>
        </w:rPr>
        <w:t>龙岗中心医院</w:t>
      </w:r>
      <w:r>
        <w:rPr>
          <w:rFonts w:hint="eastAsia" w:ascii="宋体" w:hAnsi="宋体" w:cs="宋体"/>
          <w:szCs w:val="21"/>
          <w:lang w:val="en-US" w:eastAsia="zh-CN"/>
        </w:rPr>
        <w:t>*******</w:t>
      </w:r>
      <w:r>
        <w:rPr>
          <w:rFonts w:hint="eastAsia" w:ascii="宋体" w:hAnsi="宋体" w:cs="宋体"/>
          <w:szCs w:val="21"/>
        </w:rPr>
        <w:t>社康）</w:t>
      </w:r>
      <w:r>
        <w:rPr>
          <w:rFonts w:hint="eastAsia" w:ascii="宋体" w:hAnsi="宋体"/>
          <w:bCs/>
          <w:szCs w:val="21"/>
        </w:rPr>
        <w:t>。</w:t>
      </w:r>
    </w:p>
    <w:p>
      <w:pPr>
        <w:tabs>
          <w:tab w:val="left" w:pos="425"/>
          <w:tab w:val="left" w:pos="960"/>
        </w:tabs>
        <w:spacing w:line="360" w:lineRule="exact"/>
        <w:jc w:val="left"/>
        <w:outlineLvl w:val="2"/>
        <w:rPr>
          <w:rFonts w:ascii="宋体" w:hAnsi="宋体" w:cs="宋体"/>
          <w:b/>
          <w:sz w:val="24"/>
        </w:rPr>
      </w:pPr>
      <w:bookmarkStart w:id="16" w:name="_Toc24297"/>
      <w:r>
        <w:rPr>
          <w:rFonts w:hint="eastAsia" w:ascii="宋体" w:hAnsi="宋体" w:cs="宋体"/>
          <w:b/>
          <w:sz w:val="24"/>
        </w:rPr>
        <w:t>五、付款方式：</w:t>
      </w:r>
      <w:bookmarkEnd w:id="16"/>
    </w:p>
    <w:p>
      <w:pPr>
        <w:tabs>
          <w:tab w:val="left" w:pos="425"/>
          <w:tab w:val="left" w:pos="960"/>
        </w:tabs>
        <w:spacing w:line="360" w:lineRule="exact"/>
        <w:jc w:val="left"/>
        <w:outlineLvl w:val="2"/>
        <w:rPr>
          <w:rFonts w:ascii="宋体" w:hAnsi="宋体"/>
          <w:szCs w:val="21"/>
        </w:rPr>
      </w:pPr>
      <w:r>
        <w:rPr>
          <w:rFonts w:hint="eastAsia" w:ascii="宋体" w:hAnsi="宋体"/>
          <w:szCs w:val="21"/>
        </w:rPr>
        <w:t>1.付款：甲方付款前，乙方提供全额发票,</w:t>
      </w:r>
      <w:r>
        <w:rPr>
          <w:rFonts w:hint="eastAsia" w:ascii="宋体" w:hAnsi="宋体"/>
          <w:szCs w:val="21"/>
          <w:lang w:eastAsia="zh-CN"/>
        </w:rPr>
        <w:t>转账</w:t>
      </w:r>
      <w:r>
        <w:rPr>
          <w:rFonts w:hint="eastAsia" w:ascii="宋体" w:hAnsi="宋体"/>
          <w:szCs w:val="21"/>
        </w:rPr>
        <w:t>支付。</w:t>
      </w:r>
    </w:p>
    <w:p>
      <w:pPr>
        <w:tabs>
          <w:tab w:val="left" w:pos="425"/>
          <w:tab w:val="left" w:pos="960"/>
        </w:tabs>
        <w:spacing w:line="360" w:lineRule="exact"/>
        <w:jc w:val="left"/>
        <w:outlineLvl w:val="2"/>
        <w:rPr>
          <w:rFonts w:ascii="宋体" w:hAnsi="宋体" w:cs="宋体"/>
          <w:b/>
          <w:sz w:val="24"/>
        </w:rPr>
      </w:pPr>
      <w:bookmarkStart w:id="17" w:name="_Toc8340"/>
      <w:r>
        <w:rPr>
          <w:rFonts w:hint="eastAsia" w:ascii="宋体" w:hAnsi="宋体" w:cs="宋体"/>
          <w:b/>
          <w:sz w:val="24"/>
        </w:rPr>
        <w:t>六、质保期及售后服务要求</w:t>
      </w:r>
      <w:bookmarkEnd w:id="17"/>
    </w:p>
    <w:p>
      <w:pPr>
        <w:tabs>
          <w:tab w:val="left" w:pos="425"/>
        </w:tabs>
        <w:autoSpaceDE w:val="0"/>
        <w:autoSpaceDN w:val="0"/>
        <w:adjustRightInd w:val="0"/>
        <w:snapToGrid w:val="0"/>
        <w:spacing w:line="360" w:lineRule="exact"/>
        <w:jc w:val="left"/>
        <w:rPr>
          <w:rFonts w:ascii="宋体" w:hAnsi="宋体" w:cs="仿宋_GB2312"/>
          <w:szCs w:val="21"/>
        </w:rPr>
      </w:pPr>
      <w:r>
        <w:rPr>
          <w:rFonts w:hint="eastAsia" w:ascii="宋体" w:hAnsi="宋体" w:cs="宋体"/>
          <w:szCs w:val="21"/>
        </w:rPr>
        <w:t xml:space="preserve">1．本合同的质量保证期（简称“质保期”）为 </w:t>
      </w:r>
      <w:r>
        <w:rPr>
          <w:rFonts w:hint="eastAsia" w:ascii="宋体" w:hAnsi="宋体" w:cs="宋体"/>
          <w:szCs w:val="21"/>
          <w:u w:val="single"/>
          <w:lang w:val="en-US" w:eastAsia="zh-CN"/>
        </w:rPr>
        <w:t>肆</w:t>
      </w:r>
      <w:r>
        <w:rPr>
          <w:rFonts w:hint="eastAsia" w:ascii="宋体" w:hAnsi="宋体" w:cs="宋体"/>
          <w:szCs w:val="21"/>
        </w:rPr>
        <w:t>年；</w:t>
      </w:r>
      <w:r>
        <w:rPr>
          <w:rStyle w:val="56"/>
          <w:rFonts w:hint="eastAsia" w:ascii="宋体" w:hAnsi="宋体" w:cs="宋体"/>
          <w:bCs/>
          <w:spacing w:val="20"/>
          <w:szCs w:val="21"/>
        </w:rPr>
        <w:t>保修期</w:t>
      </w:r>
      <w:r>
        <w:rPr>
          <w:rStyle w:val="56"/>
          <w:rFonts w:hint="eastAsia" w:ascii="宋体" w:hAnsi="宋体" w:cs="宋体"/>
          <w:bCs/>
          <w:spacing w:val="20"/>
          <w:szCs w:val="21"/>
          <w:lang w:val="en-US" w:eastAsia="zh-CN"/>
        </w:rPr>
        <w:t>*****</w:t>
      </w:r>
      <w:r>
        <w:rPr>
          <w:rStyle w:val="56"/>
          <w:rFonts w:hint="eastAsia" w:ascii="宋体" w:hAnsi="宋体" w:cs="宋体"/>
          <w:bCs/>
          <w:spacing w:val="20"/>
          <w:szCs w:val="21"/>
        </w:rPr>
        <w:t>年；</w:t>
      </w:r>
      <w:r>
        <w:rPr>
          <w:rFonts w:hint="eastAsia" w:ascii="宋体" w:hAnsi="宋体" w:cs="宋体"/>
          <w:szCs w:val="21"/>
        </w:rPr>
        <w:t>质保期自货物最终验收合格之日起算，质保期内乙方对所供货物实行包修、包换、包退、包维护保养；保质期满后终身维修免人工费；</w:t>
      </w:r>
      <w:r>
        <w:rPr>
          <w:rFonts w:hint="eastAsia" w:ascii="宋体" w:hAnsi="宋体"/>
          <w:szCs w:val="21"/>
        </w:rPr>
        <w:t>按厂家统一零配件价格</w:t>
      </w:r>
      <w:r>
        <w:rPr>
          <w:rFonts w:hint="eastAsia" w:ascii="宋体" w:hAnsi="宋体"/>
          <w:szCs w:val="21"/>
          <w:lang w:val="en-US" w:eastAsia="zh-CN"/>
        </w:rPr>
        <w:t>九折</w:t>
      </w:r>
      <w:r>
        <w:rPr>
          <w:rFonts w:hint="eastAsia" w:ascii="宋体" w:hAnsi="宋体"/>
          <w:szCs w:val="21"/>
        </w:rPr>
        <w:t>收取材料费用</w:t>
      </w:r>
      <w:r>
        <w:rPr>
          <w:rFonts w:hint="eastAsia" w:ascii="宋体" w:hAnsi="宋体" w:cs="宋体"/>
          <w:szCs w:val="21"/>
        </w:rPr>
        <w:t>。</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2.质保期内，如设备或零部件因非人为因素出现故障而造成短期停用时，则质保期和免费维修期相应顺延。如停用时间累计超过60天则质保期重新计算。</w:t>
      </w:r>
    </w:p>
    <w:p>
      <w:pPr>
        <w:tabs>
          <w:tab w:val="left" w:pos="425"/>
        </w:tabs>
        <w:autoSpaceDE w:val="0"/>
        <w:autoSpaceDN w:val="0"/>
        <w:adjustRightInd w:val="0"/>
        <w:snapToGrid w:val="0"/>
        <w:spacing w:line="360" w:lineRule="exact"/>
        <w:jc w:val="left"/>
        <w:rPr>
          <w:rFonts w:ascii="宋体" w:hAnsi="宋体"/>
          <w:bCs/>
          <w:szCs w:val="21"/>
        </w:rPr>
      </w:pPr>
      <w:r>
        <w:rPr>
          <w:rFonts w:hint="eastAsia" w:ascii="宋体" w:hAnsi="宋体"/>
          <w:bCs/>
          <w:szCs w:val="21"/>
        </w:rPr>
        <w:t>3.在免费保修期内，一旦发生产品质量及安装问题，供应商保证在接到通知</w:t>
      </w:r>
      <w:r>
        <w:rPr>
          <w:rFonts w:hint="eastAsia" w:ascii="宋体" w:hAnsi="宋体"/>
          <w:bCs/>
          <w:szCs w:val="21"/>
          <w:lang w:val="en-US" w:eastAsia="zh-CN"/>
        </w:rPr>
        <w:t>30分钟</w:t>
      </w:r>
      <w:r>
        <w:rPr>
          <w:rFonts w:hint="eastAsia" w:ascii="宋体" w:hAnsi="宋体"/>
          <w:bCs/>
          <w:szCs w:val="21"/>
        </w:rPr>
        <w:t>内赶到现场，进行</w:t>
      </w:r>
      <w:r>
        <w:rPr>
          <w:rFonts w:hint="eastAsia" w:ascii="宋体" w:hAnsi="宋体"/>
          <w:szCs w:val="21"/>
        </w:rPr>
        <w:t>免费</w:t>
      </w:r>
      <w:r>
        <w:rPr>
          <w:rFonts w:hint="eastAsia" w:ascii="宋体" w:hAnsi="宋体"/>
          <w:bCs/>
          <w:szCs w:val="21"/>
        </w:rPr>
        <w:t>维修或更换</w:t>
      </w:r>
      <w:r>
        <w:rPr>
          <w:rFonts w:hint="eastAsia" w:ascii="宋体" w:hAnsi="宋体"/>
          <w:szCs w:val="21"/>
        </w:rPr>
        <w:t>有缺陷的设备或部件</w:t>
      </w:r>
      <w:r>
        <w:rPr>
          <w:rFonts w:hint="eastAsia" w:ascii="宋体" w:hAnsi="宋体"/>
          <w:bCs/>
          <w:szCs w:val="21"/>
        </w:rPr>
        <w:t>；响应时间：</w:t>
      </w:r>
      <w:r>
        <w:rPr>
          <w:rFonts w:hint="eastAsia" w:ascii="宋体" w:hAnsi="宋体"/>
          <w:bCs/>
          <w:szCs w:val="21"/>
          <w:lang w:val="en-US" w:eastAsia="zh-CN"/>
        </w:rPr>
        <w:t>10分钟</w:t>
      </w:r>
      <w:r>
        <w:rPr>
          <w:rFonts w:hint="eastAsia" w:ascii="宋体" w:hAnsi="宋体"/>
          <w:bCs/>
          <w:szCs w:val="21"/>
        </w:rPr>
        <w:t>响应；修复时间：</w:t>
      </w:r>
      <w:r>
        <w:rPr>
          <w:rFonts w:hint="eastAsia" w:ascii="宋体" w:hAnsi="宋体"/>
          <w:bCs/>
          <w:szCs w:val="21"/>
          <w:lang w:val="en-US" w:eastAsia="zh-CN"/>
        </w:rPr>
        <w:t>24</w:t>
      </w:r>
      <w:r>
        <w:rPr>
          <w:rFonts w:hint="eastAsia" w:ascii="宋体" w:hAnsi="宋体"/>
          <w:bCs/>
          <w:szCs w:val="21"/>
        </w:rPr>
        <w:t>小时内；冗余服务：在</w:t>
      </w:r>
      <w:r>
        <w:rPr>
          <w:rFonts w:hint="eastAsia" w:ascii="宋体" w:hAnsi="宋体"/>
          <w:bCs/>
          <w:szCs w:val="21"/>
          <w:lang w:val="en-US" w:eastAsia="zh-CN"/>
        </w:rPr>
        <w:t>48</w:t>
      </w:r>
      <w:r>
        <w:rPr>
          <w:rFonts w:hint="eastAsia" w:ascii="宋体" w:hAnsi="宋体"/>
          <w:bCs/>
          <w:szCs w:val="21"/>
        </w:rPr>
        <w:t>小时内或紧急情况下，未能修复，提供具有同样功能的设备供使用单位使用。</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4.乙方响应、维修不符合合同约定，甲方有权自行或委托第三方维修，费用、损失由乙方负担，乙方每次另支付合同价款3‰的惩罚性违约金”。</w:t>
      </w:r>
    </w:p>
    <w:p>
      <w:pPr>
        <w:tabs>
          <w:tab w:val="left" w:pos="425"/>
        </w:tabs>
        <w:autoSpaceDE w:val="0"/>
        <w:autoSpaceDN w:val="0"/>
        <w:adjustRightInd w:val="0"/>
        <w:snapToGrid w:val="0"/>
        <w:spacing w:line="360" w:lineRule="exact"/>
        <w:jc w:val="left"/>
        <w:rPr>
          <w:rFonts w:ascii="宋体" w:hAnsi="宋体"/>
          <w:b/>
        </w:rPr>
      </w:pPr>
      <w:r>
        <w:rPr>
          <w:rFonts w:hint="eastAsia" w:ascii="宋体" w:hAnsi="宋体"/>
          <w:b/>
        </w:rPr>
        <w:t>七、履约保证金</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无</w:t>
      </w:r>
    </w:p>
    <w:p>
      <w:pPr>
        <w:tabs>
          <w:tab w:val="left" w:pos="425"/>
          <w:tab w:val="left" w:pos="960"/>
        </w:tabs>
        <w:spacing w:line="360" w:lineRule="exact"/>
        <w:jc w:val="left"/>
        <w:outlineLvl w:val="2"/>
        <w:rPr>
          <w:rFonts w:ascii="宋体" w:hAnsi="宋体" w:cs="宋体"/>
          <w:b/>
          <w:sz w:val="24"/>
        </w:rPr>
      </w:pPr>
      <w:bookmarkStart w:id="18" w:name="_Toc19660"/>
      <w:r>
        <w:rPr>
          <w:rFonts w:hint="eastAsia" w:ascii="宋体" w:hAnsi="宋体" w:cs="宋体"/>
          <w:b/>
          <w:sz w:val="24"/>
        </w:rPr>
        <w:t>八、安装与调试</w:t>
      </w:r>
      <w:bookmarkEnd w:id="18"/>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乙方依照招标文件的要求和投标文件的承诺，将设备、系统安装并调试至正常运行的最佳状态。</w:t>
      </w:r>
    </w:p>
    <w:p>
      <w:pPr>
        <w:tabs>
          <w:tab w:val="left" w:pos="425"/>
          <w:tab w:val="left" w:pos="960"/>
        </w:tabs>
        <w:spacing w:line="360" w:lineRule="exact"/>
        <w:jc w:val="left"/>
        <w:outlineLvl w:val="2"/>
        <w:rPr>
          <w:rFonts w:ascii="宋体" w:hAnsi="宋体" w:cs="宋体"/>
          <w:b/>
          <w:sz w:val="24"/>
        </w:rPr>
      </w:pPr>
      <w:bookmarkStart w:id="19" w:name="_Toc235"/>
      <w:r>
        <w:rPr>
          <w:rFonts w:hint="eastAsia" w:ascii="宋体" w:hAnsi="宋体" w:cs="宋体"/>
          <w:b/>
          <w:sz w:val="24"/>
        </w:rPr>
        <w:t>九、验收</w:t>
      </w:r>
      <w:bookmarkEnd w:id="19"/>
    </w:p>
    <w:p>
      <w:pPr>
        <w:tabs>
          <w:tab w:val="left" w:pos="425"/>
          <w:tab w:val="left" w:pos="900"/>
        </w:tabs>
        <w:autoSpaceDE w:val="0"/>
        <w:autoSpaceDN w:val="0"/>
        <w:adjustRightInd w:val="0"/>
        <w:snapToGrid w:val="0"/>
        <w:spacing w:line="360" w:lineRule="exact"/>
        <w:jc w:val="left"/>
        <w:rPr>
          <w:rFonts w:ascii="宋体" w:hAnsi="宋体"/>
          <w:szCs w:val="21"/>
        </w:rPr>
      </w:pPr>
      <w:r>
        <w:rPr>
          <w:rFonts w:hint="eastAsia" w:ascii="宋体" w:hAnsi="宋体"/>
          <w:szCs w:val="21"/>
        </w:rPr>
        <w:t>1.乙方派有经验的技术人员到现场进行安装、调试，直到设备正常使用。</w:t>
      </w:r>
    </w:p>
    <w:p>
      <w:pPr>
        <w:tabs>
          <w:tab w:val="left" w:pos="425"/>
          <w:tab w:val="left" w:pos="900"/>
        </w:tabs>
        <w:autoSpaceDE w:val="0"/>
        <w:autoSpaceDN w:val="0"/>
        <w:adjustRightInd w:val="0"/>
        <w:snapToGrid w:val="0"/>
        <w:spacing w:line="360" w:lineRule="exact"/>
        <w:jc w:val="left"/>
        <w:rPr>
          <w:rFonts w:ascii="宋体" w:hAnsi="宋体"/>
          <w:szCs w:val="21"/>
        </w:rPr>
      </w:pPr>
      <w:r>
        <w:rPr>
          <w:rFonts w:hint="eastAsia" w:ascii="宋体" w:hAnsi="宋体"/>
          <w:szCs w:val="21"/>
        </w:rPr>
        <w:t>2.由甲方按合同和招标、投标文件约定的要求和标准及中华人民共和国现行的验收规范和评定标准进行交货验收。</w:t>
      </w:r>
    </w:p>
    <w:p>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3．乙方应将关键主机设备的用户手册、保修手册、有关单证资料及配备件、随机工具等交付给甲方，使用操作及安全须知等重要资料应附有中文说明。</w:t>
      </w:r>
    </w:p>
    <w:p>
      <w:pPr>
        <w:tabs>
          <w:tab w:val="left" w:pos="425"/>
          <w:tab w:val="left" w:pos="960"/>
        </w:tabs>
        <w:spacing w:line="360" w:lineRule="exact"/>
        <w:jc w:val="left"/>
        <w:outlineLvl w:val="2"/>
        <w:rPr>
          <w:rFonts w:ascii="宋体" w:hAnsi="宋体" w:cs="宋体"/>
          <w:b/>
          <w:sz w:val="24"/>
        </w:rPr>
      </w:pPr>
      <w:bookmarkStart w:id="20" w:name="_Toc21736"/>
      <w:r>
        <w:rPr>
          <w:rFonts w:hint="eastAsia" w:ascii="宋体" w:hAnsi="宋体" w:cs="宋体"/>
          <w:b/>
          <w:sz w:val="24"/>
        </w:rPr>
        <w:t>十、违约责任与赔偿损失</w:t>
      </w:r>
      <w:bookmarkEnd w:id="20"/>
    </w:p>
    <w:p>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1．乙方交付的货物、工程/提供的服务不符合招标文件、投标文件或本合同规定的， 或验收不合格，甲方有权拒收、解除合同，并且乙方须向甲方支付本合同总价5%的违约金。</w:t>
      </w:r>
    </w:p>
    <w:p>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2．乙方未能按本合同规定的交货时间交付货物的/提供服务，从逾期之日起每日按本合同总价3‰的数额向甲方支付违约金并继续履行，逾期15天以上（含15天）的，甲方有权解除、终止合同。</w:t>
      </w:r>
    </w:p>
    <w:p>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甲方无正当理由拒收货物/接受服务，到期拒付货物/服务款项的，甲方向乙方偿付本合同总价的5%的违约金。违约金最高不超过合同总价的5%，甲方提交付款日期即为付款日期，审批导致的延迟付款不视为逾期付款。</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4．其它违约责任按《</w:t>
      </w:r>
      <w:r>
        <w:rPr>
          <w:rFonts w:hint="eastAsia" w:ascii="宋体" w:hAnsi="宋体" w:cs="宋体"/>
          <w:szCs w:val="21"/>
          <w:lang w:eastAsia="zh-CN"/>
        </w:rPr>
        <w:t>中华人民共和国民法典</w:t>
      </w:r>
      <w:r>
        <w:rPr>
          <w:rFonts w:hint="eastAsia" w:ascii="宋体" w:hAnsi="宋体" w:cs="宋体"/>
          <w:szCs w:val="21"/>
        </w:rPr>
        <w:t>》处理。</w:t>
      </w:r>
    </w:p>
    <w:p>
      <w:pPr>
        <w:tabs>
          <w:tab w:val="left" w:pos="425"/>
          <w:tab w:val="left" w:pos="960"/>
        </w:tabs>
        <w:spacing w:line="360" w:lineRule="exact"/>
        <w:jc w:val="left"/>
        <w:outlineLvl w:val="2"/>
        <w:rPr>
          <w:rFonts w:ascii="宋体" w:hAnsi="宋体" w:cs="宋体"/>
          <w:b/>
          <w:sz w:val="24"/>
        </w:rPr>
      </w:pPr>
      <w:bookmarkStart w:id="21" w:name="_Toc30672"/>
      <w:r>
        <w:rPr>
          <w:rFonts w:hint="eastAsia" w:ascii="宋体" w:hAnsi="宋体" w:cs="宋体"/>
          <w:b/>
          <w:sz w:val="24"/>
        </w:rPr>
        <w:t>十一、争议的解决</w:t>
      </w:r>
      <w:bookmarkEnd w:id="21"/>
    </w:p>
    <w:p>
      <w:pPr>
        <w:tabs>
          <w:tab w:val="left" w:pos="824"/>
        </w:tabs>
        <w:snapToGrid w:val="0"/>
        <w:spacing w:line="360" w:lineRule="exact"/>
        <w:ind w:firstLine="200"/>
        <w:jc w:val="left"/>
        <w:rPr>
          <w:rFonts w:ascii="宋体" w:hAnsi="宋体" w:cs="宋体"/>
          <w:szCs w:val="21"/>
        </w:rPr>
      </w:pPr>
      <w:r>
        <w:rPr>
          <w:rFonts w:hint="eastAsia" w:ascii="宋体" w:hAnsi="宋体" w:cs="宋体"/>
          <w:szCs w:val="21"/>
        </w:rPr>
        <w:t>合同执行过程中发生的任何争议，如双方不能</w:t>
      </w:r>
      <w:bookmarkStart w:id="26" w:name="_GoBack"/>
      <w:bookmarkEnd w:id="26"/>
      <w:r>
        <w:rPr>
          <w:rFonts w:hint="eastAsia" w:ascii="宋体" w:hAnsi="宋体" w:cs="宋体"/>
          <w:szCs w:val="21"/>
        </w:rPr>
        <w:t>通过友好协商解决，甲、乙双方一致同意向甲方所在地人民法院提起诉讼。</w:t>
      </w:r>
    </w:p>
    <w:p>
      <w:pPr>
        <w:tabs>
          <w:tab w:val="left" w:pos="425"/>
          <w:tab w:val="left" w:pos="960"/>
        </w:tabs>
        <w:spacing w:line="360" w:lineRule="exact"/>
        <w:jc w:val="left"/>
        <w:outlineLvl w:val="2"/>
        <w:rPr>
          <w:rFonts w:ascii="宋体" w:hAnsi="宋体" w:cs="宋体"/>
          <w:b/>
          <w:sz w:val="24"/>
        </w:rPr>
      </w:pPr>
      <w:bookmarkStart w:id="22" w:name="_Toc8877"/>
      <w:r>
        <w:rPr>
          <w:rFonts w:hint="eastAsia" w:ascii="宋体" w:hAnsi="宋体" w:cs="宋体"/>
          <w:b/>
          <w:sz w:val="24"/>
        </w:rPr>
        <w:t>十二、不可抗力</w:t>
      </w:r>
      <w:bookmarkEnd w:id="22"/>
    </w:p>
    <w:p>
      <w:pPr>
        <w:tabs>
          <w:tab w:val="left" w:pos="824"/>
        </w:tabs>
        <w:snapToGrid w:val="0"/>
        <w:spacing w:line="360" w:lineRule="exact"/>
        <w:jc w:val="left"/>
        <w:rPr>
          <w:rFonts w:ascii="宋体" w:hAnsi="宋体" w:cs="宋体"/>
          <w:sz w:val="24"/>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r>
        <w:rPr>
          <w:rFonts w:hint="eastAsia" w:ascii="宋体" w:hAnsi="宋体" w:cs="宋体"/>
          <w:sz w:val="24"/>
        </w:rPr>
        <w:t>。</w:t>
      </w:r>
    </w:p>
    <w:p>
      <w:pPr>
        <w:tabs>
          <w:tab w:val="left" w:pos="425"/>
          <w:tab w:val="left" w:pos="960"/>
        </w:tabs>
        <w:spacing w:line="360" w:lineRule="exact"/>
        <w:jc w:val="left"/>
        <w:outlineLvl w:val="2"/>
        <w:rPr>
          <w:rFonts w:ascii="宋体" w:hAnsi="宋体" w:cs="宋体"/>
          <w:b/>
          <w:sz w:val="24"/>
        </w:rPr>
      </w:pPr>
      <w:bookmarkStart w:id="23" w:name="_Toc3603"/>
      <w:r>
        <w:rPr>
          <w:rFonts w:hint="eastAsia" w:ascii="宋体" w:hAnsi="宋体" w:cs="宋体"/>
          <w:b/>
          <w:sz w:val="24"/>
        </w:rPr>
        <w:t>十三、其它</w:t>
      </w:r>
      <w:bookmarkEnd w:id="23"/>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1．本合同所有附件、招标文件、投标文件、中标通知书均为合同的有效组成部分，与本合同具有同等法律效力。</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2．在执行本合同的过程中，所有经双方签署确认的文件（包括会议纪要、补充协议、往来信函）即成为本合同的有效组成部分。</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4.除甲方事先书面同意外，乙方不得部分或全部转让其应履行的合同项下的义务。</w:t>
      </w:r>
    </w:p>
    <w:p>
      <w:pPr>
        <w:spacing w:line="360" w:lineRule="auto"/>
        <w:rPr>
          <w:rFonts w:ascii="宋体" w:hAnsi="宋体" w:cs="宋体"/>
          <w:sz w:val="24"/>
        </w:rPr>
      </w:pPr>
      <w:bookmarkStart w:id="24" w:name="_Toc22602"/>
      <w:r>
        <w:rPr>
          <w:rFonts w:hint="eastAsia" w:ascii="宋体" w:hAnsi="宋体" w:cs="宋体"/>
          <w:b/>
          <w:bCs/>
          <w:sz w:val="24"/>
        </w:rPr>
        <w:t>十四</w:t>
      </w:r>
      <w:r>
        <w:rPr>
          <w:rFonts w:hint="eastAsia" w:ascii="宋体" w:hAnsi="宋体" w:cs="宋体"/>
          <w:sz w:val="24"/>
        </w:rPr>
        <w:t>、</w:t>
      </w:r>
      <w:r>
        <w:rPr>
          <w:rFonts w:hint="eastAsia" w:ascii="宋体" w:hAnsi="宋体" w:cs="宋体"/>
          <w:b/>
          <w:bCs/>
          <w:sz w:val="24"/>
        </w:rPr>
        <w:t>以下附件作为本合同的补充内容，具有同等法律效应。</w:t>
      </w:r>
    </w:p>
    <w:p>
      <w:pPr>
        <w:spacing w:line="360" w:lineRule="auto"/>
        <w:ind w:firstLine="630" w:firstLineChars="300"/>
        <w:rPr>
          <w:rFonts w:ascii="宋体" w:hAnsi="宋体"/>
          <w:szCs w:val="21"/>
        </w:rPr>
      </w:pPr>
      <w:r>
        <w:rPr>
          <w:rFonts w:hint="eastAsia" w:ascii="宋体" w:hAnsi="宋体"/>
          <w:szCs w:val="21"/>
        </w:rPr>
        <w:t>附件：1、廉洁承诺书</w:t>
      </w:r>
    </w:p>
    <w:p>
      <w:pPr>
        <w:pStyle w:val="9"/>
        <w:rPr>
          <w:rFonts w:ascii="宋体" w:hAnsi="宋体"/>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b w:val="0"/>
          <w:bCs w:val="0"/>
          <w:sz w:val="21"/>
          <w:szCs w:val="21"/>
          <w:lang w:val="en-US" w:eastAsia="zh-CN"/>
        </w:rPr>
        <w:t>2</w:t>
      </w:r>
      <w:r>
        <w:rPr>
          <w:rFonts w:hint="eastAsia" w:ascii="宋体" w:hAnsi="宋体"/>
          <w:b w:val="0"/>
          <w:bCs w:val="0"/>
          <w:sz w:val="21"/>
          <w:szCs w:val="21"/>
        </w:rPr>
        <w:t>、龙岗区进一步规范政商交往行为告知书</w:t>
      </w:r>
    </w:p>
    <w:p>
      <w:pPr>
        <w:tabs>
          <w:tab w:val="left" w:pos="425"/>
          <w:tab w:val="left" w:pos="960"/>
        </w:tabs>
        <w:spacing w:line="360" w:lineRule="exact"/>
        <w:jc w:val="left"/>
        <w:outlineLvl w:val="2"/>
        <w:rPr>
          <w:rFonts w:ascii="宋体" w:hAnsi="宋体" w:cs="宋体"/>
          <w:b/>
          <w:sz w:val="24"/>
        </w:rPr>
      </w:pPr>
      <w:r>
        <w:rPr>
          <w:rFonts w:hint="eastAsia" w:ascii="宋体" w:hAnsi="宋体" w:cs="宋体"/>
          <w:b/>
          <w:sz w:val="24"/>
        </w:rPr>
        <w:t>十五.合同生效</w:t>
      </w:r>
      <w:bookmarkEnd w:id="24"/>
    </w:p>
    <w:p>
      <w:pPr>
        <w:tabs>
          <w:tab w:val="left" w:pos="425"/>
          <w:tab w:val="left" w:pos="960"/>
        </w:tabs>
        <w:spacing w:line="360" w:lineRule="exact"/>
        <w:jc w:val="left"/>
        <w:outlineLvl w:val="2"/>
        <w:rPr>
          <w:rFonts w:ascii="宋体" w:hAnsi="宋体" w:cs="宋体"/>
          <w:bCs/>
          <w:szCs w:val="21"/>
        </w:rPr>
      </w:pPr>
      <w:r>
        <w:rPr>
          <w:rFonts w:hint="eastAsia" w:ascii="宋体" w:hAnsi="宋体" w:cs="宋体"/>
          <w:bCs/>
          <w:szCs w:val="21"/>
        </w:rPr>
        <w:t>1．合同自甲乙双方法人代表或其授权代表签字盖章之日起生效。</w:t>
      </w:r>
    </w:p>
    <w:p>
      <w:pPr>
        <w:tabs>
          <w:tab w:val="left" w:pos="425"/>
        </w:tabs>
        <w:autoSpaceDE w:val="0"/>
        <w:autoSpaceDN w:val="0"/>
        <w:adjustRightInd w:val="0"/>
        <w:snapToGrid w:val="0"/>
        <w:spacing w:line="360" w:lineRule="exact"/>
        <w:jc w:val="left"/>
        <w:rPr>
          <w:rFonts w:ascii="宋体" w:hAnsi="宋体" w:cs="宋体"/>
          <w:bCs/>
          <w:sz w:val="24"/>
        </w:rPr>
      </w:pPr>
      <w:r>
        <w:rPr>
          <w:rFonts w:hint="eastAsia" w:ascii="宋体" w:hAnsi="宋体" w:cs="宋体"/>
          <w:bCs/>
          <w:szCs w:val="21"/>
        </w:rPr>
        <w:t>2．</w:t>
      </w:r>
      <w:r>
        <w:rPr>
          <w:rFonts w:hint="eastAsia" w:ascii="宋体" w:hAnsi="宋体"/>
          <w:bCs/>
          <w:szCs w:val="21"/>
        </w:rPr>
        <w:t>本合同一式</w:t>
      </w:r>
      <w:r>
        <w:rPr>
          <w:rFonts w:hint="eastAsia" w:ascii="宋体" w:hAnsi="宋体"/>
          <w:bCs/>
          <w:szCs w:val="21"/>
          <w:lang w:val="en-US" w:eastAsia="zh-CN"/>
        </w:rPr>
        <w:t>陆</w:t>
      </w:r>
      <w:r>
        <w:rPr>
          <w:rFonts w:hint="eastAsia" w:ascii="宋体" w:hAnsi="宋体"/>
          <w:bCs/>
          <w:szCs w:val="21"/>
        </w:rPr>
        <w:t>份，甲方</w:t>
      </w:r>
      <w:r>
        <w:rPr>
          <w:rFonts w:hint="eastAsia" w:ascii="宋体" w:hAnsi="宋体"/>
          <w:bCs/>
          <w:szCs w:val="21"/>
          <w:lang w:val="en-US" w:eastAsia="zh-CN"/>
        </w:rPr>
        <w:t>伍</w:t>
      </w:r>
      <w:r>
        <w:rPr>
          <w:rFonts w:hint="eastAsia" w:ascii="宋体" w:hAnsi="宋体"/>
          <w:bCs/>
          <w:szCs w:val="21"/>
        </w:rPr>
        <w:t>份，乙方壹份，具有同等法律效力。合同有效期为</w:t>
      </w:r>
      <w:r>
        <w:rPr>
          <w:rFonts w:hint="eastAsia" w:ascii="宋体" w:hAnsi="宋体"/>
          <w:bCs/>
          <w:szCs w:val="21"/>
          <w:u w:val="single"/>
        </w:rPr>
        <w:t xml:space="preserve"> </w:t>
      </w:r>
      <w:r>
        <w:rPr>
          <w:rFonts w:hint="eastAsia" w:ascii="宋体" w:hAnsi="宋体"/>
          <w:bCs/>
          <w:szCs w:val="21"/>
          <w:u w:val="single"/>
          <w:lang w:val="en-US" w:eastAsia="zh-CN"/>
        </w:rPr>
        <w:t>******</w:t>
      </w:r>
      <w:r>
        <w:rPr>
          <w:rFonts w:hint="eastAsia" w:ascii="宋体" w:hAnsi="宋体"/>
          <w:bCs/>
          <w:szCs w:val="21"/>
          <w:u w:val="single"/>
        </w:rPr>
        <w:t>　</w:t>
      </w:r>
      <w:r>
        <w:rPr>
          <w:rFonts w:hint="eastAsia" w:ascii="宋体" w:hAnsi="宋体"/>
          <w:bCs/>
          <w:szCs w:val="21"/>
        </w:rPr>
        <w:t>年，自</w:t>
      </w:r>
      <w:r>
        <w:rPr>
          <w:rFonts w:hint="eastAsia" w:ascii="宋体" w:hAnsi="宋体"/>
          <w:bCs/>
          <w:szCs w:val="21"/>
          <w:u w:val="single"/>
          <w:lang w:val="en-US" w:eastAsia="zh-CN"/>
        </w:rPr>
        <w:t>*****</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w:t>
      </w:r>
      <w:r>
        <w:rPr>
          <w:rFonts w:hint="eastAsia" w:ascii="宋体" w:hAnsi="宋体"/>
          <w:bCs/>
          <w:szCs w:val="21"/>
        </w:rPr>
        <w:t>月</w:t>
      </w:r>
      <w:r>
        <w:rPr>
          <w:rFonts w:hint="eastAsia" w:ascii="宋体" w:hAnsi="宋体"/>
          <w:bCs/>
          <w:szCs w:val="21"/>
          <w:u w:val="single"/>
        </w:rPr>
        <w:t>　 　</w:t>
      </w:r>
      <w:r>
        <w:rPr>
          <w:rFonts w:hint="eastAsia" w:ascii="宋体" w:hAnsi="宋体"/>
          <w:bCs/>
          <w:szCs w:val="21"/>
        </w:rPr>
        <w:t>日至</w:t>
      </w:r>
      <w:r>
        <w:rPr>
          <w:rFonts w:hint="eastAsia" w:ascii="宋体" w:hAnsi="宋体"/>
          <w:bCs/>
          <w:szCs w:val="21"/>
          <w:u w:val="single"/>
          <w:lang w:val="en-US" w:eastAsia="zh-CN"/>
        </w:rPr>
        <w:t>*****</w:t>
      </w:r>
      <w:r>
        <w:rPr>
          <w:rFonts w:hint="eastAsia" w:ascii="宋体" w:hAnsi="宋体"/>
          <w:bCs/>
          <w:szCs w:val="21"/>
        </w:rPr>
        <w:t>年</w:t>
      </w:r>
      <w:r>
        <w:rPr>
          <w:rFonts w:hint="eastAsia" w:ascii="宋体" w:hAnsi="宋体"/>
          <w:bCs/>
          <w:szCs w:val="21"/>
          <w:u w:val="single"/>
        </w:rPr>
        <w:t>　 　</w:t>
      </w:r>
      <w:r>
        <w:rPr>
          <w:rFonts w:hint="eastAsia" w:ascii="宋体" w:hAnsi="宋体"/>
          <w:bCs/>
          <w:szCs w:val="21"/>
        </w:rPr>
        <w:t>月</w:t>
      </w:r>
      <w:r>
        <w:rPr>
          <w:rFonts w:hint="eastAsia" w:ascii="宋体" w:hAnsi="宋体"/>
          <w:bCs/>
          <w:szCs w:val="21"/>
          <w:u w:val="single"/>
        </w:rPr>
        <w:t>　 　</w:t>
      </w:r>
      <w:r>
        <w:rPr>
          <w:rFonts w:hint="eastAsia" w:ascii="宋体" w:hAnsi="宋体"/>
          <w:bCs/>
          <w:szCs w:val="21"/>
        </w:rPr>
        <w:t>日。</w:t>
      </w:r>
    </w:p>
    <w:p>
      <w:pPr>
        <w:autoSpaceDE w:val="0"/>
        <w:autoSpaceDN w:val="0"/>
        <w:adjustRightInd w:val="0"/>
        <w:snapToGrid w:val="0"/>
        <w:spacing w:line="360" w:lineRule="exact"/>
        <w:jc w:val="left"/>
        <w:rPr>
          <w:rFonts w:ascii="宋体" w:hAnsi="宋体" w:cs="宋体"/>
          <w:sz w:val="24"/>
        </w:rPr>
      </w:pPr>
    </w:p>
    <w:p>
      <w:pPr>
        <w:spacing w:line="360" w:lineRule="auto"/>
        <w:rPr>
          <w:rFonts w:hint="eastAsia" w:ascii="宋体" w:hAnsi="宋体" w:cs="宋体"/>
          <w:sz w:val="24"/>
        </w:rPr>
      </w:pPr>
      <w:r>
        <w:rPr>
          <w:rFonts w:hint="eastAsia" w:ascii="宋体" w:hAnsi="宋体" w:cs="宋体"/>
          <w:sz w:val="24"/>
        </w:rPr>
        <w:t>甲方：深圳市龙岗中心医院（盖章）　　　　　 乙方：</w:t>
      </w:r>
      <w:r>
        <w:rPr>
          <w:rFonts w:hint="eastAsia" w:ascii="宋体" w:hAnsi="宋体" w:cs="宋体"/>
          <w:sz w:val="24"/>
          <w:lang w:val="en-US" w:eastAsia="zh-CN"/>
        </w:rPr>
        <w:t>******</w:t>
      </w:r>
      <w:r>
        <w:rPr>
          <w:rFonts w:hint="eastAsia" w:ascii="宋体" w:hAnsi="宋体" w:cs="宋体"/>
          <w:sz w:val="24"/>
        </w:rPr>
        <w:t xml:space="preserve"> </w:t>
      </w:r>
    </w:p>
    <w:p>
      <w:pPr>
        <w:spacing w:line="360" w:lineRule="auto"/>
        <w:ind w:left="600" w:hanging="600" w:hangingChars="250"/>
        <w:rPr>
          <w:rFonts w:hint="eastAsia" w:ascii="宋体" w:hAnsi="宋体" w:cs="宋体"/>
          <w:sz w:val="24"/>
          <w:lang w:val="en-US" w:eastAsia="zh-CN"/>
        </w:rPr>
      </w:pPr>
      <w:r>
        <w:rPr>
          <w:rFonts w:hint="eastAsia" w:ascii="宋体" w:hAnsi="宋体" w:cs="宋体"/>
          <w:sz w:val="24"/>
        </w:rPr>
        <w:t>地址：深圳市龙岗区龙岗大道       　　　　　地址：</w:t>
      </w:r>
      <w:r>
        <w:rPr>
          <w:rFonts w:hint="eastAsia" w:ascii="宋体" w:hAnsi="宋体" w:cs="宋体"/>
          <w:sz w:val="24"/>
          <w:lang w:val="en-US" w:eastAsia="zh-CN"/>
        </w:rPr>
        <w:t>********</w:t>
      </w:r>
    </w:p>
    <w:p>
      <w:pPr>
        <w:spacing w:line="360" w:lineRule="auto"/>
        <w:ind w:left="600" w:hanging="600" w:hangingChars="250"/>
        <w:rPr>
          <w:rFonts w:ascii="宋体" w:hAnsi="宋体" w:cs="宋体"/>
          <w:sz w:val="24"/>
        </w:rPr>
      </w:pPr>
      <w:r>
        <w:rPr>
          <w:rFonts w:hint="eastAsia" w:ascii="宋体" w:hAnsi="宋体" w:cs="宋体"/>
          <w:sz w:val="24"/>
        </w:rPr>
        <w:t xml:space="preserve">　　（龙岗段）6082号 　　　　　　　　　　　　　　　　　　　　　　　　                   </w:t>
      </w: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法定代表人：                     　　　　　法定代表人：</w:t>
      </w: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电话： 0755-84806933             　　　　　电话：                </w:t>
      </w:r>
    </w:p>
    <w:p>
      <w:pPr>
        <w:spacing w:line="360" w:lineRule="auto"/>
        <w:rPr>
          <w:rFonts w:hint="eastAsia" w:ascii="宋体" w:hAnsi="宋体" w:cs="宋体"/>
          <w:sz w:val="24"/>
        </w:rPr>
      </w:pPr>
      <w:r>
        <w:rPr>
          <w:rFonts w:hint="eastAsia" w:ascii="宋体" w:hAnsi="宋体" w:cs="宋体"/>
          <w:sz w:val="24"/>
        </w:rPr>
        <w:t xml:space="preserve">开户银行：深圳农村商业银行大和支行　　　　 开户银行：   </w:t>
      </w:r>
    </w:p>
    <w:p>
      <w:pPr>
        <w:spacing w:line="360" w:lineRule="auto"/>
        <w:rPr>
          <w:rFonts w:ascii="宋体" w:hAnsi="宋体" w:cs="宋体"/>
          <w:sz w:val="24"/>
        </w:rPr>
      </w:pPr>
      <w:r>
        <w:rPr>
          <w:rFonts w:hint="eastAsia" w:ascii="宋体" w:hAnsi="宋体" w:cs="宋体"/>
          <w:sz w:val="24"/>
          <w:lang w:eastAsia="zh-CN"/>
        </w:rPr>
        <w:t>账户</w:t>
      </w:r>
      <w:r>
        <w:rPr>
          <w:rFonts w:hint="eastAsia" w:ascii="宋体" w:hAnsi="宋体" w:cs="宋体"/>
          <w:sz w:val="24"/>
        </w:rPr>
        <w:t xml:space="preserve">：000070583741                　　　　 </w:t>
      </w:r>
      <w:r>
        <w:rPr>
          <w:rFonts w:hint="eastAsia" w:ascii="宋体" w:hAnsi="宋体" w:cs="宋体"/>
          <w:sz w:val="24"/>
          <w:lang w:eastAsia="zh-CN"/>
        </w:rPr>
        <w:t>账号</w:t>
      </w:r>
      <w:r>
        <w:rPr>
          <w:rFonts w:hint="eastAsia" w:ascii="宋体" w:hAnsi="宋体" w:cs="宋体"/>
          <w:sz w:val="24"/>
        </w:rPr>
        <w:t xml:space="preserve">：           </w:t>
      </w:r>
    </w:p>
    <w:p>
      <w:pPr>
        <w:spacing w:line="360" w:lineRule="auto"/>
        <w:jc w:val="center"/>
        <w:rPr>
          <w:rFonts w:ascii="宋体" w:hAnsi="宋体" w:cs="宋体"/>
          <w:sz w:val="24"/>
        </w:rPr>
      </w:pPr>
    </w:p>
    <w:p>
      <w:pPr>
        <w:spacing w:line="360" w:lineRule="auto"/>
        <w:jc w:val="center"/>
        <w:rPr>
          <w:rFonts w:hint="eastAsia"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签约时间：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 xml:space="preserve"> 日</w:t>
      </w:r>
    </w:p>
    <w:p>
      <w:pPr>
        <w:rPr>
          <w:rFonts w:hint="eastAsia" w:ascii="宋体" w:hAnsi="宋体"/>
          <w:b/>
          <w:bCs/>
          <w:sz w:val="28"/>
          <w:szCs w:val="28"/>
        </w:rPr>
      </w:pPr>
      <w:bookmarkStart w:id="25" w:name="_Hlk130198499"/>
      <w:r>
        <w:rPr>
          <w:rFonts w:hint="eastAsia" w:ascii="宋体" w:hAnsi="宋体"/>
          <w:b/>
          <w:bCs/>
          <w:sz w:val="28"/>
          <w:szCs w:val="28"/>
        </w:rPr>
        <w:br w:type="page"/>
      </w:r>
    </w:p>
    <w:p>
      <w:pPr>
        <w:spacing w:line="360" w:lineRule="auto"/>
        <w:rPr>
          <w:rFonts w:ascii="宋体" w:hAnsi="宋体" w:cs="宋体"/>
          <w:sz w:val="24"/>
        </w:rPr>
      </w:pPr>
      <w:r>
        <w:rPr>
          <w:rFonts w:hint="eastAsia" w:ascii="宋体" w:hAnsi="宋体"/>
          <w:b/>
          <w:bCs/>
          <w:sz w:val="28"/>
          <w:szCs w:val="28"/>
        </w:rPr>
        <w:t>附件1</w:t>
      </w:r>
    </w:p>
    <w:bookmarkEnd w:id="25"/>
    <w:p>
      <w:pPr>
        <w:jc w:val="center"/>
        <w:rPr>
          <w:rFonts w:ascii="宋体" w:hAnsi="宋体"/>
          <w:b/>
          <w:bCs/>
          <w:sz w:val="36"/>
          <w:szCs w:val="36"/>
        </w:rPr>
      </w:pPr>
      <w:r>
        <w:rPr>
          <w:rFonts w:hint="eastAsia" w:ascii="宋体" w:hAnsi="宋体"/>
          <w:b/>
          <w:bCs/>
          <w:sz w:val="36"/>
          <w:szCs w:val="36"/>
        </w:rPr>
        <w:t>廉  洁  承  诺  书</w:t>
      </w:r>
    </w:p>
    <w:p>
      <w:pPr>
        <w:spacing w:line="540" w:lineRule="exact"/>
        <w:rPr>
          <w:rFonts w:ascii="宋体" w:hAnsi="宋体"/>
          <w:sz w:val="28"/>
          <w:szCs w:val="28"/>
        </w:rPr>
      </w:pPr>
      <w:r>
        <w:rPr>
          <w:rFonts w:hint="eastAsia" w:ascii="宋体" w:hAnsi="宋体"/>
          <w:sz w:val="28"/>
          <w:szCs w:val="28"/>
        </w:rPr>
        <w:t>甲方：深圳市龙岗中心医院</w:t>
      </w:r>
    </w:p>
    <w:p>
      <w:pPr>
        <w:spacing w:line="540" w:lineRule="exact"/>
        <w:rPr>
          <w:rFonts w:ascii="宋体" w:hAnsi="宋体"/>
          <w:sz w:val="28"/>
          <w:szCs w:val="28"/>
        </w:rPr>
      </w:pPr>
      <w:r>
        <w:rPr>
          <w:rFonts w:hint="eastAsia" w:ascii="宋体" w:hAnsi="宋体"/>
          <w:sz w:val="28"/>
          <w:szCs w:val="28"/>
        </w:rPr>
        <w:t>乙方：</w:t>
      </w:r>
      <w:r>
        <w:rPr>
          <w:rFonts w:hint="eastAsia" w:ascii="宋体" w:hAnsi="宋体"/>
          <w:sz w:val="28"/>
          <w:szCs w:val="28"/>
          <w:lang w:val="en-US" w:eastAsia="zh-CN"/>
        </w:rPr>
        <w:t>********</w:t>
      </w:r>
      <w:r>
        <w:rPr>
          <w:rFonts w:hint="eastAsia" w:ascii="宋体" w:hAnsi="宋体"/>
          <w:b/>
          <w:sz w:val="28"/>
          <w:szCs w:val="28"/>
        </w:rPr>
        <w:t xml:space="preserve"> </w:t>
      </w:r>
    </w:p>
    <w:p>
      <w:pPr>
        <w:pStyle w:val="10"/>
        <w:adjustRightInd w:val="0"/>
        <w:snapToGrid w:val="0"/>
        <w:spacing w:line="540" w:lineRule="exact"/>
        <w:rPr>
          <w:rFonts w:ascii="宋体" w:hAnsi="宋体"/>
          <w:sz w:val="24"/>
        </w:rPr>
      </w:pPr>
      <w:r>
        <w:rPr>
          <w:rFonts w:hint="eastAsia" w:ascii="宋体" w:hAnsi="宋体"/>
          <w:sz w:val="24"/>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pPr>
        <w:adjustRightInd w:val="0"/>
        <w:snapToGrid w:val="0"/>
        <w:spacing w:line="540" w:lineRule="exact"/>
        <w:ind w:firstLine="480" w:firstLineChars="200"/>
        <w:rPr>
          <w:rFonts w:ascii="宋体" w:hAnsi="宋体"/>
          <w:sz w:val="24"/>
        </w:rPr>
      </w:pPr>
      <w:r>
        <w:rPr>
          <w:rFonts w:hint="eastAsia" w:ascii="宋体" w:hAnsi="宋体"/>
          <w:sz w:val="24"/>
        </w:rPr>
        <w:t>一、甲乙双方在合作过程中，自觉遵守国家法律、法规，按照《中华人民共和国反不正当竞争法》、《中华人民共和国招标投标法》、《关于禁止商业贿赂行为的暂行规定》、以及其他相关规定开展正常的商业交易活动。</w:t>
      </w:r>
    </w:p>
    <w:p>
      <w:pPr>
        <w:adjustRightInd w:val="0"/>
        <w:snapToGrid w:val="0"/>
        <w:spacing w:line="540" w:lineRule="exact"/>
        <w:ind w:firstLine="480" w:firstLineChars="200"/>
        <w:rPr>
          <w:rFonts w:ascii="宋体" w:hAnsi="宋体"/>
          <w:sz w:val="24"/>
        </w:rPr>
      </w:pPr>
      <w:r>
        <w:rPr>
          <w:rFonts w:hint="eastAsia" w:ascii="宋体" w:hAnsi="宋体"/>
          <w:sz w:val="24"/>
        </w:rPr>
        <w:t>二、甲方工作人员应保持与乙方的正常工作交往，不得接受乙方的礼金、有价证券和贵重物品，不得在乙方报销任何应由个人支付的费用，不得以任何形式向乙方索要和收受回扣或变相收受贿赂。</w:t>
      </w:r>
    </w:p>
    <w:p>
      <w:pPr>
        <w:adjustRightInd w:val="0"/>
        <w:snapToGrid w:val="0"/>
        <w:spacing w:line="540" w:lineRule="exact"/>
        <w:ind w:firstLine="480" w:firstLineChars="200"/>
        <w:rPr>
          <w:rFonts w:ascii="宋体" w:hAnsi="宋体"/>
          <w:sz w:val="24"/>
        </w:rPr>
      </w:pPr>
      <w:r>
        <w:rPr>
          <w:rFonts w:hint="eastAsia" w:ascii="宋体" w:hAnsi="宋体"/>
          <w:sz w:val="24"/>
        </w:rPr>
        <w:t>三、甲方工作人员不得参加可能对公正执行公务有影响的宴请和娱乐活动。</w:t>
      </w:r>
    </w:p>
    <w:p>
      <w:pPr>
        <w:adjustRightInd w:val="0"/>
        <w:snapToGrid w:val="0"/>
        <w:spacing w:line="540" w:lineRule="exact"/>
        <w:ind w:firstLine="480" w:firstLineChars="200"/>
        <w:rPr>
          <w:rFonts w:ascii="宋体" w:hAnsi="宋体"/>
          <w:sz w:val="24"/>
        </w:rPr>
      </w:pPr>
      <w:r>
        <w:rPr>
          <w:rFonts w:hint="eastAsia" w:ascii="宋体" w:hAnsi="宋体"/>
          <w:sz w:val="24"/>
        </w:rPr>
        <w:t>四、甲方工作人员不得要求或者接收乙方为其住房装修、婚丧嫁娶、家属和子女的工作安排以及出国等提供方便。</w:t>
      </w:r>
    </w:p>
    <w:p>
      <w:pPr>
        <w:adjustRightInd w:val="0"/>
        <w:snapToGrid w:val="0"/>
        <w:spacing w:line="540" w:lineRule="exact"/>
        <w:ind w:firstLine="480" w:firstLineChars="200"/>
        <w:rPr>
          <w:rFonts w:ascii="宋体" w:hAnsi="宋体"/>
          <w:sz w:val="24"/>
        </w:rPr>
      </w:pPr>
      <w:r>
        <w:rPr>
          <w:rFonts w:hint="eastAsia" w:ascii="宋体" w:hAnsi="宋体"/>
          <w:sz w:val="24"/>
        </w:rPr>
        <w:t>五、甲方工作人员不得向乙方介绍亲属或亲友从事与甲方工作有关的经济活动。</w:t>
      </w:r>
    </w:p>
    <w:p>
      <w:pPr>
        <w:adjustRightInd w:val="0"/>
        <w:snapToGrid w:val="0"/>
        <w:spacing w:line="540" w:lineRule="exact"/>
        <w:ind w:firstLine="480" w:firstLineChars="200"/>
        <w:rPr>
          <w:rFonts w:ascii="宋体" w:hAnsi="宋体"/>
          <w:sz w:val="24"/>
        </w:rPr>
      </w:pPr>
      <w:r>
        <w:rPr>
          <w:rFonts w:hint="eastAsia" w:ascii="宋体" w:hAnsi="宋体"/>
          <w:sz w:val="24"/>
        </w:rPr>
        <w:t>六、乙方应当通过正常途径开展相关业务工作，不得为促进品种的销量或在零星工程的招投标等占便宜，而向甲方工作人员赠送礼金、有价证券、贵重物品及现金回扣等。</w:t>
      </w:r>
    </w:p>
    <w:p>
      <w:pPr>
        <w:adjustRightInd w:val="0"/>
        <w:snapToGrid w:val="0"/>
        <w:spacing w:line="540" w:lineRule="exact"/>
        <w:ind w:firstLine="480" w:firstLineChars="200"/>
        <w:rPr>
          <w:rFonts w:ascii="宋体" w:hAnsi="宋体"/>
          <w:sz w:val="24"/>
        </w:rPr>
      </w:pPr>
      <w:r>
        <w:rPr>
          <w:rFonts w:hint="eastAsia" w:ascii="宋体" w:hAnsi="宋体"/>
          <w:sz w:val="24"/>
        </w:rPr>
        <w:t>七、乙方不得以洽谈业务、签订合同等为借口，邀请甲方工作人员外出旅游和进入营业性高消费娱乐场所。</w:t>
      </w:r>
    </w:p>
    <w:p>
      <w:pPr>
        <w:adjustRightInd w:val="0"/>
        <w:snapToGrid w:val="0"/>
        <w:spacing w:line="540" w:lineRule="exact"/>
        <w:ind w:firstLine="480" w:firstLineChars="200"/>
        <w:rPr>
          <w:rFonts w:ascii="宋体" w:hAnsi="宋体"/>
          <w:sz w:val="24"/>
        </w:rPr>
      </w:pPr>
      <w:r>
        <w:rPr>
          <w:rFonts w:hint="eastAsia" w:ascii="宋体" w:hAnsi="宋体"/>
          <w:sz w:val="24"/>
        </w:rPr>
        <w:t>八、乙方不得为甲方单位或个人购置或者提供通信工具、交通工具、家电、高档办公用品等。</w:t>
      </w:r>
    </w:p>
    <w:p>
      <w:pPr>
        <w:adjustRightInd w:val="0"/>
        <w:snapToGrid w:val="0"/>
        <w:spacing w:line="540" w:lineRule="exact"/>
        <w:ind w:firstLine="480" w:firstLineChars="200"/>
        <w:rPr>
          <w:rFonts w:ascii="宋体" w:hAnsi="宋体"/>
          <w:sz w:val="24"/>
        </w:rPr>
      </w:pPr>
      <w:r>
        <w:rPr>
          <w:rFonts w:hint="eastAsia" w:ascii="宋体" w:hAnsi="宋体"/>
          <w:sz w:val="24"/>
        </w:rPr>
        <w:t>九、乙方如发现甲方工作人员有违反上述协议者，应向领导或者甲方上级主管单位举报。甲方不得以任何借口对乙方进行报复。</w:t>
      </w:r>
    </w:p>
    <w:p>
      <w:pPr>
        <w:adjustRightInd w:val="0"/>
        <w:snapToGrid w:val="0"/>
        <w:spacing w:line="540" w:lineRule="exact"/>
        <w:ind w:firstLine="480" w:firstLineChars="200"/>
        <w:rPr>
          <w:rFonts w:ascii="宋体" w:hAnsi="宋体"/>
          <w:sz w:val="24"/>
        </w:rPr>
      </w:pPr>
      <w:r>
        <w:rPr>
          <w:rFonts w:hint="eastAsia" w:ascii="宋体" w:hAnsi="宋体"/>
          <w:sz w:val="24"/>
        </w:rPr>
        <w:t>十、如发现甲方工作人员违反上述协议者，一律交由医院纪检部的处理。</w:t>
      </w:r>
    </w:p>
    <w:p>
      <w:pPr>
        <w:adjustRightInd w:val="0"/>
        <w:snapToGrid w:val="0"/>
        <w:spacing w:line="540" w:lineRule="exact"/>
        <w:ind w:firstLine="480" w:firstLineChars="200"/>
        <w:rPr>
          <w:rFonts w:ascii="宋体" w:hAnsi="宋体"/>
          <w:sz w:val="24"/>
        </w:rPr>
      </w:pPr>
      <w:r>
        <w:rPr>
          <w:rFonts w:hint="eastAsia" w:ascii="宋体" w:hAnsi="宋体"/>
          <w:sz w:val="24"/>
        </w:rPr>
        <w:t>十一、如发现乙方工作人员违反上述协议，甲方有权终止与乙方的所有业务往来。</w:t>
      </w:r>
    </w:p>
    <w:p>
      <w:pPr>
        <w:adjustRightInd w:val="0"/>
        <w:snapToGrid w:val="0"/>
        <w:spacing w:line="540" w:lineRule="exact"/>
        <w:ind w:firstLine="480" w:firstLineChars="200"/>
        <w:rPr>
          <w:rFonts w:ascii="宋体" w:hAnsi="宋体"/>
          <w:sz w:val="24"/>
        </w:rPr>
      </w:pPr>
      <w:r>
        <w:rPr>
          <w:rFonts w:hint="eastAsia" w:ascii="宋体" w:hAnsi="宋体"/>
          <w:sz w:val="24"/>
        </w:rPr>
        <w:t>十二、甲乙双方监督单位为其上级主管部门。</w:t>
      </w:r>
    </w:p>
    <w:p>
      <w:pPr>
        <w:pStyle w:val="10"/>
        <w:adjustRightInd w:val="0"/>
        <w:snapToGrid w:val="0"/>
        <w:spacing w:line="540" w:lineRule="exact"/>
        <w:rPr>
          <w:rFonts w:ascii="宋体" w:hAnsi="宋体"/>
          <w:sz w:val="24"/>
        </w:rPr>
      </w:pPr>
      <w:r>
        <w:rPr>
          <w:rFonts w:hint="eastAsia" w:ascii="宋体" w:hAnsi="宋体"/>
          <w:sz w:val="24"/>
        </w:rPr>
        <w:t>十三、本协议与合同具有同等法律效力。经双方签署后立即生效。</w:t>
      </w:r>
    </w:p>
    <w:p>
      <w:pPr>
        <w:adjustRightInd w:val="0"/>
        <w:snapToGrid w:val="0"/>
        <w:spacing w:line="540" w:lineRule="exact"/>
        <w:ind w:firstLine="480" w:firstLineChars="200"/>
        <w:rPr>
          <w:rFonts w:ascii="宋体" w:hAnsi="宋体"/>
          <w:sz w:val="24"/>
        </w:rPr>
      </w:pPr>
      <w:r>
        <w:rPr>
          <w:rFonts w:hint="eastAsia" w:ascii="宋体" w:hAnsi="宋体"/>
          <w:sz w:val="24"/>
        </w:rPr>
        <w:t>十四、</w:t>
      </w:r>
      <w:r>
        <w:rPr>
          <w:rFonts w:hint="eastAsia" w:ascii="宋体" w:hAnsi="宋体"/>
          <w:spacing w:val="-2"/>
          <w:sz w:val="24"/>
        </w:rPr>
        <w:t>本协议的有效期为双方签署之日起至双方业务终止时止。</w:t>
      </w:r>
    </w:p>
    <w:p>
      <w:pPr>
        <w:adjustRightInd w:val="0"/>
        <w:snapToGrid w:val="0"/>
        <w:spacing w:line="540" w:lineRule="exact"/>
        <w:ind w:firstLine="480" w:firstLineChars="200"/>
        <w:rPr>
          <w:rFonts w:ascii="宋体" w:hAnsi="宋体"/>
          <w:sz w:val="24"/>
        </w:rPr>
      </w:pPr>
      <w:r>
        <w:rPr>
          <w:rFonts w:hint="eastAsia" w:ascii="宋体" w:hAnsi="宋体"/>
          <w:sz w:val="24"/>
        </w:rPr>
        <w:t>十五、本协议一式叁份，甲方持贰份，乙方持壹份。</w:t>
      </w:r>
    </w:p>
    <w:p>
      <w:pPr>
        <w:adjustRightInd w:val="0"/>
        <w:snapToGrid w:val="0"/>
        <w:spacing w:line="540" w:lineRule="exact"/>
        <w:ind w:firstLine="560" w:firstLineChars="200"/>
        <w:rPr>
          <w:rFonts w:ascii="仿宋_GB2312" w:eastAsia="仿宋_GB2312"/>
          <w:sz w:val="28"/>
          <w:szCs w:val="28"/>
        </w:rPr>
      </w:pP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adjustRightInd w:val="0"/>
        <w:snapToGrid w:val="0"/>
        <w:spacing w:line="540" w:lineRule="exact"/>
        <w:ind w:firstLine="560" w:firstLineChars="200"/>
        <w:rPr>
          <w:rFonts w:ascii="仿宋_GB2312" w:eastAsia="仿宋_GB2312"/>
          <w:sz w:val="28"/>
          <w:szCs w:val="28"/>
        </w:rPr>
      </w:pPr>
    </w:p>
    <w:p>
      <w:pPr>
        <w:adjustRightInd w:val="0"/>
        <w:snapToGrid w:val="0"/>
        <w:spacing w:line="540" w:lineRule="exact"/>
        <w:ind w:left="4935" w:leftChars="150" w:hanging="4620" w:hangingChars="1650"/>
        <w:rPr>
          <w:rFonts w:ascii="宋体" w:hAnsi="宋体"/>
          <w:sz w:val="28"/>
          <w:szCs w:val="28"/>
        </w:rPr>
      </w:pPr>
      <w:r>
        <w:rPr>
          <w:rFonts w:hint="eastAsia" w:ascii="宋体" w:hAnsi="宋体"/>
          <w:sz w:val="28"/>
          <w:szCs w:val="28"/>
        </w:rPr>
        <w:t xml:space="preserve">甲方: </w:t>
      </w:r>
      <w:r>
        <w:rPr>
          <w:rFonts w:hint="eastAsia" w:ascii="宋体" w:hAnsi="宋体"/>
          <w:bCs/>
          <w:sz w:val="28"/>
          <w:szCs w:val="28"/>
        </w:rPr>
        <w:t>深圳市龙岗中心医院</w:t>
      </w:r>
      <w:r>
        <w:rPr>
          <w:rFonts w:hint="eastAsia" w:ascii="宋体" w:hAnsi="宋体"/>
          <w:sz w:val="28"/>
          <w:szCs w:val="28"/>
        </w:rPr>
        <w:t xml:space="preserve">  　　乙方:</w:t>
      </w:r>
      <w:r>
        <w:rPr>
          <w:rFonts w:hint="eastAsia" w:ascii="宋体" w:hAnsi="宋体"/>
          <w:sz w:val="28"/>
          <w:szCs w:val="28"/>
          <w:lang w:val="en-US" w:eastAsia="zh-CN"/>
        </w:rPr>
        <w:t>******</w:t>
      </w:r>
      <w:r>
        <w:rPr>
          <w:rFonts w:hint="eastAsia" w:ascii="宋体" w:hAnsi="宋体"/>
        </w:rPr>
        <w:t xml:space="preserve"> </w:t>
      </w:r>
      <w:r>
        <w:rPr>
          <w:rFonts w:hint="eastAsia" w:ascii="宋体" w:hAnsi="宋体"/>
          <w:b/>
          <w:sz w:val="28"/>
          <w:szCs w:val="28"/>
        </w:rPr>
        <w:t xml:space="preserve"> </w:t>
      </w:r>
    </w:p>
    <w:p>
      <w:pPr>
        <w:adjustRightInd w:val="0"/>
        <w:snapToGrid w:val="0"/>
        <w:spacing w:line="540" w:lineRule="exact"/>
        <w:ind w:firstLine="420" w:firstLineChars="150"/>
        <w:rPr>
          <w:rFonts w:ascii="宋体" w:hAnsi="宋体"/>
          <w:sz w:val="28"/>
          <w:szCs w:val="28"/>
        </w:rPr>
      </w:pPr>
      <w:r>
        <w:rPr>
          <w:rFonts w:hint="eastAsia" w:ascii="宋体" w:hAnsi="宋体"/>
          <w:sz w:val="28"/>
          <w:szCs w:val="28"/>
        </w:rPr>
        <w:t>代表或委托人（签字）：   　　</w:t>
      </w:r>
      <w:r>
        <w:rPr>
          <w:rFonts w:ascii="宋体" w:hAnsi="宋体"/>
          <w:sz w:val="28"/>
          <w:szCs w:val="28"/>
        </w:rPr>
        <w:t xml:space="preserve"> </w:t>
      </w:r>
      <w:r>
        <w:rPr>
          <w:rFonts w:hint="eastAsia" w:ascii="宋体" w:hAnsi="宋体"/>
          <w:sz w:val="28"/>
          <w:szCs w:val="28"/>
        </w:rPr>
        <w:t>法人代表或委托人（签字）：</w:t>
      </w:r>
    </w:p>
    <w:p>
      <w:pPr>
        <w:tabs>
          <w:tab w:val="left" w:pos="4860"/>
        </w:tabs>
        <w:adjustRightInd w:val="0"/>
        <w:snapToGrid w:val="0"/>
        <w:spacing w:line="540" w:lineRule="exact"/>
        <w:ind w:firstLine="560" w:firstLineChars="200"/>
        <w:rPr>
          <w:rFonts w:ascii="宋体" w:hAnsi="宋体"/>
          <w:sz w:val="28"/>
          <w:szCs w:val="28"/>
        </w:rPr>
      </w:pPr>
    </w:p>
    <w:p>
      <w:pPr>
        <w:tabs>
          <w:tab w:val="left" w:pos="4860"/>
        </w:tabs>
        <w:adjustRightInd w:val="0"/>
        <w:snapToGrid w:val="0"/>
        <w:spacing w:line="540" w:lineRule="exact"/>
        <w:ind w:firstLine="560" w:firstLineChars="200"/>
        <w:rPr>
          <w:rFonts w:ascii="宋体" w:hAnsi="宋体"/>
          <w:sz w:val="28"/>
          <w:szCs w:val="28"/>
        </w:rPr>
      </w:pPr>
    </w:p>
    <w:p>
      <w:pPr>
        <w:ind w:firstLine="4200" w:firstLineChars="1500"/>
        <w:rPr>
          <w:rFonts w:ascii="宋体" w:hAnsi="宋体"/>
          <w:sz w:val="28"/>
          <w:szCs w:val="28"/>
        </w:rPr>
      </w:pPr>
      <w:r>
        <w:rPr>
          <w:rFonts w:hint="eastAsia" w:ascii="宋体" w:hAnsi="宋体"/>
          <w:sz w:val="28"/>
          <w:szCs w:val="28"/>
        </w:rPr>
        <w:t xml:space="preserve">签订日期： </w:t>
      </w:r>
      <w:r>
        <w:rPr>
          <w:rFonts w:ascii="宋体" w:hAnsi="宋体"/>
          <w:sz w:val="28"/>
          <w:szCs w:val="28"/>
        </w:rPr>
        <w:t xml:space="preserve">     </w:t>
      </w:r>
      <w:r>
        <w:rPr>
          <w:rFonts w:hint="eastAsia" w:ascii="宋体" w:hAnsi="宋体"/>
          <w:sz w:val="28"/>
          <w:szCs w:val="28"/>
        </w:rPr>
        <w:t xml:space="preserve"> 年  </w:t>
      </w:r>
      <w:r>
        <w:rPr>
          <w:rFonts w:ascii="宋体" w:hAnsi="宋体"/>
          <w:sz w:val="28"/>
          <w:szCs w:val="28"/>
        </w:rPr>
        <w:t xml:space="preserve">   </w:t>
      </w:r>
      <w:r>
        <w:rPr>
          <w:rFonts w:hint="eastAsia" w:ascii="宋体" w:hAnsi="宋体"/>
          <w:sz w:val="28"/>
          <w:szCs w:val="28"/>
        </w:rPr>
        <w:t xml:space="preserve"> 月 </w:t>
      </w:r>
      <w:r>
        <w:rPr>
          <w:rFonts w:ascii="宋体" w:hAnsi="宋体"/>
          <w:sz w:val="28"/>
          <w:szCs w:val="28"/>
        </w:rPr>
        <w:t xml:space="preserve">  </w:t>
      </w:r>
      <w:r>
        <w:rPr>
          <w:rFonts w:hint="eastAsia" w:ascii="宋体" w:hAnsi="宋体"/>
          <w:sz w:val="28"/>
          <w:szCs w:val="28"/>
        </w:rPr>
        <w:t xml:space="preserve">  日</w:t>
      </w:r>
    </w:p>
    <w:p>
      <w:pPr>
        <w:pStyle w:val="9"/>
      </w:pPr>
    </w:p>
    <w:p/>
    <w:p>
      <w:pPr>
        <w:pStyle w:val="9"/>
      </w:pPr>
    </w:p>
    <w:p/>
    <w:p>
      <w:pPr>
        <w:pStyle w:val="9"/>
      </w:pPr>
    </w:p>
    <w:p/>
    <w:p>
      <w:pPr>
        <w:pStyle w:val="9"/>
      </w:pPr>
    </w:p>
    <w:p/>
    <w:p>
      <w:pPr>
        <w:pStyle w:val="9"/>
      </w:pPr>
    </w:p>
    <w:p/>
    <w:p>
      <w:pPr>
        <w:pStyle w:val="9"/>
      </w:pPr>
    </w:p>
    <w:p>
      <w:pPr>
        <w:widowControl/>
        <w:spacing w:line="520" w:lineRule="exact"/>
        <w:jc w:val="left"/>
        <w:rPr>
          <w:rFonts w:hint="eastAsia" w:ascii="宋体" w:hAnsi="宋体" w:eastAsia="宋体"/>
          <w:b/>
          <w:bCs/>
          <w:sz w:val="28"/>
          <w:szCs w:val="28"/>
          <w:lang w:val="en-US" w:eastAsia="zh-CN"/>
        </w:rPr>
      </w:pPr>
      <w:r>
        <w:rPr>
          <w:rFonts w:hint="eastAsia" w:ascii="宋体" w:hAnsi="宋体"/>
          <w:b/>
          <w:bCs/>
          <w:sz w:val="28"/>
          <w:szCs w:val="28"/>
        </w:rPr>
        <w:t>附件</w:t>
      </w:r>
      <w:r>
        <w:rPr>
          <w:rFonts w:hint="eastAsia" w:ascii="宋体" w:hAnsi="宋体"/>
          <w:b/>
          <w:bCs/>
          <w:sz w:val="28"/>
          <w:szCs w:val="28"/>
          <w:lang w:val="en-US" w:eastAsia="zh-CN"/>
        </w:rPr>
        <w:t>2</w:t>
      </w:r>
    </w:p>
    <w:p>
      <w:pPr>
        <w:widowControl/>
        <w:spacing w:line="520" w:lineRule="exact"/>
        <w:jc w:val="center"/>
        <w:rPr>
          <w:rFonts w:ascii="宋体" w:hAnsi="宋体" w:cs="方正小标宋简体"/>
          <w:color w:val="000000"/>
          <w:kern w:val="0"/>
          <w:sz w:val="36"/>
          <w:szCs w:val="36"/>
          <w:lang w:bidi="ar"/>
        </w:rPr>
      </w:pPr>
      <w:r>
        <w:rPr>
          <w:rFonts w:hint="eastAsia" w:ascii="宋体" w:hAnsi="宋体" w:cs="方正小标宋简体"/>
          <w:color w:val="000000"/>
          <w:kern w:val="0"/>
          <w:sz w:val="36"/>
          <w:szCs w:val="36"/>
          <w:lang w:bidi="ar"/>
        </w:rPr>
        <w:t>龙岗区进一步规范政商交往行为“十个不得”告知书</w:t>
      </w:r>
    </w:p>
    <w:p>
      <w:pPr>
        <w:widowControl/>
        <w:spacing w:line="520" w:lineRule="exact"/>
        <w:jc w:val="center"/>
        <w:rPr>
          <w:rFonts w:ascii="宋体" w:hAnsi="宋体" w:cs="方正小标宋简体"/>
          <w:color w:val="000000"/>
          <w:kern w:val="0"/>
          <w:sz w:val="30"/>
          <w:szCs w:val="30"/>
          <w:lang w:bidi="ar"/>
        </w:rPr>
      </w:pPr>
      <w:r>
        <w:rPr>
          <w:rFonts w:hint="eastAsia" w:ascii="宋体" w:hAnsi="宋体" w:cs="方正小标宋简体"/>
          <w:color w:val="000000"/>
          <w:kern w:val="0"/>
          <w:sz w:val="30"/>
          <w:szCs w:val="30"/>
          <w:lang w:bidi="ar"/>
        </w:rPr>
        <w:t>（2</w:t>
      </w:r>
      <w:r>
        <w:rPr>
          <w:rFonts w:ascii="宋体" w:hAnsi="宋体" w:cs="方正小标宋简体"/>
          <w:color w:val="000000"/>
          <w:kern w:val="0"/>
          <w:sz w:val="30"/>
          <w:szCs w:val="30"/>
          <w:lang w:bidi="ar"/>
        </w:rPr>
        <w:t>02</w:t>
      </w:r>
      <w:r>
        <w:rPr>
          <w:rFonts w:hint="eastAsia" w:ascii="宋体" w:hAnsi="宋体" w:cs="方正小标宋简体"/>
          <w:color w:val="000000"/>
          <w:kern w:val="0"/>
          <w:sz w:val="30"/>
          <w:szCs w:val="30"/>
          <w:lang w:val="en-US" w:eastAsia="zh-CN" w:bidi="ar"/>
        </w:rPr>
        <w:t>5</w:t>
      </w:r>
      <w:r>
        <w:rPr>
          <w:rFonts w:ascii="宋体" w:hAnsi="宋体" w:cs="方正小标宋简体"/>
          <w:color w:val="000000"/>
          <w:kern w:val="0"/>
          <w:sz w:val="30"/>
          <w:szCs w:val="30"/>
          <w:lang w:bidi="ar"/>
        </w:rPr>
        <w:t>年</w:t>
      </w:r>
      <w:r>
        <w:rPr>
          <w:rFonts w:hint="eastAsia" w:ascii="宋体" w:hAnsi="宋体" w:cs="方正小标宋简体"/>
          <w:color w:val="000000"/>
          <w:kern w:val="0"/>
          <w:sz w:val="30"/>
          <w:szCs w:val="30"/>
          <w:lang w:bidi="ar"/>
        </w:rPr>
        <w:t>）</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为深入构建</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亲</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清</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一、不得向公职人员赠送礼品、礼金、消费卡等财物。</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二、不得违规向公职人员提供宴请、旅游、娱乐等安排。</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三、不得通过打麻将等形式向公职人员输送利益。</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四、不得为公职人员报销应由其个人支付的费用。</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五、不得违规向公职人员及其亲友借贷款。</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六、不得违规将车辆、住房等借给公职人员使用。</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七、不得在招投标中与公职人员搞暗箱操作、围标串标。</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八、不得为利益相关人和公职人员牵线搭桥或者代为传递信息、传递财物。</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九、不得让公职人员在企业违规兼职取酬。</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十、不得为公职人员亲友违规承揽业务提供便利。</w:t>
      </w: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pPr>
        <w:widowControl/>
        <w:spacing w:line="460" w:lineRule="exact"/>
        <w:jc w:val="left"/>
        <w:rPr>
          <w:rFonts w:ascii="仿宋_GB2312" w:hAnsi="宋体" w:cs="仿宋_GB2312"/>
          <w:color w:val="000000"/>
          <w:kern w:val="0"/>
          <w:sz w:val="24"/>
          <w:lang w:bidi="ar"/>
        </w:rPr>
      </w:pPr>
    </w:p>
    <w:p>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本人已知晓上述告知内容，并愿意遵照执行（签名）：</w:t>
      </w:r>
    </w:p>
    <w:p>
      <w:pPr>
        <w:widowControl/>
        <w:spacing w:line="460" w:lineRule="exact"/>
        <w:jc w:val="left"/>
        <w:rPr>
          <w:rFonts w:ascii="仿宋_GB2312" w:hAnsi="宋体" w:cs="仿宋_GB2312"/>
          <w:color w:val="000000"/>
          <w:kern w:val="0"/>
          <w:sz w:val="24"/>
          <w:lang w:bidi="ar"/>
        </w:rPr>
      </w:pPr>
      <w:r>
        <w:rPr>
          <w:rFonts w:ascii="仿宋_GB2312" w:hAnsi="宋体" w:cs="仿宋_GB2312"/>
          <w:color w:val="000000"/>
          <w:kern w:val="0"/>
          <w:sz w:val="24"/>
          <w:lang w:bidi="ar"/>
        </w:rPr>
        <w:t xml:space="preserve"> </w:t>
      </w:r>
    </w:p>
    <w:p>
      <w:pPr>
        <w:widowControl/>
        <w:spacing w:line="460" w:lineRule="exact"/>
        <w:ind w:left="0" w:leftChars="0" w:firstLine="5880" w:firstLineChars="245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20</w:t>
      </w:r>
      <w:r>
        <w:rPr>
          <w:rFonts w:ascii="仿宋_GB2312" w:hAnsi="宋体" w:cs="仿宋_GB2312"/>
          <w:color w:val="000000"/>
          <w:kern w:val="0"/>
          <w:sz w:val="24"/>
          <w:lang w:bidi="ar"/>
        </w:rPr>
        <w:t>2</w:t>
      </w:r>
      <w:r>
        <w:rPr>
          <w:rFonts w:hint="eastAsia" w:ascii="仿宋_GB2312" w:hAnsi="宋体" w:cs="仿宋_GB2312"/>
          <w:color w:val="000000"/>
          <w:kern w:val="0"/>
          <w:sz w:val="24"/>
          <w:lang w:val="en-US" w:eastAsia="zh-CN" w:bidi="ar"/>
        </w:rPr>
        <w:t>5</w:t>
      </w:r>
      <w:r>
        <w:rPr>
          <w:rFonts w:hint="eastAsia" w:ascii="仿宋_GB2312" w:hAnsi="宋体" w:cs="仿宋_GB2312"/>
          <w:color w:val="000000"/>
          <w:kern w:val="0"/>
          <w:sz w:val="24"/>
          <w:lang w:bidi="ar"/>
        </w:rPr>
        <w:t>年</w:t>
      </w:r>
      <w:r>
        <w:rPr>
          <w:rFonts w:ascii="仿宋_GB2312" w:hAnsi="宋体" w:cs="仿宋_GB2312"/>
          <w:color w:val="000000"/>
          <w:kern w:val="0"/>
          <w:sz w:val="24"/>
          <w:lang w:bidi="ar"/>
        </w:rPr>
        <w:t xml:space="preserve">   </w:t>
      </w:r>
      <w:r>
        <w:rPr>
          <w:rFonts w:hint="eastAsia" w:ascii="仿宋_GB2312" w:hAnsi="宋体" w:cs="仿宋_GB2312"/>
          <w:color w:val="000000"/>
          <w:kern w:val="0"/>
          <w:sz w:val="24"/>
          <w:lang w:bidi="ar"/>
        </w:rPr>
        <w:t>月</w:t>
      </w:r>
      <w:r>
        <w:rPr>
          <w:rFonts w:ascii="仿宋_GB2312" w:hAnsi="宋体" w:cs="仿宋_GB2312"/>
          <w:color w:val="000000"/>
          <w:kern w:val="0"/>
          <w:sz w:val="24"/>
          <w:lang w:bidi="ar"/>
        </w:rPr>
        <w:t xml:space="preserve">    </w:t>
      </w:r>
      <w:r>
        <w:rPr>
          <w:rFonts w:hint="eastAsia" w:ascii="仿宋_GB2312" w:hAnsi="宋体" w:cs="仿宋_GB2312"/>
          <w:color w:val="000000"/>
          <w:kern w:val="0"/>
          <w:sz w:val="24"/>
          <w:lang w:bidi="ar"/>
        </w:rPr>
        <w:t>日</w:t>
      </w:r>
    </w:p>
    <w:p>
      <w:pPr>
        <w:pStyle w:val="6"/>
        <w:rPr>
          <w:lang w:bidi="ar"/>
        </w:rPr>
      </w:pPr>
    </w:p>
    <w:p>
      <w:pPr>
        <w:jc w:val="center"/>
        <w:rPr>
          <w:rFonts w:ascii="黑体" w:hAnsi="宋体" w:eastAsia="黑体"/>
          <w:b/>
          <w:bCs/>
          <w:sz w:val="28"/>
          <w:szCs w:val="28"/>
        </w:rPr>
      </w:pPr>
      <w:r>
        <w:rPr>
          <w:rFonts w:ascii="楷体_GB2312" w:hAnsi="宋体" w:eastAsia="楷体_GB2312" w:cs="楷体_GB2312"/>
          <w:color w:val="000000"/>
          <w:kern w:val="0"/>
          <w:sz w:val="24"/>
          <w:lang w:bidi="ar"/>
        </w:rPr>
        <w:t>（本告知书一式两份，一份由被告知人保存，一份由告知人所在单位留存。）</w:t>
      </w:r>
    </w:p>
    <w:p/>
    <w:p>
      <w:pPr>
        <w:rPr>
          <w:rFonts w:ascii="仿宋_GB2312" w:eastAsia="仿宋_GB2312"/>
          <w:b/>
          <w:bCs/>
          <w:sz w:val="28"/>
          <w:szCs w:val="28"/>
        </w:rPr>
      </w:pPr>
    </w:p>
    <w:p>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九、投标人认为需要加以说明的其他内容的格式</w:t>
      </w:r>
    </w:p>
    <w:p>
      <w:pPr>
        <w:rPr>
          <w:rFonts w:hint="eastAsia" w:ascii="仿宋" w:hAnsi="仿宋" w:eastAsia="仿宋" w:cs="仿宋"/>
          <w:b/>
          <w:bCs/>
          <w:kern w:val="2"/>
          <w:sz w:val="24"/>
          <w:szCs w:val="24"/>
          <w:highlight w:val="none"/>
          <w:lang w:val="en-US" w:eastAsia="zh-CN"/>
        </w:rPr>
      </w:pPr>
    </w:p>
    <w:p>
      <w:pPr>
        <w:widowControl/>
        <w:jc w:val="left"/>
        <w:rPr>
          <w:rFonts w:hint="eastAsia" w:ascii="仿宋" w:hAnsi="仿宋" w:eastAsia="仿宋" w:cs="仿宋"/>
          <w:b/>
          <w:bCs/>
          <w:sz w:val="24"/>
          <w:szCs w:val="20"/>
          <w:highlight w:val="none"/>
        </w:rPr>
      </w:pPr>
    </w:p>
    <w:p>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pPr>
        <w:widowControl w:val="0"/>
        <w:ind w:firstLine="482" w:firstLineChars="200"/>
        <w:jc w:val="center"/>
        <w:rPr>
          <w:rFonts w:hint="eastAsia" w:ascii="仿宋" w:hAnsi="仿宋" w:eastAsia="仿宋" w:cs="仿宋"/>
          <w:b/>
          <w:bCs/>
          <w:kern w:val="2"/>
          <w:sz w:val="24"/>
          <w:szCs w:val="24"/>
          <w:highlight w:val="none"/>
          <w:lang w:val="en-US" w:eastAsia="zh-CN"/>
        </w:rPr>
      </w:pPr>
    </w:p>
    <w:p>
      <w:pPr>
        <w:widowControl w:val="0"/>
        <w:ind w:firstLine="482" w:firstLineChars="200"/>
        <w:jc w:val="cente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9"/>
        <w:rPr>
          <w:rFonts w:hint="eastAsia" w:ascii="仿宋" w:hAnsi="仿宋" w:eastAsia="仿宋" w:cs="仿宋"/>
          <w:b/>
          <w:bCs/>
          <w:kern w:val="2"/>
          <w:sz w:val="24"/>
          <w:szCs w:val="24"/>
          <w:highlight w:val="none"/>
          <w:lang w:val="en-US" w:eastAsia="zh-CN"/>
        </w:rPr>
      </w:pPr>
    </w:p>
    <w:p>
      <w:pPr>
        <w:pStyle w:val="25"/>
        <w:rPr>
          <w:rFonts w:hint="eastAsia" w:ascii="仿宋" w:hAnsi="仿宋" w:eastAsia="仿宋" w:cs="仿宋"/>
          <w:b/>
          <w:bCs/>
          <w:kern w:val="2"/>
          <w:sz w:val="24"/>
          <w:szCs w:val="24"/>
          <w:highlight w:val="none"/>
          <w:lang w:val="en-US" w:eastAsia="zh-CN"/>
        </w:rPr>
      </w:pPr>
    </w:p>
    <w:p>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F8F6F4BF"/>
    <w:multiLevelType w:val="singleLevel"/>
    <w:tmpl w:val="F8F6F4BF"/>
    <w:lvl w:ilvl="0" w:tentative="0">
      <w:start w:val="1"/>
      <w:numFmt w:val="chineseCounting"/>
      <w:suff w:val="nothing"/>
      <w:lvlText w:val="（%1）"/>
      <w:lvlJc w:val="left"/>
      <w:rPr>
        <w:rFonts w:hint="eastAsia"/>
      </w:rPr>
    </w:lvl>
  </w:abstractNum>
  <w:abstractNum w:abstractNumId="4">
    <w:nsid w:val="063CE8F2"/>
    <w:multiLevelType w:val="singleLevel"/>
    <w:tmpl w:val="063CE8F2"/>
    <w:lvl w:ilvl="0" w:tentative="0">
      <w:start w:val="6"/>
      <w:numFmt w:val="chineseCounting"/>
      <w:suff w:val="nothing"/>
      <w:lvlText w:val="%1、"/>
      <w:lvlJc w:val="left"/>
      <w:rPr>
        <w:rFonts w:hint="eastAsia"/>
      </w:rPr>
    </w:lvl>
  </w:abstractNum>
  <w:abstractNum w:abstractNumId="5">
    <w:nsid w:val="296F2EC0"/>
    <w:multiLevelType w:val="singleLevel"/>
    <w:tmpl w:val="296F2EC0"/>
    <w:lvl w:ilvl="0" w:tentative="0">
      <w:start w:val="2"/>
      <w:numFmt w:val="chineseCounting"/>
      <w:suff w:val="nothing"/>
      <w:lvlText w:val="%1、"/>
      <w:lvlJc w:val="left"/>
      <w:rPr>
        <w:rFonts w:hint="eastAsi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TYxMGNjZWQ2NWRkNDIxZWM1ZDAxODQ5MTg2MjAifQ=="/>
  </w:docVars>
  <w:rsids>
    <w:rsidRoot w:val="00172A27"/>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1E67F19"/>
    <w:rsid w:val="02070CCA"/>
    <w:rsid w:val="020A35B5"/>
    <w:rsid w:val="029D3A65"/>
    <w:rsid w:val="029E28CC"/>
    <w:rsid w:val="02FD73D9"/>
    <w:rsid w:val="036076BB"/>
    <w:rsid w:val="036C77E2"/>
    <w:rsid w:val="03AF5836"/>
    <w:rsid w:val="03B35F94"/>
    <w:rsid w:val="03F00C2C"/>
    <w:rsid w:val="03F34A98"/>
    <w:rsid w:val="04041556"/>
    <w:rsid w:val="040D7160"/>
    <w:rsid w:val="042A3D4B"/>
    <w:rsid w:val="049A7A55"/>
    <w:rsid w:val="04A163D8"/>
    <w:rsid w:val="04AD1FE3"/>
    <w:rsid w:val="04DC3B9D"/>
    <w:rsid w:val="04F24EFB"/>
    <w:rsid w:val="04F31768"/>
    <w:rsid w:val="060474C7"/>
    <w:rsid w:val="06050740"/>
    <w:rsid w:val="069F5FA0"/>
    <w:rsid w:val="07533F3F"/>
    <w:rsid w:val="07944D56"/>
    <w:rsid w:val="07A07BF6"/>
    <w:rsid w:val="07F949EC"/>
    <w:rsid w:val="07FC1113"/>
    <w:rsid w:val="081A0A78"/>
    <w:rsid w:val="0822685D"/>
    <w:rsid w:val="08D7672D"/>
    <w:rsid w:val="08E12275"/>
    <w:rsid w:val="09722ECD"/>
    <w:rsid w:val="09983C20"/>
    <w:rsid w:val="09EA6E37"/>
    <w:rsid w:val="0A0106F5"/>
    <w:rsid w:val="0A051F93"/>
    <w:rsid w:val="0A0807A0"/>
    <w:rsid w:val="0A1013CF"/>
    <w:rsid w:val="0A310FDA"/>
    <w:rsid w:val="0A426DC6"/>
    <w:rsid w:val="0A6848FD"/>
    <w:rsid w:val="0AC70AC2"/>
    <w:rsid w:val="0AC7549A"/>
    <w:rsid w:val="0B0A2F33"/>
    <w:rsid w:val="0B1701D0"/>
    <w:rsid w:val="0B4A7731"/>
    <w:rsid w:val="0B662E92"/>
    <w:rsid w:val="0BEA3AC8"/>
    <w:rsid w:val="0C032502"/>
    <w:rsid w:val="0C0C1163"/>
    <w:rsid w:val="0C141EDE"/>
    <w:rsid w:val="0C193AD3"/>
    <w:rsid w:val="0CAC2BC9"/>
    <w:rsid w:val="0CEA5470"/>
    <w:rsid w:val="0D4D66A4"/>
    <w:rsid w:val="0D596510"/>
    <w:rsid w:val="0DB708FE"/>
    <w:rsid w:val="0DBC030F"/>
    <w:rsid w:val="0DE95727"/>
    <w:rsid w:val="0DFF46DE"/>
    <w:rsid w:val="0E400B9F"/>
    <w:rsid w:val="0EB5061F"/>
    <w:rsid w:val="0EB86FCD"/>
    <w:rsid w:val="0EBE3E7B"/>
    <w:rsid w:val="0F436826"/>
    <w:rsid w:val="0F6E39D9"/>
    <w:rsid w:val="0FC24482"/>
    <w:rsid w:val="0FDFD16C"/>
    <w:rsid w:val="100D00CB"/>
    <w:rsid w:val="10C852A7"/>
    <w:rsid w:val="11482EF1"/>
    <w:rsid w:val="11F701D1"/>
    <w:rsid w:val="12176D07"/>
    <w:rsid w:val="12820E00"/>
    <w:rsid w:val="12E76E7A"/>
    <w:rsid w:val="1303372D"/>
    <w:rsid w:val="131C1D41"/>
    <w:rsid w:val="14103A0E"/>
    <w:rsid w:val="1435417E"/>
    <w:rsid w:val="145E012F"/>
    <w:rsid w:val="147B2172"/>
    <w:rsid w:val="147E0AD7"/>
    <w:rsid w:val="14D667B0"/>
    <w:rsid w:val="150F420C"/>
    <w:rsid w:val="154657DE"/>
    <w:rsid w:val="15C745A0"/>
    <w:rsid w:val="16434521"/>
    <w:rsid w:val="1651013B"/>
    <w:rsid w:val="16687697"/>
    <w:rsid w:val="167125A0"/>
    <w:rsid w:val="16AD1B1F"/>
    <w:rsid w:val="171200D6"/>
    <w:rsid w:val="173E6AE4"/>
    <w:rsid w:val="17684DD0"/>
    <w:rsid w:val="17775829"/>
    <w:rsid w:val="17C91873"/>
    <w:rsid w:val="17DB2032"/>
    <w:rsid w:val="18143A6B"/>
    <w:rsid w:val="183625F0"/>
    <w:rsid w:val="186D1B4E"/>
    <w:rsid w:val="19091C4A"/>
    <w:rsid w:val="19314B52"/>
    <w:rsid w:val="19316471"/>
    <w:rsid w:val="199219B9"/>
    <w:rsid w:val="19AF7825"/>
    <w:rsid w:val="19C568A1"/>
    <w:rsid w:val="19D44C1D"/>
    <w:rsid w:val="1A3F504D"/>
    <w:rsid w:val="1AF71C78"/>
    <w:rsid w:val="1B0E2C71"/>
    <w:rsid w:val="1B735FFA"/>
    <w:rsid w:val="1B7A2B64"/>
    <w:rsid w:val="1B827729"/>
    <w:rsid w:val="1BB07BC9"/>
    <w:rsid w:val="1BFF59AC"/>
    <w:rsid w:val="1C0320AA"/>
    <w:rsid w:val="1C543752"/>
    <w:rsid w:val="1C7D15FF"/>
    <w:rsid w:val="1C8C6544"/>
    <w:rsid w:val="1D274CCD"/>
    <w:rsid w:val="1D550FDE"/>
    <w:rsid w:val="1D6E4E35"/>
    <w:rsid w:val="1DB16405"/>
    <w:rsid w:val="1DCF493A"/>
    <w:rsid w:val="1E393459"/>
    <w:rsid w:val="1E7B23CC"/>
    <w:rsid w:val="1EFE2CA3"/>
    <w:rsid w:val="1F6115C2"/>
    <w:rsid w:val="20182A59"/>
    <w:rsid w:val="202B4B09"/>
    <w:rsid w:val="203424EF"/>
    <w:rsid w:val="20612D7F"/>
    <w:rsid w:val="20765736"/>
    <w:rsid w:val="20A142F2"/>
    <w:rsid w:val="20DD55C0"/>
    <w:rsid w:val="20F947C6"/>
    <w:rsid w:val="21310158"/>
    <w:rsid w:val="2171390C"/>
    <w:rsid w:val="21D82E30"/>
    <w:rsid w:val="22066A41"/>
    <w:rsid w:val="22305D42"/>
    <w:rsid w:val="2231143C"/>
    <w:rsid w:val="2245341D"/>
    <w:rsid w:val="22574EFE"/>
    <w:rsid w:val="22882FEA"/>
    <w:rsid w:val="2331405F"/>
    <w:rsid w:val="236379CA"/>
    <w:rsid w:val="23CD3AA8"/>
    <w:rsid w:val="24030E99"/>
    <w:rsid w:val="244553D1"/>
    <w:rsid w:val="24800AD4"/>
    <w:rsid w:val="24E0742D"/>
    <w:rsid w:val="254671E4"/>
    <w:rsid w:val="254C061E"/>
    <w:rsid w:val="25BB0CC3"/>
    <w:rsid w:val="25DE55C0"/>
    <w:rsid w:val="25E5110A"/>
    <w:rsid w:val="25EA2F9C"/>
    <w:rsid w:val="260E1D77"/>
    <w:rsid w:val="26226C5D"/>
    <w:rsid w:val="26306AEC"/>
    <w:rsid w:val="264C3A3F"/>
    <w:rsid w:val="2663431E"/>
    <w:rsid w:val="2808126A"/>
    <w:rsid w:val="28553C8E"/>
    <w:rsid w:val="286F6D0C"/>
    <w:rsid w:val="28790EF5"/>
    <w:rsid w:val="28C92CBB"/>
    <w:rsid w:val="28ED4932"/>
    <w:rsid w:val="290C4C94"/>
    <w:rsid w:val="29AE1D01"/>
    <w:rsid w:val="29CE1F49"/>
    <w:rsid w:val="29FE21D6"/>
    <w:rsid w:val="2A0232FC"/>
    <w:rsid w:val="2A9E23A4"/>
    <w:rsid w:val="2AAB32CB"/>
    <w:rsid w:val="2ABC07E1"/>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AB37F5"/>
    <w:rsid w:val="2FCB0A66"/>
    <w:rsid w:val="2FF54D5A"/>
    <w:rsid w:val="304412AC"/>
    <w:rsid w:val="304A60A2"/>
    <w:rsid w:val="308C21D9"/>
    <w:rsid w:val="30E67B79"/>
    <w:rsid w:val="316769E0"/>
    <w:rsid w:val="31BD7D7C"/>
    <w:rsid w:val="3309293E"/>
    <w:rsid w:val="338D69D1"/>
    <w:rsid w:val="33922D7B"/>
    <w:rsid w:val="33C148CD"/>
    <w:rsid w:val="33ED3B76"/>
    <w:rsid w:val="33F0040A"/>
    <w:rsid w:val="340547BA"/>
    <w:rsid w:val="34DC35CC"/>
    <w:rsid w:val="356B157C"/>
    <w:rsid w:val="35A707EA"/>
    <w:rsid w:val="35B2271F"/>
    <w:rsid w:val="35D75530"/>
    <w:rsid w:val="363E5826"/>
    <w:rsid w:val="368C11C2"/>
    <w:rsid w:val="36BF3346"/>
    <w:rsid w:val="36CC1333"/>
    <w:rsid w:val="36ED7E1F"/>
    <w:rsid w:val="36F32FEF"/>
    <w:rsid w:val="37C82C94"/>
    <w:rsid w:val="37EB6F48"/>
    <w:rsid w:val="38B417B8"/>
    <w:rsid w:val="39A56EBD"/>
    <w:rsid w:val="3A4251ED"/>
    <w:rsid w:val="3A560A8C"/>
    <w:rsid w:val="3A5E704A"/>
    <w:rsid w:val="3A744536"/>
    <w:rsid w:val="3A7D77A0"/>
    <w:rsid w:val="3AB1338A"/>
    <w:rsid w:val="3ACC0DB7"/>
    <w:rsid w:val="3B141786"/>
    <w:rsid w:val="3B2F036E"/>
    <w:rsid w:val="3B385475"/>
    <w:rsid w:val="3BFA6B84"/>
    <w:rsid w:val="3CA1587B"/>
    <w:rsid w:val="3CBC401D"/>
    <w:rsid w:val="3D8C7B84"/>
    <w:rsid w:val="3DD75110"/>
    <w:rsid w:val="3DDB63EB"/>
    <w:rsid w:val="3DFFC6BB"/>
    <w:rsid w:val="3EC139D3"/>
    <w:rsid w:val="3F623810"/>
    <w:rsid w:val="3F725A85"/>
    <w:rsid w:val="3FA255B3"/>
    <w:rsid w:val="3FA50767"/>
    <w:rsid w:val="400F4B9B"/>
    <w:rsid w:val="403D4A15"/>
    <w:rsid w:val="406749C8"/>
    <w:rsid w:val="41AB4D3E"/>
    <w:rsid w:val="41E74672"/>
    <w:rsid w:val="42066D19"/>
    <w:rsid w:val="420F4771"/>
    <w:rsid w:val="422A4836"/>
    <w:rsid w:val="431D791B"/>
    <w:rsid w:val="439416B6"/>
    <w:rsid w:val="43E21F24"/>
    <w:rsid w:val="43F809F6"/>
    <w:rsid w:val="44990EC1"/>
    <w:rsid w:val="44B9656D"/>
    <w:rsid w:val="44DE52DF"/>
    <w:rsid w:val="44EE727B"/>
    <w:rsid w:val="456450B8"/>
    <w:rsid w:val="45BE3CD9"/>
    <w:rsid w:val="45CB1F02"/>
    <w:rsid w:val="46041566"/>
    <w:rsid w:val="4663405B"/>
    <w:rsid w:val="467A5994"/>
    <w:rsid w:val="46E04E44"/>
    <w:rsid w:val="4762530A"/>
    <w:rsid w:val="47717F92"/>
    <w:rsid w:val="477236F8"/>
    <w:rsid w:val="4797200E"/>
    <w:rsid w:val="47C9344E"/>
    <w:rsid w:val="48F913A7"/>
    <w:rsid w:val="49336A82"/>
    <w:rsid w:val="497F0713"/>
    <w:rsid w:val="49E21C9A"/>
    <w:rsid w:val="49F0701D"/>
    <w:rsid w:val="4A1238E7"/>
    <w:rsid w:val="4A155AE7"/>
    <w:rsid w:val="4B454122"/>
    <w:rsid w:val="4B475260"/>
    <w:rsid w:val="4B5856BF"/>
    <w:rsid w:val="4B8B7843"/>
    <w:rsid w:val="4C5D5BEE"/>
    <w:rsid w:val="4C6D6F48"/>
    <w:rsid w:val="4D570466"/>
    <w:rsid w:val="4D5F7E50"/>
    <w:rsid w:val="4E57115A"/>
    <w:rsid w:val="4E910D5D"/>
    <w:rsid w:val="4ED83B66"/>
    <w:rsid w:val="4F4426F6"/>
    <w:rsid w:val="4FC440DA"/>
    <w:rsid w:val="503874F1"/>
    <w:rsid w:val="50A53155"/>
    <w:rsid w:val="512303A7"/>
    <w:rsid w:val="516074FA"/>
    <w:rsid w:val="51A159FE"/>
    <w:rsid w:val="52287B99"/>
    <w:rsid w:val="522A79A8"/>
    <w:rsid w:val="52333AA7"/>
    <w:rsid w:val="52410C5B"/>
    <w:rsid w:val="526E3F03"/>
    <w:rsid w:val="526E7576"/>
    <w:rsid w:val="52992845"/>
    <w:rsid w:val="52B95792"/>
    <w:rsid w:val="533864BD"/>
    <w:rsid w:val="54313BCC"/>
    <w:rsid w:val="54796CC8"/>
    <w:rsid w:val="547D1CF3"/>
    <w:rsid w:val="54956382"/>
    <w:rsid w:val="54975D21"/>
    <w:rsid w:val="54BF4E56"/>
    <w:rsid w:val="553625CD"/>
    <w:rsid w:val="554F2224"/>
    <w:rsid w:val="55762B17"/>
    <w:rsid w:val="55AE051A"/>
    <w:rsid w:val="55C607D1"/>
    <w:rsid w:val="55F07404"/>
    <w:rsid w:val="56080135"/>
    <w:rsid w:val="562C577E"/>
    <w:rsid w:val="56664420"/>
    <w:rsid w:val="567856F0"/>
    <w:rsid w:val="56CD51B3"/>
    <w:rsid w:val="5724401C"/>
    <w:rsid w:val="573A3ECB"/>
    <w:rsid w:val="575B02ED"/>
    <w:rsid w:val="57614FE6"/>
    <w:rsid w:val="57706216"/>
    <w:rsid w:val="57BB0D0F"/>
    <w:rsid w:val="57EE5AE8"/>
    <w:rsid w:val="5866703A"/>
    <w:rsid w:val="58C12ED4"/>
    <w:rsid w:val="59060509"/>
    <w:rsid w:val="595465EE"/>
    <w:rsid w:val="5A02041B"/>
    <w:rsid w:val="5A0C1B4F"/>
    <w:rsid w:val="5A2F0FFF"/>
    <w:rsid w:val="5ABF12B7"/>
    <w:rsid w:val="5ABF4225"/>
    <w:rsid w:val="5ACC5515"/>
    <w:rsid w:val="5B3F505C"/>
    <w:rsid w:val="5B40223A"/>
    <w:rsid w:val="5B4E6197"/>
    <w:rsid w:val="5B500161"/>
    <w:rsid w:val="5B7544F6"/>
    <w:rsid w:val="5BA150F8"/>
    <w:rsid w:val="5BE57E36"/>
    <w:rsid w:val="5C2258A6"/>
    <w:rsid w:val="5C882305"/>
    <w:rsid w:val="5CBF76D4"/>
    <w:rsid w:val="5CE9009D"/>
    <w:rsid w:val="5D6B1282"/>
    <w:rsid w:val="5D705536"/>
    <w:rsid w:val="5D7212B5"/>
    <w:rsid w:val="5D8E54C3"/>
    <w:rsid w:val="5DC22740"/>
    <w:rsid w:val="5DFF763B"/>
    <w:rsid w:val="5E0A2849"/>
    <w:rsid w:val="5E3E6CDB"/>
    <w:rsid w:val="5E657486"/>
    <w:rsid w:val="5E95226E"/>
    <w:rsid w:val="5EA66A16"/>
    <w:rsid w:val="5ECD73AA"/>
    <w:rsid w:val="5F381638"/>
    <w:rsid w:val="5F546AE6"/>
    <w:rsid w:val="5F8F2016"/>
    <w:rsid w:val="60031CB2"/>
    <w:rsid w:val="60655578"/>
    <w:rsid w:val="607A4E61"/>
    <w:rsid w:val="608368E3"/>
    <w:rsid w:val="60F450F2"/>
    <w:rsid w:val="6111668E"/>
    <w:rsid w:val="61961985"/>
    <w:rsid w:val="623E27EF"/>
    <w:rsid w:val="624A69D1"/>
    <w:rsid w:val="624B6A89"/>
    <w:rsid w:val="629B05E1"/>
    <w:rsid w:val="62E2460D"/>
    <w:rsid w:val="63736D0F"/>
    <w:rsid w:val="63925A25"/>
    <w:rsid w:val="63B55DEB"/>
    <w:rsid w:val="63E279EC"/>
    <w:rsid w:val="64041E8E"/>
    <w:rsid w:val="6470717E"/>
    <w:rsid w:val="649D4417"/>
    <w:rsid w:val="65594BFA"/>
    <w:rsid w:val="655D6C47"/>
    <w:rsid w:val="658E3D60"/>
    <w:rsid w:val="658F2B3B"/>
    <w:rsid w:val="65E97B19"/>
    <w:rsid w:val="661E3335"/>
    <w:rsid w:val="662D5327"/>
    <w:rsid w:val="66361BAE"/>
    <w:rsid w:val="666F1DE3"/>
    <w:rsid w:val="66AA05FC"/>
    <w:rsid w:val="66C11670"/>
    <w:rsid w:val="66FE6C82"/>
    <w:rsid w:val="67216576"/>
    <w:rsid w:val="685665D7"/>
    <w:rsid w:val="69056046"/>
    <w:rsid w:val="69111763"/>
    <w:rsid w:val="69823BDB"/>
    <w:rsid w:val="69E516A1"/>
    <w:rsid w:val="6B3C7509"/>
    <w:rsid w:val="6B405AFC"/>
    <w:rsid w:val="6B6F1F3D"/>
    <w:rsid w:val="6BC86629"/>
    <w:rsid w:val="6C134FBF"/>
    <w:rsid w:val="6C332ECD"/>
    <w:rsid w:val="6C430180"/>
    <w:rsid w:val="6CA87DFD"/>
    <w:rsid w:val="6CCA5E07"/>
    <w:rsid w:val="6D6F091A"/>
    <w:rsid w:val="6D977A4D"/>
    <w:rsid w:val="6DF710CF"/>
    <w:rsid w:val="6E1E6C74"/>
    <w:rsid w:val="6EC1605C"/>
    <w:rsid w:val="6EEA3255"/>
    <w:rsid w:val="6F06541D"/>
    <w:rsid w:val="6F767D3E"/>
    <w:rsid w:val="6FAD76CE"/>
    <w:rsid w:val="6FCF7722"/>
    <w:rsid w:val="70001CFE"/>
    <w:rsid w:val="700E1108"/>
    <w:rsid w:val="70136B3D"/>
    <w:rsid w:val="707C273F"/>
    <w:rsid w:val="70DE7195"/>
    <w:rsid w:val="710E21F8"/>
    <w:rsid w:val="71396740"/>
    <w:rsid w:val="715776FB"/>
    <w:rsid w:val="71F210A6"/>
    <w:rsid w:val="727B1C57"/>
    <w:rsid w:val="728E1AAC"/>
    <w:rsid w:val="72CC0A62"/>
    <w:rsid w:val="7350022B"/>
    <w:rsid w:val="73A9791B"/>
    <w:rsid w:val="73C60B68"/>
    <w:rsid w:val="73F83FDE"/>
    <w:rsid w:val="73FB0F8B"/>
    <w:rsid w:val="742D6E39"/>
    <w:rsid w:val="74DA4670"/>
    <w:rsid w:val="75082E7D"/>
    <w:rsid w:val="756E51BC"/>
    <w:rsid w:val="75F052ED"/>
    <w:rsid w:val="7602378C"/>
    <w:rsid w:val="772D6A54"/>
    <w:rsid w:val="779977D3"/>
    <w:rsid w:val="779D0CBD"/>
    <w:rsid w:val="78197E01"/>
    <w:rsid w:val="789C3DC3"/>
    <w:rsid w:val="78AA55C4"/>
    <w:rsid w:val="79E32474"/>
    <w:rsid w:val="7A2806AC"/>
    <w:rsid w:val="7A566D58"/>
    <w:rsid w:val="7A680E1F"/>
    <w:rsid w:val="7B5F2D1E"/>
    <w:rsid w:val="7B851309"/>
    <w:rsid w:val="7B9C0D55"/>
    <w:rsid w:val="7BD74E83"/>
    <w:rsid w:val="7D126505"/>
    <w:rsid w:val="7D176902"/>
    <w:rsid w:val="7D273B57"/>
    <w:rsid w:val="7DB54783"/>
    <w:rsid w:val="7DBFF5B2"/>
    <w:rsid w:val="7DCE2E07"/>
    <w:rsid w:val="7DD10836"/>
    <w:rsid w:val="7DD48B0D"/>
    <w:rsid w:val="7E83466E"/>
    <w:rsid w:val="7EA25F25"/>
    <w:rsid w:val="7F66575E"/>
    <w:rsid w:val="7FB34697"/>
    <w:rsid w:val="7FB78032"/>
    <w:rsid w:val="7FC44AF6"/>
    <w:rsid w:val="7FE0EA39"/>
    <w:rsid w:val="7FF520FB"/>
    <w:rsid w:val="7FFE127A"/>
    <w:rsid w:val="7FFEA83E"/>
    <w:rsid w:val="9FFE8352"/>
    <w:rsid w:val="A7F7C422"/>
    <w:rsid w:val="AFF56DAC"/>
    <w:rsid w:val="AFFDF614"/>
    <w:rsid w:val="BFED031A"/>
    <w:rsid w:val="DDBDA9D7"/>
    <w:rsid w:val="EB4D9759"/>
    <w:rsid w:val="F6AA1D5D"/>
    <w:rsid w:val="F7B3303F"/>
    <w:rsid w:val="FF3FF3B5"/>
    <w:rsid w:val="FFFFA3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33"/>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4">
    <w:name w:val="heading 3"/>
    <w:basedOn w:val="1"/>
    <w:next w:val="1"/>
    <w:link w:val="35"/>
    <w:semiHidden/>
    <w:unhideWhenUsed/>
    <w:qFormat/>
    <w:locked/>
    <w:uiPriority w:val="0"/>
    <w:pPr>
      <w:keepNext/>
      <w:keepLines/>
      <w:spacing w:before="260" w:after="260" w:line="416" w:lineRule="auto"/>
      <w:outlineLvl w:val="2"/>
    </w:pPr>
    <w:rPr>
      <w:sz w:val="32"/>
      <w:szCs w:val="32"/>
    </w:rPr>
  </w:style>
  <w:style w:type="paragraph" w:styleId="5">
    <w:name w:val="heading 4"/>
    <w:basedOn w:val="1"/>
    <w:next w:val="1"/>
    <w:link w:val="3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4"/>
    <w:semiHidden/>
    <w:unhideWhenUsed/>
    <w:qFormat/>
    <w:uiPriority w:val="99"/>
    <w:rPr>
      <w:rFonts w:ascii="宋体" w:hAnsi="Courier New" w:cs="Times New Roman"/>
      <w:szCs w:val="20"/>
    </w:rPr>
  </w:style>
  <w:style w:type="paragraph" w:styleId="6">
    <w:name w:val="Normal Indent"/>
    <w:basedOn w:val="1"/>
    <w:link w:val="34"/>
    <w:qFormat/>
    <w:uiPriority w:val="0"/>
    <w:pPr>
      <w:ind w:firstLine="420"/>
    </w:pPr>
    <w:rPr>
      <w:rFonts w:hAnsi="Verdana" w:cs="Times New Roman"/>
      <w:bCs/>
      <w:szCs w:val="24"/>
    </w:rPr>
  </w:style>
  <w:style w:type="paragraph" w:styleId="7">
    <w:name w:val="Document Map"/>
    <w:basedOn w:val="1"/>
    <w:link w:val="40"/>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w:basedOn w:val="1"/>
    <w:next w:val="1"/>
    <w:unhideWhenUsed/>
    <w:qFormat/>
    <w:uiPriority w:val="99"/>
    <w:rPr>
      <w:rFonts w:asciiTheme="minorHAnsi" w:hAnsiTheme="minorHAnsi" w:cstheme="minorBidi"/>
      <w:szCs w:val="22"/>
    </w:rPr>
  </w:style>
  <w:style w:type="paragraph" w:styleId="10">
    <w:name w:val="Body Text Indent"/>
    <w:basedOn w:val="1"/>
    <w:qFormat/>
    <w:uiPriority w:val="0"/>
    <w:pPr>
      <w:spacing w:line="360" w:lineRule="auto"/>
      <w:ind w:firstLine="420" w:firstLineChars="200"/>
    </w:pPr>
  </w:style>
  <w:style w:type="paragraph" w:styleId="11">
    <w:name w:val="Balloon Text"/>
    <w:basedOn w:val="1"/>
    <w:link w:val="38"/>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unhideWhenUsed/>
    <w:qFormat/>
    <w:uiPriority w:val="99"/>
    <w:pPr>
      <w:ind w:left="200" w:leftChars="200" w:hanging="200" w:hangingChars="200"/>
    </w:pPr>
    <w:rPr>
      <w:rFonts w:eastAsia="等线"/>
      <w:szCs w:val="21"/>
    </w:rPr>
  </w:style>
  <w:style w:type="paragraph" w:styleId="15">
    <w:name w:val="Body Text 2"/>
    <w:basedOn w:val="1"/>
    <w:qFormat/>
    <w:uiPriority w:val="0"/>
    <w:pPr>
      <w:spacing w:line="360" w:lineRule="auto"/>
    </w:pPr>
    <w:rPr>
      <w:sz w:val="24"/>
    </w:rPr>
  </w:style>
  <w:style w:type="paragraph" w:styleId="16">
    <w:name w:val="Normal (Web)"/>
    <w:basedOn w:val="1"/>
    <w:link w:val="43"/>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7">
    <w:name w:val="表格文字"/>
    <w:basedOn w:val="28"/>
    <w:qFormat/>
    <w:uiPriority w:val="99"/>
    <w:pPr>
      <w:spacing w:before="25" w:after="25"/>
    </w:pPr>
    <w:rPr>
      <w:spacing w:val="10"/>
      <w:sz w:val="24"/>
    </w:rPr>
  </w:style>
  <w:style w:type="paragraph" w:customStyle="1" w:styleId="28">
    <w:name w:val="正文 New New New New New New New New New New New New New New New New New New New New New New New New New New New New New New New New New New New New"/>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0">
    <w:name w:val="默认段落字体 Para Char Char Char Char"/>
    <w:basedOn w:val="1"/>
    <w:qFormat/>
    <w:uiPriority w:val="99"/>
    <w:rPr>
      <w:rFonts w:ascii="Times New Roman" w:hAnsi="Times New Roman" w:cs="Times New Roman"/>
    </w:rPr>
  </w:style>
  <w:style w:type="character" w:customStyle="1" w:styleId="31">
    <w:name w:val="页眉 Char"/>
    <w:basedOn w:val="21"/>
    <w:link w:val="13"/>
    <w:qFormat/>
    <w:uiPriority w:val="99"/>
    <w:rPr>
      <w:rFonts w:cs="Calibri"/>
      <w:sz w:val="18"/>
      <w:szCs w:val="18"/>
    </w:rPr>
  </w:style>
  <w:style w:type="character" w:customStyle="1" w:styleId="32">
    <w:name w:val="页脚 Char"/>
    <w:basedOn w:val="21"/>
    <w:link w:val="12"/>
    <w:qFormat/>
    <w:uiPriority w:val="99"/>
    <w:rPr>
      <w:rFonts w:cs="Calibri"/>
      <w:sz w:val="18"/>
      <w:szCs w:val="18"/>
    </w:rPr>
  </w:style>
  <w:style w:type="character" w:customStyle="1" w:styleId="33">
    <w:name w:val="标题 2 Char"/>
    <w:basedOn w:val="21"/>
    <w:link w:val="3"/>
    <w:qFormat/>
    <w:uiPriority w:val="0"/>
    <w:rPr>
      <w:rFonts w:ascii="宋体" w:hAnsi="宋体"/>
      <w:b/>
      <w:sz w:val="24"/>
    </w:rPr>
  </w:style>
  <w:style w:type="character" w:customStyle="1" w:styleId="34">
    <w:name w:val="正文缩进 Char"/>
    <w:basedOn w:val="21"/>
    <w:link w:val="6"/>
    <w:qFormat/>
    <w:uiPriority w:val="0"/>
    <w:rPr>
      <w:rFonts w:hAnsi="Verdana"/>
      <w:bCs/>
      <w:kern w:val="2"/>
      <w:sz w:val="21"/>
      <w:szCs w:val="24"/>
    </w:rPr>
  </w:style>
  <w:style w:type="character" w:customStyle="1" w:styleId="35">
    <w:name w:val="标题 3 Char"/>
    <w:basedOn w:val="21"/>
    <w:link w:val="4"/>
    <w:semiHidden/>
    <w:qFormat/>
    <w:uiPriority w:val="0"/>
    <w:rPr>
      <w:rFonts w:cs="Calibri"/>
      <w:b/>
      <w:bCs/>
      <w:kern w:val="2"/>
      <w:sz w:val="32"/>
      <w:szCs w:val="32"/>
    </w:rPr>
  </w:style>
  <w:style w:type="character" w:customStyle="1" w:styleId="36">
    <w:name w:val="标题 4 Char"/>
    <w:basedOn w:val="21"/>
    <w:link w:val="5"/>
    <w:semiHidden/>
    <w:qFormat/>
    <w:uiPriority w:val="0"/>
    <w:rPr>
      <w:rFonts w:ascii="Cambria" w:hAnsi="Cambria" w:eastAsia="宋体" w:cs="Times New Roman"/>
      <w:b/>
      <w:bCs/>
      <w:kern w:val="2"/>
      <w:sz w:val="28"/>
      <w:szCs w:val="28"/>
    </w:rPr>
  </w:style>
  <w:style w:type="paragraph" w:customStyle="1" w:styleId="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8">
    <w:name w:val="批注框文本 Char"/>
    <w:basedOn w:val="21"/>
    <w:link w:val="11"/>
    <w:semiHidden/>
    <w:qFormat/>
    <w:uiPriority w:val="99"/>
    <w:rPr>
      <w:rFonts w:cs="Calibri"/>
      <w:kern w:val="2"/>
      <w:sz w:val="18"/>
      <w:szCs w:val="18"/>
    </w:rPr>
  </w:style>
  <w:style w:type="paragraph" w:styleId="39">
    <w:name w:val="List Paragraph"/>
    <w:basedOn w:val="1"/>
    <w:qFormat/>
    <w:uiPriority w:val="34"/>
    <w:pPr>
      <w:ind w:firstLine="420" w:firstLineChars="200"/>
    </w:pPr>
  </w:style>
  <w:style w:type="character" w:customStyle="1" w:styleId="40">
    <w:name w:val="文档结构图 Char"/>
    <w:basedOn w:val="21"/>
    <w:link w:val="7"/>
    <w:semiHidden/>
    <w:qFormat/>
    <w:uiPriority w:val="99"/>
    <w:rPr>
      <w:rFonts w:ascii="宋体" w:cs="Calibri"/>
      <w:kern w:val="2"/>
      <w:sz w:val="18"/>
      <w:szCs w:val="18"/>
    </w:rPr>
  </w:style>
  <w:style w:type="paragraph" w:customStyle="1" w:styleId="41">
    <w:name w:val="_Style 1"/>
    <w:basedOn w:val="1"/>
    <w:qFormat/>
    <w:uiPriority w:val="0"/>
  </w:style>
  <w:style w:type="paragraph" w:customStyle="1" w:styleId="42">
    <w:name w:val="_Style 2"/>
    <w:basedOn w:val="1"/>
    <w:qFormat/>
    <w:uiPriority w:val="0"/>
  </w:style>
  <w:style w:type="character" w:customStyle="1" w:styleId="43">
    <w:name w:val="普通(网站) Char"/>
    <w:link w:val="16"/>
    <w:qFormat/>
    <w:uiPriority w:val="99"/>
    <w:rPr>
      <w:rFonts w:ascii="宋体" w:hAnsi="宋体" w:cs="宋体"/>
      <w:sz w:val="24"/>
      <w:szCs w:val="24"/>
    </w:rPr>
  </w:style>
  <w:style w:type="character" w:customStyle="1" w:styleId="44">
    <w:name w:val="纯文本 Char"/>
    <w:basedOn w:val="21"/>
    <w:link w:val="2"/>
    <w:semiHidden/>
    <w:qFormat/>
    <w:uiPriority w:val="99"/>
    <w:rPr>
      <w:rFonts w:ascii="宋体" w:hAnsi="Courier New"/>
      <w:kern w:val="2"/>
      <w:sz w:val="21"/>
    </w:rPr>
  </w:style>
  <w:style w:type="paragraph" w:customStyle="1" w:styleId="4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6">
    <w:name w:val="列出段落1"/>
    <w:basedOn w:val="1"/>
    <w:qFormat/>
    <w:uiPriority w:val="0"/>
    <w:pPr>
      <w:ind w:firstLine="420" w:firstLineChars="200"/>
    </w:pPr>
    <w:rPr>
      <w:szCs w:val="24"/>
    </w:rPr>
  </w:style>
  <w:style w:type="character" w:customStyle="1" w:styleId="47">
    <w:name w:val="NormalCharacter"/>
    <w:qFormat/>
    <w:uiPriority w:val="0"/>
    <w:rPr>
      <w:kern w:val="2"/>
      <w:sz w:val="21"/>
      <w:szCs w:val="24"/>
      <w:lang w:val="en-US" w:eastAsia="zh-CN" w:bidi="ar-SA"/>
    </w:rPr>
  </w:style>
  <w:style w:type="paragraph" w:customStyle="1" w:styleId="48">
    <w:name w:val="Table Paragraph"/>
    <w:basedOn w:val="1"/>
    <w:qFormat/>
    <w:uiPriority w:val="1"/>
    <w:rPr>
      <w:rFonts w:ascii="宋体" w:hAnsi="宋体" w:cs="宋体"/>
      <w:lang w:val="zh-CN" w:bidi="zh-CN"/>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p0"/>
    <w:basedOn w:val="1"/>
    <w:qFormat/>
    <w:uiPriority w:val="0"/>
    <w:pPr>
      <w:widowControl/>
    </w:pPr>
    <w:rPr>
      <w:rFonts w:ascii="Calibri" w:hAnsi="Calibri"/>
      <w:kern w:val="0"/>
      <w:szCs w:val="21"/>
    </w:rPr>
  </w:style>
  <w:style w:type="table" w:customStyle="1" w:styleId="51">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101"/>
    <w:basedOn w:val="21"/>
    <w:qFormat/>
    <w:uiPriority w:val="0"/>
    <w:rPr>
      <w:rFonts w:ascii="Arial" w:hAnsi="Arial" w:cs="Arial"/>
      <w:color w:val="000000"/>
      <w:sz w:val="20"/>
      <w:szCs w:val="20"/>
      <w:u w:val="none"/>
    </w:rPr>
  </w:style>
  <w:style w:type="character" w:customStyle="1" w:styleId="56">
    <w:name w:val="正文文本 Char"/>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52</Pages>
  <Words>5683</Words>
  <Characters>5751</Characters>
  <Lines>108</Lines>
  <Paragraphs>30</Paragraphs>
  <TotalTime>13</TotalTime>
  <ScaleCrop>false</ScaleCrop>
  <LinksUpToDate>false</LinksUpToDate>
  <CharactersWithSpaces>6632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2019-08-15T09:51:00Z</dcterms:created>
  <dc:creator>think</dc:creator>
  <cp:lastModifiedBy>Gao</cp:lastModifiedBy>
  <cp:lastPrinted>2023-05-20T16:05:00Z</cp:lastPrinted>
  <dcterms:modified xsi:type="dcterms:W3CDTF">2025-07-25T01:46:19Z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DA7A9F500D9F7A9C7A274A68F01A814B_43</vt:lpwstr>
  </property>
  <property fmtid="{D5CDD505-2E9C-101B-9397-08002B2CF9AE}" pid="4" name="KSOTemplateDocerSaveRecord">
    <vt:lpwstr>eyJoZGlkIjoiNWE3MDJmOWE2YjBmYzM4NjVkYmM5YjNjNDFhNjBlZDQiLCJ1c2VySWQiOiI4NTkxMzM3MTkifQ==</vt:lpwstr>
  </property>
</Properties>
</file>