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rPr>
        <w:t>龙岗区教育局</w:t>
      </w:r>
      <w:r>
        <w:rPr>
          <w:rFonts w:hint="eastAsia" w:ascii="方正小标宋简体" w:hAnsi="方正小标宋简体" w:eastAsia="方正小标宋简体" w:cs="方正小标宋简体"/>
          <w:b w:val="0"/>
          <w:bCs w:val="0"/>
          <w:sz w:val="44"/>
          <w:szCs w:val="44"/>
          <w:highlight w:val="none"/>
          <w:lang w:val="en-US" w:eastAsia="zh-CN"/>
        </w:rPr>
        <w:t>2025年校外培训机构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安全检查服务项目采购需求书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为认真贯彻落实《中华人民共和国民办教育促进法》</w:t>
      </w:r>
      <w:r>
        <w:rPr>
          <w:rFonts w:hint="eastAsia" w:ascii="仿宋_GB2312" w:hAnsi="仿宋_GB2312" w:eastAsia="仿宋_GB2312" w:cs="仿宋_GB2312"/>
          <w:i w:val="0"/>
          <w:iCs w:val="0"/>
          <w:caps w:val="0"/>
          <w:spacing w:val="0"/>
          <w:sz w:val="32"/>
          <w:szCs w:val="32"/>
          <w:highlight w:val="none"/>
          <w:shd w:val="clear"/>
        </w:rPr>
        <w:t>《国务院办公厅关于规范校外培训机构发展的意见》</w:t>
      </w:r>
      <w:r>
        <w:rPr>
          <w:rFonts w:hint="eastAsia" w:ascii="仿宋_GB2312" w:hAnsi="仿宋_GB2312" w:eastAsia="仿宋_GB2312" w:cs="仿宋_GB2312"/>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广东省教育厅 广东省公安厅 广东省消防救援总队关于开展中小学生校外培训“安全守护”专项行动的通知</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sz w:val="32"/>
          <w:szCs w:val="32"/>
          <w:highlight w:val="none"/>
          <w:lang w:val="en-US" w:eastAsia="zh-CN"/>
        </w:rPr>
        <w:t>等相关法律法规和政策文件要求，加强校外培训机构安全管理，压实安全生产主体责任，提升安全管理水平，防范安全事故发生，保障学生人身财产安全。龙岗区教育局拟聘请专业机构提供校外培训机构安全检查技术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预算控制金额（包干）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服务费用（包干）控制价为：人民币</w:t>
      </w:r>
      <w:r>
        <w:rPr>
          <w:rFonts w:hint="eastAsia" w:ascii="仿宋_GB2312" w:hAnsi="仿宋_GB2312" w:eastAsia="仿宋_GB2312" w:cs="仿宋_GB2312"/>
          <w:b w:val="0"/>
          <w:bCs w:val="0"/>
          <w:color w:val="FF0000"/>
          <w:sz w:val="32"/>
          <w:szCs w:val="32"/>
          <w:highlight w:val="none"/>
          <w:lang w:val="en-US" w:eastAsia="zh-CN"/>
        </w:rPr>
        <w:t>29.7</w:t>
      </w:r>
      <w:r>
        <w:rPr>
          <w:rFonts w:hint="eastAsia" w:ascii="仿宋_GB2312" w:hAnsi="仿宋_GB2312" w:eastAsia="仿宋_GB2312" w:cs="仿宋_GB2312"/>
          <w:b w:val="0"/>
          <w:bCs w:val="0"/>
          <w:sz w:val="32"/>
          <w:szCs w:val="32"/>
          <w:highlight w:val="none"/>
          <w:lang w:val="en-US" w:eastAsia="zh-CN"/>
        </w:rPr>
        <w:t>万元（所报价格超过预算控制金额作无效投标处理）。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采购方式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自行采购-公开招标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评标方法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当符合性审核合格供应商达三家或三家以上的，由区教育局评标小组以综合评分法确定预中标供应商；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二</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当符合性审核合格供应商不足三家，则作流标处理。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sz w:val="32"/>
          <w:szCs w:val="32"/>
          <w:highlight w:val="none"/>
          <w:lang w:val="en-US" w:eastAsia="zh-CN"/>
        </w:rPr>
        <w:t>（三）</w:t>
      </w:r>
      <w:r>
        <w:rPr>
          <w:rFonts w:hint="eastAsia" w:ascii="仿宋_GB2312" w:hAnsi="仿宋_GB2312" w:eastAsia="仿宋_GB2312" w:cs="仿宋_GB2312"/>
          <w:b w:val="0"/>
          <w:bCs w:val="0"/>
          <w:sz w:val="32"/>
          <w:szCs w:val="32"/>
          <w:highlight w:val="none"/>
          <w:lang w:val="en-US" w:eastAsia="zh-CN"/>
        </w:rPr>
        <w:t>具体评分项：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p>
    <w:tbl>
      <w:tblPr>
        <w:tblStyle w:val="16"/>
        <w:tblW w:w="9566" w:type="dxa"/>
        <w:tblInd w:w="-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8"/>
        <w:gridCol w:w="1498"/>
        <w:gridCol w:w="709"/>
        <w:gridCol w:w="6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566" w:type="dxa"/>
            <w:gridSpan w:val="4"/>
            <w:vAlign w:val="top"/>
          </w:tcPr>
          <w:p>
            <w:pPr>
              <w:pStyle w:val="15"/>
              <w:spacing w:before="151" w:line="219" w:lineRule="auto"/>
              <w:jc w:val="both"/>
              <w:rPr>
                <w:rFonts w:hint="eastAsia" w:ascii="宋体" w:hAnsi="宋体" w:eastAsia="宋体" w:cs="宋体"/>
                <w:b/>
                <w:bCs/>
                <w:color w:val="000000" w:themeColor="text1"/>
                <w:spacing w:val="5"/>
                <w:sz w:val="21"/>
                <w:szCs w:val="21"/>
                <w14:textFill>
                  <w14:solidFill>
                    <w14:schemeClr w14:val="tx1"/>
                  </w14:solidFill>
                </w14:textFill>
              </w:rPr>
            </w:pPr>
            <w:r>
              <w:rPr>
                <w:rFonts w:hint="eastAsia" w:cs="宋体"/>
                <w:b/>
                <w:bCs/>
                <w:color w:val="000000" w:themeColor="text1"/>
                <w:spacing w:val="-5"/>
                <w:sz w:val="21"/>
                <w:szCs w:val="21"/>
                <w:lang w:val="en-US" w:eastAsia="zh-CN"/>
                <w14:textFill>
                  <w14:solidFill>
                    <w14:schemeClr w14:val="tx1"/>
                  </w14:solidFill>
                </w14:textFill>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566" w:type="dxa"/>
            <w:gridSpan w:val="4"/>
            <w:vAlign w:val="top"/>
          </w:tcPr>
          <w:p>
            <w:pPr>
              <w:pStyle w:val="15"/>
              <w:spacing w:before="151" w:line="219" w:lineRule="auto"/>
              <w:ind w:firstLine="440" w:firstLineChars="200"/>
              <w:rPr>
                <w:rFonts w:hint="eastAsia" w:ascii="宋体" w:hAnsi="宋体" w:eastAsia="宋体" w:cs="宋体"/>
                <w:b w:val="0"/>
                <w:bCs w:val="0"/>
                <w:color w:val="000000" w:themeColor="text1"/>
                <w:spacing w:val="5"/>
                <w:sz w:val="21"/>
                <w:szCs w:val="21"/>
                <w:lang w:val="en-US" w:eastAsia="zh-CN"/>
                <w14:textFill>
                  <w14:solidFill>
                    <w14:schemeClr w14:val="tx1"/>
                  </w14:solidFill>
                </w14:textFill>
              </w:rPr>
            </w:pPr>
            <w:r>
              <w:rPr>
                <w:rFonts w:hint="eastAsia" w:cs="宋体"/>
                <w:b w:val="0"/>
                <w:bCs w:val="0"/>
                <w:color w:val="000000" w:themeColor="text1"/>
                <w:spacing w:val="5"/>
                <w:sz w:val="21"/>
                <w:szCs w:val="21"/>
                <w:lang w:val="en-US" w:eastAsia="zh-CN"/>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15"/>
              <w:spacing w:before="151" w:line="219" w:lineRule="auto"/>
              <w:ind w:firstLine="440" w:firstLineChars="200"/>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价格分计算方法：</w:t>
            </w:r>
          </w:p>
          <w:p>
            <w:pPr>
              <w:pStyle w:val="15"/>
              <w:spacing w:before="151" w:line="219" w:lineRule="auto"/>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 xml:space="preserve">采用低价优先法计算，即满足招标文件要求且投标价格最低的投标报价为评标基准价，其价格分为满分。其他投标人的价格分统一按照下列公式计算： </w:t>
            </w:r>
          </w:p>
          <w:p>
            <w:pPr>
              <w:pStyle w:val="15"/>
              <w:spacing w:before="151" w:line="219" w:lineRule="auto"/>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 xml:space="preserve">投标报价得分=(评标基准价／投标报价)×100 </w:t>
            </w:r>
          </w:p>
          <w:p>
            <w:pPr>
              <w:pStyle w:val="15"/>
              <w:spacing w:before="151" w:line="219" w:lineRule="auto"/>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 xml:space="preserve">评标总得分＝F1×A1＋F2×A2＋……＋Fn×An </w:t>
            </w:r>
          </w:p>
          <w:p>
            <w:pPr>
              <w:pStyle w:val="15"/>
              <w:spacing w:before="151" w:line="219" w:lineRule="auto"/>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 xml:space="preserve">F1、F2……Fn分别为各项评审因素的得分； </w:t>
            </w:r>
          </w:p>
          <w:p>
            <w:pPr>
              <w:pStyle w:val="15"/>
              <w:spacing w:before="151" w:line="219" w:lineRule="auto"/>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 xml:space="preserve">A1、A2、……An 分别为各项评审因素所占的权重(A1＋A2＋……＋An＝1)。 </w:t>
            </w:r>
          </w:p>
          <w:p>
            <w:pPr>
              <w:pStyle w:val="15"/>
              <w:spacing w:before="151" w:line="219" w:lineRule="auto"/>
              <w:rPr>
                <w:rFonts w:hint="eastAsia" w:ascii="宋体" w:hAnsi="宋体" w:eastAsia="宋体" w:cs="宋体"/>
                <w:b/>
                <w:bCs/>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评标过程中，不得去掉报价中的最高报价和最低报价。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805" w:type="dxa"/>
            <w:gridSpan w:val="3"/>
            <w:vAlign w:val="top"/>
          </w:tcPr>
          <w:p>
            <w:pPr>
              <w:pStyle w:val="15"/>
              <w:spacing w:before="151" w:line="220" w:lineRule="auto"/>
              <w:ind w:left="115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5"/>
                <w:sz w:val="21"/>
                <w:szCs w:val="21"/>
                <w14:textFill>
                  <w14:solidFill>
                    <w14:schemeClr w14:val="tx1"/>
                  </w14:solidFill>
                </w14:textFill>
              </w:rPr>
              <w:t>评分项</w:t>
            </w:r>
          </w:p>
        </w:tc>
        <w:tc>
          <w:tcPr>
            <w:tcW w:w="6761" w:type="dxa"/>
            <w:vAlign w:val="top"/>
          </w:tcPr>
          <w:p>
            <w:pPr>
              <w:pStyle w:val="15"/>
              <w:spacing w:before="151" w:line="219" w:lineRule="auto"/>
              <w:ind w:left="249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5"/>
                <w:sz w:val="21"/>
                <w:szCs w:val="21"/>
                <w14:textFill>
                  <w14:solidFill>
                    <w14:schemeClr w14:val="tx1"/>
                  </w14:solidFill>
                </w14:textFill>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805" w:type="dxa"/>
            <w:gridSpan w:val="3"/>
            <w:vAlign w:val="top"/>
          </w:tcPr>
          <w:p>
            <w:pPr>
              <w:pStyle w:val="15"/>
              <w:spacing w:before="24" w:line="205" w:lineRule="auto"/>
              <w:ind w:left="126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5"/>
                <w:sz w:val="21"/>
                <w:szCs w:val="21"/>
                <w14:textFill>
                  <w14:solidFill>
                    <w14:schemeClr w14:val="tx1"/>
                  </w14:solidFill>
                </w14:textFill>
              </w:rPr>
              <w:t>价格</w:t>
            </w:r>
          </w:p>
        </w:tc>
        <w:tc>
          <w:tcPr>
            <w:tcW w:w="6761" w:type="dxa"/>
            <w:vAlign w:val="top"/>
          </w:tcPr>
          <w:p>
            <w:pPr>
              <w:pStyle w:val="15"/>
              <w:spacing w:before="88" w:line="192" w:lineRule="exact"/>
              <w:ind w:left="280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7"/>
                <w:position w:val="-2"/>
                <w:sz w:val="21"/>
                <w:szCs w:val="21"/>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805" w:type="dxa"/>
            <w:gridSpan w:val="3"/>
            <w:vAlign w:val="top"/>
          </w:tcPr>
          <w:p>
            <w:pPr>
              <w:pStyle w:val="15"/>
              <w:spacing w:before="37" w:line="203" w:lineRule="auto"/>
              <w:ind w:left="103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5"/>
                <w:sz w:val="21"/>
                <w:szCs w:val="21"/>
                <w14:textFill>
                  <w14:solidFill>
                    <w14:schemeClr w14:val="tx1"/>
                  </w14:solidFill>
                </w14:textFill>
              </w:rPr>
              <w:t>技术部分</w:t>
            </w:r>
          </w:p>
        </w:tc>
        <w:tc>
          <w:tcPr>
            <w:tcW w:w="6761" w:type="dxa"/>
            <w:vAlign w:val="top"/>
          </w:tcPr>
          <w:p>
            <w:pPr>
              <w:pStyle w:val="15"/>
              <w:spacing w:before="99" w:line="191" w:lineRule="exact"/>
              <w:ind w:left="2804"/>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pacing w:val="-4"/>
                <w:position w:val="-2"/>
                <w:sz w:val="21"/>
                <w:szCs w:val="21"/>
                <w:lang w:val="en-US" w:eastAsia="zh-CN"/>
                <w14:textFill>
                  <w14:solidFill>
                    <w14:schemeClr w14:val="tx1"/>
                  </w14:solidFill>
                </w14:textFill>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598" w:type="dxa"/>
            <w:textDirection w:val="tbRlV"/>
            <w:vAlign w:val="top"/>
          </w:tcPr>
          <w:p>
            <w:pPr>
              <w:pStyle w:val="15"/>
              <w:spacing w:before="233" w:line="199" w:lineRule="auto"/>
              <w:ind w:left="1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98" w:type="dxa"/>
            <w:vAlign w:val="top"/>
          </w:tcPr>
          <w:p>
            <w:pPr>
              <w:pStyle w:val="15"/>
              <w:spacing w:before="150" w:line="219" w:lineRule="auto"/>
              <w:ind w:left="3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评分因素</w:t>
            </w:r>
          </w:p>
        </w:tc>
        <w:tc>
          <w:tcPr>
            <w:tcW w:w="709" w:type="dxa"/>
            <w:vAlign w:val="top"/>
          </w:tcPr>
          <w:p>
            <w:pPr>
              <w:pStyle w:val="15"/>
              <w:spacing w:before="30" w:line="196" w:lineRule="auto"/>
              <w:ind w:left="172" w:right="133" w:hanging="5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权重</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11"/>
                <w:sz w:val="21"/>
                <w:szCs w:val="21"/>
                <w14:textFill>
                  <w14:solidFill>
                    <w14:schemeClr w14:val="tx1"/>
                  </w14:solidFill>
                </w14:textFill>
              </w:rPr>
              <w:t>(%)</w:t>
            </w:r>
          </w:p>
        </w:tc>
        <w:tc>
          <w:tcPr>
            <w:tcW w:w="6761" w:type="dxa"/>
            <w:vAlign w:val="top"/>
          </w:tcPr>
          <w:p>
            <w:pPr>
              <w:pStyle w:val="15"/>
              <w:spacing w:before="151" w:line="220" w:lineRule="auto"/>
              <w:ind w:left="246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6" w:hRule="atLeast"/>
        </w:trPr>
        <w:tc>
          <w:tcPr>
            <w:tcW w:w="598" w:type="dxa"/>
            <w:vAlign w:val="center"/>
          </w:tcPr>
          <w:p>
            <w:pPr>
              <w:pStyle w:val="15"/>
              <w:spacing w:before="89" w:line="184" w:lineRule="auto"/>
              <w:ind w:left="260" w:right="-239" w:rightChars="-11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498" w:type="dxa"/>
            <w:vAlign w:val="center"/>
          </w:tcPr>
          <w:p>
            <w:pPr>
              <w:pStyle w:val="15"/>
              <w:spacing w:before="2" w:line="207" w:lineRule="auto"/>
              <w:ind w:left="209" w:leftChars="0" w:right="-239" w:rightChars="-114" w:hanging="209" w:hangingChars="9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lang w:eastAsia="zh-CN"/>
                <w14:textFill>
                  <w14:solidFill>
                    <w14:schemeClr w14:val="tx1"/>
                  </w14:solidFill>
                </w14:textFill>
              </w:rPr>
              <w:t>服务方案</w:t>
            </w:r>
          </w:p>
        </w:tc>
        <w:tc>
          <w:tcPr>
            <w:tcW w:w="709" w:type="dxa"/>
            <w:vAlign w:val="center"/>
          </w:tcPr>
          <w:p>
            <w:pPr>
              <w:pStyle w:val="15"/>
              <w:spacing w:before="169" w:line="184" w:lineRule="auto"/>
              <w:ind w:left="233" w:right="-239" w:rightChars="-114"/>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10</w:t>
            </w:r>
          </w:p>
        </w:tc>
        <w:tc>
          <w:tcPr>
            <w:tcW w:w="6761" w:type="dxa"/>
            <w:vAlign w:val="top"/>
          </w:tcPr>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7"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(一)评分内容：</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根据投标人提供的方案进行打分，内容包括：</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8"/>
                <w:sz w:val="21"/>
                <w:szCs w:val="21"/>
                <w14:textFill>
                  <w14:solidFill>
                    <w14:schemeClr w14:val="tx1"/>
                  </w14:solidFill>
                </w14:textFill>
              </w:rPr>
              <w:t>1、</w:t>
            </w:r>
            <w:r>
              <w:rPr>
                <w:rFonts w:hint="eastAsia" w:asciiTheme="majorEastAsia" w:hAnsiTheme="majorEastAsia" w:eastAsiaTheme="majorEastAsia" w:cstheme="majorEastAsia"/>
                <w:color w:val="auto"/>
                <w:kern w:val="0"/>
                <w:szCs w:val="21"/>
                <w:highlight w:val="none"/>
              </w:rPr>
              <w:t>项目实施总体思路</w:t>
            </w:r>
            <w:r>
              <w:rPr>
                <w:rFonts w:hint="eastAsia" w:asciiTheme="majorEastAsia" w:hAnsiTheme="majorEastAsia" w:eastAsiaTheme="majorEastAsia" w:cstheme="majorEastAsia"/>
                <w:color w:val="000000" w:themeColor="text1"/>
                <w:spacing w:val="8"/>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2、</w:t>
            </w:r>
            <w:r>
              <w:rPr>
                <w:rFonts w:hint="eastAsia" w:ascii="宋体" w:hAnsi="宋体" w:eastAsia="宋体" w:cs="宋体"/>
                <w:color w:val="000000" w:themeColor="text1"/>
                <w:spacing w:val="7"/>
                <w:sz w:val="21"/>
                <w:szCs w:val="21"/>
                <w:lang w:eastAsia="zh-CN"/>
                <w14:textFill>
                  <w14:solidFill>
                    <w14:schemeClr w14:val="tx1"/>
                  </w14:solidFill>
                </w14:textFill>
              </w:rPr>
              <w:t>项目的实施流程及内容</w:t>
            </w:r>
            <w:r>
              <w:rPr>
                <w:rFonts w:hint="eastAsia" w:ascii="宋体" w:hAnsi="宋体" w:eastAsia="宋体" w:cs="宋体"/>
                <w:color w:val="000000" w:themeColor="text1"/>
                <w:spacing w:val="7"/>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3、</w:t>
            </w:r>
            <w:r>
              <w:rPr>
                <w:rFonts w:hint="eastAsia" w:ascii="宋体" w:hAnsi="宋体" w:eastAsia="宋体" w:cs="宋体"/>
                <w:color w:val="auto"/>
                <w:kern w:val="0"/>
                <w:szCs w:val="21"/>
                <w:highlight w:val="none"/>
              </w:rPr>
              <w:t>保密工作措施</w:t>
            </w:r>
            <w:r>
              <w:rPr>
                <w:rFonts w:hint="eastAsia" w:ascii="宋体" w:hAnsi="宋体" w:eastAsia="宋体" w:cs="宋体"/>
                <w:color w:val="000000" w:themeColor="text1"/>
                <w:spacing w:val="7"/>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项目的管理措施</w:t>
            </w:r>
            <w:r>
              <w:rPr>
                <w:rFonts w:hint="eastAsia" w:ascii="宋体" w:hAnsi="宋体" w:eastAsia="宋体" w:cs="宋体"/>
                <w:color w:val="000000" w:themeColor="text1"/>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7"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(二)评分依据：</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投标文件包含以上任意一项内容，即可得1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，四项全部包含的得</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在此基础上，专家根据各供应商的具体响应内</w:t>
            </w:r>
            <w:r>
              <w:rPr>
                <w:rFonts w:hint="eastAsia" w:ascii="宋体" w:hAnsi="宋体" w:eastAsia="宋体" w:cs="宋体"/>
                <w:color w:val="000000" w:themeColor="text1"/>
                <w:sz w:val="21"/>
                <w:szCs w:val="21"/>
                <w14:textFill>
                  <w14:solidFill>
                    <w14:schemeClr w14:val="tx1"/>
                  </w14:solidFill>
                </w14:textFill>
              </w:rPr>
              <w:t>容横向比较。</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firstLine="9"/>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评审为优</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要素齐备、内容贴切、针对性强，加</w:t>
            </w:r>
            <w:r>
              <w:rPr>
                <w:rFonts w:hint="eastAsia" w:ascii="宋体" w:hAnsi="宋体" w:eastAsia="宋体" w:cs="宋体"/>
                <w:color w:val="000000" w:themeColor="text1"/>
                <w:spacing w:val="-9"/>
                <w:sz w:val="21"/>
                <w:szCs w:val="21"/>
                <w:lang w:val="en-US" w:eastAsia="zh-CN"/>
                <w14:textFill>
                  <w14:solidFill>
                    <w14:schemeClr w14:val="tx1"/>
                  </w14:solidFill>
                </w14:textFill>
              </w:rPr>
              <w:t>4</w:t>
            </w:r>
            <w:r>
              <w:rPr>
                <w:rFonts w:hint="eastAsia" w:ascii="宋体" w:hAnsi="宋体" w:eastAsia="宋体" w:cs="宋体"/>
                <w:color w:val="000000" w:themeColor="text1"/>
                <w:spacing w:val="-9"/>
                <w:sz w:val="21"/>
                <w:szCs w:val="21"/>
                <w14:textFill>
                  <w14:solidFill>
                    <w14:schemeClr w14:val="tx1"/>
                  </w14:solidFill>
                </w14:textFill>
              </w:rPr>
              <w:t>0</w:t>
            </w:r>
            <w:r>
              <w:rPr>
                <w:rFonts w:hint="eastAsia" w:ascii="宋体" w:hAnsi="宋体" w:eastAsia="宋体" w:cs="宋体"/>
                <w:color w:val="000000" w:themeColor="text1"/>
                <w:spacing w:val="-44"/>
                <w:sz w:val="21"/>
                <w:szCs w:val="21"/>
                <w14:textFill>
                  <w14:solidFill>
                    <w14:schemeClr w14:val="tx1"/>
                  </w14:solidFill>
                </w14:textFill>
              </w:rPr>
              <w:t xml:space="preserve"> </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9"/>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w:t>
            </w:r>
            <w:r>
              <w:rPr>
                <w:rFonts w:hint="eastAsia" w:ascii="宋体" w:hAnsi="宋体" w:eastAsia="宋体" w:cs="宋体"/>
                <w:color w:val="000000" w:themeColor="text1"/>
                <w:spacing w:val="0"/>
                <w:sz w:val="21"/>
                <w:szCs w:val="21"/>
                <w14:textFill>
                  <w14:solidFill>
                    <w14:schemeClr w14:val="tx1"/>
                  </w14:solidFill>
                </w14:textFill>
              </w:rPr>
              <w:t>评审为良</w:t>
            </w:r>
            <w:r>
              <w:rPr>
                <w:rFonts w:hint="eastAsia" w:ascii="宋体" w:hAnsi="宋体" w:eastAsia="宋体" w:cs="宋体"/>
                <w:color w:val="000000" w:themeColor="text1"/>
                <w:spacing w:val="0"/>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要素比较齐备、内容比较贴切、针对性</w:t>
            </w:r>
            <w:r>
              <w:rPr>
                <w:rFonts w:hint="eastAsia" w:ascii="宋体" w:hAnsi="宋体" w:eastAsia="宋体" w:cs="宋体"/>
                <w:color w:val="000000" w:themeColor="text1"/>
                <w:spacing w:val="12"/>
                <w:sz w:val="21"/>
                <w:szCs w:val="21"/>
                <w14:textFill>
                  <w14:solidFill>
                    <w14:schemeClr w14:val="tx1"/>
                  </w14:solidFill>
                </w14:textFill>
              </w:rPr>
              <w:t>比较强，加</w:t>
            </w:r>
            <w:r>
              <w:rPr>
                <w:rFonts w:hint="eastAsia" w:ascii="宋体" w:hAnsi="宋体" w:eastAsia="宋体" w:cs="宋体"/>
                <w:color w:val="000000" w:themeColor="text1"/>
                <w:spacing w:val="12"/>
                <w:sz w:val="21"/>
                <w:szCs w:val="21"/>
                <w:lang w:val="en-US" w:eastAsia="zh-CN"/>
                <w14:textFill>
                  <w14:solidFill>
                    <w14:schemeClr w14:val="tx1"/>
                  </w14:solidFill>
                </w14:textFill>
              </w:rPr>
              <w:t>3</w:t>
            </w:r>
            <w:r>
              <w:rPr>
                <w:rFonts w:hint="eastAsia" w:ascii="宋体" w:hAnsi="宋体" w:eastAsia="宋体" w:cs="宋体"/>
                <w:color w:val="000000" w:themeColor="text1"/>
                <w:spacing w:val="12"/>
                <w:sz w:val="21"/>
                <w:szCs w:val="21"/>
                <w14:textFill>
                  <w14:solidFill>
                    <w14:schemeClr w14:val="tx1"/>
                  </w14:solidFill>
                </w14:textFill>
              </w:rPr>
              <w:t>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pacing w:val="12"/>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评审为中</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要素较为齐备、内容较为贴切、有一定</w:t>
            </w:r>
            <w:r>
              <w:rPr>
                <w:rFonts w:hint="eastAsia" w:ascii="宋体" w:hAnsi="宋体" w:eastAsia="宋体" w:cs="宋体"/>
                <w:color w:val="000000" w:themeColor="text1"/>
                <w:spacing w:val="12"/>
                <w:sz w:val="21"/>
                <w:szCs w:val="21"/>
                <w14:textFill>
                  <w14:solidFill>
                    <w14:schemeClr w14:val="tx1"/>
                  </w14:solidFill>
                </w14:textFill>
              </w:rPr>
              <w:t>针对性，加20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pacing w:val="-3"/>
                <w:sz w:val="21"/>
                <w:szCs w:val="21"/>
                <w:lang w:val="en-US" w:eastAsia="zh-CN"/>
                <w14:textFill>
                  <w14:solidFill>
                    <w14:schemeClr w14:val="tx1"/>
                  </w14:solidFill>
                </w14:textFill>
              </w:rPr>
              <w:t>4</w:t>
            </w:r>
            <w:r>
              <w:rPr>
                <w:rFonts w:hint="eastAsia" w:ascii="宋体" w:hAnsi="宋体" w:eastAsia="宋体" w:cs="宋体"/>
                <w:color w:val="000000" w:themeColor="text1"/>
                <w:spacing w:val="-3"/>
                <w:sz w:val="21"/>
                <w:szCs w:val="21"/>
                <w:lang w:val="en-US"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评审为差</w:t>
            </w:r>
            <w:r>
              <w:rPr>
                <w:rFonts w:hint="eastAsia" w:ascii="宋体" w:hAnsi="宋体" w:eastAsia="宋体" w:cs="宋体"/>
                <w:color w:val="000000" w:themeColor="text1"/>
                <w:spacing w:val="-3"/>
                <w:sz w:val="21"/>
                <w:szCs w:val="21"/>
                <w:lang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要素不齐备、内容不贴切、针对性不强，</w:t>
            </w:r>
            <w:r>
              <w:rPr>
                <w:rFonts w:hint="eastAsia" w:ascii="宋体" w:hAnsi="宋体" w:eastAsia="宋体" w:cs="宋体"/>
                <w:color w:val="000000" w:themeColor="text1"/>
                <w:spacing w:val="-2"/>
                <w:sz w:val="21"/>
                <w:szCs w:val="21"/>
                <w14:textFill>
                  <w14:solidFill>
                    <w14:schemeClr w14:val="tx1"/>
                  </w14:solidFill>
                </w14:textFill>
              </w:rPr>
              <w:t>不加分。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598" w:type="dxa"/>
            <w:vAlign w:val="center"/>
          </w:tcPr>
          <w:p>
            <w:pPr>
              <w:pStyle w:val="15"/>
              <w:spacing w:before="114" w:line="183" w:lineRule="auto"/>
              <w:ind w:left="260" w:right="-239" w:rightChars="-11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498" w:type="dxa"/>
            <w:vAlign w:val="center"/>
          </w:tcPr>
          <w:p>
            <w:pPr>
              <w:pStyle w:val="15"/>
              <w:spacing w:before="56" w:line="206" w:lineRule="auto"/>
              <w:ind w:left="570" w:leftChars="0" w:right="-239" w:rightChars="-114" w:hanging="570" w:firstLineChars="0"/>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项目</w:t>
            </w:r>
            <w:r>
              <w:rPr>
                <w:rFonts w:hint="eastAsia" w:ascii="宋体" w:hAnsi="宋体" w:eastAsia="宋体" w:cs="宋体"/>
                <w:color w:val="000000" w:themeColor="text1"/>
                <w:spacing w:val="4"/>
                <w:sz w:val="21"/>
                <w:szCs w:val="21"/>
                <w:lang w:eastAsia="zh-CN"/>
                <w14:textFill>
                  <w14:solidFill>
                    <w14:schemeClr w14:val="tx1"/>
                  </w14:solidFill>
                </w14:textFill>
              </w:rPr>
              <w:t>重点</w:t>
            </w:r>
          </w:p>
          <w:p>
            <w:pPr>
              <w:pStyle w:val="15"/>
              <w:spacing w:before="56" w:line="206" w:lineRule="auto"/>
              <w:ind w:left="570" w:leftChars="0" w:right="-239" w:rightChars="-114" w:hanging="57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难点分析</w:t>
            </w:r>
          </w:p>
        </w:tc>
        <w:tc>
          <w:tcPr>
            <w:tcW w:w="709" w:type="dxa"/>
            <w:vAlign w:val="center"/>
          </w:tcPr>
          <w:p>
            <w:pPr>
              <w:pStyle w:val="15"/>
              <w:spacing w:before="193" w:line="184" w:lineRule="auto"/>
              <w:ind w:left="233" w:right="-239" w:rightChars="-114"/>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10</w:t>
            </w:r>
          </w:p>
        </w:tc>
        <w:tc>
          <w:tcPr>
            <w:tcW w:w="6761" w:type="dxa"/>
            <w:vAlign w:val="top"/>
          </w:tcPr>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7"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(一)评分内容：</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根据投标人提供的方案进行打分，内容包括：</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1、项目重点情况分析；</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2、项目难点情况分析；</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1"/>
                <w:sz w:val="21"/>
                <w:szCs w:val="21"/>
                <w14:textFill>
                  <w14:solidFill>
                    <w14:schemeClr w14:val="tx1"/>
                  </w14:solidFill>
                </w14:textFill>
              </w:rPr>
              <w:t>3、对应的应对措施；</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12"/>
                <w:sz w:val="21"/>
                <w:szCs w:val="21"/>
                <w14:textFill>
                  <w14:solidFill>
                    <w14:schemeClr w14:val="tx1"/>
                  </w14:solidFill>
                </w14:textFill>
              </w:rPr>
              <w:t>4、相关合理化建议</w:t>
            </w:r>
            <w:r>
              <w:rPr>
                <w:rFonts w:hint="eastAsia" w:cs="宋体"/>
                <w:color w:val="000000" w:themeColor="text1"/>
                <w:spacing w:val="12"/>
                <w:sz w:val="21"/>
                <w:szCs w:val="21"/>
                <w:lang w:eastAsia="zh-CN"/>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7"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(二)评分依据：</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firstLine="237" w:firstLineChars="113"/>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投标文件包含以上任意一项内容，即可得1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，四项全部包含的得</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在此基础上，专家根据各供应商的具体响应内</w:t>
            </w:r>
            <w:r>
              <w:rPr>
                <w:rFonts w:hint="eastAsia" w:ascii="宋体" w:hAnsi="宋体" w:eastAsia="宋体" w:cs="宋体"/>
                <w:color w:val="000000" w:themeColor="text1"/>
                <w:spacing w:val="-1"/>
                <w:sz w:val="21"/>
                <w:szCs w:val="21"/>
                <w14:textFill>
                  <w14:solidFill>
                    <w14:schemeClr w14:val="tx1"/>
                  </w14:solidFill>
                </w14:textFill>
              </w:rPr>
              <w:t>容横向比较。</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评审为优：要素齐备、内容贴切、针对性强，加</w:t>
            </w:r>
            <w:r>
              <w:rPr>
                <w:rFonts w:hint="eastAsia" w:ascii="宋体" w:hAnsi="宋体" w:eastAsia="宋体" w:cs="宋体"/>
                <w:color w:val="000000" w:themeColor="text1"/>
                <w:spacing w:val="-9"/>
                <w:sz w:val="21"/>
                <w:szCs w:val="21"/>
                <w:lang w:val="en-US" w:eastAsia="zh-CN"/>
                <w14:textFill>
                  <w14:solidFill>
                    <w14:schemeClr w14:val="tx1"/>
                  </w14:solidFill>
                </w14:textFill>
              </w:rPr>
              <w:t>4</w:t>
            </w:r>
            <w:r>
              <w:rPr>
                <w:rFonts w:hint="eastAsia" w:ascii="宋体" w:hAnsi="宋体" w:eastAsia="宋体" w:cs="宋体"/>
                <w:color w:val="000000" w:themeColor="text1"/>
                <w:spacing w:val="-9"/>
                <w:sz w:val="21"/>
                <w:szCs w:val="21"/>
                <w14:textFill>
                  <w14:solidFill>
                    <w14:schemeClr w14:val="tx1"/>
                  </w14:solidFill>
                </w14:textFill>
              </w:rPr>
              <w:t>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9"/>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53" w:right="21" w:rightChars="10" w:hanging="29"/>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2、</w:t>
            </w:r>
            <w:r>
              <w:rPr>
                <w:rFonts w:hint="eastAsia" w:ascii="宋体" w:hAnsi="宋体" w:eastAsia="宋体" w:cs="宋体"/>
                <w:color w:val="000000" w:themeColor="text1"/>
                <w:spacing w:val="-1"/>
                <w:sz w:val="21"/>
                <w:szCs w:val="21"/>
                <w14:textFill>
                  <w14:solidFill>
                    <w14:schemeClr w14:val="tx1"/>
                  </w14:solidFill>
                </w14:textFill>
              </w:rPr>
              <w:t>评审为良：要素比较齐备、内容比较贴切、针对性</w:t>
            </w:r>
            <w:r>
              <w:rPr>
                <w:rFonts w:hint="eastAsia" w:ascii="宋体" w:hAnsi="宋体" w:eastAsia="宋体" w:cs="宋体"/>
                <w:color w:val="000000" w:themeColor="text1"/>
                <w:spacing w:val="12"/>
                <w:sz w:val="21"/>
                <w:szCs w:val="21"/>
                <w14:textFill>
                  <w14:solidFill>
                    <w14:schemeClr w14:val="tx1"/>
                  </w14:solidFill>
                </w14:textFill>
              </w:rPr>
              <w:t>比较强，加</w:t>
            </w:r>
            <w:r>
              <w:rPr>
                <w:rFonts w:hint="eastAsia" w:ascii="宋体" w:hAnsi="宋体" w:eastAsia="宋体" w:cs="宋体"/>
                <w:color w:val="000000" w:themeColor="text1"/>
                <w:spacing w:val="12"/>
                <w:sz w:val="21"/>
                <w:szCs w:val="21"/>
                <w:lang w:val="en-US" w:eastAsia="zh-CN"/>
                <w14:textFill>
                  <w14:solidFill>
                    <w14:schemeClr w14:val="tx1"/>
                  </w14:solidFill>
                </w14:textFill>
              </w:rPr>
              <w:t>3</w:t>
            </w:r>
            <w:r>
              <w:rPr>
                <w:rFonts w:hint="eastAsia" w:ascii="宋体" w:hAnsi="宋体" w:eastAsia="宋体" w:cs="宋体"/>
                <w:color w:val="000000" w:themeColor="text1"/>
                <w:spacing w:val="12"/>
                <w:sz w:val="21"/>
                <w:szCs w:val="21"/>
                <w14:textFill>
                  <w14:solidFill>
                    <w14:schemeClr w14:val="tx1"/>
                  </w14:solidFill>
                </w14:textFill>
              </w:rPr>
              <w:t>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43" w:right="21" w:rightChars="10" w:hanging="9"/>
              <w:textAlignment w:val="baseline"/>
              <w:rPr>
                <w:rFonts w:hint="eastAsia" w:ascii="宋体" w:hAnsi="宋体" w:eastAsia="宋体" w:cs="宋体"/>
                <w:color w:val="000000" w:themeColor="text1"/>
                <w:spacing w:val="12"/>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评审为中：要素较为齐备、内容较为贴切、有一定</w:t>
            </w:r>
            <w:r>
              <w:rPr>
                <w:rFonts w:hint="eastAsia" w:ascii="宋体" w:hAnsi="宋体" w:eastAsia="宋体" w:cs="宋体"/>
                <w:color w:val="000000" w:themeColor="text1"/>
                <w:spacing w:val="12"/>
                <w:sz w:val="21"/>
                <w:szCs w:val="21"/>
                <w14:textFill>
                  <w14:solidFill>
                    <w14:schemeClr w14:val="tx1"/>
                  </w14:solidFill>
                </w14:textFill>
              </w:rPr>
              <w:t>针对性，加20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pacing w:val="-3"/>
                <w:sz w:val="21"/>
                <w:szCs w:val="21"/>
                <w:lang w:val="en-US" w:eastAsia="zh-CN"/>
                <w14:textFill>
                  <w14:solidFill>
                    <w14:schemeClr w14:val="tx1"/>
                  </w14:solidFill>
                </w14:textFill>
              </w:rPr>
              <w:t>4</w:t>
            </w:r>
            <w:r>
              <w:rPr>
                <w:rFonts w:hint="eastAsia" w:ascii="宋体" w:hAnsi="宋体" w:eastAsia="宋体" w:cs="宋体"/>
                <w:color w:val="000000" w:themeColor="text1"/>
                <w:spacing w:val="-3"/>
                <w:sz w:val="21"/>
                <w:szCs w:val="21"/>
                <w:lang w:val="en-US"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评审为差：要素不齐备、内容不贴切、针对性不强，</w:t>
            </w:r>
            <w:r>
              <w:rPr>
                <w:rFonts w:hint="eastAsia" w:ascii="宋体" w:hAnsi="宋体" w:eastAsia="宋体" w:cs="宋体"/>
                <w:color w:val="000000" w:themeColor="text1"/>
                <w:spacing w:val="-2"/>
                <w:sz w:val="21"/>
                <w:szCs w:val="21"/>
                <w14:textFill>
                  <w14:solidFill>
                    <w14:schemeClr w14:val="tx1"/>
                  </w14:solidFill>
                </w14:textFill>
              </w:rPr>
              <w:t>不加分。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7" w:hRule="atLeast"/>
        </w:trPr>
        <w:tc>
          <w:tcPr>
            <w:tcW w:w="598" w:type="dxa"/>
            <w:vAlign w:val="center"/>
          </w:tcPr>
          <w:p>
            <w:pPr>
              <w:pStyle w:val="15"/>
              <w:spacing w:before="118" w:line="183" w:lineRule="auto"/>
              <w:ind w:left="260" w:right="-239" w:rightChars="-114"/>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498" w:type="dxa"/>
            <w:vAlign w:val="center"/>
          </w:tcPr>
          <w:p>
            <w:pPr>
              <w:pStyle w:val="15"/>
              <w:spacing w:before="60" w:line="206" w:lineRule="auto"/>
              <w:ind w:left="690" w:leftChars="0" w:right="-239" w:rightChars="-114" w:hanging="690" w:firstLineChars="0"/>
              <w:jc w:val="center"/>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项目质量管理</w:t>
            </w:r>
          </w:p>
          <w:p>
            <w:pPr>
              <w:pStyle w:val="15"/>
              <w:spacing w:before="60" w:line="206" w:lineRule="auto"/>
              <w:ind w:left="690" w:leftChars="0" w:right="-239" w:rightChars="-114" w:hanging="69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及保障措施</w:t>
            </w:r>
          </w:p>
        </w:tc>
        <w:tc>
          <w:tcPr>
            <w:tcW w:w="709" w:type="dxa"/>
            <w:vAlign w:val="center"/>
          </w:tcPr>
          <w:p>
            <w:pPr>
              <w:pStyle w:val="15"/>
              <w:spacing w:before="197" w:line="184" w:lineRule="auto"/>
              <w:ind w:left="233" w:right="-239" w:rightChars="-114"/>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10</w:t>
            </w:r>
          </w:p>
        </w:tc>
        <w:tc>
          <w:tcPr>
            <w:tcW w:w="6761" w:type="dxa"/>
            <w:vAlign w:val="top"/>
          </w:tcPr>
          <w:p>
            <w:pPr>
              <w:keepNext w:val="0"/>
              <w:keepLines w:val="0"/>
              <w:widowControl/>
              <w:suppressLineNumbers w:val="0"/>
              <w:snapToGrid w:val="0"/>
              <w:spacing w:line="38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（一）评分内容 ：</w:t>
            </w:r>
          </w:p>
          <w:p>
            <w:pPr>
              <w:keepNext w:val="0"/>
              <w:keepLines w:val="0"/>
              <w:widowControl/>
              <w:suppressLineNumbers w:val="0"/>
              <w:snapToGrid w:val="0"/>
              <w:spacing w:line="380" w:lineRule="exact"/>
              <w:ind w:firstLine="210" w:firstLineChars="1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根据投标人提供的项目质量管理及保障措施进行评审，内容包括但不限于以下内容： </w:t>
            </w:r>
          </w:p>
          <w:p>
            <w:pPr>
              <w:pStyle w:val="15"/>
              <w:tabs>
                <w:tab w:val="left" w:pos="5880"/>
              </w:tabs>
              <w:kinsoku w:val="0"/>
              <w:autoSpaceDE w:val="0"/>
              <w:autoSpaceDN w:val="0"/>
              <w:adjustRightInd w:val="0"/>
              <w:snapToGrid w:val="0"/>
              <w:spacing w:line="380" w:lineRule="exact"/>
              <w:ind w:left="124" w:right="21" w:rightChars="10"/>
              <w:textAlignment w:val="baseline"/>
              <w:rPr>
                <w:rFonts w:hint="eastAsia" w:ascii="宋体" w:hAnsi="宋体" w:eastAsia="宋体" w:cs="宋体"/>
                <w:color w:val="000000" w:themeColor="text1"/>
                <w:spacing w:val="11"/>
                <w:sz w:val="21"/>
                <w:szCs w:val="21"/>
                <w14:textFill>
                  <w14:solidFill>
                    <w14:schemeClr w14:val="tx1"/>
                  </w14:solidFill>
                </w14:textFill>
              </w:rPr>
            </w:pPr>
            <w:r>
              <w:rPr>
                <w:rFonts w:hint="eastAsia" w:ascii="宋体" w:hAnsi="宋体" w:eastAsia="宋体" w:cs="宋体"/>
                <w:color w:val="000000" w:themeColor="text1"/>
                <w:spacing w:val="11"/>
                <w:kern w:val="2"/>
                <w:sz w:val="21"/>
                <w:szCs w:val="21"/>
                <w:lang w:val="en-US" w:eastAsia="zh-CN" w:bidi="ar"/>
                <w14:textFill>
                  <w14:solidFill>
                    <w14:schemeClr w14:val="tx1"/>
                  </w14:solidFill>
                </w14:textFill>
              </w:rPr>
              <w:t xml:space="preserve">1、项目完成时间保障措施； </w:t>
            </w:r>
          </w:p>
          <w:p>
            <w:pPr>
              <w:pStyle w:val="15"/>
              <w:tabs>
                <w:tab w:val="left" w:pos="5880"/>
              </w:tabs>
              <w:kinsoku w:val="0"/>
              <w:autoSpaceDE w:val="0"/>
              <w:autoSpaceDN w:val="0"/>
              <w:adjustRightInd w:val="0"/>
              <w:snapToGrid w:val="0"/>
              <w:spacing w:line="380" w:lineRule="exact"/>
              <w:ind w:left="124" w:right="21" w:rightChars="10"/>
              <w:textAlignment w:val="baseline"/>
              <w:rPr>
                <w:rFonts w:hint="eastAsia" w:ascii="宋体" w:hAnsi="宋体" w:eastAsia="宋体" w:cs="宋体"/>
                <w:color w:val="000000" w:themeColor="text1"/>
                <w:spacing w:val="11"/>
                <w:sz w:val="21"/>
                <w:szCs w:val="21"/>
                <w14:textFill>
                  <w14:solidFill>
                    <w14:schemeClr w14:val="tx1"/>
                  </w14:solidFill>
                </w14:textFill>
              </w:rPr>
            </w:pPr>
            <w:r>
              <w:rPr>
                <w:rFonts w:hint="eastAsia" w:ascii="宋体" w:hAnsi="宋体" w:eastAsia="宋体" w:cs="宋体"/>
                <w:color w:val="000000" w:themeColor="text1"/>
                <w:spacing w:val="11"/>
                <w:kern w:val="2"/>
                <w:sz w:val="21"/>
                <w:szCs w:val="21"/>
                <w:lang w:val="en-US" w:eastAsia="zh-CN" w:bidi="ar"/>
                <w14:textFill>
                  <w14:solidFill>
                    <w14:schemeClr w14:val="tx1"/>
                  </w14:solidFill>
                </w14:textFill>
              </w:rPr>
              <w:t xml:space="preserve">2、项目安全保障措施； </w:t>
            </w:r>
          </w:p>
          <w:p>
            <w:pPr>
              <w:pStyle w:val="15"/>
              <w:tabs>
                <w:tab w:val="left" w:pos="5880"/>
              </w:tabs>
              <w:kinsoku w:val="0"/>
              <w:autoSpaceDE w:val="0"/>
              <w:autoSpaceDN w:val="0"/>
              <w:adjustRightInd w:val="0"/>
              <w:snapToGrid w:val="0"/>
              <w:spacing w:line="380" w:lineRule="exact"/>
              <w:ind w:left="124" w:right="21" w:rightChars="10"/>
              <w:textAlignment w:val="baseline"/>
              <w:rPr>
                <w:rFonts w:hint="eastAsia" w:ascii="宋体" w:hAnsi="宋体" w:eastAsia="宋体" w:cs="宋体"/>
                <w:color w:val="000000" w:themeColor="text1"/>
                <w:spacing w:val="11"/>
                <w:sz w:val="21"/>
                <w:szCs w:val="21"/>
                <w14:textFill>
                  <w14:solidFill>
                    <w14:schemeClr w14:val="tx1"/>
                  </w14:solidFill>
                </w14:textFill>
              </w:rPr>
            </w:pPr>
            <w:r>
              <w:rPr>
                <w:rFonts w:hint="eastAsia" w:ascii="宋体" w:hAnsi="宋体" w:eastAsia="宋体" w:cs="宋体"/>
                <w:color w:val="000000" w:themeColor="text1"/>
                <w:spacing w:val="11"/>
                <w:kern w:val="2"/>
                <w:sz w:val="21"/>
                <w:szCs w:val="21"/>
                <w:lang w:val="en-US" w:eastAsia="zh-CN" w:bidi="ar"/>
                <w14:textFill>
                  <w14:solidFill>
                    <w14:schemeClr w14:val="tx1"/>
                  </w14:solidFill>
                </w14:textFill>
              </w:rPr>
              <w:t>3、项目质量保障措施。</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217" w:right="1" w:rightChars="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(二)评分依据：</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4" w:right="1" w:rightChars="0"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投标文件包含以上任意--项内容，即可得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三项</w:t>
            </w:r>
            <w:r>
              <w:rPr>
                <w:rFonts w:hint="eastAsia" w:ascii="宋体" w:hAnsi="宋体" w:eastAsia="宋体" w:cs="宋体"/>
                <w:color w:val="000000" w:themeColor="text1"/>
                <w:sz w:val="21"/>
                <w:szCs w:val="21"/>
                <w14:textFill>
                  <w14:solidFill>
                    <w14:schemeClr w14:val="tx1"/>
                  </w14:solidFill>
                </w14:textFill>
              </w:rPr>
              <w:t>全部包含的得</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4" w:right="1" w:rightChars="0" w:firstLine="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在此基础上，专家根据各供应商的具体响应内</w:t>
            </w:r>
            <w:r>
              <w:rPr>
                <w:rFonts w:hint="eastAsia" w:ascii="宋体" w:hAnsi="宋体" w:eastAsia="宋体" w:cs="宋体"/>
                <w:color w:val="000000" w:themeColor="text1"/>
                <w:sz w:val="21"/>
                <w:szCs w:val="21"/>
                <w14:textFill>
                  <w14:solidFill>
                    <w14:schemeClr w14:val="tx1"/>
                  </w14:solidFill>
                </w14:textFill>
              </w:rPr>
              <w:t>容横向比较。</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4" w:right="1" w:rightChars="0" w:firstLine="2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评审为优：要素齐备、内容贴切、针对性强，加</w:t>
            </w:r>
            <w:r>
              <w:rPr>
                <w:rFonts w:hint="eastAsia" w:ascii="宋体" w:hAnsi="宋体" w:eastAsia="宋体" w:cs="宋体"/>
                <w:color w:val="000000" w:themeColor="text1"/>
                <w:spacing w:val="-9"/>
                <w:sz w:val="21"/>
                <w:szCs w:val="21"/>
                <w:lang w:val="en-US" w:eastAsia="zh-CN"/>
                <w14:textFill>
                  <w14:solidFill>
                    <w14:schemeClr w14:val="tx1"/>
                  </w14:solidFill>
                </w14:textFill>
              </w:rPr>
              <w:t>4</w:t>
            </w:r>
            <w:r>
              <w:rPr>
                <w:rFonts w:hint="eastAsia" w:ascii="宋体" w:hAnsi="宋体" w:eastAsia="宋体" w:cs="宋体"/>
                <w:color w:val="000000" w:themeColor="text1"/>
                <w:spacing w:val="-9"/>
                <w:sz w:val="21"/>
                <w:szCs w:val="21"/>
                <w14:textFill>
                  <w14:solidFill>
                    <w14:schemeClr w14:val="tx1"/>
                  </w14:solidFill>
                </w14:textFill>
              </w:rPr>
              <w:t>0</w:t>
            </w:r>
            <w:r>
              <w:rPr>
                <w:rFonts w:hint="eastAsia" w:ascii="宋体" w:hAnsi="宋体" w:eastAsia="宋体" w:cs="宋体"/>
                <w:color w:val="000000" w:themeColor="text1"/>
                <w:spacing w:val="-9"/>
                <w:sz w:val="21"/>
                <w:szCs w:val="21"/>
                <w:lang w:val="en-US" w:eastAsia="zh-CN"/>
                <w14:textFill>
                  <w14:solidFill>
                    <w14:schemeClr w14:val="tx1"/>
                  </w14:solidFill>
                </w14:textFill>
              </w:rPr>
              <w:t>%</w:t>
            </w:r>
            <w:r>
              <w:rPr>
                <w:rFonts w:hint="eastAsia" w:ascii="宋体" w:hAnsi="宋体" w:eastAsia="宋体" w:cs="宋体"/>
                <w:color w:val="000000" w:themeColor="text1"/>
                <w:spacing w:val="-9"/>
                <w:sz w:val="21"/>
                <w:szCs w:val="21"/>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4" w:right="1" w:rightChars="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2、</w:t>
            </w:r>
            <w:r>
              <w:rPr>
                <w:rFonts w:hint="eastAsia" w:ascii="宋体" w:hAnsi="宋体" w:eastAsia="宋体" w:cs="宋体"/>
                <w:color w:val="000000" w:themeColor="text1"/>
                <w:spacing w:val="-1"/>
                <w:sz w:val="21"/>
                <w:szCs w:val="21"/>
                <w14:textFill>
                  <w14:solidFill>
                    <w14:schemeClr w14:val="tx1"/>
                  </w14:solidFill>
                </w14:textFill>
              </w:rPr>
              <w:t>评审为良：要素比较齐备、内容比较贴切、针对性</w:t>
            </w:r>
            <w:r>
              <w:rPr>
                <w:rFonts w:hint="eastAsia" w:ascii="宋体" w:hAnsi="宋体" w:eastAsia="宋体" w:cs="宋体"/>
                <w:color w:val="000000" w:themeColor="text1"/>
                <w:spacing w:val="12"/>
                <w:sz w:val="21"/>
                <w:szCs w:val="21"/>
                <w14:textFill>
                  <w14:solidFill>
                    <w14:schemeClr w14:val="tx1"/>
                  </w14:solidFill>
                </w14:textFill>
              </w:rPr>
              <w:t>比较强，加</w:t>
            </w:r>
            <w:r>
              <w:rPr>
                <w:rFonts w:hint="eastAsia" w:ascii="宋体" w:hAnsi="宋体" w:eastAsia="宋体" w:cs="宋体"/>
                <w:color w:val="000000" w:themeColor="text1"/>
                <w:spacing w:val="12"/>
                <w:sz w:val="21"/>
                <w:szCs w:val="21"/>
                <w:lang w:val="en-US" w:eastAsia="zh-CN"/>
                <w14:textFill>
                  <w14:solidFill>
                    <w14:schemeClr w14:val="tx1"/>
                  </w14:solidFill>
                </w14:textFill>
              </w:rPr>
              <w:t>3</w:t>
            </w:r>
            <w:r>
              <w:rPr>
                <w:rFonts w:hint="eastAsia" w:ascii="宋体" w:hAnsi="宋体" w:eastAsia="宋体" w:cs="宋体"/>
                <w:color w:val="000000" w:themeColor="text1"/>
                <w:spacing w:val="12"/>
                <w:sz w:val="21"/>
                <w:szCs w:val="21"/>
                <w14:textFill>
                  <w14:solidFill>
                    <w14:schemeClr w14:val="tx1"/>
                  </w14:solidFill>
                </w14:textFill>
              </w:rPr>
              <w:t>0</w:t>
            </w:r>
            <w:r>
              <w:rPr>
                <w:rFonts w:hint="eastAsia" w:ascii="宋体" w:hAnsi="宋体" w:eastAsia="宋体" w:cs="宋体"/>
                <w:color w:val="000000" w:themeColor="text1"/>
                <w:spacing w:val="12"/>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4" w:right="1" w:rightChars="0" w:firstLine="2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评审为中：要素较为齐备、内容较为贴切、有一定</w:t>
            </w:r>
            <w:r>
              <w:rPr>
                <w:rFonts w:hint="eastAsia" w:ascii="宋体" w:hAnsi="宋体" w:eastAsia="宋体" w:cs="宋体"/>
                <w:color w:val="000000" w:themeColor="text1"/>
                <w:spacing w:val="12"/>
                <w:sz w:val="21"/>
                <w:szCs w:val="21"/>
                <w14:textFill>
                  <w14:solidFill>
                    <w14:schemeClr w14:val="tx1"/>
                  </w14:solidFill>
                </w14:textFill>
              </w:rPr>
              <w:t>针对性，加20</w:t>
            </w:r>
            <w:r>
              <w:rPr>
                <w:rFonts w:hint="eastAsia" w:ascii="宋体" w:hAnsi="宋体" w:eastAsia="宋体" w:cs="宋体"/>
                <w:color w:val="000000" w:themeColor="text1"/>
                <w:spacing w:val="12"/>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124" w:right="1" w:rightChars="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pacing w:val="-3"/>
                <w:sz w:val="21"/>
                <w:szCs w:val="21"/>
                <w:lang w:val="en-US" w:eastAsia="zh-CN"/>
                <w14:textFill>
                  <w14:solidFill>
                    <w14:schemeClr w14:val="tx1"/>
                  </w14:solidFill>
                </w14:textFill>
              </w:rPr>
              <w:t>4</w:t>
            </w:r>
            <w:r>
              <w:rPr>
                <w:rFonts w:hint="eastAsia" w:ascii="宋体" w:hAnsi="宋体" w:eastAsia="宋体" w:cs="宋体"/>
                <w:color w:val="000000" w:themeColor="text1"/>
                <w:spacing w:val="-3"/>
                <w:sz w:val="21"/>
                <w:szCs w:val="21"/>
                <w:lang w:val="en-US"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评审为差：要素不齐备、内容不贴切、针对性不强，</w:t>
            </w:r>
            <w:r>
              <w:rPr>
                <w:rFonts w:hint="eastAsia" w:ascii="宋体" w:hAnsi="宋体" w:eastAsia="宋体" w:cs="宋体"/>
                <w:color w:val="000000" w:themeColor="text1"/>
                <w:spacing w:val="-1"/>
                <w:sz w:val="21"/>
                <w:szCs w:val="21"/>
                <w14:textFill>
                  <w14:solidFill>
                    <w14:schemeClr w14:val="tx1"/>
                  </w14:solidFill>
                </w14:textFill>
              </w:rPr>
              <w:t>不加分。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trPr>
        <w:tc>
          <w:tcPr>
            <w:tcW w:w="598" w:type="dxa"/>
            <w:vAlign w:val="center"/>
          </w:tcPr>
          <w:p>
            <w:pPr>
              <w:pStyle w:val="15"/>
              <w:spacing w:before="118" w:line="183" w:lineRule="auto"/>
              <w:ind w:left="260" w:right="-239" w:rightChars="-114"/>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498" w:type="dxa"/>
            <w:vAlign w:val="center"/>
          </w:tcPr>
          <w:p>
            <w:pPr>
              <w:pStyle w:val="15"/>
              <w:spacing w:before="60" w:line="206" w:lineRule="auto"/>
              <w:ind w:left="0" w:leftChars="0" w:right="8" w:rightChars="0" w:firstLine="0" w:firstLineChars="0"/>
              <w:jc w:val="center"/>
              <w:rPr>
                <w:rFonts w:hint="eastAsia" w:ascii="宋体" w:hAnsi="宋体" w:eastAsia="宋体" w:cs="宋体"/>
                <w:color w:val="000000" w:themeColor="text1"/>
                <w:spacing w:val="1"/>
                <w:sz w:val="21"/>
                <w:szCs w:val="21"/>
                <w:lang w:eastAsia="zh-CN"/>
                <w14:textFill>
                  <w14:solidFill>
                    <w14:schemeClr w14:val="tx1"/>
                  </w14:solidFill>
                </w14:textFill>
              </w:rPr>
            </w:pPr>
            <w:bookmarkStart w:id="0" w:name="OLE_LINK14"/>
            <w:r>
              <w:rPr>
                <w:rFonts w:hint="eastAsia" w:ascii="宋体" w:hAnsi="宋体" w:eastAsia="宋体" w:cs="宋体"/>
                <w:color w:val="000000" w:themeColor="text1"/>
                <w:sz w:val="21"/>
                <w:szCs w:val="21"/>
                <w14:textFill>
                  <w14:solidFill>
                    <w14:schemeClr w14:val="tx1"/>
                  </w14:solidFill>
                </w14:textFill>
              </w:rPr>
              <w:t>项目完成（服务期满）后的服务承诺</w:t>
            </w:r>
            <w:bookmarkEnd w:id="0"/>
          </w:p>
        </w:tc>
        <w:tc>
          <w:tcPr>
            <w:tcW w:w="709" w:type="dxa"/>
            <w:vAlign w:val="center"/>
          </w:tcPr>
          <w:p>
            <w:pPr>
              <w:pStyle w:val="15"/>
              <w:spacing w:before="197" w:line="184" w:lineRule="auto"/>
              <w:ind w:left="233" w:right="-239" w:rightChars="-114"/>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5</w:t>
            </w:r>
          </w:p>
        </w:tc>
        <w:tc>
          <w:tcPr>
            <w:tcW w:w="6761" w:type="dxa"/>
            <w:vAlign w:val="top"/>
          </w:tcPr>
          <w:p>
            <w:pPr>
              <w:adjustRightInd w:val="0"/>
              <w:snapToGrid w:val="0"/>
              <w:spacing w:line="380" w:lineRule="exact"/>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一）</w:t>
            </w:r>
            <w:r>
              <w:rPr>
                <w:rFonts w:hint="eastAsia" w:ascii="宋体" w:hAnsi="宋体" w:eastAsia="宋体" w:cs="宋体"/>
                <w:b/>
                <w:bCs/>
                <w:color w:val="000000" w:themeColor="text1"/>
                <w:sz w:val="21"/>
                <w:szCs w:val="21"/>
                <w14:textFill>
                  <w14:solidFill>
                    <w14:schemeClr w14:val="tx1"/>
                  </w14:solidFill>
                </w14:textFill>
              </w:rPr>
              <w:t>评</w:t>
            </w:r>
            <w:r>
              <w:rPr>
                <w:rFonts w:hint="eastAsia" w:ascii="宋体" w:hAnsi="宋体" w:eastAsia="宋体" w:cs="宋体"/>
                <w:b/>
                <w:bCs/>
                <w:color w:val="000000" w:themeColor="text1"/>
                <w:sz w:val="21"/>
                <w:szCs w:val="21"/>
                <w:lang w:val="en-US" w:eastAsia="zh-CN"/>
                <w14:textFill>
                  <w14:solidFill>
                    <w14:schemeClr w14:val="tx1"/>
                  </w14:solidFill>
                </w14:textFill>
              </w:rPr>
              <w:t>分</w:t>
            </w:r>
            <w:r>
              <w:rPr>
                <w:rFonts w:hint="eastAsia" w:ascii="宋体" w:hAnsi="宋体" w:eastAsia="宋体" w:cs="宋体"/>
                <w:b/>
                <w:bCs/>
                <w:color w:val="000000" w:themeColor="text1"/>
                <w:sz w:val="21"/>
                <w:szCs w:val="21"/>
                <w14:textFill>
                  <w14:solidFill>
                    <w14:schemeClr w14:val="tx1"/>
                  </w14:solidFill>
                </w14:textFill>
              </w:rPr>
              <w:t>内容：</w:t>
            </w:r>
          </w:p>
          <w:p>
            <w:pPr>
              <w:pStyle w:val="15"/>
              <w:widowControl/>
              <w:kinsoku w:val="0"/>
              <w:autoSpaceDE w:val="0"/>
              <w:autoSpaceDN w:val="0"/>
              <w:adjustRightInd w:val="0"/>
              <w:snapToGrid w:val="0"/>
              <w:spacing w:line="380" w:lineRule="exact"/>
              <w:ind w:left="124" w:right="1" w:firstLine="204" w:firstLineChars="100"/>
              <w:textAlignment w:val="baseline"/>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投标人</w:t>
            </w:r>
            <w:r>
              <w:rPr>
                <w:rFonts w:hint="eastAsia" w:ascii="宋体" w:hAnsi="宋体" w:eastAsia="宋体" w:cs="宋体"/>
                <w:color w:val="000000" w:themeColor="text1"/>
                <w:spacing w:val="-3"/>
                <w:sz w:val="21"/>
                <w:szCs w:val="21"/>
                <w14:textFill>
                  <w14:solidFill>
                    <w14:schemeClr w14:val="tx1"/>
                  </w14:solidFill>
                </w14:textFill>
              </w:rPr>
              <w:t>提供服务承诺，承诺内容包含项目服务期满后，中标人继续提供</w:t>
            </w:r>
            <w:r>
              <w:rPr>
                <w:rFonts w:hint="eastAsia" w:ascii="宋体" w:hAnsi="宋体" w:eastAsia="宋体" w:cs="宋体"/>
                <w:color w:val="000000" w:themeColor="text1"/>
                <w:spacing w:val="-3"/>
                <w:sz w:val="21"/>
                <w:szCs w:val="21"/>
                <w:lang w:eastAsia="zh-CN"/>
                <w14:textFill>
                  <w14:solidFill>
                    <w14:schemeClr w14:val="tx1"/>
                  </w14:solidFill>
                </w14:textFill>
              </w:rPr>
              <w:t>项目售后</w:t>
            </w:r>
            <w:r>
              <w:rPr>
                <w:rFonts w:hint="eastAsia" w:ascii="宋体" w:hAnsi="宋体" w:eastAsia="宋体" w:cs="宋体"/>
                <w:color w:val="000000" w:themeColor="text1"/>
                <w:spacing w:val="-3"/>
                <w:sz w:val="21"/>
                <w:szCs w:val="21"/>
                <w14:textFill>
                  <w14:solidFill>
                    <w14:schemeClr w14:val="tx1"/>
                  </w14:solidFill>
                </w14:textFill>
              </w:rPr>
              <w:t>服务（</w:t>
            </w:r>
            <w:r>
              <w:rPr>
                <w:rFonts w:hint="eastAsia" w:ascii="宋体" w:hAnsi="宋体" w:eastAsia="宋体" w:cs="宋体"/>
                <w:color w:val="000000" w:themeColor="text1"/>
                <w:spacing w:val="-3"/>
                <w:sz w:val="21"/>
                <w:szCs w:val="21"/>
                <w:lang w:eastAsia="zh-CN"/>
                <w14:textFill>
                  <w14:solidFill>
                    <w14:schemeClr w14:val="tx1"/>
                  </w14:solidFill>
                </w14:textFill>
              </w:rPr>
              <w:t>服务</w:t>
            </w:r>
            <w:r>
              <w:rPr>
                <w:rFonts w:hint="eastAsia" w:ascii="宋体" w:hAnsi="宋体" w:eastAsia="宋体" w:cs="宋体"/>
                <w:color w:val="000000" w:themeColor="text1"/>
                <w:spacing w:val="-3"/>
                <w:sz w:val="21"/>
                <w:szCs w:val="21"/>
                <w14:textFill>
                  <w14:solidFill>
                    <w14:schemeClr w14:val="tx1"/>
                  </w14:solidFill>
                </w14:textFill>
              </w:rPr>
              <w:t>期</w:t>
            </w:r>
            <w:r>
              <w:rPr>
                <w:rFonts w:hint="eastAsia" w:cs="宋体"/>
                <w:color w:val="000000" w:themeColor="text1"/>
                <w:spacing w:val="-3"/>
                <w:sz w:val="21"/>
                <w:szCs w:val="21"/>
                <w:lang w:val="en-US" w:eastAsia="zh-CN"/>
                <w14:textFill>
                  <w14:solidFill>
                    <w14:schemeClr w14:val="tx1"/>
                  </w14:solidFill>
                </w14:textFill>
              </w:rPr>
              <w:t>1个月</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3"/>
                <w:sz w:val="21"/>
                <w:szCs w:val="21"/>
                <w:lang w:val="en-US" w:eastAsia="zh-CN"/>
                <w14:textFill>
                  <w14:solidFill>
                    <w14:schemeClr w14:val="tx1"/>
                  </w14:solidFill>
                </w14:textFill>
              </w:rPr>
              <w:t>内容包括但不限于标准规范技术咨询、技术指导、安全培训及配合教育局开展监督检查</w:t>
            </w:r>
            <w:r>
              <w:rPr>
                <w:rFonts w:hint="eastAsia" w:ascii="宋体" w:hAnsi="宋体" w:eastAsia="宋体" w:cs="宋体"/>
                <w:color w:val="000000" w:themeColor="text1"/>
                <w:spacing w:val="-3"/>
                <w:sz w:val="21"/>
                <w:szCs w:val="21"/>
                <w14:textFill>
                  <w14:solidFill>
                    <w14:schemeClr w14:val="tx1"/>
                  </w14:solidFill>
                </w14:textFill>
              </w:rPr>
              <w:t>等内容。</w:t>
            </w:r>
          </w:p>
          <w:p>
            <w:pPr>
              <w:numPr>
                <w:ilvl w:val="0"/>
                <w:numId w:val="2"/>
              </w:numPr>
              <w:adjustRightInd w:val="0"/>
              <w:snapToGrid w:val="0"/>
              <w:spacing w:line="380" w:lineRule="exact"/>
              <w:jc w:val="lef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评分依据：</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124" w:right="1" w:rightChars="0"/>
              <w:textAlignment w:val="baseline"/>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提供承诺函得</w:t>
            </w:r>
            <w:r>
              <w:rPr>
                <w:rFonts w:hint="eastAsia" w:ascii="宋体" w:hAnsi="宋体" w:eastAsia="宋体" w:cs="宋体"/>
                <w:color w:val="000000" w:themeColor="text1"/>
                <w:sz w:val="21"/>
                <w:szCs w:val="21"/>
                <w:lang w:val="en-US" w:eastAsia="zh-CN"/>
                <w14:textFill>
                  <w14:solidFill>
                    <w14:schemeClr w14:val="tx1"/>
                  </w14:solidFill>
                </w14:textFill>
              </w:rPr>
              <w:t>100%</w:t>
            </w:r>
            <w:r>
              <w:rPr>
                <w:rFonts w:hint="eastAsia" w:ascii="宋体" w:hAnsi="宋体" w:eastAsia="宋体" w:cs="宋体"/>
                <w:color w:val="000000" w:themeColor="text1"/>
                <w:sz w:val="21"/>
                <w:szCs w:val="21"/>
                <w14:textFill>
                  <w14:solidFill>
                    <w14:schemeClr w14:val="tx1"/>
                  </w14:solidFill>
                </w14:textFill>
              </w:rPr>
              <w:t>，未提供不得分。（格式自定，加盖投标公司公章）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805" w:type="dxa"/>
            <w:gridSpan w:val="3"/>
            <w:vAlign w:val="center"/>
          </w:tcPr>
          <w:p>
            <w:pPr>
              <w:pStyle w:val="15"/>
              <w:spacing w:before="77" w:after="157" w:afterLines="50" w:line="185" w:lineRule="auto"/>
              <w:ind w:left="232" w:right="-239" w:rightChars="-114"/>
              <w:jc w:val="center"/>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b/>
                <w:bCs/>
                <w:color w:val="000000" w:themeColor="text1"/>
                <w:spacing w:val="-7"/>
                <w:sz w:val="21"/>
                <w:szCs w:val="21"/>
                <w:lang w:val="en-US" w:eastAsia="zh-CN"/>
                <w14:textFill>
                  <w14:solidFill>
                    <w14:schemeClr w14:val="tx1"/>
                  </w14:solidFill>
                </w14:textFill>
              </w:rPr>
              <w:t>商务部分</w:t>
            </w:r>
          </w:p>
        </w:tc>
        <w:tc>
          <w:tcPr>
            <w:tcW w:w="6761" w:type="dxa"/>
            <w:vAlign w:val="center"/>
          </w:tcPr>
          <w:p>
            <w:pPr>
              <w:pStyle w:val="15"/>
              <w:keepNext w:val="0"/>
              <w:keepLines w:val="0"/>
              <w:pageBreakBefore w:val="0"/>
              <w:widowControl/>
              <w:kinsoku/>
              <w:wordWrap/>
              <w:overflowPunct/>
              <w:topLinePunct w:val="0"/>
              <w:autoSpaceDE/>
              <w:autoSpaceDN/>
              <w:bidi w:val="0"/>
              <w:adjustRightInd/>
              <w:snapToGrid/>
              <w:spacing w:before="77" w:after="157" w:afterLines="50" w:line="185" w:lineRule="auto"/>
              <w:ind w:left="232" w:right="-239" w:rightChars="-114" w:firstLine="2362" w:firstLineChars="120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pacing w:val="-7"/>
                <w:sz w:val="21"/>
                <w:szCs w:val="21"/>
                <w:lang w:val="en-US" w:eastAsia="zh-CN"/>
                <w14:textFill>
                  <w14:solidFill>
                    <w14:schemeClr w14:val="tx1"/>
                  </w14:solidFill>
                </w14:textFill>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598" w:type="dxa"/>
            <w:shd w:val="clear" w:color="auto" w:fill="auto"/>
            <w:textDirection w:val="tbRlV"/>
            <w:vAlign w:val="top"/>
          </w:tcPr>
          <w:p>
            <w:pPr>
              <w:pStyle w:val="15"/>
              <w:spacing w:before="233" w:line="199" w:lineRule="auto"/>
              <w:ind w:left="18"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98" w:type="dxa"/>
            <w:shd w:val="clear" w:color="auto" w:fill="auto"/>
            <w:vAlign w:val="top"/>
          </w:tcPr>
          <w:p>
            <w:pPr>
              <w:pStyle w:val="15"/>
              <w:spacing w:before="150" w:line="219" w:lineRule="auto"/>
              <w:ind w:left="341" w:leftChars="0"/>
              <w:rPr>
                <w:rFonts w:hint="eastAsia" w:ascii="宋体" w:hAnsi="宋体" w:eastAsia="宋体" w:cs="宋体"/>
                <w:color w:val="000000" w:themeColor="text1"/>
                <w:kern w:val="2"/>
                <w:sz w:val="21"/>
                <w:szCs w:val="21"/>
                <w:lang w:val="en-US" w:eastAsia="en-US" w:bidi="ar-SA"/>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评分因素</w:t>
            </w:r>
          </w:p>
        </w:tc>
        <w:tc>
          <w:tcPr>
            <w:tcW w:w="709" w:type="dxa"/>
            <w:shd w:val="clear" w:color="auto" w:fill="auto"/>
            <w:vAlign w:val="top"/>
          </w:tcPr>
          <w:p>
            <w:pPr>
              <w:pStyle w:val="15"/>
              <w:spacing w:before="30" w:line="196" w:lineRule="auto"/>
              <w:ind w:left="172" w:leftChars="0" w:right="133" w:rightChars="0" w:hanging="59"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权重</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11"/>
                <w:sz w:val="21"/>
                <w:szCs w:val="21"/>
                <w14:textFill>
                  <w14:solidFill>
                    <w14:schemeClr w14:val="tx1"/>
                  </w14:solidFill>
                </w14:textFill>
              </w:rPr>
              <w:t>(%)</w:t>
            </w:r>
          </w:p>
        </w:tc>
        <w:tc>
          <w:tcPr>
            <w:tcW w:w="6761" w:type="dxa"/>
            <w:shd w:val="clear" w:color="auto" w:fill="auto"/>
            <w:vAlign w:val="top"/>
          </w:tcPr>
          <w:p>
            <w:pPr>
              <w:pStyle w:val="15"/>
              <w:spacing w:before="151" w:line="220" w:lineRule="auto"/>
              <w:ind w:left="2464" w:leftChars="0"/>
              <w:rPr>
                <w:rFonts w:hint="eastAsia" w:ascii="宋体" w:hAnsi="宋体" w:eastAsia="宋体" w:cs="宋体"/>
                <w:color w:val="000000" w:themeColor="text1"/>
                <w:kern w:val="2"/>
                <w:sz w:val="21"/>
                <w:szCs w:val="21"/>
                <w:lang w:val="en-US" w:eastAsia="en-US"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8" w:type="dxa"/>
            <w:shd w:val="clear" w:color="auto" w:fill="auto"/>
            <w:vAlign w:val="center"/>
          </w:tcPr>
          <w:p>
            <w:pPr>
              <w:pStyle w:val="15"/>
              <w:spacing w:before="124" w:line="184" w:lineRule="auto"/>
              <w:ind w:left="259"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498" w:type="dxa"/>
            <w:shd w:val="clear" w:color="auto" w:fill="auto"/>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231"/>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投标人资质</w:t>
            </w:r>
          </w:p>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231"/>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情况及通过</w:t>
            </w:r>
          </w:p>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231"/>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相关认证情</w:t>
            </w:r>
          </w:p>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691" w:leftChars="0"/>
              <w:textAlignment w:val="baseline"/>
              <w:rPr>
                <w:rFonts w:hint="eastAsia" w:ascii="宋体" w:hAnsi="宋体" w:eastAsia="宋体" w:cs="宋体"/>
                <w:color w:val="000000" w:themeColor="text1"/>
                <w:kern w:val="2"/>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况</w:t>
            </w:r>
          </w:p>
        </w:tc>
        <w:tc>
          <w:tcPr>
            <w:tcW w:w="709" w:type="dxa"/>
            <w:shd w:val="clear" w:color="auto" w:fill="auto"/>
            <w:vAlign w:val="center"/>
          </w:tcPr>
          <w:p>
            <w:pPr>
              <w:pStyle w:val="15"/>
              <w:spacing w:before="175" w:line="183" w:lineRule="auto"/>
              <w:ind w:left="283"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6761" w:type="dxa"/>
            <w:shd w:val="clear" w:color="auto" w:fill="auto"/>
            <w:vAlign w:val="top"/>
          </w:tcPr>
          <w:p>
            <w:pPr>
              <w:pStyle w:val="15"/>
              <w:keepNext w:val="0"/>
              <w:keepLines w:val="0"/>
              <w:pageBreakBefore w:val="0"/>
              <w:widowControl/>
              <w:tabs>
                <w:tab w:val="left" w:pos="6100"/>
              </w:tabs>
              <w:kinsoku w:val="0"/>
              <w:wordWrap/>
              <w:overflowPunct/>
              <w:topLinePunct w:val="0"/>
              <w:autoSpaceDE w:val="0"/>
              <w:autoSpaceDN w:val="0"/>
              <w:bidi w:val="0"/>
              <w:adjustRightInd w:val="0"/>
              <w:snapToGrid w:val="0"/>
              <w:spacing w:line="380" w:lineRule="exact"/>
              <w:ind w:left="0" w:leftChars="0" w:right="1" w:rightChars="0" w:firstLine="58" w:firstLineChars="28"/>
              <w:jc w:val="both"/>
              <w:textAlignment w:val="baseline"/>
              <w:rPr>
                <w:rFonts w:hint="eastAsia" w:ascii="宋体" w:hAnsi="宋体" w:eastAsia="宋体" w:cs="宋体"/>
                <w:b/>
                <w:bCs/>
                <w:color w:val="000000" w:themeColor="text1"/>
                <w:spacing w:val="-1"/>
                <w:sz w:val="21"/>
                <w:szCs w:val="21"/>
                <w:lang w:val="en-US" w:eastAsia="zh-CN"/>
                <w14:textFill>
                  <w14:solidFill>
                    <w14:schemeClr w14:val="tx1"/>
                  </w14:solidFill>
                </w14:textFill>
              </w:rPr>
            </w:pPr>
            <w:r>
              <w:rPr>
                <w:rFonts w:hint="eastAsia" w:ascii="宋体" w:hAnsi="宋体" w:eastAsia="宋体" w:cs="宋体"/>
                <w:b/>
                <w:bCs/>
                <w:color w:val="000000" w:themeColor="text1"/>
                <w:spacing w:val="-1"/>
                <w:sz w:val="21"/>
                <w:szCs w:val="21"/>
                <w:lang w:val="en-US" w:eastAsia="zh-CN"/>
                <w14:textFill>
                  <w14:solidFill>
                    <w14:schemeClr w14:val="tx1"/>
                  </w14:solidFill>
                </w14:textFill>
              </w:rPr>
              <w:t>（一）评分内容：</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1、投标人具有检验检测机构(CMA)的资质认定证书</w:t>
            </w:r>
            <w:r>
              <w:rPr>
                <w:rFonts w:hint="eastAsia" w:cs="宋体"/>
                <w:color w:val="000000" w:themeColor="text1"/>
                <w:spacing w:val="1"/>
                <w:sz w:val="21"/>
                <w:szCs w:val="21"/>
                <w:lang w:val="en-US" w:eastAsia="zh-CN"/>
                <w14:textFill>
                  <w14:solidFill>
                    <w14:schemeClr w14:val="tx1"/>
                  </w14:solidFill>
                </w14:textFill>
              </w:rPr>
              <w:t>的,</w:t>
            </w:r>
            <w:r>
              <w:rPr>
                <w:rFonts w:hint="eastAsia" w:ascii="宋体" w:hAnsi="宋体" w:eastAsia="宋体" w:cs="宋体"/>
                <w:color w:val="000000" w:themeColor="text1"/>
                <w:spacing w:val="1"/>
                <w:sz w:val="21"/>
                <w:szCs w:val="21"/>
                <w:lang w:val="en-US" w:eastAsia="zh-CN"/>
                <w14:textFill>
                  <w14:solidFill>
                    <w14:schemeClr w14:val="tx1"/>
                  </w14:solidFill>
                </w14:textFill>
              </w:rPr>
              <w:t>得40%；</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2、投标人具有质量管理体系认证证书，且认证范围包含</w:t>
            </w:r>
            <w:r>
              <w:rPr>
                <w:rFonts w:hint="eastAsia" w:ascii="宋体" w:hAnsi="宋体" w:eastAsia="宋体" w:cs="宋体"/>
                <w:color w:val="000000" w:themeColor="text1"/>
                <w:spacing w:val="1"/>
                <w:sz w:val="21"/>
                <w:szCs w:val="21"/>
                <w:lang w:eastAsia="zh-CN"/>
                <w14:textFill>
                  <w14:solidFill>
                    <w14:schemeClr w14:val="tx1"/>
                  </w14:solidFill>
                </w14:textFill>
              </w:rPr>
              <w:t>安全生产技术咨询</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的，得20%；                 </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3、投标人具有环境管理体系认证证书，且认证范围包含</w:t>
            </w:r>
            <w:r>
              <w:rPr>
                <w:rFonts w:hint="eastAsia" w:ascii="宋体" w:hAnsi="宋体" w:eastAsia="宋体" w:cs="宋体"/>
                <w:color w:val="000000" w:themeColor="text1"/>
                <w:spacing w:val="1"/>
                <w:sz w:val="21"/>
                <w:szCs w:val="21"/>
                <w:lang w:eastAsia="zh-CN"/>
                <w14:textFill>
                  <w14:solidFill>
                    <w14:schemeClr w14:val="tx1"/>
                  </w14:solidFill>
                </w14:textFill>
              </w:rPr>
              <w:t>安全生产技术咨询</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的，得20%；                </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4、投标人具有职业健康安全管理体系认证证书，且认证范围包含</w:t>
            </w:r>
            <w:r>
              <w:rPr>
                <w:rFonts w:hint="eastAsia" w:ascii="宋体" w:hAnsi="宋体" w:eastAsia="宋体" w:cs="宋体"/>
                <w:color w:val="000000" w:themeColor="text1"/>
                <w:spacing w:val="1"/>
                <w:sz w:val="21"/>
                <w:szCs w:val="21"/>
                <w:lang w:eastAsia="zh-CN"/>
                <w14:textFill>
                  <w14:solidFill>
                    <w14:schemeClr w14:val="tx1"/>
                  </w14:solidFill>
                </w14:textFill>
              </w:rPr>
              <w:t>安全生产技术咨询</w:t>
            </w:r>
            <w:r>
              <w:rPr>
                <w:rFonts w:hint="eastAsia" w:ascii="宋体" w:hAnsi="宋体" w:eastAsia="宋体" w:cs="宋体"/>
                <w:color w:val="000000" w:themeColor="text1"/>
                <w:spacing w:val="1"/>
                <w:sz w:val="21"/>
                <w:szCs w:val="21"/>
                <w:lang w:val="en-US" w:eastAsia="zh-CN"/>
                <w14:textFill>
                  <w14:solidFill>
                    <w14:schemeClr w14:val="tx1"/>
                  </w14:solidFill>
                </w14:textFill>
              </w:rPr>
              <w:t>的，得20%。</w:t>
            </w:r>
          </w:p>
          <w:p>
            <w:pPr>
              <w:pStyle w:val="15"/>
              <w:keepNext w:val="0"/>
              <w:keepLines w:val="0"/>
              <w:pageBreakBefore w:val="0"/>
              <w:widowControl/>
              <w:tabs>
                <w:tab w:val="left" w:pos="6100"/>
              </w:tabs>
              <w:kinsoku w:val="0"/>
              <w:wordWrap/>
              <w:overflowPunct/>
              <w:topLinePunct w:val="0"/>
              <w:autoSpaceDE w:val="0"/>
              <w:autoSpaceDN w:val="0"/>
              <w:bidi w:val="0"/>
              <w:adjustRightInd w:val="0"/>
              <w:snapToGrid w:val="0"/>
              <w:spacing w:line="380" w:lineRule="exact"/>
              <w:ind w:left="0" w:leftChars="0" w:right="1" w:rightChars="0" w:firstLine="58" w:firstLineChars="28"/>
              <w:jc w:val="both"/>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b/>
                <w:bCs/>
                <w:color w:val="000000" w:themeColor="text1"/>
                <w:spacing w:val="-1"/>
                <w:sz w:val="21"/>
                <w:szCs w:val="21"/>
                <w:lang w:val="en-US" w:eastAsia="zh-CN"/>
                <w14:textFill>
                  <w14:solidFill>
                    <w14:schemeClr w14:val="tx1"/>
                  </w14:solidFill>
                </w14:textFill>
              </w:rPr>
              <w:t>（二）评分依据：</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1、（内容1）提供有效期内的证书及附表及官网查询截图；</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2、（内容2-4）提供有效的证书及全国认证认可信息公共服务平台”（http://cx.cnca.cn）查询的证书信息截图；            </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en-US"/>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3、未按要求提供或提供不清晰导致专家无法判断的不得分。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8" w:type="dxa"/>
            <w:vAlign w:val="center"/>
          </w:tcPr>
          <w:p>
            <w:pPr>
              <w:pStyle w:val="15"/>
              <w:spacing w:before="105" w:line="182" w:lineRule="auto"/>
              <w:ind w:left="261" w:right="-239" w:rightChars="-114"/>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49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23" w:line="240" w:lineRule="auto"/>
              <w:ind w:left="130" w:right="-239" w:rightChars="-114" w:firstLine="91"/>
              <w:jc w:val="left"/>
              <w:textAlignment w:val="baseline"/>
              <w:rPr>
                <w:rFonts w:hint="eastAsia" w:ascii="宋体" w:hAnsi="宋体" w:eastAsia="宋体" w:cs="宋体"/>
                <w:color w:val="000000" w:themeColor="text1"/>
                <w:spacing w:val="2"/>
                <w:sz w:val="21"/>
                <w:szCs w:val="21"/>
                <w14:textFill>
                  <w14:solidFill>
                    <w14:schemeClr w14:val="tx1"/>
                  </w14:solidFill>
                </w14:textFill>
              </w:rPr>
            </w:pPr>
          </w:p>
          <w:p>
            <w:pPr>
              <w:pStyle w:val="15"/>
              <w:keepNext w:val="0"/>
              <w:keepLines w:val="0"/>
              <w:pageBreakBefore w:val="0"/>
              <w:widowControl/>
              <w:kinsoku w:val="0"/>
              <w:wordWrap/>
              <w:overflowPunct/>
              <w:topLinePunct w:val="0"/>
              <w:autoSpaceDE w:val="0"/>
              <w:autoSpaceDN w:val="0"/>
              <w:bidi w:val="0"/>
              <w:adjustRightInd w:val="0"/>
              <w:snapToGrid w:val="0"/>
              <w:spacing w:before="23" w:line="240" w:lineRule="auto"/>
              <w:ind w:left="130" w:right="-239" w:rightChars="-114" w:firstLine="91"/>
              <w:jc w:val="left"/>
              <w:textAlignment w:val="baseline"/>
              <w:rPr>
                <w:rFonts w:hint="eastAsia" w:ascii="宋体" w:hAnsi="宋体" w:eastAsia="宋体" w:cs="宋体"/>
                <w:color w:val="000000" w:themeColor="text1"/>
                <w:spacing w:val="2"/>
                <w:sz w:val="21"/>
                <w:szCs w:val="21"/>
                <w14:textFill>
                  <w14:solidFill>
                    <w14:schemeClr w14:val="tx1"/>
                  </w14:solidFill>
                </w14:textFill>
              </w:rPr>
            </w:pPr>
          </w:p>
          <w:p>
            <w:pPr>
              <w:pStyle w:val="15"/>
              <w:keepNext w:val="0"/>
              <w:keepLines w:val="0"/>
              <w:pageBreakBefore w:val="0"/>
              <w:widowControl/>
              <w:kinsoku w:val="0"/>
              <w:wordWrap/>
              <w:overflowPunct/>
              <w:topLinePunct w:val="0"/>
              <w:autoSpaceDE w:val="0"/>
              <w:autoSpaceDN w:val="0"/>
              <w:bidi w:val="0"/>
              <w:adjustRightInd w:val="0"/>
              <w:snapToGrid w:val="0"/>
              <w:spacing w:before="0" w:line="320" w:lineRule="exact"/>
              <w:ind w:left="60" w:right="0" w:rightChars="0" w:firstLine="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拟安排的项目负责人情况(限 1人</w:t>
            </w:r>
            <w:r>
              <w:rPr>
                <w:rFonts w:hint="eastAsia" w:ascii="宋体" w:hAnsi="宋体" w:eastAsia="宋体" w:cs="宋体"/>
                <w:color w:val="000000" w:themeColor="text1"/>
                <w:spacing w:val="-2"/>
                <w:sz w:val="21"/>
                <w:szCs w:val="21"/>
                <w:lang w:eastAsia="zh-CN"/>
                <w14:textFill>
                  <w14:solidFill>
                    <w14:schemeClr w14:val="tx1"/>
                  </w14:solidFill>
                </w14:textFill>
              </w:rPr>
              <w:t>，技术负责人除外</w:t>
            </w:r>
            <w:r>
              <w:rPr>
                <w:rFonts w:hint="eastAsia" w:ascii="宋体" w:hAnsi="宋体" w:eastAsia="宋体" w:cs="宋体"/>
                <w:color w:val="000000" w:themeColor="text1"/>
                <w:spacing w:val="-2"/>
                <w:sz w:val="21"/>
                <w:szCs w:val="21"/>
                <w14:textFill>
                  <w14:solidFill>
                    <w14:schemeClr w14:val="tx1"/>
                  </w14:solidFill>
                </w14:textFill>
              </w:rPr>
              <w:t xml:space="preserve"> )</w:t>
            </w:r>
          </w:p>
        </w:tc>
        <w:tc>
          <w:tcPr>
            <w:tcW w:w="709" w:type="dxa"/>
            <w:vAlign w:val="center"/>
          </w:tcPr>
          <w:p>
            <w:pPr>
              <w:pStyle w:val="15"/>
              <w:spacing w:before="172" w:line="184" w:lineRule="auto"/>
              <w:ind w:left="223" w:right="-239" w:rightChars="-114"/>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10</w:t>
            </w:r>
          </w:p>
        </w:tc>
        <w:tc>
          <w:tcPr>
            <w:tcW w:w="6761"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8" w:right="107" w:rightChars="51"/>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(一)评分内容：</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1、具有安全工程专业本科及以上学历的，得</w:t>
            </w:r>
            <w:r>
              <w:rPr>
                <w:rFonts w:hint="eastAsia" w:ascii="宋体" w:hAnsi="宋体" w:eastAsia="宋体" w:cs="宋体"/>
                <w:color w:val="000000" w:themeColor="text1"/>
                <w:spacing w:val="1"/>
                <w:sz w:val="21"/>
                <w:szCs w:val="21"/>
                <w:lang w:val="en-US" w:eastAsia="zh-CN"/>
                <w14:textFill>
                  <w14:solidFill>
                    <w14:schemeClr w14:val="tx1"/>
                  </w14:solidFill>
                </w14:textFill>
              </w:rPr>
              <w:t>20%</w:t>
            </w:r>
            <w:r>
              <w:rPr>
                <w:rFonts w:hint="eastAsia" w:ascii="宋体" w:hAnsi="宋体" w:eastAsia="宋体" w:cs="宋体"/>
                <w:color w:val="000000" w:themeColor="text1"/>
                <w:spacing w:val="1"/>
                <w:sz w:val="21"/>
                <w:szCs w:val="21"/>
                <w:lang w:eastAsia="zh-CN"/>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2</w:t>
            </w:r>
            <w:r>
              <w:rPr>
                <w:rFonts w:hint="eastAsia" w:ascii="宋体" w:hAnsi="宋体" w:eastAsia="宋体" w:cs="宋体"/>
                <w:color w:val="000000" w:themeColor="text1"/>
                <w:spacing w:val="1"/>
                <w:sz w:val="21"/>
                <w:szCs w:val="21"/>
                <w:lang w:eastAsia="zh-CN"/>
                <w14:textFill>
                  <w14:solidFill>
                    <w14:schemeClr w14:val="tx1"/>
                  </w14:solidFill>
                </w14:textFill>
              </w:rPr>
              <w:t>、具有安全培训教师岗位证书的，得</w:t>
            </w:r>
            <w:r>
              <w:rPr>
                <w:rFonts w:hint="eastAsia" w:ascii="宋体" w:hAnsi="宋体" w:eastAsia="宋体" w:cs="宋体"/>
                <w:color w:val="000000" w:themeColor="text1"/>
                <w:spacing w:val="1"/>
                <w:sz w:val="21"/>
                <w:szCs w:val="21"/>
                <w:lang w:val="en-US" w:eastAsia="zh-CN"/>
                <w14:textFill>
                  <w14:solidFill>
                    <w14:schemeClr w14:val="tx1"/>
                  </w14:solidFill>
                </w14:textFill>
              </w:rPr>
              <w:t>30%</w:t>
            </w:r>
            <w:r>
              <w:rPr>
                <w:rFonts w:hint="eastAsia" w:ascii="宋体" w:hAnsi="宋体" w:eastAsia="宋体" w:cs="宋体"/>
                <w:color w:val="000000" w:themeColor="text1"/>
                <w:spacing w:val="1"/>
                <w:sz w:val="21"/>
                <w:szCs w:val="21"/>
                <w:lang w:eastAsia="zh-CN"/>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3、具有政府部门颁发的应急管理专家证书，得50%；</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8" w:right="107" w:rightChars="51"/>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(二)评分依据：</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1、评分内容1至</w:t>
            </w:r>
            <w:r>
              <w:rPr>
                <w:rFonts w:hint="eastAsia" w:ascii="宋体" w:hAnsi="宋体" w:eastAsia="宋体" w:cs="宋体"/>
                <w:color w:val="000000" w:themeColor="text1"/>
                <w:spacing w:val="1"/>
                <w:sz w:val="21"/>
                <w:szCs w:val="21"/>
                <w:lang w:val="en-US" w:eastAsia="zh-CN"/>
                <w14:textFill>
                  <w14:solidFill>
                    <w14:schemeClr w14:val="tx1"/>
                  </w14:solidFill>
                </w14:textFill>
              </w:rPr>
              <w:t>3</w:t>
            </w:r>
            <w:r>
              <w:rPr>
                <w:rFonts w:hint="eastAsia" w:ascii="宋体" w:hAnsi="宋体" w:eastAsia="宋体" w:cs="宋体"/>
                <w:color w:val="000000" w:themeColor="text1"/>
                <w:spacing w:val="1"/>
                <w:sz w:val="21"/>
                <w:szCs w:val="21"/>
                <w:lang w:eastAsia="zh-CN"/>
                <w14:textFill>
                  <w14:solidFill>
                    <w14:schemeClr w14:val="tx1"/>
                  </w14:solidFill>
                </w14:textFill>
              </w:rPr>
              <w:t>:提供相应证书扫描件；</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2</w:t>
            </w:r>
            <w:r>
              <w:rPr>
                <w:rFonts w:hint="eastAsia" w:ascii="宋体" w:hAnsi="宋体" w:eastAsia="宋体" w:cs="宋体"/>
                <w:color w:val="000000" w:themeColor="text1"/>
                <w:spacing w:val="1"/>
                <w:sz w:val="21"/>
                <w:szCs w:val="21"/>
                <w:lang w:val="en-US" w:eastAsia="zh-CN"/>
                <w14:textFill>
                  <w14:solidFill>
                    <w14:schemeClr w14:val="tx1"/>
                  </w14:solidFill>
                </w14:textFill>
              </w:rPr>
              <w:t>、</w:t>
            </w:r>
            <w:r>
              <w:rPr>
                <w:rFonts w:hint="eastAsia" w:ascii="宋体" w:hAnsi="宋体" w:eastAsia="宋体" w:cs="宋体"/>
                <w:color w:val="000000" w:themeColor="text1"/>
                <w:spacing w:val="1"/>
                <w:sz w:val="21"/>
                <w:szCs w:val="21"/>
                <w:lang w:eastAsia="zh-CN"/>
                <w14:textFill>
                  <w14:solidFill>
                    <w14:schemeClr w14:val="tx1"/>
                  </w14:solidFill>
                </w14:textFill>
              </w:rPr>
              <w:t>提供学历证书以及学信网查询记录，原件备查。学信网无法查询的，可提供其他佐证材料:如毕业院校、人社部门等颁发机构或监管机构等单位出具的证明；</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3、</w:t>
            </w:r>
            <w:r>
              <w:rPr>
                <w:rFonts w:hint="eastAsia" w:ascii="宋体" w:hAnsi="宋体" w:eastAsia="宋体" w:cs="宋体"/>
                <w:color w:val="000000" w:themeColor="text1"/>
                <w:spacing w:val="1"/>
                <w:sz w:val="21"/>
                <w:szCs w:val="21"/>
                <w:lang w:eastAsia="zh-CN"/>
                <w14:textFill>
                  <w14:solidFill>
                    <w14:schemeClr w14:val="tx1"/>
                  </w14:solidFill>
                </w14:textFill>
              </w:rPr>
              <w:t>提供投标截止时间前</w:t>
            </w:r>
            <w:r>
              <w:rPr>
                <w:rFonts w:hint="eastAsia" w:cs="宋体"/>
                <w:color w:val="000000" w:themeColor="text1"/>
                <w:spacing w:val="1"/>
                <w:sz w:val="21"/>
                <w:szCs w:val="21"/>
                <w:lang w:val="en-US" w:eastAsia="zh-CN"/>
                <w14:textFill>
                  <w14:solidFill>
                    <w14:schemeClr w14:val="tx1"/>
                  </w14:solidFill>
                </w14:textFill>
              </w:rPr>
              <w:t>一</w:t>
            </w:r>
            <w:r>
              <w:rPr>
                <w:rFonts w:hint="eastAsia" w:ascii="宋体" w:hAnsi="宋体" w:eastAsia="宋体" w:cs="宋体"/>
                <w:color w:val="000000" w:themeColor="text1"/>
                <w:spacing w:val="1"/>
                <w:sz w:val="21"/>
                <w:szCs w:val="21"/>
                <w:lang w:eastAsia="zh-CN"/>
                <w14:textFill>
                  <w14:solidFill>
                    <w14:schemeClr w14:val="tx1"/>
                  </w14:solidFill>
                </w14:textFill>
              </w:rPr>
              <w:t>个月社保费用缴交明细， 如开标日上一个月的社保材料因社保部门原因暂时无法取得，则可以往前顺延一个月，不接受补缴社保。不提供或提供不清晰导致专家无法判断的不得分。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5" w:hRule="atLeast"/>
        </w:trPr>
        <w:tc>
          <w:tcPr>
            <w:tcW w:w="598" w:type="dxa"/>
            <w:vAlign w:val="center"/>
          </w:tcPr>
          <w:p>
            <w:pPr>
              <w:pStyle w:val="15"/>
              <w:spacing w:before="116" w:line="183" w:lineRule="auto"/>
              <w:ind w:left="261" w:right="-239" w:rightChars="-114"/>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498" w:type="dxa"/>
            <w:vAlign w:val="center"/>
          </w:tcPr>
          <w:p>
            <w:pPr>
              <w:pStyle w:val="15"/>
              <w:widowControl/>
              <w:kinsoku w:val="0"/>
              <w:autoSpaceDE w:val="0"/>
              <w:autoSpaceDN w:val="0"/>
              <w:adjustRightInd w:val="0"/>
              <w:snapToGrid w:val="0"/>
              <w:spacing w:before="0" w:line="320" w:lineRule="exact"/>
              <w:ind w:left="60" w:right="0" w:rightChars="0" w:firstLine="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拟安排的技</w:t>
            </w:r>
            <w:r>
              <w:rPr>
                <w:rFonts w:hint="eastAsia" w:ascii="宋体" w:hAnsi="宋体" w:eastAsia="宋体" w:cs="宋体"/>
                <w:color w:val="000000" w:themeColor="text1"/>
                <w:spacing w:val="-2"/>
                <w:sz w:val="21"/>
                <w:szCs w:val="21"/>
                <w:lang w:eastAsia="zh-CN"/>
                <w14:textFill>
                  <w14:solidFill>
                    <w14:schemeClr w14:val="tx1"/>
                  </w14:solidFill>
                </w14:textFill>
              </w:rPr>
              <w:t>术</w:t>
            </w:r>
            <w:r>
              <w:rPr>
                <w:rFonts w:hint="eastAsia" w:ascii="宋体" w:hAnsi="宋体" w:eastAsia="宋体" w:cs="宋体"/>
                <w:color w:val="000000" w:themeColor="text1"/>
                <w:spacing w:val="-2"/>
                <w:sz w:val="21"/>
                <w:szCs w:val="21"/>
                <w14:textFill>
                  <w14:solidFill>
                    <w14:schemeClr w14:val="tx1"/>
                  </w14:solidFill>
                </w14:textFill>
              </w:rPr>
              <w:t xml:space="preserve">负责人情况( 限1人 </w:t>
            </w:r>
            <w:r>
              <w:rPr>
                <w:rFonts w:hint="eastAsia" w:ascii="宋体" w:hAnsi="宋体" w:eastAsia="宋体" w:cs="宋体"/>
                <w:color w:val="000000" w:themeColor="text1"/>
                <w:spacing w:val="-2"/>
                <w:sz w:val="21"/>
                <w:szCs w:val="21"/>
                <w:lang w:eastAsia="zh-CN"/>
                <w14:textFill>
                  <w14:solidFill>
                    <w14:schemeClr w14:val="tx1"/>
                  </w14:solidFill>
                </w14:textFill>
              </w:rPr>
              <w:t>，项目负责人除外</w:t>
            </w:r>
            <w:r>
              <w:rPr>
                <w:rFonts w:hint="eastAsia" w:ascii="宋体" w:hAnsi="宋体" w:eastAsia="宋体" w:cs="宋体"/>
                <w:color w:val="000000" w:themeColor="text1"/>
                <w:spacing w:val="-2"/>
                <w:sz w:val="21"/>
                <w:szCs w:val="21"/>
                <w14:textFill>
                  <w14:solidFill>
                    <w14:schemeClr w14:val="tx1"/>
                  </w14:solidFill>
                </w14:textFill>
              </w:rPr>
              <w:t>)</w:t>
            </w:r>
          </w:p>
        </w:tc>
        <w:tc>
          <w:tcPr>
            <w:tcW w:w="709"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223" w:right="-239" w:rightChars="-114"/>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8</w:t>
            </w:r>
          </w:p>
        </w:tc>
        <w:tc>
          <w:tcPr>
            <w:tcW w:w="6761"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40" w:leftChars="19" w:right="107" w:rightChars="51" w:firstLine="47" w:firstLineChars="23"/>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(一)评分内容：</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1、具有本科及以上学历的，得</w:t>
            </w:r>
            <w:r>
              <w:rPr>
                <w:rFonts w:hint="eastAsia" w:ascii="宋体" w:hAnsi="宋体" w:eastAsia="宋体" w:cs="宋体"/>
                <w:color w:val="000000" w:themeColor="text1"/>
                <w:spacing w:val="1"/>
                <w:sz w:val="21"/>
                <w:szCs w:val="21"/>
                <w:lang w:val="en-US" w:eastAsia="zh-CN"/>
                <w14:textFill>
                  <w14:solidFill>
                    <w14:schemeClr w14:val="tx1"/>
                  </w14:solidFill>
                </w14:textFill>
              </w:rPr>
              <w:t>40%</w:t>
            </w:r>
            <w:r>
              <w:rPr>
                <w:rFonts w:hint="eastAsia" w:ascii="宋体" w:hAnsi="宋体" w:eastAsia="宋体" w:cs="宋体"/>
                <w:color w:val="000000" w:themeColor="text1"/>
                <w:spacing w:val="1"/>
                <w:sz w:val="21"/>
                <w:szCs w:val="21"/>
                <w:lang w:eastAsia="zh-CN"/>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2</w:t>
            </w:r>
            <w:r>
              <w:rPr>
                <w:rFonts w:hint="eastAsia" w:ascii="宋体" w:hAnsi="宋体" w:eastAsia="宋体" w:cs="宋体"/>
                <w:color w:val="000000" w:themeColor="text1"/>
                <w:spacing w:val="1"/>
                <w:sz w:val="21"/>
                <w:szCs w:val="21"/>
                <w:lang w:eastAsia="zh-CN"/>
                <w14:textFill>
                  <w14:solidFill>
                    <w14:schemeClr w14:val="tx1"/>
                  </w14:solidFill>
                </w14:textFill>
              </w:rPr>
              <w:t>、具有电气高级工程师职称证书的，得</w:t>
            </w:r>
            <w:r>
              <w:rPr>
                <w:rFonts w:hint="eastAsia" w:ascii="宋体" w:hAnsi="宋体" w:eastAsia="宋体" w:cs="宋体"/>
                <w:color w:val="000000" w:themeColor="text1"/>
                <w:spacing w:val="1"/>
                <w:sz w:val="21"/>
                <w:szCs w:val="21"/>
                <w:lang w:val="en-US" w:eastAsia="zh-CN"/>
                <w14:textFill>
                  <w14:solidFill>
                    <w14:schemeClr w14:val="tx1"/>
                  </w14:solidFill>
                </w14:textFill>
              </w:rPr>
              <w:t>60%</w:t>
            </w:r>
            <w:r>
              <w:rPr>
                <w:rFonts w:hint="eastAsia" w:ascii="宋体" w:hAnsi="宋体" w:eastAsia="宋体" w:cs="宋体"/>
                <w:color w:val="000000" w:themeColor="text1"/>
                <w:spacing w:val="1"/>
                <w:sz w:val="21"/>
                <w:szCs w:val="21"/>
                <w:lang w:eastAsia="zh-CN"/>
                <w14:textFill>
                  <w14:solidFill>
                    <w14:schemeClr w14:val="tx1"/>
                  </w14:solidFill>
                </w14:textFill>
              </w:rPr>
              <w:t xml:space="preserve"> ；</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40" w:leftChars="19" w:right="107" w:rightChars="51" w:firstLine="47" w:firstLineChars="23"/>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(二)评分依据：</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1、评分内容1提供学历证书和学信网查询记录截图(如学信网无法查询的，还需提供毕业院校、人社部门等颁发机构或监管机构等单位出具的证明作为得分依据)。留学归国人员如无法提供学信网查询记录截图，提供国(境)外学历证书扫描件(以及中文翻译件)和教育部留学服务中心出具的国外学历学位认证书扫描件【或</w:t>
            </w:r>
            <w:r>
              <w:rPr>
                <w:rFonts w:hint="eastAsia" w:ascii="宋体" w:hAnsi="宋体" w:eastAsia="宋体" w:cs="宋体"/>
                <w:color w:val="000000" w:themeColor="text1"/>
                <w:spacing w:val="1"/>
                <w:sz w:val="21"/>
                <w:szCs w:val="21"/>
                <w:lang w:eastAsia="zh-CN"/>
                <w14:textFill>
                  <w14:solidFill>
                    <w14:schemeClr w14:val="tx1"/>
                  </w14:solidFill>
                </w14:textFill>
              </w:rPr>
              <w:fldChar w:fldCharType="begin"/>
            </w:r>
            <w:r>
              <w:rPr>
                <w:rFonts w:hint="eastAsia" w:ascii="宋体" w:hAnsi="宋体" w:eastAsia="宋体" w:cs="宋体"/>
                <w:color w:val="000000" w:themeColor="text1"/>
                <w:spacing w:val="1"/>
                <w:sz w:val="21"/>
                <w:szCs w:val="21"/>
                <w:lang w:eastAsia="zh-CN"/>
                <w14:textFill>
                  <w14:solidFill>
                    <w14:schemeClr w14:val="tx1"/>
                  </w14:solidFill>
                </w14:textFill>
              </w:rPr>
              <w:instrText xml:space="preserve"> HYPERLINK "http://zwfw.cscsc.edu.cn/" </w:instrText>
            </w:r>
            <w:r>
              <w:rPr>
                <w:rFonts w:hint="eastAsia" w:ascii="宋体" w:hAnsi="宋体" w:eastAsia="宋体" w:cs="宋体"/>
                <w:color w:val="000000" w:themeColor="text1"/>
                <w:spacing w:val="1"/>
                <w:sz w:val="21"/>
                <w:szCs w:val="21"/>
                <w:lang w:eastAsia="zh-CN"/>
                <w14:textFill>
                  <w14:solidFill>
                    <w14:schemeClr w14:val="tx1"/>
                  </w14:solidFill>
                </w14:textFill>
              </w:rPr>
              <w:fldChar w:fldCharType="separate"/>
            </w:r>
            <w:r>
              <w:rPr>
                <w:rFonts w:hint="eastAsia" w:ascii="宋体" w:hAnsi="宋体" w:eastAsia="宋体" w:cs="宋体"/>
                <w:color w:val="000000" w:themeColor="text1"/>
                <w:spacing w:val="1"/>
                <w:sz w:val="21"/>
                <w:szCs w:val="21"/>
                <w:lang w:eastAsia="zh-CN"/>
                <w14:textFill>
                  <w14:solidFill>
                    <w14:schemeClr w14:val="tx1"/>
                  </w14:solidFill>
                </w14:textFill>
              </w:rPr>
              <w:t>http://zwfw.cscsc.edu.cn/</w:t>
            </w:r>
            <w:r>
              <w:rPr>
                <w:rFonts w:hint="eastAsia" w:ascii="宋体" w:hAnsi="宋体" w:eastAsia="宋体" w:cs="宋体"/>
                <w:color w:val="000000" w:themeColor="text1"/>
                <w:spacing w:val="1"/>
                <w:sz w:val="21"/>
                <w:szCs w:val="21"/>
                <w:lang w:eastAsia="zh-CN"/>
                <w14:textFill>
                  <w14:solidFill>
                    <w14:schemeClr w14:val="tx1"/>
                  </w14:solidFill>
                </w14:textFill>
              </w:rPr>
              <w:fldChar w:fldCharType="end"/>
            </w:r>
            <w:r>
              <w:rPr>
                <w:rFonts w:hint="eastAsia" w:ascii="宋体" w:hAnsi="宋体" w:eastAsia="宋体" w:cs="宋体"/>
                <w:color w:val="000000" w:themeColor="text1"/>
                <w:spacing w:val="1"/>
                <w:sz w:val="21"/>
                <w:szCs w:val="21"/>
                <w:lang w:eastAsia="zh-CN"/>
                <w14:textFill>
                  <w14:solidFill>
                    <w14:schemeClr w14:val="tx1"/>
                  </w14:solidFill>
                </w14:textFill>
              </w:rPr>
              <w:t>)查询截图】 也予认可；</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2、评分内容</w:t>
            </w:r>
            <w:r>
              <w:rPr>
                <w:rFonts w:hint="eastAsia" w:ascii="宋体" w:hAnsi="宋体" w:eastAsia="宋体" w:cs="宋体"/>
                <w:color w:val="000000" w:themeColor="text1"/>
                <w:spacing w:val="1"/>
                <w:sz w:val="21"/>
                <w:szCs w:val="21"/>
                <w:lang w:val="en-US" w:eastAsia="zh-CN"/>
                <w14:textFill>
                  <w14:solidFill>
                    <w14:schemeClr w14:val="tx1"/>
                  </w14:solidFill>
                </w14:textFill>
              </w:rPr>
              <w:t>1-2</w:t>
            </w:r>
            <w:r>
              <w:rPr>
                <w:rFonts w:hint="eastAsia" w:ascii="宋体" w:hAnsi="宋体" w:eastAsia="宋体" w:cs="宋体"/>
                <w:color w:val="000000" w:themeColor="text1"/>
                <w:spacing w:val="1"/>
                <w:sz w:val="21"/>
                <w:szCs w:val="21"/>
                <w:lang w:eastAsia="zh-CN"/>
                <w14:textFill>
                  <w14:solidFill>
                    <w14:schemeClr w14:val="tx1"/>
                  </w14:solidFill>
                </w14:textFill>
              </w:rPr>
              <w:t>:提供相应证书扫描件</w:t>
            </w:r>
            <w:r>
              <w:rPr>
                <w:rFonts w:hint="eastAsia" w:ascii="宋体" w:hAnsi="宋体" w:eastAsia="宋体" w:cs="宋体"/>
                <w:color w:val="000000" w:themeColor="text1"/>
                <w:spacing w:val="1"/>
                <w:sz w:val="21"/>
                <w:szCs w:val="21"/>
                <w:lang w:val="en-US" w:eastAsia="zh-CN"/>
                <w14:textFill>
                  <w14:solidFill>
                    <w14:schemeClr w14:val="tx1"/>
                  </w14:solidFill>
                </w14:textFill>
              </w:rPr>
              <w:t>及证书官网查询截图；</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firstLine="10" w:firstLineChars="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3、提供投标截止时间前</w:t>
            </w:r>
            <w:r>
              <w:rPr>
                <w:rFonts w:hint="eastAsia" w:cs="宋体"/>
                <w:color w:val="000000" w:themeColor="text1"/>
                <w:spacing w:val="1"/>
                <w:sz w:val="21"/>
                <w:szCs w:val="21"/>
                <w:lang w:val="en-US" w:eastAsia="zh-CN"/>
                <w14:textFill>
                  <w14:solidFill>
                    <w14:schemeClr w14:val="tx1"/>
                  </w14:solidFill>
                </w14:textFill>
              </w:rPr>
              <w:t>一</w:t>
            </w:r>
            <w:r>
              <w:rPr>
                <w:rFonts w:hint="eastAsia" w:ascii="宋体" w:hAnsi="宋体" w:eastAsia="宋体" w:cs="宋体"/>
                <w:color w:val="000000" w:themeColor="text1"/>
                <w:spacing w:val="1"/>
                <w:sz w:val="21"/>
                <w:szCs w:val="21"/>
                <w:lang w:eastAsia="zh-CN"/>
                <w14:textFill>
                  <w14:solidFill>
                    <w14:schemeClr w14:val="tx1"/>
                  </w14:solidFill>
                </w14:textFill>
              </w:rPr>
              <w:t>个月社保费用缴交明细，如开标日上一个月的社保材料因社保部门原因暂时无法取得，则可以往前顺延-个月，不接受补缴社保。不提供或提供不清晰导致专家无法判断的不得分。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0" w:hRule="atLeast"/>
        </w:trPr>
        <w:tc>
          <w:tcPr>
            <w:tcW w:w="598" w:type="dxa"/>
            <w:vAlign w:val="center"/>
          </w:tcPr>
          <w:p>
            <w:pPr>
              <w:pStyle w:val="15"/>
              <w:spacing w:before="101" w:line="182" w:lineRule="auto"/>
              <w:ind w:left="25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49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40" w:leftChars="19"/>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拟安排项目</w:t>
            </w:r>
            <w:r>
              <w:rPr>
                <w:rFonts w:hint="eastAsia" w:ascii="宋体" w:hAnsi="宋体" w:eastAsia="宋体" w:cs="宋体"/>
                <w:color w:val="000000" w:themeColor="text1"/>
                <w:spacing w:val="1"/>
                <w:sz w:val="21"/>
                <w:szCs w:val="21"/>
                <w14:textFill>
                  <w14:solidFill>
                    <w14:schemeClr w14:val="tx1"/>
                  </w14:solidFill>
                </w14:textFill>
              </w:rPr>
              <w:t>团队成员(项</w:t>
            </w:r>
            <w:r>
              <w:rPr>
                <w:rFonts w:hint="eastAsia" w:ascii="宋体" w:hAnsi="宋体" w:eastAsia="宋体" w:cs="宋体"/>
                <w:color w:val="000000" w:themeColor="text1"/>
                <w:spacing w:val="2"/>
                <w:sz w:val="21"/>
                <w:szCs w:val="21"/>
                <w14:textFill>
                  <w14:solidFill>
                    <w14:schemeClr w14:val="tx1"/>
                  </w14:solidFill>
                </w14:textFill>
              </w:rPr>
              <w:t>目负责人</w:t>
            </w:r>
            <w:r>
              <w:rPr>
                <w:rFonts w:hint="eastAsia" w:ascii="宋体" w:hAnsi="宋体" w:eastAsia="宋体" w:cs="宋体"/>
                <w:color w:val="000000" w:themeColor="text1"/>
                <w:spacing w:val="2"/>
                <w:sz w:val="21"/>
                <w:szCs w:val="21"/>
                <w:lang w:eastAsia="zh-CN"/>
                <w14:textFill>
                  <w14:solidFill>
                    <w14:schemeClr w14:val="tx1"/>
                  </w14:solidFill>
                </w14:textFill>
              </w:rPr>
              <w:t>和技术负责人</w:t>
            </w:r>
            <w:r>
              <w:rPr>
                <w:rFonts w:hint="eastAsia" w:ascii="宋体" w:hAnsi="宋体" w:eastAsia="宋体" w:cs="宋体"/>
                <w:color w:val="000000" w:themeColor="text1"/>
                <w:spacing w:val="2"/>
                <w:sz w:val="21"/>
                <w:szCs w:val="21"/>
                <w14:textFill>
                  <w14:solidFill>
                    <w14:schemeClr w14:val="tx1"/>
                  </w14:solidFill>
                </w14:textFill>
              </w:rPr>
              <w:t>除</w:t>
            </w:r>
            <w:r>
              <w:rPr>
                <w:rFonts w:hint="eastAsia" w:ascii="宋体" w:hAnsi="宋体" w:eastAsia="宋体" w:cs="宋体"/>
                <w:color w:val="000000" w:themeColor="text1"/>
                <w:spacing w:val="-7"/>
                <w:sz w:val="21"/>
                <w:szCs w:val="21"/>
                <w14:textFill>
                  <w14:solidFill>
                    <w14:schemeClr w14:val="tx1"/>
                  </w14:solidFill>
                </w14:textFill>
              </w:rPr>
              <w:t>外</w:t>
            </w:r>
            <w:r>
              <w:rPr>
                <w:rFonts w:hint="eastAsia" w:ascii="宋体" w:hAnsi="宋体" w:eastAsia="宋体" w:cs="宋体"/>
                <w:color w:val="000000" w:themeColor="text1"/>
                <w:spacing w:val="-47"/>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w:t>
            </w:r>
          </w:p>
        </w:tc>
        <w:tc>
          <w:tcPr>
            <w:tcW w:w="709"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89" w:line="240" w:lineRule="auto"/>
              <w:ind w:left="233"/>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1</w:t>
            </w:r>
            <w:r>
              <w:rPr>
                <w:rFonts w:hint="eastAsia" w:ascii="宋体" w:hAnsi="宋体" w:eastAsia="宋体" w:cs="宋体"/>
                <w:color w:val="000000" w:themeColor="text1"/>
                <w:spacing w:val="-7"/>
                <w:sz w:val="21"/>
                <w:szCs w:val="21"/>
                <w:lang w:val="en-US" w:eastAsia="zh-CN"/>
                <w14:textFill>
                  <w14:solidFill>
                    <w14:schemeClr w14:val="tx1"/>
                  </w14:solidFill>
                </w14:textFill>
              </w:rPr>
              <w:t>6</w:t>
            </w:r>
          </w:p>
        </w:tc>
        <w:tc>
          <w:tcPr>
            <w:tcW w:w="6761"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47" w:line="380" w:lineRule="exact"/>
              <w:ind w:left="40" w:leftChars="19" w:firstLine="47" w:firstLineChars="23"/>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(一)评分内容：</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1、具有大专及以上学历证书的，</w:t>
            </w:r>
            <w:r>
              <w:rPr>
                <w:rFonts w:hint="eastAsia" w:ascii="宋体" w:hAnsi="宋体" w:eastAsia="宋体" w:cs="宋体"/>
                <w:color w:val="000000" w:themeColor="text1"/>
                <w:spacing w:val="1"/>
                <w:kern w:val="2"/>
                <w:sz w:val="21"/>
                <w:szCs w:val="21"/>
                <w:lang w:eastAsia="zh-CN"/>
                <w14:textFill>
                  <w14:solidFill>
                    <w14:schemeClr w14:val="tx1"/>
                  </w14:solidFill>
                </w14:textFill>
              </w:rPr>
              <w:t>每提供1个得</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5%</w:t>
            </w:r>
            <w:r>
              <w:rPr>
                <w:rFonts w:hint="eastAsia" w:ascii="宋体" w:hAnsi="宋体" w:eastAsia="宋体" w:cs="宋体"/>
                <w:color w:val="000000" w:themeColor="text1"/>
                <w:spacing w:val="1"/>
                <w:kern w:val="2"/>
                <w:sz w:val="21"/>
                <w:szCs w:val="21"/>
                <w:lang w:eastAsia="zh-CN"/>
                <w14:textFill>
                  <w14:solidFill>
                    <w14:schemeClr w14:val="tx1"/>
                  </w14:solidFill>
                </w14:textFill>
              </w:rPr>
              <w:t>，本项最高得</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10%</w:t>
            </w:r>
            <w:r>
              <w:rPr>
                <w:rFonts w:hint="eastAsia" w:ascii="宋体" w:hAnsi="宋体" w:eastAsia="宋体" w:cs="宋体"/>
                <w:color w:val="000000" w:themeColor="text1"/>
                <w:spacing w:val="1"/>
                <w:kern w:val="2"/>
                <w:sz w:val="21"/>
                <w:szCs w:val="21"/>
                <w:lang w:eastAsia="zh-CN"/>
                <w14:textFill>
                  <w14:solidFill>
                    <w14:schemeClr w14:val="tx1"/>
                  </w14:solidFill>
                </w14:textFill>
              </w:rPr>
              <w:t>；</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2</w:t>
            </w:r>
            <w:r>
              <w:rPr>
                <w:rFonts w:hint="eastAsia" w:ascii="宋体" w:hAnsi="宋体" w:eastAsia="宋体" w:cs="宋体"/>
                <w:color w:val="000000" w:themeColor="text1"/>
                <w:spacing w:val="1"/>
                <w:kern w:val="2"/>
                <w:sz w:val="21"/>
                <w:szCs w:val="21"/>
                <w:lang w:eastAsia="zh-CN"/>
                <w14:textFill>
                  <w14:solidFill>
                    <w14:schemeClr w14:val="tx1"/>
                  </w14:solidFill>
                </w14:textFill>
              </w:rPr>
              <w:t>、</w:t>
            </w:r>
            <w:r>
              <w:rPr>
                <w:rFonts w:hint="eastAsia" w:cs="宋体"/>
                <w:color w:val="000000" w:themeColor="text1"/>
                <w:spacing w:val="1"/>
                <w:kern w:val="2"/>
                <w:sz w:val="21"/>
                <w:szCs w:val="21"/>
                <w:lang w:val="en-US" w:eastAsia="zh-CN"/>
                <w14:textFill>
                  <w14:solidFill>
                    <w14:schemeClr w14:val="tx1"/>
                  </w14:solidFill>
                </w14:textFill>
              </w:rPr>
              <w:t>具有一级注册消防工程师证书且持有高级电工证书</w:t>
            </w:r>
            <w:r>
              <w:rPr>
                <w:rFonts w:hint="eastAsia" w:ascii="宋体" w:hAnsi="宋体" w:eastAsia="宋体" w:cs="宋体"/>
                <w:color w:val="000000" w:themeColor="text1"/>
                <w:spacing w:val="1"/>
                <w:kern w:val="2"/>
                <w:sz w:val="21"/>
                <w:szCs w:val="21"/>
                <w:lang w:eastAsia="zh-CN"/>
                <w14:textFill>
                  <w14:solidFill>
                    <w14:schemeClr w14:val="tx1"/>
                  </w14:solidFill>
                </w14:textFill>
              </w:rPr>
              <w:t>，每提供1个得</w:t>
            </w:r>
            <w:r>
              <w:rPr>
                <w:rFonts w:hint="eastAsia" w:cs="宋体"/>
                <w:color w:val="000000" w:themeColor="text1"/>
                <w:spacing w:val="1"/>
                <w:kern w:val="2"/>
                <w:sz w:val="21"/>
                <w:szCs w:val="21"/>
                <w:lang w:val="en-US" w:eastAsia="zh-CN"/>
                <w14:textFill>
                  <w14:solidFill>
                    <w14:schemeClr w14:val="tx1"/>
                  </w14:solidFill>
                </w14:textFill>
              </w:rPr>
              <w:t>1</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5%</w:t>
            </w:r>
            <w:r>
              <w:rPr>
                <w:rFonts w:hint="eastAsia" w:ascii="宋体" w:hAnsi="宋体" w:eastAsia="宋体" w:cs="宋体"/>
                <w:color w:val="000000" w:themeColor="text1"/>
                <w:spacing w:val="1"/>
                <w:kern w:val="2"/>
                <w:sz w:val="21"/>
                <w:szCs w:val="21"/>
                <w:lang w:eastAsia="zh-CN"/>
                <w14:textFill>
                  <w14:solidFill>
                    <w14:schemeClr w14:val="tx1"/>
                  </w14:solidFill>
                </w14:textFill>
              </w:rPr>
              <w:t>，本项最高得</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15%</w:t>
            </w:r>
            <w:r>
              <w:rPr>
                <w:rFonts w:hint="eastAsia" w:ascii="宋体" w:hAnsi="宋体" w:eastAsia="宋体" w:cs="宋体"/>
                <w:color w:val="000000" w:themeColor="text1"/>
                <w:spacing w:val="1"/>
                <w:kern w:val="2"/>
                <w:sz w:val="21"/>
                <w:szCs w:val="21"/>
                <w:lang w:eastAsia="zh-CN"/>
                <w14:textFill>
                  <w14:solidFill>
                    <w14:schemeClr w14:val="tx1"/>
                  </w14:solidFill>
                </w14:textFill>
              </w:rPr>
              <w:t>；</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val="en-US" w:eastAsia="zh-CN"/>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3</w:t>
            </w:r>
            <w:r>
              <w:rPr>
                <w:rFonts w:hint="eastAsia" w:ascii="宋体" w:hAnsi="宋体" w:eastAsia="宋体" w:cs="宋体"/>
                <w:color w:val="000000" w:themeColor="text1"/>
                <w:spacing w:val="1"/>
                <w:kern w:val="2"/>
                <w:sz w:val="21"/>
                <w:szCs w:val="21"/>
                <w:lang w:eastAsia="zh-CN"/>
                <w14:textFill>
                  <w14:solidFill>
                    <w14:schemeClr w14:val="tx1"/>
                  </w14:solidFill>
                </w14:textFill>
              </w:rPr>
              <w:t>、具有注册安全工程师证书的，每提供</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1个得15%，本项最高得45%；</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4、</w:t>
            </w:r>
            <w:r>
              <w:rPr>
                <w:rFonts w:hint="eastAsia" w:cs="宋体"/>
                <w:color w:val="000000" w:themeColor="text1"/>
                <w:spacing w:val="1"/>
                <w:kern w:val="2"/>
                <w:sz w:val="21"/>
                <w:szCs w:val="21"/>
                <w:lang w:val="en-US" w:eastAsia="zh-CN"/>
                <w14:textFill>
                  <w14:solidFill>
                    <w14:schemeClr w14:val="tx1"/>
                  </w14:solidFill>
                </w14:textFill>
              </w:rPr>
              <w:t>具有中级或以上消防设施操作员资格证书且</w:t>
            </w:r>
            <w:r>
              <w:rPr>
                <w:rFonts w:hint="eastAsia" w:ascii="宋体" w:hAnsi="宋体" w:eastAsia="宋体" w:cs="宋体"/>
                <w:color w:val="000000" w:themeColor="text1"/>
                <w:spacing w:val="1"/>
                <w:kern w:val="2"/>
                <w:sz w:val="21"/>
                <w:szCs w:val="21"/>
                <w:lang w:eastAsia="zh-CN"/>
                <w14:textFill>
                  <w14:solidFill>
                    <w14:schemeClr w14:val="tx1"/>
                  </w14:solidFill>
                </w14:textFill>
              </w:rPr>
              <w:t>持有特种作业操作证（作业类别：电工作业）的，每提供一个得</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10%</w:t>
            </w:r>
            <w:r>
              <w:rPr>
                <w:rFonts w:hint="eastAsia" w:ascii="宋体" w:hAnsi="宋体" w:eastAsia="宋体" w:cs="宋体"/>
                <w:color w:val="000000" w:themeColor="text1"/>
                <w:spacing w:val="1"/>
                <w:kern w:val="2"/>
                <w:sz w:val="21"/>
                <w:szCs w:val="21"/>
                <w:lang w:eastAsia="zh-CN"/>
                <w14:textFill>
                  <w14:solidFill>
                    <w14:schemeClr w14:val="tx1"/>
                  </w14:solidFill>
                </w14:textFill>
              </w:rPr>
              <w:t>，最高得</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30%</w:t>
            </w:r>
            <w:r>
              <w:rPr>
                <w:rFonts w:hint="eastAsia" w:ascii="宋体" w:hAnsi="宋体" w:eastAsia="宋体" w:cs="宋体"/>
                <w:color w:val="000000" w:themeColor="text1"/>
                <w:spacing w:val="1"/>
                <w:kern w:val="2"/>
                <w:sz w:val="21"/>
                <w:szCs w:val="21"/>
                <w:lang w:eastAsia="zh-CN"/>
                <w14:textFill>
                  <w14:solidFill>
                    <w14:schemeClr w14:val="tx1"/>
                  </w14:solidFill>
                </w14:textFill>
              </w:rPr>
              <w:t>；</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1"/>
                <w:kern w:val="2"/>
                <w:sz w:val="21"/>
                <w:szCs w:val="21"/>
                <w:lang w:eastAsia="zh-CN"/>
                <w14:textFill>
                  <w14:solidFill>
                    <w14:schemeClr w14:val="tx1"/>
                  </w14:solidFill>
                </w14:textFill>
              </w:rPr>
              <w:t>注：一人具有多个证书，只选取最优且只计算一次，不重复计分</w:t>
            </w:r>
            <w:r>
              <w:rPr>
                <w:rFonts w:hint="eastAsia" w:ascii="宋体" w:hAnsi="宋体" w:eastAsia="宋体" w:cs="宋体"/>
                <w:color w:val="000000" w:themeColor="text1"/>
                <w:kern w:val="0"/>
                <w:sz w:val="21"/>
                <w:szCs w:val="21"/>
                <w:highlight w:val="none"/>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40" w:leftChars="19" w:firstLine="47" w:firstLineChars="23"/>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(二)评分依据：</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eastAsia="zh-CN"/>
                <w14:textFill>
                  <w14:solidFill>
                    <w14:schemeClr w14:val="tx1"/>
                  </w14:solidFill>
                </w14:textFill>
              </w:rPr>
              <w:t>1、</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提供投标截止时间前一个月社保费用缴交明细，如开标日上一个月的社保材料因社保部门原因暂时无法取得，则可以往前顺延一个月，</w:t>
            </w:r>
            <w:r>
              <w:rPr>
                <w:rFonts w:hint="eastAsia" w:ascii="宋体" w:hAnsi="宋体" w:eastAsia="宋体" w:cs="宋体"/>
                <w:color w:val="000000" w:themeColor="text1"/>
                <w:spacing w:val="1"/>
                <w:kern w:val="2"/>
                <w:sz w:val="21"/>
                <w:szCs w:val="21"/>
                <w:lang w:eastAsia="zh-CN"/>
                <w14:textFill>
                  <w14:solidFill>
                    <w14:schemeClr w14:val="tx1"/>
                  </w14:solidFill>
                </w14:textFill>
              </w:rPr>
              <w:t>不接受补缴社保或退休人员。</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2、</w:t>
            </w:r>
            <w:r>
              <w:rPr>
                <w:rFonts w:hint="eastAsia" w:ascii="宋体" w:hAnsi="宋体" w:eastAsia="宋体" w:cs="宋体"/>
                <w:color w:val="000000" w:themeColor="text1"/>
                <w:spacing w:val="1"/>
                <w:kern w:val="2"/>
                <w:sz w:val="21"/>
                <w:szCs w:val="21"/>
                <w:lang w:eastAsia="zh-CN"/>
                <w14:textFill>
                  <w14:solidFill>
                    <w14:schemeClr w14:val="tx1"/>
                  </w14:solidFill>
                </w14:textFill>
              </w:rPr>
              <w:t>（评分内容1-</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4</w:t>
            </w:r>
            <w:r>
              <w:rPr>
                <w:rFonts w:hint="eastAsia" w:ascii="宋体" w:hAnsi="宋体" w:eastAsia="宋体" w:cs="宋体"/>
                <w:color w:val="000000" w:themeColor="text1"/>
                <w:spacing w:val="1"/>
                <w:kern w:val="2"/>
                <w:sz w:val="21"/>
                <w:szCs w:val="21"/>
                <w:lang w:eastAsia="zh-CN"/>
                <w14:textFill>
                  <w14:solidFill>
                    <w14:schemeClr w14:val="tx1"/>
                  </w14:solidFill>
                </w14:textFill>
              </w:rPr>
              <w:t>）提供上述有效（资格）证书及官网查询截图，特种作业操作证需同时提供特种作业证及安全生产知识和管理能力考核信息查询平台（http://cx.mem.gov.cn/）的查询截图；</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以上证明文件原件备查，未提供证明材料或者提供的证明材料不符合要求或提供的证明材料不清晰导致评审专家无法辨认的，不得分。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0" w:hRule="atLeast"/>
        </w:trPr>
        <w:tc>
          <w:tcPr>
            <w:tcW w:w="598" w:type="dxa"/>
            <w:vAlign w:val="center"/>
          </w:tcPr>
          <w:p>
            <w:pPr>
              <w:pStyle w:val="15"/>
              <w:spacing w:before="107" w:line="183" w:lineRule="auto"/>
              <w:ind w:left="25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498" w:type="dxa"/>
            <w:vAlign w:val="center"/>
          </w:tcPr>
          <w:p>
            <w:pPr>
              <w:pStyle w:val="15"/>
              <w:spacing w:before="37" w:line="207" w:lineRule="auto"/>
              <w:ind w:left="200" w:leftChars="0" w:right="228" w:firstLine="2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 xml:space="preserve">同类项目业 </w:t>
            </w:r>
            <w:r>
              <w:rPr>
                <w:rFonts w:hint="eastAsia" w:ascii="宋体" w:hAnsi="宋体" w:eastAsia="宋体" w:cs="宋体"/>
                <w:color w:val="000000" w:themeColor="text1"/>
                <w:sz w:val="21"/>
                <w:szCs w:val="21"/>
                <w14:textFill>
                  <w14:solidFill>
                    <w14:schemeClr w14:val="tx1"/>
                  </w14:solidFill>
                </w14:textFill>
              </w:rPr>
              <w:t>绩</w:t>
            </w:r>
          </w:p>
        </w:tc>
        <w:tc>
          <w:tcPr>
            <w:tcW w:w="709" w:type="dxa"/>
            <w:vAlign w:val="center"/>
          </w:tcPr>
          <w:p>
            <w:pPr>
              <w:pStyle w:val="15"/>
              <w:spacing w:before="187" w:line="183" w:lineRule="auto"/>
              <w:ind w:left="283"/>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6761" w:type="dxa"/>
            <w:vAlign w:val="top"/>
          </w:tcPr>
          <w:p>
            <w:pPr>
              <w:pStyle w:val="15"/>
              <w:keepNext w:val="0"/>
              <w:keepLines w:val="0"/>
              <w:pageBreakBefore w:val="0"/>
              <w:widowControl/>
              <w:tabs>
                <w:tab w:val="left" w:pos="6100"/>
              </w:tabs>
              <w:kinsoku w:val="0"/>
              <w:wordWrap/>
              <w:overflowPunct/>
              <w:topLinePunct w:val="0"/>
              <w:autoSpaceDE w:val="0"/>
              <w:autoSpaceDN w:val="0"/>
              <w:bidi w:val="0"/>
              <w:adjustRightInd w:val="0"/>
              <w:snapToGrid w:val="0"/>
              <w:spacing w:line="380" w:lineRule="exact"/>
              <w:ind w:left="0" w:leftChars="0" w:right="1" w:rightChars="0" w:firstLine="57" w:firstLineChars="28"/>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(一)评分内容：</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投标人于202</w:t>
            </w:r>
            <w:r>
              <w:rPr>
                <w:rFonts w:hint="eastAsia" w:ascii="宋体" w:hAnsi="宋体" w:eastAsia="宋体" w:cs="宋体"/>
                <w:color w:val="000000" w:themeColor="text1"/>
                <w:spacing w:val="1"/>
                <w:sz w:val="21"/>
                <w:szCs w:val="21"/>
                <w:lang w:val="en-US" w:eastAsia="zh-CN"/>
                <w14:textFill>
                  <w14:solidFill>
                    <w14:schemeClr w14:val="tx1"/>
                  </w14:solidFill>
                </w14:textFill>
              </w:rPr>
              <w:t>2</w:t>
            </w:r>
            <w:r>
              <w:rPr>
                <w:rFonts w:hint="eastAsia" w:ascii="宋体" w:hAnsi="宋体" w:eastAsia="宋体" w:cs="宋体"/>
                <w:color w:val="000000" w:themeColor="text1"/>
                <w:spacing w:val="1"/>
                <w:sz w:val="21"/>
                <w:szCs w:val="21"/>
                <w:lang w:eastAsia="zh-CN"/>
                <w14:textFill>
                  <w14:solidFill>
                    <w14:schemeClr w14:val="tx1"/>
                  </w14:solidFill>
                </w14:textFill>
              </w:rPr>
              <w:t>年1月1日至本项目投标截止时间， 承接过政府部门</w:t>
            </w:r>
            <w:r>
              <w:rPr>
                <w:rFonts w:hint="eastAsia" w:cs="宋体"/>
                <w:color w:val="000000" w:themeColor="text1"/>
                <w:spacing w:val="1"/>
                <w:sz w:val="21"/>
                <w:szCs w:val="21"/>
                <w:lang w:val="en-US" w:eastAsia="zh-CN"/>
                <w14:textFill>
                  <w14:solidFill>
                    <w14:schemeClr w14:val="tx1"/>
                  </w14:solidFill>
                </w14:textFill>
              </w:rPr>
              <w:t>组织的</w:t>
            </w:r>
            <w:r>
              <w:rPr>
                <w:rFonts w:hint="eastAsia" w:ascii="宋体" w:hAnsi="宋体" w:eastAsia="宋体" w:cs="宋体"/>
                <w:color w:val="000000" w:themeColor="text1"/>
                <w:spacing w:val="1"/>
                <w:sz w:val="21"/>
                <w:szCs w:val="21"/>
                <w:lang w:eastAsia="zh-CN"/>
                <w14:textFill>
                  <w14:solidFill>
                    <w14:schemeClr w14:val="tx1"/>
                  </w14:solidFill>
                </w14:textFill>
              </w:rPr>
              <w:t>安全生产类项目业绩</w:t>
            </w:r>
            <w:r>
              <w:rPr>
                <w:rFonts w:hint="eastAsia"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lang w:eastAsia="zh-CN"/>
                <w14:textFill>
                  <w14:solidFill>
                    <w14:schemeClr w14:val="tx1"/>
                  </w14:solidFill>
                </w14:textFill>
              </w:rPr>
              <w:t>每提供一项得</w:t>
            </w:r>
            <w:r>
              <w:rPr>
                <w:rFonts w:hint="eastAsia" w:ascii="宋体" w:hAnsi="宋体" w:eastAsia="宋体" w:cs="宋体"/>
                <w:color w:val="000000" w:themeColor="text1"/>
                <w:spacing w:val="1"/>
                <w:sz w:val="21"/>
                <w:szCs w:val="21"/>
                <w:lang w:val="en-US" w:eastAsia="zh-CN"/>
                <w14:textFill>
                  <w14:solidFill>
                    <w14:schemeClr w14:val="tx1"/>
                  </w14:solidFill>
                </w14:textFill>
              </w:rPr>
              <w:t>20%</w:t>
            </w:r>
            <w:r>
              <w:rPr>
                <w:rFonts w:hint="eastAsia" w:ascii="宋体" w:hAnsi="宋体" w:eastAsia="宋体" w:cs="宋体"/>
                <w:color w:val="000000" w:themeColor="text1"/>
                <w:spacing w:val="1"/>
                <w:sz w:val="21"/>
                <w:szCs w:val="21"/>
                <w:lang w:eastAsia="zh-CN"/>
                <w14:textFill>
                  <w14:solidFill>
                    <w14:schemeClr w14:val="tx1"/>
                  </w14:solidFill>
                </w14:textFill>
              </w:rPr>
              <w:t>，最高得</w:t>
            </w:r>
            <w:r>
              <w:rPr>
                <w:rFonts w:hint="eastAsia" w:ascii="宋体" w:hAnsi="宋体" w:eastAsia="宋体" w:cs="宋体"/>
                <w:color w:val="000000" w:themeColor="text1"/>
                <w:spacing w:val="1"/>
                <w:sz w:val="21"/>
                <w:szCs w:val="21"/>
                <w:lang w:val="en-US" w:eastAsia="zh-CN"/>
                <w14:textFill>
                  <w14:solidFill>
                    <w14:schemeClr w14:val="tx1"/>
                  </w14:solidFill>
                </w14:textFill>
              </w:rPr>
              <w:t>100%</w:t>
            </w:r>
            <w:r>
              <w:rPr>
                <w:rFonts w:hint="eastAsia" w:ascii="宋体" w:hAnsi="宋体" w:eastAsia="宋体" w:cs="宋体"/>
                <w:color w:val="000000" w:themeColor="text1"/>
                <w:spacing w:val="1"/>
                <w:sz w:val="21"/>
                <w:szCs w:val="21"/>
                <w:lang w:eastAsia="zh-CN"/>
                <w14:textFill>
                  <w14:solidFill>
                    <w14:schemeClr w14:val="tx1"/>
                  </w14:solidFill>
                </w14:textFill>
              </w:rPr>
              <w:t>；</w:t>
            </w:r>
          </w:p>
          <w:p>
            <w:pPr>
              <w:pStyle w:val="15"/>
              <w:keepNext w:val="0"/>
              <w:keepLines w:val="0"/>
              <w:pageBreakBefore w:val="0"/>
              <w:widowControl/>
              <w:tabs>
                <w:tab w:val="left" w:pos="6100"/>
              </w:tabs>
              <w:kinsoku w:val="0"/>
              <w:wordWrap/>
              <w:overflowPunct/>
              <w:topLinePunct w:val="0"/>
              <w:autoSpaceDE w:val="0"/>
              <w:autoSpaceDN w:val="0"/>
              <w:bidi w:val="0"/>
              <w:adjustRightInd w:val="0"/>
              <w:snapToGrid w:val="0"/>
              <w:spacing w:line="380" w:lineRule="exact"/>
              <w:ind w:left="0" w:leftChars="0" w:right="1" w:rightChars="0" w:firstLine="57" w:firstLineChars="28"/>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(二)评分依据：</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1、提供合同关键页（关键信息包括但不限于合同的项目名称、服务内容、合同签字盖章页）。一年一签的长期服务续签合同只计算一个业绩；</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2、通过合同关键信息无法判断是否得分的,还须同时提供能证明得分的其它证明资料,如项目报告或合同甲方出具的证明文件等；</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3、以上资料均要求原件备查。评分中出现无证明资料或专家无法凭所提供资料判断是否得分的情况,一律作不得分处理。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atLeast"/>
        </w:trPr>
        <w:tc>
          <w:tcPr>
            <w:tcW w:w="598" w:type="dxa"/>
            <w:vAlign w:val="center"/>
          </w:tcPr>
          <w:p>
            <w:pPr>
              <w:pStyle w:val="15"/>
              <w:spacing w:before="82" w:line="183" w:lineRule="auto"/>
              <w:ind w:left="271"/>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1498" w:type="dxa"/>
            <w:vAlign w:val="center"/>
          </w:tcPr>
          <w:p>
            <w:pPr>
              <w:pStyle w:val="15"/>
              <w:spacing w:before="37" w:line="207" w:lineRule="auto"/>
              <w:ind w:left="200" w:right="228" w:firstLine="2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设备物资保障能力</w:t>
            </w:r>
          </w:p>
        </w:tc>
        <w:tc>
          <w:tcPr>
            <w:tcW w:w="709" w:type="dxa"/>
            <w:vAlign w:val="center"/>
          </w:tcPr>
          <w:p>
            <w:pPr>
              <w:pStyle w:val="15"/>
              <w:spacing w:before="152" w:line="183" w:lineRule="auto"/>
              <w:ind w:left="283"/>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6761"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148"/>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(一)评分内容：</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提供</w:t>
            </w:r>
            <w:r>
              <w:rPr>
                <w:rFonts w:hint="eastAsia" w:ascii="宋体" w:hAnsi="宋体" w:eastAsia="宋体" w:cs="宋体"/>
                <w:color w:val="000000" w:themeColor="text1"/>
                <w:spacing w:val="1"/>
                <w:sz w:val="21"/>
                <w:szCs w:val="21"/>
                <w:lang w:val="en-US" w:eastAsia="zh-CN"/>
                <w14:textFill>
                  <w14:solidFill>
                    <w14:schemeClr w14:val="tx1"/>
                  </w14:solidFill>
                </w14:textFill>
              </w:rPr>
              <w:t>包括音视频现场记录仪 、激光测距仪、消防感烟测试枪、漏电开关测试仪、红外热成像仪、烟气分析仪、建筑烟密度测试仪</w:t>
            </w:r>
            <w:r>
              <w:rPr>
                <w:rFonts w:hint="eastAsia" w:cs="宋体"/>
                <w:color w:val="000000" w:themeColor="text1"/>
                <w:spacing w:val="1"/>
                <w:sz w:val="21"/>
                <w:szCs w:val="21"/>
                <w:lang w:val="en-US" w:eastAsia="zh-CN"/>
                <w14:textFill>
                  <w14:solidFill>
                    <w14:schemeClr w14:val="tx1"/>
                  </w14:solidFill>
                </w14:textFill>
              </w:rPr>
              <w:t>等设备</w:t>
            </w:r>
            <w:r>
              <w:rPr>
                <w:rFonts w:hint="eastAsia" w:ascii="宋体" w:hAnsi="宋体" w:eastAsia="宋体" w:cs="宋体"/>
                <w:color w:val="000000" w:themeColor="text1"/>
                <w:spacing w:val="1"/>
                <w:sz w:val="21"/>
                <w:szCs w:val="21"/>
                <w:lang w:val="en-US" w:eastAsia="zh-CN"/>
                <w14:textFill>
                  <w14:solidFill>
                    <w14:schemeClr w14:val="tx1"/>
                  </w14:solidFill>
                </w14:textFill>
              </w:rPr>
              <w:t>，</w:t>
            </w:r>
            <w:r>
              <w:rPr>
                <w:rFonts w:hint="eastAsia" w:cs="宋体"/>
                <w:color w:val="000000" w:themeColor="text1"/>
                <w:spacing w:val="1"/>
                <w:sz w:val="21"/>
                <w:szCs w:val="21"/>
                <w:lang w:val="en-US" w:eastAsia="zh-CN"/>
                <w14:textFill>
                  <w14:solidFill>
                    <w14:schemeClr w14:val="tx1"/>
                  </w14:solidFill>
                </w14:textFill>
              </w:rPr>
              <w:t>得分100%。</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148"/>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(二)评分依据：</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须提供设备购置发票扫描件（发票须能体现购买方为投标人或其法定代表人）。 </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firstLine="1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pacing w:val="1"/>
                <w:sz w:val="21"/>
                <w:szCs w:val="21"/>
                <w:lang w:val="en-US" w:eastAsia="zh-CN"/>
                <w14:textFill>
                  <w14:solidFill>
                    <w14:schemeClr w14:val="tx1"/>
                  </w14:solidFill>
                </w14:textFill>
              </w:rPr>
              <w:t>缺一项发票</w:t>
            </w:r>
            <w:r>
              <w:rPr>
                <w:rFonts w:hint="eastAsia" w:ascii="宋体" w:hAnsi="宋体" w:eastAsia="宋体" w:cs="宋体"/>
                <w:color w:val="000000" w:themeColor="text1"/>
                <w:spacing w:val="1"/>
                <w:sz w:val="21"/>
                <w:szCs w:val="21"/>
                <w:lang w:eastAsia="zh-CN"/>
                <w14:textFill>
                  <w14:solidFill>
                    <w14:schemeClr w14:val="tx1"/>
                  </w14:solidFill>
                </w14:textFill>
              </w:rPr>
              <w:t>或提供不清晰导致专家无法判断的不得分。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五、项目需求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(一)服务内容</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微软雅黑" w:hAnsi="微软雅黑" w:eastAsia="微软雅黑" w:cs="微软雅黑"/>
          <w:i w:val="0"/>
          <w:iCs w:val="0"/>
          <w:caps w:val="0"/>
          <w:color w:val="4B4B4B"/>
          <w:spacing w:val="0"/>
          <w:sz w:val="24"/>
          <w:szCs w:val="24"/>
          <w:lang w:eastAsia="zh-CN"/>
        </w:rPr>
      </w:pPr>
      <w:r>
        <w:rPr>
          <w:rFonts w:hint="eastAsia" w:ascii="仿宋_GB2312" w:hAnsi="仿宋_GB2312" w:eastAsia="仿宋_GB2312" w:cs="仿宋_GB2312"/>
          <w:color w:val="auto"/>
          <w:kern w:val="2"/>
          <w:sz w:val="32"/>
          <w:szCs w:val="32"/>
          <w:highlight w:val="none"/>
          <w:lang w:val="en-US" w:eastAsia="zh-CN"/>
        </w:rPr>
        <w:t>依据</w:t>
      </w:r>
      <w:r>
        <w:rPr>
          <w:rFonts w:hint="eastAsia" w:ascii="仿宋_GB2312" w:hAnsi="仿宋_GB2312" w:eastAsia="仿宋_GB2312" w:cs="仿宋_GB2312"/>
          <w:i w:val="0"/>
          <w:iCs w:val="0"/>
          <w:caps w:val="0"/>
          <w:color w:val="auto"/>
          <w:spacing w:val="0"/>
          <w:sz w:val="32"/>
          <w:szCs w:val="32"/>
          <w:highlight w:val="none"/>
          <w:shd w:val="clear"/>
        </w:rPr>
        <w:t>《校外培训机构消防安全管理九项规定》</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仿宋_GB2312" w:eastAsia="仿宋_GB2312" w:cs="仿宋_GB2312"/>
          <w:i w:val="0"/>
          <w:iCs w:val="0"/>
          <w:caps w:val="0"/>
          <w:color w:val="auto"/>
          <w:spacing w:val="0"/>
          <w:sz w:val="32"/>
          <w:szCs w:val="32"/>
          <w:highlight w:val="none"/>
          <w:shd w:val="clear"/>
        </w:rPr>
        <w:t>教监管厅函〔2022〕9号</w:t>
      </w:r>
      <w:r>
        <w:rPr>
          <w:rFonts w:hint="eastAsia" w:ascii="仿宋_GB2312" w:hAnsi="仿宋_GB2312" w:eastAsia="仿宋_GB2312" w:cs="仿宋_GB2312"/>
          <w:i w:val="0"/>
          <w:iCs w:val="0"/>
          <w:caps w:val="0"/>
          <w:color w:val="auto"/>
          <w:spacing w:val="0"/>
          <w:sz w:val="32"/>
          <w:szCs w:val="32"/>
          <w:highlight w:val="none"/>
          <w:shd w:val="clear"/>
          <w:lang w:eastAsia="zh-CN"/>
        </w:rPr>
        <w:t>）文件规定，结合本项目采购实际，开展校外培训机构</w:t>
      </w:r>
      <w:r>
        <w:rPr>
          <w:rFonts w:hint="eastAsia" w:ascii="仿宋_GB2312" w:hAnsi="仿宋_GB2312" w:eastAsia="仿宋_GB2312" w:cs="仿宋_GB2312"/>
          <w:color w:val="auto"/>
          <w:sz w:val="32"/>
          <w:szCs w:val="32"/>
          <w:lang w:val="en-US" w:eastAsia="zh-CN"/>
        </w:rPr>
        <w:t>安全隐患排查</w:t>
      </w:r>
      <w:r>
        <w:rPr>
          <w:rFonts w:hint="eastAsia" w:ascii="仿宋_GB2312" w:hAnsi="仿宋_GB2312" w:eastAsia="仿宋_GB2312" w:cs="仿宋_GB2312"/>
          <w:i w:val="0"/>
          <w:iCs w:val="0"/>
          <w:caps w:val="0"/>
          <w:color w:val="auto"/>
          <w:spacing w:val="0"/>
          <w:sz w:val="32"/>
          <w:szCs w:val="32"/>
          <w:highlight w:val="none"/>
          <w:shd w:val="clear"/>
          <w:lang w:eastAsia="zh-CN"/>
        </w:rPr>
        <w:t>、培训、演练，具体内容如下：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1、校外培训机构安全</w:t>
      </w:r>
      <w:r>
        <w:rPr>
          <w:rFonts w:hint="eastAsia" w:ascii="仿宋_GB2312" w:hAnsi="仿宋_GB2312" w:eastAsia="仿宋_GB2312" w:cs="仿宋_GB2312"/>
          <w:b/>
          <w:bCs/>
          <w:color w:val="auto"/>
          <w:sz w:val="32"/>
          <w:szCs w:val="32"/>
          <w:lang w:val="en-US" w:eastAsia="zh-CN"/>
        </w:rPr>
        <w:t>隐患排查</w:t>
      </w:r>
      <w:r>
        <w:rPr>
          <w:rFonts w:hint="eastAsia" w:ascii="仿宋_GB2312" w:hAnsi="仿宋_GB2312" w:eastAsia="仿宋_GB2312" w:cs="仿宋_GB2312"/>
          <w:b/>
          <w:bCs/>
          <w:sz w:val="32"/>
          <w:szCs w:val="32"/>
          <w:highlight w:val="none"/>
          <w:lang w:val="en-US" w:eastAsia="zh-CN"/>
        </w:rPr>
        <w:t>及复查</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检查300家校外培训机构落实消防安全主体责任情况、场所安全条件、消防设施器材、安全疏散等是否符合规范要求</w:t>
      </w:r>
      <w:r>
        <w:rPr>
          <w:rFonts w:hint="eastAsia" w:ascii="仿宋_GB2312" w:hAnsi="仿宋_GB2312" w:eastAsia="仿宋_GB2312" w:cs="仿宋_GB2312"/>
          <w:b w:val="0"/>
          <w:bCs w:val="0"/>
          <w:sz w:val="32"/>
          <w:szCs w:val="32"/>
          <w:highlight w:val="none"/>
          <w:lang w:val="en-US" w:eastAsia="zh-CN"/>
        </w:rPr>
        <w:t>，出具检查记录和隐患整改建议，并对各机构隐患整改情况进行复查。现场</w:t>
      </w:r>
      <w:r>
        <w:rPr>
          <w:rFonts w:hint="eastAsia" w:ascii="仿宋_GB2312" w:hAnsi="仿宋_GB2312" w:eastAsia="仿宋_GB2312" w:cs="仿宋_GB2312"/>
          <w:sz w:val="32"/>
          <w:szCs w:val="32"/>
          <w:highlight w:val="none"/>
          <w:lang w:val="en-US" w:eastAsia="zh-CN"/>
        </w:rPr>
        <w:t>检查重点主要关注以下方面：</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1</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落实消防安全主体责任</w:t>
      </w:r>
      <w:r>
        <w:rPr>
          <w:rFonts w:hint="eastAsia" w:ascii="仿宋_GB2312" w:hAnsi="仿宋_GB2312" w:eastAsia="仿宋_GB2312" w:cs="仿宋_GB2312"/>
          <w:b w:val="0"/>
          <w:bCs w:val="0"/>
          <w:i w:val="0"/>
          <w:iCs w:val="0"/>
          <w:caps w:val="0"/>
          <w:spacing w:val="0"/>
          <w:sz w:val="32"/>
          <w:szCs w:val="32"/>
          <w:highlight w:val="none"/>
          <w:shd w:val="clear"/>
          <w:lang w:eastAsia="zh-CN"/>
        </w:rPr>
        <w:t>情况。</w:t>
      </w:r>
      <w:r>
        <w:rPr>
          <w:rFonts w:hint="eastAsia" w:ascii="仿宋_GB2312" w:hAnsi="仿宋_GB2312" w:eastAsia="仿宋_GB2312" w:cs="仿宋_GB2312"/>
          <w:i w:val="0"/>
          <w:iCs w:val="0"/>
          <w:caps w:val="0"/>
          <w:spacing w:val="0"/>
          <w:sz w:val="32"/>
          <w:szCs w:val="32"/>
          <w:highlight w:val="none"/>
          <w:shd w:val="clear"/>
        </w:rPr>
        <w:t>校外培训机构应当落实消防安全职责，配备专兼职消防安全管理人员，自主购置合格的消防装备器材，组织开展检查巡查、隐患整改、设施维护、宣传教育、疏散演练等工作。实行承包、租赁或者委托经营、管理的校外培训机构，在与产权单位签订相关租赁合同时，应依照有关规定明确各方的消防安全责任。</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2</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场所消防安全设置</w:t>
      </w:r>
      <w:r>
        <w:rPr>
          <w:rFonts w:hint="eastAsia" w:ascii="仿宋_GB2312" w:hAnsi="仿宋_GB2312" w:eastAsia="仿宋_GB2312" w:cs="仿宋_GB2312"/>
          <w:b w:val="0"/>
          <w:bCs w:val="0"/>
          <w:i w:val="0"/>
          <w:iCs w:val="0"/>
          <w:caps w:val="0"/>
          <w:spacing w:val="0"/>
          <w:sz w:val="32"/>
          <w:szCs w:val="32"/>
          <w:highlight w:val="none"/>
          <w:shd w:val="clear"/>
          <w:lang w:eastAsia="zh-CN"/>
        </w:rPr>
        <w:t>情况。</w:t>
      </w:r>
      <w:r>
        <w:rPr>
          <w:rFonts w:hint="eastAsia" w:ascii="仿宋_GB2312" w:hAnsi="仿宋_GB2312" w:eastAsia="仿宋_GB2312" w:cs="仿宋_GB2312"/>
          <w:i w:val="0"/>
          <w:iCs w:val="0"/>
          <w:caps w:val="0"/>
          <w:spacing w:val="0"/>
          <w:sz w:val="32"/>
          <w:szCs w:val="32"/>
          <w:highlight w:val="none"/>
          <w:shd w:val="clear"/>
        </w:rPr>
        <w:t>校外培训机构应当依法审批登记</w:t>
      </w:r>
      <w:r>
        <w:rPr>
          <w:rFonts w:hint="eastAsia" w:ascii="仿宋_GB2312" w:hAnsi="仿宋_GB2312" w:eastAsia="仿宋_GB2312" w:cs="仿宋_GB2312"/>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遵守国家消防法律法规，执行标准规范，设置在符合安全条件的固定场所。</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3</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火灾危险源</w:t>
      </w:r>
      <w:r>
        <w:rPr>
          <w:rFonts w:hint="eastAsia" w:ascii="仿宋_GB2312" w:hAnsi="仿宋_GB2312" w:eastAsia="仿宋_GB2312" w:cs="仿宋_GB2312"/>
          <w:b w:val="0"/>
          <w:bCs w:val="0"/>
          <w:i w:val="0"/>
          <w:iCs w:val="0"/>
          <w:caps w:val="0"/>
          <w:spacing w:val="0"/>
          <w:sz w:val="32"/>
          <w:szCs w:val="32"/>
          <w:highlight w:val="none"/>
          <w:shd w:val="clear"/>
          <w:lang w:eastAsia="zh-CN"/>
        </w:rPr>
        <w:t>的</w:t>
      </w:r>
      <w:r>
        <w:rPr>
          <w:rFonts w:hint="eastAsia" w:ascii="仿宋_GB2312" w:hAnsi="仿宋_GB2312" w:eastAsia="仿宋_GB2312" w:cs="仿宋_GB2312"/>
          <w:b w:val="0"/>
          <w:bCs w:val="0"/>
          <w:i w:val="0"/>
          <w:iCs w:val="0"/>
          <w:caps w:val="0"/>
          <w:spacing w:val="0"/>
          <w:sz w:val="32"/>
          <w:szCs w:val="32"/>
          <w:highlight w:val="none"/>
          <w:shd w:val="clear"/>
        </w:rPr>
        <w:t>管理</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使用合格且符合国家标准的电气设备。电气线路应穿管保护，并敷设在难燃或不燃材料上。燃气使用</w:t>
      </w:r>
      <w:r>
        <w:rPr>
          <w:rFonts w:hint="eastAsia" w:ascii="仿宋_GB2312" w:hAnsi="仿宋_GB2312" w:eastAsia="仿宋_GB2312" w:cs="仿宋_GB2312"/>
          <w:i w:val="0"/>
          <w:iCs w:val="0"/>
          <w:caps w:val="0"/>
          <w:spacing w:val="0"/>
          <w:sz w:val="32"/>
          <w:szCs w:val="32"/>
          <w:highlight w:val="none"/>
          <w:shd w:val="clear"/>
          <w:lang w:eastAsia="zh-CN"/>
        </w:rPr>
        <w:t>符合</w:t>
      </w:r>
      <w:r>
        <w:rPr>
          <w:rFonts w:hint="eastAsia" w:ascii="仿宋_GB2312" w:hAnsi="仿宋_GB2312" w:eastAsia="仿宋_GB2312" w:cs="仿宋_GB2312"/>
          <w:i w:val="0"/>
          <w:iCs w:val="0"/>
          <w:caps w:val="0"/>
          <w:spacing w:val="0"/>
          <w:sz w:val="32"/>
          <w:szCs w:val="32"/>
          <w:highlight w:val="none"/>
          <w:shd w:val="clear"/>
        </w:rPr>
        <w:t>规定，并安装燃气泄漏报警装置。培训时段内，不得动火动焊作业以及在建筑外部动火作业；其他时段动火动焊应当履行审批流程，并落实防护措施，安排专人监管看护。</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lang w:val="en-US" w:eastAsia="zh-CN"/>
        </w:rPr>
        <w:t>4</w:t>
      </w:r>
      <w:r>
        <w:rPr>
          <w:rFonts w:hint="eastAsia" w:ascii="仿宋_GB2312" w:hAnsi="仿宋_GB2312" w:eastAsia="仿宋_GB2312" w:cs="仿宋_GB2312"/>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消防安全疏散条件</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安全疏散门应当向疏散方向开启，不得使用转门、卷帘门、推拉门、折叠门和设置金属栅栏。安全出口、楼梯间、疏散走道应当设置疏散照明灯具</w:t>
      </w:r>
      <w:r>
        <w:rPr>
          <w:rFonts w:hint="eastAsia" w:ascii="仿宋_GB2312" w:hAnsi="仿宋_GB2312" w:eastAsia="仿宋_GB2312" w:cs="仿宋_GB2312"/>
          <w:i w:val="0"/>
          <w:iCs w:val="0"/>
          <w:caps w:val="0"/>
          <w:spacing w:val="0"/>
          <w:sz w:val="32"/>
          <w:szCs w:val="32"/>
          <w:highlight w:val="none"/>
          <w:shd w:val="clear"/>
          <w:lang w:eastAsia="zh-CN"/>
        </w:rPr>
        <w:t>并保持畅通</w:t>
      </w:r>
      <w:r>
        <w:rPr>
          <w:rFonts w:hint="eastAsia" w:ascii="仿宋_GB2312" w:hAnsi="仿宋_GB2312" w:eastAsia="仿宋_GB2312" w:cs="仿宋_GB2312"/>
          <w:i w:val="0"/>
          <w:iCs w:val="0"/>
          <w:caps w:val="0"/>
          <w:spacing w:val="0"/>
          <w:sz w:val="32"/>
          <w:szCs w:val="32"/>
          <w:highlight w:val="none"/>
          <w:shd w:val="clear"/>
        </w:rPr>
        <w:t>。培训室、集体宿舍</w:t>
      </w:r>
      <w:r>
        <w:rPr>
          <w:rFonts w:hint="eastAsia" w:ascii="仿宋_GB2312" w:hAnsi="仿宋_GB2312" w:eastAsia="仿宋_GB2312" w:cs="仿宋_GB2312"/>
          <w:i w:val="0"/>
          <w:iCs w:val="0"/>
          <w:caps w:val="0"/>
          <w:spacing w:val="0"/>
          <w:sz w:val="32"/>
          <w:szCs w:val="32"/>
          <w:highlight w:val="none"/>
          <w:shd w:val="clear"/>
          <w:lang w:eastAsia="zh-CN"/>
        </w:rPr>
        <w:t>按要求配备应急物资</w:t>
      </w:r>
      <w:r>
        <w:rPr>
          <w:rFonts w:hint="eastAsia" w:ascii="仿宋_GB2312" w:hAnsi="仿宋_GB2312" w:eastAsia="仿宋_GB2312" w:cs="仿宋_GB2312"/>
          <w:i w:val="0"/>
          <w:iCs w:val="0"/>
          <w:caps w:val="0"/>
          <w:spacing w:val="0"/>
          <w:sz w:val="32"/>
          <w:szCs w:val="32"/>
          <w:highlight w:val="none"/>
          <w:shd w:val="clear"/>
        </w:rPr>
        <w:t>。</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lang w:val="en-US" w:eastAsia="zh-CN"/>
        </w:rPr>
        <w:t>5</w:t>
      </w:r>
      <w:r>
        <w:rPr>
          <w:rFonts w:hint="eastAsia" w:ascii="仿宋_GB2312" w:hAnsi="仿宋_GB2312" w:eastAsia="仿宋_GB2312" w:cs="仿宋_GB2312"/>
          <w:i w:val="0"/>
          <w:iCs w:val="0"/>
          <w:caps w:val="0"/>
          <w:spacing w:val="0"/>
          <w:sz w:val="32"/>
          <w:szCs w:val="32"/>
          <w:highlight w:val="none"/>
          <w:shd w:val="clear"/>
          <w:lang w:eastAsia="zh-CN"/>
        </w:rPr>
        <w:t>）落实</w:t>
      </w:r>
      <w:r>
        <w:rPr>
          <w:rFonts w:hint="eastAsia" w:ascii="仿宋_GB2312" w:hAnsi="仿宋_GB2312" w:eastAsia="仿宋_GB2312" w:cs="仿宋_GB2312"/>
          <w:b w:val="0"/>
          <w:bCs w:val="0"/>
          <w:i w:val="0"/>
          <w:iCs w:val="0"/>
          <w:caps w:val="0"/>
          <w:spacing w:val="0"/>
          <w:sz w:val="32"/>
          <w:szCs w:val="32"/>
          <w:highlight w:val="none"/>
          <w:shd w:val="clear"/>
        </w:rPr>
        <w:t>日常防火检查巡查</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lang w:eastAsia="zh-CN"/>
        </w:rPr>
        <w:t>定期开展</w:t>
      </w:r>
      <w:r>
        <w:rPr>
          <w:rFonts w:hint="eastAsia" w:ascii="仿宋_GB2312" w:hAnsi="仿宋_GB2312" w:eastAsia="仿宋_GB2312" w:cs="仿宋_GB2312"/>
          <w:i w:val="0"/>
          <w:iCs w:val="0"/>
          <w:caps w:val="0"/>
          <w:spacing w:val="0"/>
          <w:sz w:val="32"/>
          <w:szCs w:val="32"/>
          <w:highlight w:val="none"/>
          <w:shd w:val="clear"/>
        </w:rPr>
        <w:t>防火检查。培训期间，每2小时开展不少于1次的防火巡查。重点检查电气线路、燃气管道、安全出口、消防设施运行和维护保养情况以及电器使用管理等情况。</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6</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培训期间值班值守</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设有消防控制室的，控制室值班人员应当持有消防行业特有工种职业资格证书，落实24小时专人值班。设有集体宿舍的，应当加强夜间巡查。有儿童参加培训的，现场至少明确1名工作人员全程在岗值守。</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7</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消防设施器材管理</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严格</w:t>
      </w:r>
      <w:r>
        <w:rPr>
          <w:rFonts w:hint="eastAsia" w:ascii="仿宋_GB2312" w:hAnsi="仿宋_GB2312" w:eastAsia="仿宋_GB2312" w:cs="仿宋_GB2312"/>
          <w:i w:val="0"/>
          <w:iCs w:val="0"/>
          <w:caps w:val="0"/>
          <w:spacing w:val="0"/>
          <w:sz w:val="32"/>
          <w:szCs w:val="32"/>
          <w:highlight w:val="none"/>
          <w:shd w:val="clear"/>
          <w:lang w:eastAsia="zh-CN"/>
        </w:rPr>
        <w:t>按</w:t>
      </w:r>
      <w:r>
        <w:rPr>
          <w:rFonts w:hint="eastAsia" w:ascii="仿宋_GB2312" w:hAnsi="仿宋_GB2312" w:eastAsia="仿宋_GB2312" w:cs="仿宋_GB2312"/>
          <w:i w:val="0"/>
          <w:iCs w:val="0"/>
          <w:caps w:val="0"/>
          <w:spacing w:val="0"/>
          <w:sz w:val="32"/>
          <w:szCs w:val="32"/>
          <w:highlight w:val="none"/>
          <w:shd w:val="clear"/>
        </w:rPr>
        <w:t>标准配置灭火器等消防设施器材，场所内未设置自动消防设施的，应当设置具有集中平台或移动终端报警功能的独立式感烟火灾探测报警器，建筑消防设施、器材应当定期维护保养，确保完好有效。</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8</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宣传教育培训演练</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制定灭火和应急疏散预案，明确各岗位职责</w:t>
      </w:r>
      <w:r>
        <w:rPr>
          <w:rFonts w:hint="eastAsia" w:ascii="仿宋_GB2312" w:hAnsi="仿宋_GB2312" w:eastAsia="仿宋_GB2312" w:cs="仿宋_GB2312"/>
          <w:i w:val="0"/>
          <w:iCs w:val="0"/>
          <w:caps w:val="0"/>
          <w:spacing w:val="0"/>
          <w:sz w:val="32"/>
          <w:szCs w:val="32"/>
          <w:highlight w:val="none"/>
          <w:shd w:val="clear"/>
          <w:lang w:eastAsia="zh-CN"/>
        </w:rPr>
        <w:t>，定期开展</w:t>
      </w:r>
      <w:r>
        <w:rPr>
          <w:rFonts w:hint="eastAsia" w:ascii="仿宋_GB2312" w:hAnsi="仿宋_GB2312" w:eastAsia="仿宋_GB2312" w:cs="仿宋_GB2312"/>
          <w:i w:val="0"/>
          <w:iCs w:val="0"/>
          <w:caps w:val="0"/>
          <w:spacing w:val="0"/>
          <w:sz w:val="32"/>
          <w:szCs w:val="32"/>
          <w:highlight w:val="none"/>
          <w:shd w:val="clear"/>
        </w:rPr>
        <w:t>消防安全培训和应急疏散演练。</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9</w:t>
      </w:r>
      <w:r>
        <w:rPr>
          <w:rFonts w:hint="eastAsia" w:ascii="仿宋_GB2312" w:hAnsi="仿宋_GB2312" w:eastAsia="仿宋_GB2312" w:cs="仿宋_GB2312"/>
          <w:b w:val="0"/>
          <w:bCs w:val="0"/>
          <w:i w:val="0"/>
          <w:iCs w:val="0"/>
          <w:caps w:val="0"/>
          <w:spacing w:val="0"/>
          <w:sz w:val="32"/>
          <w:szCs w:val="32"/>
          <w:highlight w:val="none"/>
          <w:shd w:val="clear"/>
          <w:lang w:eastAsia="zh-CN"/>
        </w:rPr>
        <w:t>）法律法规明令禁止的情形。</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rPr>
        <w:t>①</w:t>
      </w:r>
      <w:r>
        <w:rPr>
          <w:rFonts w:hint="eastAsia" w:ascii="仿宋_GB2312" w:hAnsi="仿宋_GB2312" w:eastAsia="仿宋_GB2312" w:cs="仿宋_GB2312"/>
          <w:i w:val="0"/>
          <w:iCs w:val="0"/>
          <w:caps w:val="0"/>
          <w:spacing w:val="0"/>
          <w:sz w:val="32"/>
          <w:szCs w:val="32"/>
          <w:highlight w:val="none"/>
          <w:shd w:val="clear"/>
          <w:lang w:val="en-US" w:eastAsia="zh-CN"/>
        </w:rPr>
        <w:t xml:space="preserve"> </w:t>
      </w:r>
      <w:r>
        <w:rPr>
          <w:rFonts w:hint="eastAsia" w:ascii="仿宋_GB2312" w:hAnsi="仿宋_GB2312" w:eastAsia="仿宋_GB2312" w:cs="仿宋_GB2312"/>
          <w:i w:val="0"/>
          <w:iCs w:val="0"/>
          <w:caps w:val="0"/>
          <w:spacing w:val="0"/>
          <w:sz w:val="32"/>
          <w:szCs w:val="32"/>
          <w:highlight w:val="none"/>
          <w:shd w:val="clear"/>
        </w:rPr>
        <w:t>严禁使用彩钢板建筑，以及在投入使用后擅自搭建、改建、扩建。</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rPr>
        <w:t>②</w:t>
      </w:r>
      <w:r>
        <w:rPr>
          <w:rFonts w:hint="eastAsia" w:ascii="仿宋_GB2312" w:hAnsi="仿宋_GB2312" w:eastAsia="仿宋_GB2312" w:cs="仿宋_GB2312"/>
          <w:i w:val="0"/>
          <w:iCs w:val="0"/>
          <w:caps w:val="0"/>
          <w:spacing w:val="0"/>
          <w:sz w:val="32"/>
          <w:szCs w:val="32"/>
          <w:highlight w:val="none"/>
          <w:shd w:val="clear"/>
          <w:lang w:val="en-US" w:eastAsia="zh-CN"/>
        </w:rPr>
        <w:t xml:space="preserve"> </w:t>
      </w:r>
      <w:r>
        <w:rPr>
          <w:rFonts w:hint="eastAsia" w:ascii="仿宋_GB2312" w:hAnsi="仿宋_GB2312" w:eastAsia="仿宋_GB2312" w:cs="仿宋_GB2312"/>
          <w:i w:val="0"/>
          <w:iCs w:val="0"/>
          <w:caps w:val="0"/>
          <w:spacing w:val="0"/>
          <w:sz w:val="32"/>
          <w:szCs w:val="32"/>
          <w:highlight w:val="none"/>
          <w:shd w:val="clear"/>
        </w:rPr>
        <w:t>严禁在外窗、阳台、安全出口等部位设置影响逃生、灭火救援的铁栅栏、广告牌或门禁等障碍物。</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rPr>
        <w:t>③</w:t>
      </w:r>
      <w:r>
        <w:rPr>
          <w:rFonts w:hint="eastAsia" w:ascii="仿宋_GB2312" w:hAnsi="仿宋_GB2312" w:eastAsia="仿宋_GB2312" w:cs="仿宋_GB2312"/>
          <w:i w:val="0"/>
          <w:iCs w:val="0"/>
          <w:caps w:val="0"/>
          <w:spacing w:val="0"/>
          <w:sz w:val="32"/>
          <w:szCs w:val="32"/>
          <w:highlight w:val="none"/>
          <w:shd w:val="clear"/>
          <w:lang w:val="en-US" w:eastAsia="zh-CN"/>
        </w:rPr>
        <w:t xml:space="preserve"> </w:t>
      </w:r>
      <w:r>
        <w:rPr>
          <w:rFonts w:hint="eastAsia" w:ascii="仿宋_GB2312" w:hAnsi="仿宋_GB2312" w:eastAsia="仿宋_GB2312" w:cs="仿宋_GB2312"/>
          <w:i w:val="0"/>
          <w:iCs w:val="0"/>
          <w:caps w:val="0"/>
          <w:spacing w:val="0"/>
          <w:sz w:val="32"/>
          <w:szCs w:val="32"/>
          <w:highlight w:val="none"/>
          <w:shd w:val="clear"/>
        </w:rPr>
        <w:t>严禁擅自停用、关闭、遮挡消防设施设备，埋压、圈占消火栓，破坏防火分隔，锁闭、堵塞、占用安全出口和消防通道。</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rPr>
        <w:t>④</w:t>
      </w:r>
      <w:r>
        <w:rPr>
          <w:rFonts w:hint="eastAsia" w:ascii="仿宋_GB2312" w:hAnsi="仿宋_GB2312" w:eastAsia="仿宋_GB2312" w:cs="仿宋_GB2312"/>
          <w:i w:val="0"/>
          <w:iCs w:val="0"/>
          <w:caps w:val="0"/>
          <w:spacing w:val="0"/>
          <w:sz w:val="32"/>
          <w:szCs w:val="32"/>
          <w:highlight w:val="none"/>
          <w:shd w:val="clear"/>
          <w:lang w:val="en-US" w:eastAsia="zh-CN"/>
        </w:rPr>
        <w:t xml:space="preserve"> </w:t>
      </w:r>
      <w:r>
        <w:rPr>
          <w:rFonts w:hint="eastAsia" w:ascii="仿宋_GB2312" w:hAnsi="仿宋_GB2312" w:eastAsia="仿宋_GB2312" w:cs="仿宋_GB2312"/>
          <w:i w:val="0"/>
          <w:iCs w:val="0"/>
          <w:caps w:val="0"/>
          <w:spacing w:val="0"/>
          <w:sz w:val="32"/>
          <w:szCs w:val="32"/>
          <w:highlight w:val="none"/>
          <w:shd w:val="clear"/>
        </w:rPr>
        <w:t>严禁私拉乱接电线，在电气线路上搭、挂物品，超负荷用电或者改变保险装置，空调等大功率用电设备外部电源线采用移动式插座连接，使用电烤炉、红外辐射取暖器、电热毯等电热器具。</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rPr>
        <w:t>⑤</w:t>
      </w:r>
      <w:r>
        <w:rPr>
          <w:rFonts w:hint="eastAsia" w:ascii="仿宋_GB2312" w:hAnsi="仿宋_GB2312" w:eastAsia="仿宋_GB2312" w:cs="仿宋_GB2312"/>
          <w:i w:val="0"/>
          <w:iCs w:val="0"/>
          <w:caps w:val="0"/>
          <w:spacing w:val="0"/>
          <w:sz w:val="32"/>
          <w:szCs w:val="32"/>
          <w:highlight w:val="none"/>
          <w:shd w:val="clear"/>
          <w:lang w:val="en-US" w:eastAsia="zh-CN"/>
        </w:rPr>
        <w:t xml:space="preserve"> </w:t>
      </w:r>
      <w:r>
        <w:rPr>
          <w:rFonts w:hint="eastAsia" w:ascii="仿宋_GB2312" w:hAnsi="仿宋_GB2312" w:eastAsia="仿宋_GB2312" w:cs="仿宋_GB2312"/>
          <w:i w:val="0"/>
          <w:iCs w:val="0"/>
          <w:caps w:val="0"/>
          <w:spacing w:val="0"/>
          <w:sz w:val="32"/>
          <w:szCs w:val="32"/>
          <w:highlight w:val="none"/>
          <w:shd w:val="clear"/>
        </w:rPr>
        <w:t>严禁在培训场所内及公共门厅、疏散走道、楼梯间、安全出口处违规停放电动自行车或充电。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aps w:val="0"/>
          <w:spacing w:val="0"/>
          <w:kern w:val="2"/>
          <w:sz w:val="32"/>
          <w:szCs w:val="32"/>
          <w:highlight w:val="none"/>
          <w:shd w:val="clear"/>
          <w:lang w:bidi="ar"/>
        </w:rPr>
        <w:t>⑥</w:t>
      </w:r>
      <w:r>
        <w:rPr>
          <w:rFonts w:hint="eastAsia" w:ascii="仿宋_GB2312" w:hAnsi="仿宋_GB2312" w:eastAsia="仿宋_GB2312" w:cs="仿宋_GB2312"/>
          <w:i w:val="0"/>
          <w:iCs w:val="0"/>
          <w:caps w:val="0"/>
          <w:spacing w:val="0"/>
          <w:kern w:val="2"/>
          <w:sz w:val="32"/>
          <w:szCs w:val="32"/>
          <w:highlight w:val="none"/>
          <w:shd w:val="clear"/>
          <w:lang w:val="en-US" w:eastAsia="zh-CN" w:bidi="ar"/>
        </w:rPr>
        <w:t xml:space="preserve"> </w:t>
      </w:r>
      <w:r>
        <w:rPr>
          <w:rFonts w:hint="eastAsia" w:ascii="仿宋_GB2312" w:hAnsi="仿宋_GB2312" w:eastAsia="仿宋_GB2312" w:cs="仿宋_GB2312"/>
          <w:i w:val="0"/>
          <w:iCs w:val="0"/>
          <w:caps w:val="0"/>
          <w:spacing w:val="0"/>
          <w:kern w:val="2"/>
          <w:sz w:val="32"/>
          <w:szCs w:val="32"/>
          <w:highlight w:val="none"/>
          <w:shd w:val="clear"/>
          <w:lang w:bidi="ar"/>
        </w:rPr>
        <w:t>严禁在培训场所内吸烟，使用明火取暖、照明、驱蚊，违规存放、使用易燃易爆危险品。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2、安全专项培训。</w:t>
      </w:r>
      <w:r>
        <w:rPr>
          <w:rFonts w:hint="eastAsia" w:ascii="仿宋_GB2312" w:hAnsi="仿宋_GB2312" w:eastAsia="仿宋_GB2312" w:cs="仿宋_GB2312"/>
          <w:sz w:val="32"/>
          <w:szCs w:val="32"/>
          <w:highlight w:val="none"/>
          <w:lang w:val="en-US" w:eastAsia="zh-CN"/>
        </w:rPr>
        <w:t>组织开展1场校外培训机构负责人参加的安全专题培训，每场培训时长不少于3个课时；培训内容包括安全消防法律法规、消防安全实务及案例分析等。</w:t>
      </w:r>
    </w:p>
    <w:p>
      <w:pPr>
        <w:numPr>
          <w:ilvl w:val="-1"/>
          <w:numId w:val="0"/>
        </w:numPr>
        <w:spacing w:line="560" w:lineRule="exact"/>
        <w:ind w:left="0" w:leftChars="0" w:firstLine="643" w:firstLineChars="200"/>
        <w:jc w:val="left"/>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sz w:val="32"/>
          <w:szCs w:val="32"/>
          <w:highlight w:val="none"/>
          <w:lang w:val="en-US" w:eastAsia="zh-CN"/>
        </w:rPr>
        <w:t>3、应急演练。</w:t>
      </w:r>
      <w:r>
        <w:rPr>
          <w:rFonts w:hint="eastAsia" w:ascii="仿宋_GB2312" w:hAnsi="仿宋_GB2312" w:eastAsia="仿宋_GB2312" w:cs="仿宋_GB2312"/>
          <w:sz w:val="32"/>
          <w:szCs w:val="32"/>
          <w:highlight w:val="none"/>
          <w:vertAlign w:val="baseline"/>
          <w:lang w:val="en-US" w:eastAsia="zh-CN"/>
        </w:rPr>
        <w:t>组织开展1场校外培训机构突发事件应急演练现场会。</w:t>
      </w:r>
    </w:p>
    <w:p>
      <w:pPr>
        <w:numPr>
          <w:ilvl w:val="-1"/>
          <w:numId w:val="0"/>
        </w:numPr>
        <w:spacing w:line="560" w:lineRule="exact"/>
        <w:ind w:left="0" w:leftChars="0" w:firstLine="643" w:firstLineChars="200"/>
        <w:jc w:val="left"/>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4、编制消防技术指引。</w:t>
      </w:r>
      <w:r>
        <w:rPr>
          <w:rFonts w:hint="eastAsia" w:ascii="仿宋_GB2312" w:hAnsi="仿宋_GB2312" w:eastAsia="仿宋_GB2312" w:cs="仿宋_GB2312"/>
          <w:sz w:val="32"/>
          <w:szCs w:val="32"/>
          <w:highlight w:val="none"/>
          <w:vertAlign w:val="baseline"/>
          <w:lang w:val="en-US" w:eastAsia="zh-CN"/>
        </w:rPr>
        <w:t>针对校外培训机构消防安全风险隐患特点，依据法律法规和技术规范编制培训机构设置场所消防技术指引。</w:t>
      </w:r>
    </w:p>
    <w:p>
      <w:pPr>
        <w:numPr>
          <w:ilvl w:val="-1"/>
          <w:numId w:val="0"/>
        </w:numPr>
        <w:spacing w:line="560" w:lineRule="exact"/>
        <w:ind w:left="0" w:leftChars="0" w:firstLine="643" w:firstLineChars="200"/>
        <w:jc w:val="left"/>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5、一企一档编制。</w:t>
      </w:r>
      <w:r>
        <w:rPr>
          <w:rFonts w:hint="eastAsia" w:ascii="仿宋_GB2312" w:hAnsi="仿宋_GB2312" w:eastAsia="仿宋_GB2312" w:cs="仿宋_GB2312"/>
          <w:sz w:val="32"/>
          <w:szCs w:val="32"/>
          <w:highlight w:val="none"/>
          <w:vertAlign w:val="baseline"/>
          <w:lang w:val="en-US" w:eastAsia="zh-CN"/>
        </w:rPr>
        <w:t>针对现场检查、复查情况，编制专项整治“一企一档”。</w:t>
      </w:r>
    </w:p>
    <w:p>
      <w:pPr>
        <w:numPr>
          <w:ilvl w:val="-1"/>
          <w:numId w:val="0"/>
        </w:numPr>
        <w:spacing w:line="560" w:lineRule="exact"/>
        <w:ind w:left="0" w:leftChars="0" w:firstLine="643" w:firstLineChars="200"/>
        <w:jc w:val="left"/>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6、形势分析。</w:t>
      </w:r>
      <w:r>
        <w:rPr>
          <w:rFonts w:hint="eastAsia" w:ascii="仿宋_GB2312" w:hAnsi="仿宋_GB2312" w:eastAsia="仿宋_GB2312" w:cs="仿宋_GB2312"/>
          <w:sz w:val="32"/>
          <w:szCs w:val="32"/>
          <w:highlight w:val="none"/>
          <w:vertAlign w:val="baseline"/>
          <w:lang w:val="en-US" w:eastAsia="zh-CN"/>
        </w:rPr>
        <w:t>根据现场检查的情况，对全区校外培训机构的安全形势进行分析并提出建议措施。</w:t>
      </w:r>
    </w:p>
    <w:p>
      <w:pPr>
        <w:numPr>
          <w:ilvl w:val="0"/>
          <w:numId w:val="0"/>
        </w:numPr>
        <w:spacing w:line="560" w:lineRule="exact"/>
        <w:ind w:firstLine="643" w:firstLineChars="200"/>
        <w:jc w:val="left"/>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1、服务期限：自合同签订之日起至</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2025年12月15日</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2、服务费用：本项目业务服务费用实行包干制，包含服务实施费、差旅费、培训费、税费等所有与本次业务有关费用，中标单位在中标后不得以任何理由增加其他费用。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3、项目人员需求一览表</w:t>
      </w:r>
    </w:p>
    <w:p>
      <w:pPr>
        <w:pStyle w:val="14"/>
        <w:rPr>
          <w:rFonts w:hint="eastAsia"/>
          <w:highlight w:val="none"/>
          <w:lang w:val="en-US" w:eastAsia="zh-CN"/>
        </w:rPr>
      </w:pPr>
    </w:p>
    <w:tbl>
      <w:tblPr>
        <w:tblStyle w:val="11"/>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1"/>
        <w:gridCol w:w="918"/>
        <w:gridCol w:w="3600"/>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序号</w:t>
            </w:r>
          </w:p>
        </w:tc>
        <w:tc>
          <w:tcPr>
            <w:tcW w:w="1611"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人员类别</w:t>
            </w:r>
          </w:p>
        </w:tc>
        <w:tc>
          <w:tcPr>
            <w:tcW w:w="918"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★数量</w:t>
            </w:r>
          </w:p>
        </w:tc>
        <w:tc>
          <w:tcPr>
            <w:tcW w:w="3600"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★人员必须具备条件</w:t>
            </w:r>
          </w:p>
        </w:tc>
        <w:tc>
          <w:tcPr>
            <w:tcW w:w="2091"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61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项目负责人</w:t>
            </w:r>
          </w:p>
        </w:tc>
        <w:tc>
          <w:tcPr>
            <w:tcW w:w="91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3600" w:type="dxa"/>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注册安全工程师；</w:t>
            </w:r>
          </w:p>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themeColor="text1"/>
                <w:sz w:val="21"/>
                <w:szCs w:val="21"/>
                <w:lang w:eastAsia="zh-CN"/>
                <w14:textFill>
                  <w14:solidFill>
                    <w14:schemeClr w14:val="tx1"/>
                  </w14:solidFill>
                </w14:textFill>
              </w:rPr>
              <w:t>工作经验</w:t>
            </w:r>
            <w:r>
              <w:rPr>
                <w:rFonts w:hint="eastAsia" w:ascii="宋体" w:hAnsi="宋体" w:eastAsia="宋体" w:cs="宋体"/>
                <w:color w:val="000000" w:themeColor="text1"/>
                <w:sz w:val="21"/>
                <w:szCs w:val="21"/>
                <w:lang w:val="en-US" w:eastAsia="zh-CN"/>
                <w14:textFill>
                  <w14:solidFill>
                    <w14:schemeClr w14:val="tx1"/>
                  </w14:solidFill>
                </w14:textFill>
              </w:rPr>
              <w:t>15年以上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（工作经验以证书签发日期开始计算）</w:t>
            </w:r>
            <w:r>
              <w:rPr>
                <w:rFonts w:hint="eastAsia" w:ascii="宋体" w:hAnsi="宋体" w:eastAsia="宋体" w:cs="宋体"/>
                <w:color w:val="000000" w:themeColor="text1"/>
                <w:sz w:val="21"/>
                <w:szCs w:val="21"/>
                <w:lang w:eastAsia="zh-CN"/>
                <w14:textFill>
                  <w14:solidFill>
                    <w14:schemeClr w14:val="tx1"/>
                  </w14:solidFill>
                </w14:textFill>
              </w:rPr>
              <w:t>。</w:t>
            </w:r>
          </w:p>
        </w:tc>
        <w:tc>
          <w:tcPr>
            <w:tcW w:w="20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投标单位自有人员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61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技术负责人</w:t>
            </w:r>
          </w:p>
        </w:tc>
        <w:tc>
          <w:tcPr>
            <w:tcW w:w="91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3600"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40" w:leftChars="19" w:right="107" w:rightChars="51" w:firstLine="48" w:firstLineChars="23"/>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1、具有注册安全工程师证书；</w:t>
            </w:r>
          </w:p>
          <w:p>
            <w:pPr>
              <w:pStyle w:val="15"/>
              <w:kinsoku w:val="0"/>
              <w:autoSpaceDE w:val="0"/>
              <w:autoSpaceDN w:val="0"/>
              <w:adjustRightInd w:val="0"/>
              <w:snapToGrid w:val="0"/>
              <w:spacing w:line="320" w:lineRule="exact"/>
              <w:ind w:left="40" w:leftChars="19" w:right="107" w:rightChars="51" w:firstLine="48" w:firstLineChars="23"/>
              <w:textAlignment w:val="baseline"/>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themeColor="text1"/>
                <w:sz w:val="21"/>
                <w:szCs w:val="21"/>
                <w:lang w:val="en-US" w:eastAsia="zh-CN"/>
                <w14:textFill>
                  <w14:solidFill>
                    <w14:schemeClr w14:val="tx1"/>
                  </w14:solidFill>
                </w14:textFill>
              </w:rPr>
              <w:t>2、具有一级注册消防工程师证书；</w:t>
            </w:r>
          </w:p>
        </w:tc>
        <w:tc>
          <w:tcPr>
            <w:tcW w:w="20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投标单位自有人员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61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检查小组长</w:t>
            </w:r>
          </w:p>
        </w:tc>
        <w:tc>
          <w:tcPr>
            <w:tcW w:w="91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36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注册安全工程师</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或一级消防工程师</w:t>
            </w:r>
          </w:p>
        </w:tc>
        <w:tc>
          <w:tcPr>
            <w:tcW w:w="20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投标单位自有人员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61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检查人员</w:t>
            </w:r>
          </w:p>
        </w:tc>
        <w:tc>
          <w:tcPr>
            <w:tcW w:w="91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36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中级（或以上）消防设施操作员或电工操作证</w:t>
            </w:r>
          </w:p>
        </w:tc>
        <w:tc>
          <w:tcPr>
            <w:tcW w:w="20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投标单位自有人员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合计</w:t>
            </w:r>
          </w:p>
        </w:tc>
        <w:tc>
          <w:tcPr>
            <w:tcW w:w="91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36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20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left="0" w:leftChars="0" w:right="0" w:rightChars="0" w:firstLine="562" w:firstLineChars="200"/>
        <w:jc w:val="left"/>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特别说明：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62" w:firstLineChars="200"/>
        <w:jc w:val="left"/>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 ”号为实质性要求，投标人必须满足。投标人应提供相关证明材料（相关证书），否则按无效标处理。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4.项目验收要求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中标方完成规定的校外培训机构安全检查项目服务工作，按照龙岗区教育局的要求编制校外培训机构安全形势分析报告及专项检查“一企一档”。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1、中标单位需服从工作安排，在规定的时间到指定的工作地点开展工作；整个检查工作过程，中标单位要保持同龙岗区教育局负责该项目的工作人员联系、沟通。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检查人员对其在开展检查过程中知悉的被检查单位的商业秘密负有保密责任，不得利用其为自己或他人谋取利益；检查人员不得滥用职权、徇私舞弊、玩忽职守，不得接收被检查单位的财物及宴请，做到客观公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3、能够严格按照龙岗区教育局的工作规范、程序和要求开展工作，对相关检查人员进行事前培训，并接受相关的业务指导。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4、按照独立、客观、公正的原则，对被检查单位进行检查，出具检查意见。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5、根据要求编制、整理、移交工作底稿，并制成档案。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6、针对检查过程中发现的问题提出整改指导意见，协助龙岗区教育局完善修订校外培训机构安全管理制度。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 w:val="0"/>
          <w:bCs/>
          <w:sz w:val="32"/>
          <w:szCs w:val="32"/>
          <w:highlight w:val="none"/>
        </w:rPr>
        <w:t>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（一）采购人的权利和义务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1、督促各校外培训机构及时为中标单位现场检查工作提供相关的安全资料和其他有关资料。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2、为中标单位委派的检查工作人员提供必要的工作条件和协助。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3、有权要求中标单位在规定的时间内提供检查工作计划、工作方案、检查报告和检查档案资料等。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4、有权要求中标供应商适当调整委派人员。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5、如中标方未经采购人允许对外泄露相关检查资料，造成不良影响，采购方有权向中标单位追索经济赔偿并追究相关法律责任。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6、提供纳入本次检查范围的校外培训机构名单及被检查单位相关负责人联系方式。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7、项目跟进付款工作。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（二）中标供应商的权利和义务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1、按照《中华人民共和国民办教育促进法》、</w:t>
      </w:r>
      <w:r>
        <w:rPr>
          <w:rFonts w:hint="eastAsia" w:ascii="仿宋_GB2312" w:hAnsi="仿宋_GB2312" w:eastAsia="仿宋_GB2312" w:cs="仿宋_GB2312"/>
          <w:i w:val="0"/>
          <w:iCs w:val="0"/>
          <w:caps w:val="0"/>
          <w:color w:val="auto"/>
          <w:spacing w:val="0"/>
          <w:sz w:val="32"/>
          <w:szCs w:val="32"/>
          <w:highlight w:val="none"/>
          <w:shd w:val="clear"/>
        </w:rPr>
        <w:t>《校外培训机构消防安全管理九项规定》</w:t>
      </w:r>
      <w:r>
        <w:rPr>
          <w:rFonts w:hint="eastAsia" w:ascii="仿宋_GB2312" w:hAnsi="仿宋_GB2312" w:eastAsia="仿宋_GB2312" w:cs="仿宋_GB2312"/>
          <w:kern w:val="2"/>
          <w:sz w:val="32"/>
          <w:szCs w:val="32"/>
          <w:highlight w:val="none"/>
          <w:lang w:val="en-US" w:eastAsia="zh-CN" w:bidi="ar-SA"/>
        </w:rPr>
        <w:t>等相关法律法规及采购方的要求进行检查，并按时出具检查记录。检查记录格式总体保持一致，因检查记录中出现法规引用不当、表达错误等原因导致多次反复修改，第一次口头警告，第二次发书面整改，第三次将书面报区应急管理局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2、检查过程中恪守实事求是、客观公正。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3、中标供应商项目负责人要定期与采购单位项目负责人进行沟通交流，同时中标供应商做好阶段性（初期、中期及后期）的计划总结，计划总结内容包含但不限于以下内容：检查进度情况、下一步工作计划等。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4、该项目检查人员必须是中标方供职人员，中标方如实告知检查人员专业水平状况，并保证检查人员的检查工作水准，若检查人员无法胜任工作，须按采购方要求更换人员。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该项目检查人员在服务期间不得以采购方名义从事与检查工作无关的活动；对检查过程中知悉的商业秘密负有保密责任，除法律另有规定外，未经采购方或被检查单位书面同意，中标方及检查人员不得将被检查单位提供的资料对外泄露。否则，中标方承担由此产生的一切责任与后果，若因此给采购方造成损失的，中标方应予以全部赔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6、检查项目结束后，中标方及时整理检查资料，装订检查档案并移交采购方。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7、中标方不得将检查项目非法分包或转包给任何单位和个人。否则，采购方有权即刻终止合同，并要求中标供应商赔偿相应损失。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中标供应商必须严格按照招标文件项目要求，按时安排检查人员开展检查服务工作。如中标供应商未按要求安排足够数量并符合“人员相关要求”的技术人员开展检查服务工作任务，导致采购方无法正常完成检查服务工作任务，采购方严格按《深圳市政府采购供应商诚信管理暂行办法》第六条，书面报请财政部门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项目履约期间，如有检查人员离职等情况，中标供应商及时安排符合条件的技术人员接替其相关工作。一经出现缺岗情况，限3个日历日整改完毕，未按要求整改或者履约期间出现二次缺岗导致采购无法完成检查服务工作，采购单位直接书面报告财政部门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3、中标供应商在履约期间，如果因在岗的技术人员疏忽造成采购人的损失（包括经济与名誉等方面的损失），应当由中标供应商赔偿采购人的所有损失。</w:t>
      </w:r>
    </w:p>
    <w:p>
      <w:pPr>
        <w:pStyle w:val="2"/>
        <w:rPr>
          <w:rFonts w:hint="eastAsia"/>
          <w:lang w:val="en-US" w:eastAsia="zh-CN"/>
        </w:rPr>
      </w:pPr>
      <w:r>
        <w:rPr>
          <w:rFonts w:hint="eastAsia" w:ascii="仿宋_GB2312" w:hAnsi="仿宋_GB2312" w:eastAsia="仿宋_GB2312" w:cs="仿宋_GB2312"/>
          <w:kern w:val="2"/>
          <w:sz w:val="32"/>
          <w:szCs w:val="32"/>
          <w:highlight w:val="none"/>
          <w:lang w:val="en-US" w:eastAsia="zh-CN" w:bidi="ar-SA"/>
        </w:rPr>
        <w:t>4、中标供应商若未全部完成服务内容，采购单位将根据中标供应商实际完成的工作量按比例支付服务款。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（四）投标响应承诺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 w:firstLineChars="50"/>
        <w:jc w:val="both"/>
        <w:textAlignment w:val="auto"/>
        <w:rPr>
          <w:rFonts w:hint="eastAsia" w:ascii="仿宋_GB2312" w:hAnsi="仿宋_GB2312" w:eastAsia="仿宋_GB2312" w:cs="仿宋_GB2312"/>
          <w:b/>
          <w:bCs/>
          <w:color w:val="FF0000"/>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b/>
          <w:bCs/>
          <w:color w:val="FF0000"/>
          <w:kern w:val="2"/>
          <w:sz w:val="32"/>
          <w:szCs w:val="32"/>
          <w:highlight w:val="none"/>
          <w:lang w:val="en-US" w:eastAsia="zh-CN" w:bidi="ar-SA"/>
        </w:rPr>
        <w:t xml:space="preserve"> </w:t>
      </w:r>
      <w:r>
        <w:rPr>
          <w:rFonts w:hint="eastAsia" w:ascii="仿宋_GB2312" w:hAnsi="仿宋_GB2312" w:eastAsia="仿宋_GB2312" w:cs="仿宋_GB2312"/>
          <w:b/>
          <w:bCs/>
          <w:color w:val="auto"/>
          <w:kern w:val="2"/>
          <w:sz w:val="32"/>
          <w:szCs w:val="32"/>
          <w:highlight w:val="none"/>
          <w:lang w:val="en-US" w:eastAsia="zh-CN" w:bidi="ar-SA"/>
        </w:rPr>
        <w:t>供应商参与投标的，视为已完全理解和接受项目需求的所有要求，并能做出实质性响应承诺。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投标人资质要求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（一）具有独立法人资格；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（二）本项目不接受联合体投标，不允许分包；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（三）投标人为具备营业执照和</w:t>
      </w:r>
      <w:r>
        <w:rPr>
          <w:rFonts w:hint="eastAsia" w:ascii="仿宋_GB2312" w:hAnsi="仿宋_GB2312" w:eastAsia="仿宋_GB2312" w:cs="仿宋_GB2312"/>
          <w:kern w:val="2"/>
          <w:sz w:val="32"/>
          <w:szCs w:val="32"/>
          <w:u w:val="none"/>
          <w:lang w:val="en-US" w:eastAsia="zh-CN" w:bidi="ar-SA"/>
        </w:rPr>
        <w:t>必要的技术支撑条件</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（四）参与本项目投标前三年内，在经营活动中没有重大违法记录（由供应商在《政府采购投标及履约承诺函》中作出声明）；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（六）具备《中华人民共和国政府采购法》第二十二条第一款的条件（由供应商在《政府采购投标及履约承诺函》中作出声明）；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（七）未被列入失信被执行人、重大税收违法案件当事人名单、政府采购严重违法失信行为记录名单（由供应商在《政府采购投标及履约承诺函》中作出声明）。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注：“信用中国”、“中国政府采购网”以及“深圳市政府采购监管网”为供应商信用信息的查询渠道，相关信息以开标当日的查询结果为准。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按深圳市龙岗区财政局有关规定付款。在实际工作检查过程中，因政策调整或出现个别场所未能组织开展检查工作的情况，不分场所类型，均以中标价格为基准直接核减费用，据实结算。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textAlignment w:val="auto"/>
        <w:rPr>
          <w:rFonts w:hint="eastAsia" w:ascii="黑体" w:hAnsi="黑体" w:eastAsia="黑体" w:cs="黑体"/>
          <w:bCs/>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八、投标要求和评标时间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color w:val="C00000"/>
          <w:sz w:val="32"/>
          <w:szCs w:val="32"/>
          <w:highlight w:val="none"/>
          <w:lang w:val="en-US" w:eastAsia="zh-CN"/>
        </w:rPr>
        <w:t>2025年</w:t>
      </w:r>
      <w:r>
        <w:rPr>
          <w:rFonts w:hint="eastAsia" w:ascii="仿宋_GB2312" w:hAnsi="仿宋_GB2312" w:eastAsia="仿宋_GB2312" w:cs="仿宋_GB2312"/>
          <w:b w:val="0"/>
          <w:bCs w:val="0"/>
          <w:color w:val="C00000"/>
          <w:sz w:val="32"/>
          <w:szCs w:val="32"/>
          <w:highlight w:val="none"/>
          <w:lang w:val="en-US" w:eastAsia="zh-CN"/>
        </w:rPr>
        <w:t>7月25日</w:t>
      </w:r>
      <w:r>
        <w:rPr>
          <w:rFonts w:hint="eastAsia" w:ascii="仿宋_GB2312" w:hAnsi="仿宋_GB2312" w:eastAsia="仿宋_GB2312" w:cs="仿宋_GB2312"/>
          <w:color w:val="C00000"/>
          <w:sz w:val="32"/>
          <w:szCs w:val="32"/>
          <w:highlight w:val="none"/>
          <w:lang w:val="en-US" w:eastAsia="zh-CN"/>
        </w:rPr>
        <w:t>12:00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前</w:t>
      </w:r>
      <w:bookmarkStart w:id="1" w:name="_GoBack"/>
      <w:bookmarkEnd w:id="1"/>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highlight w:val="none"/>
          <w:lang w:val="en-US" w:eastAsia="zh-CN"/>
        </w:rPr>
        <w:t>应标公司到</w:t>
      </w:r>
      <w:r>
        <w:rPr>
          <w:rFonts w:hint="eastAsia" w:ascii="仿宋_GB2312" w:hAnsi="仿宋_GB2312" w:eastAsia="仿宋_GB2312" w:cs="仿宋_GB2312"/>
          <w:bCs/>
          <w:sz w:val="32"/>
          <w:szCs w:val="32"/>
          <w:highlight w:val="none"/>
        </w:rPr>
        <w:t>深圳市龙岗区教育局</w:t>
      </w:r>
      <w:r>
        <w:rPr>
          <w:rFonts w:hint="eastAsia" w:ascii="仿宋_GB2312" w:hAnsi="仿宋_GB2312" w:eastAsia="仿宋_GB2312" w:cs="仿宋_GB2312"/>
          <w:bCs/>
          <w:color w:val="C00000"/>
          <w:sz w:val="32"/>
          <w:szCs w:val="32"/>
          <w:highlight w:val="none"/>
          <w:lang w:val="en-US" w:eastAsia="zh-CN"/>
        </w:rPr>
        <w:t>309</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办公室</w:t>
      </w:r>
      <w:r>
        <w:rPr>
          <w:rFonts w:hint="eastAsia" w:ascii="仿宋_GB2312" w:hAnsi="仿宋_GB2312" w:eastAsia="仿宋_GB2312" w:cs="仿宋_GB2312"/>
          <w:sz w:val="32"/>
          <w:szCs w:val="32"/>
          <w:highlight w:val="none"/>
          <w:lang w:val="en-US" w:eastAsia="zh-CN"/>
        </w:rPr>
        <w:t>提交投标文件</w:t>
      </w:r>
      <w:r>
        <w:rPr>
          <w:rFonts w:hint="eastAsia" w:ascii="仿宋_GB2312" w:hAnsi="仿宋_GB2312" w:eastAsia="仿宋_GB2312" w:cs="仿宋_GB2312"/>
          <w:b/>
          <w:bCs/>
          <w:sz w:val="32"/>
          <w:szCs w:val="32"/>
          <w:highlight w:val="none"/>
          <w:lang w:val="en-US" w:eastAsia="zh-CN"/>
        </w:rPr>
        <w:t>（一式5份，正本一份，副本4份）</w:t>
      </w:r>
      <w:r>
        <w:rPr>
          <w:rFonts w:hint="eastAsia" w:ascii="仿宋_GB2312" w:hAnsi="仿宋_GB2312" w:eastAsia="仿宋_GB2312" w:cs="仿宋_GB2312"/>
          <w:sz w:val="32"/>
          <w:szCs w:val="32"/>
          <w:highlight w:val="none"/>
          <w:lang w:val="en-US" w:eastAsia="zh-CN"/>
        </w:rPr>
        <w:t>，逾期提交将不予受理。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特别提醒：（1）由公司法人代表参加应标的须提供身份证复印件（现场验原件）；（2）由公司授权委托代理人参加应标的须交身份证复印件（现场验原件）和法人代表签署的授权委托书原件；（3）提交标书时请现场签到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2.评标时间：</w:t>
      </w:r>
      <w:r>
        <w:rPr>
          <w:rFonts w:hint="eastAsia" w:ascii="仿宋_GB2312" w:hAnsi="仿宋_GB2312" w:eastAsia="仿宋_GB2312" w:cs="仿宋_GB2312"/>
          <w:color w:val="auto"/>
          <w:sz w:val="32"/>
          <w:szCs w:val="32"/>
          <w:highlight w:val="none"/>
          <w:lang w:val="en-US" w:eastAsia="zh-CN"/>
        </w:rPr>
        <w:t>2025年</w:t>
      </w:r>
      <w:r>
        <w:rPr>
          <w:rFonts w:hint="eastAsia" w:ascii="仿宋_GB2312" w:hAnsi="仿宋_GB2312" w:eastAsia="仿宋_GB2312" w:cs="仿宋_GB2312"/>
          <w:b w:val="0"/>
          <w:bCs w:val="0"/>
          <w:color w:val="auto"/>
          <w:sz w:val="32"/>
          <w:szCs w:val="32"/>
          <w:highlight w:val="none"/>
          <w:lang w:val="en-US" w:eastAsia="zh-CN"/>
        </w:rPr>
        <w:t>7月25日下午</w:t>
      </w:r>
      <w:r>
        <w:rPr>
          <w:rFonts w:hint="eastAsia" w:ascii="仿宋_GB2312" w:hAnsi="仿宋_GB2312" w:eastAsia="仿宋_GB2312" w:cs="仿宋_GB2312"/>
          <w:color w:val="auto"/>
          <w:sz w:val="32"/>
          <w:szCs w:val="32"/>
          <w:highlight w:val="none"/>
          <w:lang w:val="en-US" w:eastAsia="zh-CN"/>
        </w:rPr>
        <w:t>3:00。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3.本项目由</w:t>
      </w:r>
      <w:r>
        <w:rPr>
          <w:rFonts w:hint="eastAsia" w:ascii="仿宋_GB2312" w:hAnsi="仿宋_GB2312" w:eastAsia="仿宋_GB2312" w:cs="仿宋_GB2312"/>
          <w:sz w:val="32"/>
          <w:szCs w:val="32"/>
          <w:highlight w:val="none"/>
          <w:lang w:val="en-US" w:eastAsia="zh-CN"/>
        </w:rPr>
        <w:t>龙岗区教育局评标小组评审，确认预中标公司及中标价格。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sz w:val="32"/>
          <w:szCs w:val="32"/>
          <w:highlight w:val="none"/>
          <w:lang w:val="en-US" w:eastAsia="zh-CN"/>
        </w:rPr>
        <w:t>最终中标公司及中标价格通过龙岗政府在线的龙岗区教育局“阳光采购”栏目对结果进行公示，并发出中标通知书。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业务咨询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业务联系人：余老师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联系电话：  0755-89551975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地址：龙岗区中心城清林中路213号教育综合大厦309办公室。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numPr>
          <w:ilvl w:val="0"/>
          <w:numId w:val="0"/>
        </w:numPr>
        <w:spacing w:line="600" w:lineRule="exact"/>
        <w:ind w:leftChars="0"/>
        <w:jc w:val="center"/>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w:t>
      </w:r>
    </w:p>
    <w:p>
      <w:pPr>
        <w:numPr>
          <w:ilvl w:val="0"/>
          <w:numId w:val="0"/>
        </w:numPr>
        <w:spacing w:line="600" w:lineRule="exact"/>
        <w:ind w:leftChars="0"/>
        <w:jc w:val="center"/>
        <w:rPr>
          <w:rFonts w:hint="eastAsia" w:ascii="仿宋" w:hAnsi="仿宋" w:eastAsia="仿宋" w:cs="仿宋"/>
          <w:bCs/>
          <w:kern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龙岗区教育局</w:t>
      </w:r>
    </w:p>
    <w:p>
      <w:pPr>
        <w:numPr>
          <w:ilvl w:val="0"/>
          <w:numId w:val="0"/>
        </w:numPr>
        <w:spacing w:line="600" w:lineRule="exact"/>
        <w:ind w:leftChars="0"/>
        <w:jc w:val="right"/>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2025年7月21日</w:t>
      </w:r>
    </w:p>
    <w:p>
      <w:pPr>
        <w:jc w:val="left"/>
        <w:rPr>
          <w:rFonts w:hint="eastAsia" w:ascii="宋体" w:hAnsi="宋体" w:eastAsia="宋体" w:cs="宋体"/>
          <w:b/>
          <w:bCs/>
          <w:sz w:val="28"/>
          <w:szCs w:val="28"/>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H Yb 2gj">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9DB4B"/>
    <w:multiLevelType w:val="singleLevel"/>
    <w:tmpl w:val="A119DB4B"/>
    <w:lvl w:ilvl="0" w:tentative="0">
      <w:start w:val="2"/>
      <w:numFmt w:val="chineseCounting"/>
      <w:suff w:val="nothing"/>
      <w:lvlText w:val="（%1）"/>
      <w:lvlJc w:val="left"/>
      <w:rPr>
        <w:rFonts w:hint="eastAsia"/>
      </w:rPr>
    </w:lvl>
  </w:abstractNum>
  <w:abstractNum w:abstractNumId="1">
    <w:nsid w:val="A43DCA20"/>
    <w:multiLevelType w:val="singleLevel"/>
    <w:tmpl w:val="A43DCA20"/>
    <w:lvl w:ilvl="0" w:tentative="0">
      <w:start w:val="1"/>
      <w:numFmt w:val="chineseCounting"/>
      <w:suff w:val="nothing"/>
      <w:lvlText w:val="%1、"/>
      <w:lvlJc w:val="left"/>
      <w:rPr>
        <w:rFonts w:hint="eastAsia"/>
        <w:sz w:val="32"/>
        <w:szCs w:val="32"/>
      </w:rPr>
    </w:lvl>
  </w:abstractNum>
  <w:abstractNum w:abstractNumId="2">
    <w:nsid w:val="4C6C3F94"/>
    <w:multiLevelType w:val="singleLevel"/>
    <w:tmpl w:val="4C6C3F9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20E05"/>
    <w:rsid w:val="01922277"/>
    <w:rsid w:val="024969D8"/>
    <w:rsid w:val="02C66D61"/>
    <w:rsid w:val="02D72D01"/>
    <w:rsid w:val="02DA4CED"/>
    <w:rsid w:val="036D1000"/>
    <w:rsid w:val="042C28C0"/>
    <w:rsid w:val="065B5A88"/>
    <w:rsid w:val="06F23CF7"/>
    <w:rsid w:val="08050524"/>
    <w:rsid w:val="095313C2"/>
    <w:rsid w:val="0A94125F"/>
    <w:rsid w:val="0CB462EB"/>
    <w:rsid w:val="0E044922"/>
    <w:rsid w:val="0EB47994"/>
    <w:rsid w:val="10636C3B"/>
    <w:rsid w:val="11955A3F"/>
    <w:rsid w:val="13600912"/>
    <w:rsid w:val="15815AD7"/>
    <w:rsid w:val="163C4F8E"/>
    <w:rsid w:val="16ED6288"/>
    <w:rsid w:val="17B44769"/>
    <w:rsid w:val="186825AE"/>
    <w:rsid w:val="197D61A0"/>
    <w:rsid w:val="19880107"/>
    <w:rsid w:val="1A4D304A"/>
    <w:rsid w:val="1ACB7819"/>
    <w:rsid w:val="1B71796D"/>
    <w:rsid w:val="1E820E05"/>
    <w:rsid w:val="23EE646C"/>
    <w:rsid w:val="28820959"/>
    <w:rsid w:val="2A1B6F7E"/>
    <w:rsid w:val="2AE1684B"/>
    <w:rsid w:val="2BE47E69"/>
    <w:rsid w:val="2C9F554F"/>
    <w:rsid w:val="2D453739"/>
    <w:rsid w:val="2DF8590E"/>
    <w:rsid w:val="2E6C7C0B"/>
    <w:rsid w:val="2EA213A0"/>
    <w:rsid w:val="30B71ED4"/>
    <w:rsid w:val="311B27B2"/>
    <w:rsid w:val="34877E03"/>
    <w:rsid w:val="35D24DFD"/>
    <w:rsid w:val="3604028D"/>
    <w:rsid w:val="36C32338"/>
    <w:rsid w:val="39C34D75"/>
    <w:rsid w:val="3AC557D1"/>
    <w:rsid w:val="3B121B3D"/>
    <w:rsid w:val="3CE84C78"/>
    <w:rsid w:val="3D182F82"/>
    <w:rsid w:val="3D915310"/>
    <w:rsid w:val="3DDB6676"/>
    <w:rsid w:val="3EEC4865"/>
    <w:rsid w:val="3F6C2DF4"/>
    <w:rsid w:val="3F9E48B5"/>
    <w:rsid w:val="424714E0"/>
    <w:rsid w:val="43F74D81"/>
    <w:rsid w:val="444D17C3"/>
    <w:rsid w:val="445F326D"/>
    <w:rsid w:val="45C81AEB"/>
    <w:rsid w:val="471374A2"/>
    <w:rsid w:val="47AC3472"/>
    <w:rsid w:val="47BD3AC1"/>
    <w:rsid w:val="491D214E"/>
    <w:rsid w:val="4A27193A"/>
    <w:rsid w:val="4A2B5B43"/>
    <w:rsid w:val="4BE6200A"/>
    <w:rsid w:val="4E9E09AC"/>
    <w:rsid w:val="502768E7"/>
    <w:rsid w:val="51215764"/>
    <w:rsid w:val="51FD2B1C"/>
    <w:rsid w:val="5268443A"/>
    <w:rsid w:val="545A0359"/>
    <w:rsid w:val="5809221B"/>
    <w:rsid w:val="59BD6FD0"/>
    <w:rsid w:val="59E327BA"/>
    <w:rsid w:val="5A041D8D"/>
    <w:rsid w:val="5B780652"/>
    <w:rsid w:val="61823F79"/>
    <w:rsid w:val="62E24294"/>
    <w:rsid w:val="63172842"/>
    <w:rsid w:val="63EF5599"/>
    <w:rsid w:val="64B30C27"/>
    <w:rsid w:val="655125D3"/>
    <w:rsid w:val="65536795"/>
    <w:rsid w:val="656B0071"/>
    <w:rsid w:val="664353C9"/>
    <w:rsid w:val="69DC5A89"/>
    <w:rsid w:val="6AC737B4"/>
    <w:rsid w:val="6AD0101C"/>
    <w:rsid w:val="6BB64F1A"/>
    <w:rsid w:val="6D537B3F"/>
    <w:rsid w:val="6F2B2E7D"/>
    <w:rsid w:val="71264BC1"/>
    <w:rsid w:val="72820B90"/>
    <w:rsid w:val="72DA4A88"/>
    <w:rsid w:val="73D95F4D"/>
    <w:rsid w:val="747861FC"/>
    <w:rsid w:val="74BA1537"/>
    <w:rsid w:val="76DB7075"/>
    <w:rsid w:val="7EF70A41"/>
    <w:rsid w:val="7F1465E1"/>
    <w:rsid w:val="7F5D7B66"/>
    <w:rsid w:val="FAF1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unhideWhenUsed/>
    <w:qFormat/>
    <w:uiPriority w:val="0"/>
    <w:pPr>
      <w:spacing w:before="260" w:after="260" w:line="240" w:lineRule="auto"/>
      <w:outlineLvl w:val="2"/>
    </w:pPr>
    <w:rPr>
      <w:rFonts w:ascii="宋体" w:hAnsi="宋体" w:eastAsia="宋体" w:cs="Times New Roman"/>
      <w:szCs w:val="32"/>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line="360" w:lineRule="auto"/>
    </w:pPr>
    <w:rPr>
      <w:b/>
      <w:bCs/>
      <w:sz w:val="24"/>
    </w:rPr>
  </w:style>
  <w:style w:type="paragraph" w:styleId="7">
    <w:name w:val="Body Text 2"/>
    <w:basedOn w:val="1"/>
    <w:qFormat/>
    <w:uiPriority w:val="0"/>
    <w:pPr>
      <w:spacing w:line="360" w:lineRule="auto"/>
    </w:pPr>
    <w:rPr>
      <w:sz w:val="24"/>
    </w:rPr>
  </w:style>
  <w:style w:type="paragraph" w:styleId="8">
    <w:name w:val="Body Text Indent"/>
    <w:basedOn w:val="1"/>
    <w:next w:val="1"/>
    <w:qFormat/>
    <w:uiPriority w:val="0"/>
    <w:pPr>
      <w:ind w:left="2098"/>
    </w:pPr>
    <w:rPr>
      <w:color w:val="000000"/>
      <w:sz w:val="24"/>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4">
    <w:name w:val="Default"/>
    <w:next w:val="8"/>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8329</Words>
  <Characters>8589</Characters>
  <Lines>0</Lines>
  <Paragraphs>0</Paragraphs>
  <TotalTime>29</TotalTime>
  <ScaleCrop>false</ScaleCrop>
  <LinksUpToDate>false</LinksUpToDate>
  <CharactersWithSpaces>8826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2022-02-09T09:37:00Z</dcterms:created>
  <dc:creator>admin</dc:creator>
  <cp:lastModifiedBy>林英浩</cp:lastModifiedBy>
  <cp:lastPrinted>2025-07-07T11:19:00Z</cp:lastPrinted>
  <dcterms:modified xsi:type="dcterms:W3CDTF">2025-07-21T03:08:42Z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ABC96F8A494C4E2AAC58EE80C0C168E5</vt:lpwstr>
  </property>
  <property fmtid="{D5CDD505-2E9C-101B-9397-08002B2CF9AE}" pid="4" name="KSOTemplateDocerSaveRecord">
    <vt:lpwstr>eyJoZGlkIjoiMTQ5OWU3ZGU2ZDIzNzUzYTZhMTUwOWJjMGM5NWFlYjYifQ==</vt:lpwstr>
  </property>
</Properties>
</file>