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附件</w:t>
      </w:r>
      <w:r>
        <w:rPr>
          <w:rFonts w:hint="eastAsia" w:ascii="宋体" w:hAnsi="宋体" w:eastAsia="宋体" w:cs="宋体"/>
          <w:b/>
          <w:bCs/>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rPr>
        <w:t>龙岗区教育局</w:t>
      </w:r>
      <w:r>
        <w:rPr>
          <w:rFonts w:hint="eastAsia" w:ascii="方正小标宋简体" w:hAnsi="方正小标宋简体" w:eastAsia="方正小标宋简体" w:cs="方正小标宋简体"/>
          <w:b w:val="0"/>
          <w:bCs w:val="0"/>
          <w:sz w:val="44"/>
          <w:szCs w:val="44"/>
          <w:highlight w:val="none"/>
          <w:lang w:val="en-US" w:eastAsia="zh-CN"/>
        </w:rPr>
        <w:t>2025年校外培训机构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安全检查服务项目采购需求书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highlight w:val="none"/>
          <w:lang w:val="en-US" w:eastAsia="zh-CN"/>
        </w:rPr>
      </w:pP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项目概况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为认真贯彻落实《中华人民共和国民办教育促进法》</w:t>
      </w:r>
      <w:r>
        <w:rPr>
          <w:rFonts w:hint="eastAsia" w:ascii="仿宋_GB2312" w:hAnsi="仿宋_GB2312" w:eastAsia="仿宋_GB2312" w:cs="仿宋_GB2312"/>
          <w:i w:val="0"/>
          <w:iCs w:val="0"/>
          <w:caps w:val="0"/>
          <w:spacing w:val="0"/>
          <w:sz w:val="32"/>
          <w:szCs w:val="32"/>
          <w:highlight w:val="none"/>
          <w:shd w:val="clear"/>
        </w:rPr>
        <w:t>《国务院办公厅关于规范校外培训机构发展的意见》</w:t>
      </w:r>
      <w:r>
        <w:rPr>
          <w:rFonts w:hint="eastAsia" w:ascii="仿宋_GB2312" w:hAnsi="仿宋_GB2312" w:eastAsia="仿宋_GB2312" w:cs="仿宋_GB2312"/>
          <w:i w:val="0"/>
          <w:iCs w:val="0"/>
          <w:caps w:val="0"/>
          <w:spacing w:val="0"/>
          <w:sz w:val="32"/>
          <w:szCs w:val="32"/>
          <w:highlight w:val="none"/>
          <w:shd w:val="clear"/>
          <w:lang w:eastAsia="zh-CN"/>
        </w:rPr>
        <w:t>《</w:t>
      </w:r>
      <w:r>
        <w:rPr>
          <w:rFonts w:hint="eastAsia" w:ascii="仿宋_GB2312" w:hAnsi="仿宋_GB2312" w:eastAsia="仿宋_GB2312" w:cs="仿宋_GB2312"/>
          <w:b w:val="0"/>
          <w:bCs w:val="0"/>
          <w:i w:val="0"/>
          <w:iCs w:val="0"/>
          <w:caps w:val="0"/>
          <w:spacing w:val="0"/>
          <w:sz w:val="32"/>
          <w:szCs w:val="32"/>
          <w:highlight w:val="none"/>
          <w:shd w:val="clear"/>
        </w:rPr>
        <w:t>广东省教育厅 广东省公安厅 广东省消防救援总队关于开展中小学生校外培训“安全守护”专项行动的通知</w:t>
      </w:r>
      <w:r>
        <w:rPr>
          <w:rFonts w:hint="eastAsia" w:ascii="仿宋_GB2312" w:hAnsi="仿宋_GB2312" w:eastAsia="仿宋_GB2312" w:cs="仿宋_GB2312"/>
          <w:b w:val="0"/>
          <w:bCs w:val="0"/>
          <w:i w:val="0"/>
          <w:iCs w:val="0"/>
          <w:caps w:val="0"/>
          <w:spacing w:val="0"/>
          <w:sz w:val="32"/>
          <w:szCs w:val="32"/>
          <w:highlight w:val="none"/>
          <w:shd w:val="clear"/>
          <w:lang w:eastAsia="zh-CN"/>
        </w:rPr>
        <w:t>》</w:t>
      </w:r>
      <w:r>
        <w:rPr>
          <w:rFonts w:hint="eastAsia" w:ascii="仿宋_GB2312" w:hAnsi="仿宋_GB2312" w:eastAsia="仿宋_GB2312" w:cs="仿宋_GB2312"/>
          <w:b w:val="0"/>
          <w:bCs w:val="0"/>
          <w:sz w:val="32"/>
          <w:szCs w:val="32"/>
          <w:highlight w:val="none"/>
          <w:lang w:val="en-US" w:eastAsia="zh-CN"/>
        </w:rPr>
        <w:t>等相关法律法规和政策文件要求，加强校外培训机构安全管理，压实安全生产主体责任，提升安全管理水平，防范安全事故发生，保障学生人身财产安全。龙岗区教育局拟聘请专业机构提供校外培训机构安全检查技术服务。</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预算控制金额（包干）</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服务费用（包干）控制价为：人民币</w:t>
      </w:r>
      <w:r>
        <w:rPr>
          <w:rFonts w:hint="eastAsia" w:ascii="仿宋_GB2312" w:hAnsi="仿宋_GB2312" w:eastAsia="仿宋_GB2312" w:cs="仿宋_GB2312"/>
          <w:b w:val="0"/>
          <w:bCs w:val="0"/>
          <w:color w:val="FF0000"/>
          <w:sz w:val="32"/>
          <w:szCs w:val="32"/>
          <w:highlight w:val="none"/>
          <w:lang w:val="en-US" w:eastAsia="zh-CN"/>
        </w:rPr>
        <w:t>29.7</w:t>
      </w:r>
      <w:r>
        <w:rPr>
          <w:rFonts w:hint="eastAsia" w:ascii="仿宋_GB2312" w:hAnsi="仿宋_GB2312" w:eastAsia="仿宋_GB2312" w:cs="仿宋_GB2312"/>
          <w:b w:val="0"/>
          <w:bCs w:val="0"/>
          <w:sz w:val="32"/>
          <w:szCs w:val="32"/>
          <w:highlight w:val="none"/>
          <w:lang w:val="en-US" w:eastAsia="zh-CN"/>
        </w:rPr>
        <w:t>万元（所报价格超过预算控制金额作无效投标处理）。</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采购方式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自行采购-公开招标</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评标方法</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一</w:t>
      </w:r>
      <w:r>
        <w:rPr>
          <w:rFonts w:hint="eastAsia" w:ascii="仿宋_GB2312" w:hAnsi="宋体" w:eastAsia="仿宋_GB2312"/>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当符合性审核合格供应商达三家或三家以上的，由区教育局评标小组以综合评分法确定预中标供应商；</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二</w:t>
      </w:r>
      <w:r>
        <w:rPr>
          <w:rFonts w:hint="eastAsia" w:ascii="仿宋_GB2312" w:hAnsi="宋体" w:eastAsia="仿宋_GB2312"/>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当符合性审核合格供应商不足三家，则作流标处理。</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hAnsi="宋体" w:eastAsia="仿宋_GB2312"/>
          <w:sz w:val="32"/>
          <w:szCs w:val="32"/>
          <w:highlight w:val="none"/>
          <w:lang w:val="en-US" w:eastAsia="zh-CN"/>
        </w:rPr>
        <w:t>（三）</w:t>
      </w:r>
      <w:r>
        <w:rPr>
          <w:rFonts w:hint="eastAsia" w:ascii="仿宋_GB2312" w:hAnsi="仿宋_GB2312" w:eastAsia="仿宋_GB2312" w:cs="仿宋_GB2312"/>
          <w:b w:val="0"/>
          <w:bCs w:val="0"/>
          <w:sz w:val="32"/>
          <w:szCs w:val="32"/>
          <w:highlight w:val="none"/>
          <w:lang w:val="en-US" w:eastAsia="zh-CN"/>
        </w:rPr>
        <w:t>具体评分项：</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lang w:val="en-US" w:eastAsia="zh-CN"/>
        </w:rPr>
      </w:pPr>
    </w:p>
    <w:tbl>
      <w:tblPr>
        <w:tblStyle w:val="16"/>
        <w:tblW w:w="9566" w:type="dxa"/>
        <w:tblInd w:w="-3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8"/>
        <w:gridCol w:w="1498"/>
        <w:gridCol w:w="709"/>
        <w:gridCol w:w="6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9566" w:type="dxa"/>
            <w:gridSpan w:val="4"/>
            <w:vAlign w:val="top"/>
          </w:tcPr>
          <w:p>
            <w:pPr>
              <w:pStyle w:val="15"/>
              <w:spacing w:before="151" w:line="219" w:lineRule="auto"/>
              <w:jc w:val="both"/>
              <w:rPr>
                <w:rFonts w:hint="eastAsia" w:ascii="宋体" w:hAnsi="宋体" w:eastAsia="宋体" w:cs="宋体"/>
                <w:b/>
                <w:bCs/>
                <w:color w:val="000000" w:themeColor="text1"/>
                <w:spacing w:val="5"/>
                <w:sz w:val="21"/>
                <w:szCs w:val="21"/>
                <w14:textFill>
                  <w14:solidFill>
                    <w14:schemeClr w14:val="tx1"/>
                  </w14:solidFill>
                </w14:textFill>
              </w:rPr>
            </w:pPr>
            <w:r>
              <w:rPr>
                <w:rFonts w:hint="eastAsia" w:cs="宋体"/>
                <w:b/>
                <w:bCs/>
                <w:color w:val="000000" w:themeColor="text1"/>
                <w:spacing w:val="-5"/>
                <w:sz w:val="21"/>
                <w:szCs w:val="21"/>
                <w:lang w:val="en-US" w:eastAsia="zh-CN"/>
                <w14:textFill>
                  <w14:solidFill>
                    <w14:schemeClr w14:val="tx1"/>
                  </w14:solidFill>
                </w14:textFill>
              </w:rPr>
              <w:t>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9566" w:type="dxa"/>
            <w:gridSpan w:val="4"/>
            <w:vAlign w:val="top"/>
          </w:tcPr>
          <w:p>
            <w:pPr>
              <w:pStyle w:val="15"/>
              <w:spacing w:before="151" w:line="219" w:lineRule="auto"/>
              <w:ind w:firstLine="440" w:firstLineChars="200"/>
              <w:rPr>
                <w:rFonts w:hint="eastAsia" w:ascii="宋体" w:hAnsi="宋体" w:eastAsia="宋体" w:cs="宋体"/>
                <w:b w:val="0"/>
                <w:bCs w:val="0"/>
                <w:color w:val="000000" w:themeColor="text1"/>
                <w:spacing w:val="5"/>
                <w:sz w:val="21"/>
                <w:szCs w:val="21"/>
                <w:lang w:val="en-US" w:eastAsia="zh-CN"/>
                <w14:textFill>
                  <w14:solidFill>
                    <w14:schemeClr w14:val="tx1"/>
                  </w14:solidFill>
                </w14:textFill>
              </w:rPr>
            </w:pPr>
            <w:r>
              <w:rPr>
                <w:rFonts w:hint="eastAsia" w:cs="宋体"/>
                <w:b w:val="0"/>
                <w:bCs w:val="0"/>
                <w:color w:val="000000" w:themeColor="text1"/>
                <w:spacing w:val="5"/>
                <w:sz w:val="21"/>
                <w:szCs w:val="21"/>
                <w:lang w:val="en-US" w:eastAsia="zh-CN"/>
                <w14:textFill>
                  <w14:solidFill>
                    <w14:schemeClr w14:val="tx1"/>
                  </w14:solidFill>
                </w14:textFill>
              </w:rPr>
              <w:t>综合评分法，是指投标文件满足招标文件全部实质性要求，且按照评审因素的量化指标评审，得分最高的投标人为中标候选人的评标方法。</w:t>
            </w:r>
          </w:p>
          <w:p>
            <w:pPr>
              <w:pStyle w:val="15"/>
              <w:spacing w:before="151" w:line="219" w:lineRule="auto"/>
              <w:ind w:firstLine="440" w:firstLineChars="200"/>
              <w:rPr>
                <w:rFonts w:hint="eastAsia" w:ascii="宋体" w:hAnsi="宋体" w:eastAsia="宋体" w:cs="宋体"/>
                <w:b w:val="0"/>
                <w:bCs w:val="0"/>
                <w:color w:val="000000" w:themeColor="text1"/>
                <w:spacing w:val="5"/>
                <w:sz w:val="21"/>
                <w:szCs w:val="21"/>
                <w14:textFill>
                  <w14:solidFill>
                    <w14:schemeClr w14:val="tx1"/>
                  </w14:solidFill>
                </w14:textFill>
              </w:rPr>
            </w:pPr>
            <w:r>
              <w:rPr>
                <w:rFonts w:hint="eastAsia" w:ascii="宋体" w:hAnsi="宋体" w:eastAsia="宋体" w:cs="宋体"/>
                <w:b w:val="0"/>
                <w:bCs w:val="0"/>
                <w:color w:val="000000" w:themeColor="text1"/>
                <w:spacing w:val="5"/>
                <w:sz w:val="21"/>
                <w:szCs w:val="21"/>
                <w14:textFill>
                  <w14:solidFill>
                    <w14:schemeClr w14:val="tx1"/>
                  </w14:solidFill>
                </w14:textFill>
              </w:rPr>
              <w:t>价格分计算方法：</w:t>
            </w:r>
          </w:p>
          <w:p>
            <w:pPr>
              <w:pStyle w:val="15"/>
              <w:spacing w:before="151" w:line="219" w:lineRule="auto"/>
              <w:rPr>
                <w:rFonts w:hint="eastAsia" w:ascii="宋体" w:hAnsi="宋体" w:eastAsia="宋体" w:cs="宋体"/>
                <w:b w:val="0"/>
                <w:bCs w:val="0"/>
                <w:color w:val="000000" w:themeColor="text1"/>
                <w:spacing w:val="5"/>
                <w:sz w:val="21"/>
                <w:szCs w:val="21"/>
                <w14:textFill>
                  <w14:solidFill>
                    <w14:schemeClr w14:val="tx1"/>
                  </w14:solidFill>
                </w14:textFill>
              </w:rPr>
            </w:pPr>
            <w:r>
              <w:rPr>
                <w:rFonts w:hint="eastAsia" w:ascii="宋体" w:hAnsi="宋体" w:eastAsia="宋体" w:cs="宋体"/>
                <w:b w:val="0"/>
                <w:bCs w:val="0"/>
                <w:color w:val="000000" w:themeColor="text1"/>
                <w:spacing w:val="5"/>
                <w:sz w:val="21"/>
                <w:szCs w:val="21"/>
                <w14:textFill>
                  <w14:solidFill>
                    <w14:schemeClr w14:val="tx1"/>
                  </w14:solidFill>
                </w14:textFill>
              </w:rPr>
              <w:t xml:space="preserve">采用低价优先法计算，即满足招标文件要求且投标价格最低的投标报价为评标基准价，其价格分为满分。其他投标人的价格分统一按照下列公式计算： </w:t>
            </w:r>
          </w:p>
          <w:p>
            <w:pPr>
              <w:pStyle w:val="15"/>
              <w:spacing w:before="151" w:line="219" w:lineRule="auto"/>
              <w:rPr>
                <w:rFonts w:hint="eastAsia" w:ascii="宋体" w:hAnsi="宋体" w:eastAsia="宋体" w:cs="宋体"/>
                <w:b w:val="0"/>
                <w:bCs w:val="0"/>
                <w:color w:val="000000" w:themeColor="text1"/>
                <w:spacing w:val="5"/>
                <w:sz w:val="21"/>
                <w:szCs w:val="21"/>
                <w14:textFill>
                  <w14:solidFill>
                    <w14:schemeClr w14:val="tx1"/>
                  </w14:solidFill>
                </w14:textFill>
              </w:rPr>
            </w:pPr>
            <w:r>
              <w:rPr>
                <w:rFonts w:hint="eastAsia" w:ascii="宋体" w:hAnsi="宋体" w:eastAsia="宋体" w:cs="宋体"/>
                <w:b w:val="0"/>
                <w:bCs w:val="0"/>
                <w:color w:val="000000" w:themeColor="text1"/>
                <w:spacing w:val="5"/>
                <w:sz w:val="21"/>
                <w:szCs w:val="21"/>
                <w14:textFill>
                  <w14:solidFill>
                    <w14:schemeClr w14:val="tx1"/>
                  </w14:solidFill>
                </w14:textFill>
              </w:rPr>
              <w:t xml:space="preserve">投标报价得分=(评标基准价／投标报价)×100 </w:t>
            </w:r>
          </w:p>
          <w:p>
            <w:pPr>
              <w:pStyle w:val="15"/>
              <w:spacing w:before="151" w:line="219" w:lineRule="auto"/>
              <w:rPr>
                <w:rFonts w:hint="eastAsia" w:ascii="宋体" w:hAnsi="宋体" w:eastAsia="宋体" w:cs="宋体"/>
                <w:b w:val="0"/>
                <w:bCs w:val="0"/>
                <w:color w:val="000000" w:themeColor="text1"/>
                <w:spacing w:val="5"/>
                <w:sz w:val="21"/>
                <w:szCs w:val="21"/>
                <w14:textFill>
                  <w14:solidFill>
                    <w14:schemeClr w14:val="tx1"/>
                  </w14:solidFill>
                </w14:textFill>
              </w:rPr>
            </w:pPr>
            <w:r>
              <w:rPr>
                <w:rFonts w:hint="eastAsia" w:ascii="宋体" w:hAnsi="宋体" w:eastAsia="宋体" w:cs="宋体"/>
                <w:b w:val="0"/>
                <w:bCs w:val="0"/>
                <w:color w:val="000000" w:themeColor="text1"/>
                <w:spacing w:val="5"/>
                <w:sz w:val="21"/>
                <w:szCs w:val="21"/>
                <w14:textFill>
                  <w14:solidFill>
                    <w14:schemeClr w14:val="tx1"/>
                  </w14:solidFill>
                </w14:textFill>
              </w:rPr>
              <w:t xml:space="preserve">评标总得分＝F1×A1＋F2×A2＋……＋Fn×An </w:t>
            </w:r>
          </w:p>
          <w:p>
            <w:pPr>
              <w:pStyle w:val="15"/>
              <w:spacing w:before="151" w:line="219" w:lineRule="auto"/>
              <w:rPr>
                <w:rFonts w:hint="eastAsia" w:ascii="宋体" w:hAnsi="宋体" w:eastAsia="宋体" w:cs="宋体"/>
                <w:b w:val="0"/>
                <w:bCs w:val="0"/>
                <w:color w:val="000000" w:themeColor="text1"/>
                <w:spacing w:val="5"/>
                <w:sz w:val="21"/>
                <w:szCs w:val="21"/>
                <w14:textFill>
                  <w14:solidFill>
                    <w14:schemeClr w14:val="tx1"/>
                  </w14:solidFill>
                </w14:textFill>
              </w:rPr>
            </w:pPr>
            <w:r>
              <w:rPr>
                <w:rFonts w:hint="eastAsia" w:ascii="宋体" w:hAnsi="宋体" w:eastAsia="宋体" w:cs="宋体"/>
                <w:b w:val="0"/>
                <w:bCs w:val="0"/>
                <w:color w:val="000000" w:themeColor="text1"/>
                <w:spacing w:val="5"/>
                <w:sz w:val="21"/>
                <w:szCs w:val="21"/>
                <w14:textFill>
                  <w14:solidFill>
                    <w14:schemeClr w14:val="tx1"/>
                  </w14:solidFill>
                </w14:textFill>
              </w:rPr>
              <w:t xml:space="preserve">F1、F2……Fn分别为各项评审因素的得分； </w:t>
            </w:r>
          </w:p>
          <w:p>
            <w:pPr>
              <w:pStyle w:val="15"/>
              <w:spacing w:before="151" w:line="219" w:lineRule="auto"/>
              <w:rPr>
                <w:rFonts w:hint="eastAsia" w:ascii="宋体" w:hAnsi="宋体" w:eastAsia="宋体" w:cs="宋体"/>
                <w:b w:val="0"/>
                <w:bCs w:val="0"/>
                <w:color w:val="000000" w:themeColor="text1"/>
                <w:spacing w:val="5"/>
                <w:sz w:val="21"/>
                <w:szCs w:val="21"/>
                <w14:textFill>
                  <w14:solidFill>
                    <w14:schemeClr w14:val="tx1"/>
                  </w14:solidFill>
                </w14:textFill>
              </w:rPr>
            </w:pPr>
            <w:r>
              <w:rPr>
                <w:rFonts w:hint="eastAsia" w:ascii="宋体" w:hAnsi="宋体" w:eastAsia="宋体" w:cs="宋体"/>
                <w:b w:val="0"/>
                <w:bCs w:val="0"/>
                <w:color w:val="000000" w:themeColor="text1"/>
                <w:spacing w:val="5"/>
                <w:sz w:val="21"/>
                <w:szCs w:val="21"/>
                <w14:textFill>
                  <w14:solidFill>
                    <w14:schemeClr w14:val="tx1"/>
                  </w14:solidFill>
                </w14:textFill>
              </w:rPr>
              <w:t xml:space="preserve">A1、A2、……An 分别为各项评审因素所占的权重(A1＋A2＋……＋An＝1)。 </w:t>
            </w:r>
          </w:p>
          <w:p>
            <w:pPr>
              <w:pStyle w:val="15"/>
              <w:spacing w:before="151" w:line="219" w:lineRule="auto"/>
              <w:rPr>
                <w:rFonts w:hint="eastAsia" w:ascii="宋体" w:hAnsi="宋体" w:eastAsia="宋体" w:cs="宋体"/>
                <w:b/>
                <w:bCs/>
                <w:color w:val="000000" w:themeColor="text1"/>
                <w:spacing w:val="5"/>
                <w:sz w:val="21"/>
                <w:szCs w:val="21"/>
                <w14:textFill>
                  <w14:solidFill>
                    <w14:schemeClr w14:val="tx1"/>
                  </w14:solidFill>
                </w14:textFill>
              </w:rPr>
            </w:pPr>
            <w:r>
              <w:rPr>
                <w:rFonts w:hint="eastAsia" w:ascii="宋体" w:hAnsi="宋体" w:eastAsia="宋体" w:cs="宋体"/>
                <w:b w:val="0"/>
                <w:bCs w:val="0"/>
                <w:color w:val="000000" w:themeColor="text1"/>
                <w:spacing w:val="5"/>
                <w:sz w:val="21"/>
                <w:szCs w:val="21"/>
                <w14:textFill>
                  <w14:solidFill>
                    <w14:schemeClr w14:val="tx1"/>
                  </w14:solidFill>
                </w14:textFill>
              </w:rPr>
              <w:t>评标过程中，不得去掉报价中的最高报价和最低报价。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2805" w:type="dxa"/>
            <w:gridSpan w:val="3"/>
            <w:vAlign w:val="top"/>
          </w:tcPr>
          <w:p>
            <w:pPr>
              <w:pStyle w:val="15"/>
              <w:spacing w:before="151" w:line="220" w:lineRule="auto"/>
              <w:ind w:left="115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5"/>
                <w:sz w:val="21"/>
                <w:szCs w:val="21"/>
                <w14:textFill>
                  <w14:solidFill>
                    <w14:schemeClr w14:val="tx1"/>
                  </w14:solidFill>
                </w14:textFill>
              </w:rPr>
              <w:t>评分项</w:t>
            </w:r>
          </w:p>
        </w:tc>
        <w:tc>
          <w:tcPr>
            <w:tcW w:w="6761" w:type="dxa"/>
            <w:vAlign w:val="top"/>
          </w:tcPr>
          <w:p>
            <w:pPr>
              <w:pStyle w:val="15"/>
              <w:spacing w:before="151" w:line="219" w:lineRule="auto"/>
              <w:ind w:left="2497"/>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5"/>
                <w:sz w:val="21"/>
                <w:szCs w:val="21"/>
                <w14:textFill>
                  <w14:solidFill>
                    <w14:schemeClr w14:val="tx1"/>
                  </w14:solidFill>
                </w14:textFill>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2805" w:type="dxa"/>
            <w:gridSpan w:val="3"/>
            <w:vAlign w:val="top"/>
          </w:tcPr>
          <w:p>
            <w:pPr>
              <w:pStyle w:val="15"/>
              <w:spacing w:before="24" w:line="205" w:lineRule="auto"/>
              <w:ind w:left="126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5"/>
                <w:sz w:val="21"/>
                <w:szCs w:val="21"/>
                <w14:textFill>
                  <w14:solidFill>
                    <w14:schemeClr w14:val="tx1"/>
                  </w14:solidFill>
                </w14:textFill>
              </w:rPr>
              <w:t>价格</w:t>
            </w:r>
          </w:p>
        </w:tc>
        <w:tc>
          <w:tcPr>
            <w:tcW w:w="6761" w:type="dxa"/>
            <w:vAlign w:val="top"/>
          </w:tcPr>
          <w:p>
            <w:pPr>
              <w:pStyle w:val="15"/>
              <w:spacing w:before="88" w:line="192" w:lineRule="exact"/>
              <w:ind w:left="2804"/>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7"/>
                <w:position w:val="-2"/>
                <w:sz w:val="21"/>
                <w:szCs w:val="21"/>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2805" w:type="dxa"/>
            <w:gridSpan w:val="3"/>
            <w:vAlign w:val="top"/>
          </w:tcPr>
          <w:p>
            <w:pPr>
              <w:pStyle w:val="15"/>
              <w:spacing w:before="37" w:line="203" w:lineRule="auto"/>
              <w:ind w:left="103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5"/>
                <w:sz w:val="21"/>
                <w:szCs w:val="21"/>
                <w14:textFill>
                  <w14:solidFill>
                    <w14:schemeClr w14:val="tx1"/>
                  </w14:solidFill>
                </w14:textFill>
              </w:rPr>
              <w:t>技术部分</w:t>
            </w:r>
          </w:p>
        </w:tc>
        <w:tc>
          <w:tcPr>
            <w:tcW w:w="6761" w:type="dxa"/>
            <w:vAlign w:val="top"/>
          </w:tcPr>
          <w:p>
            <w:pPr>
              <w:pStyle w:val="15"/>
              <w:spacing w:before="99" w:line="191" w:lineRule="exact"/>
              <w:ind w:left="2804"/>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pacing w:val="-4"/>
                <w:position w:val="-2"/>
                <w:sz w:val="21"/>
                <w:szCs w:val="21"/>
                <w:lang w:val="en-US" w:eastAsia="zh-CN"/>
                <w14:textFill>
                  <w14:solidFill>
                    <w14:schemeClr w14:val="tx1"/>
                  </w14:solidFill>
                </w14:textFill>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598" w:type="dxa"/>
            <w:textDirection w:val="tbRlV"/>
            <w:vAlign w:val="top"/>
          </w:tcPr>
          <w:p>
            <w:pPr>
              <w:pStyle w:val="15"/>
              <w:spacing w:before="233" w:line="199" w:lineRule="auto"/>
              <w:ind w:left="18"/>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1498" w:type="dxa"/>
            <w:vAlign w:val="top"/>
          </w:tcPr>
          <w:p>
            <w:pPr>
              <w:pStyle w:val="15"/>
              <w:spacing w:before="150" w:line="219" w:lineRule="auto"/>
              <w:ind w:left="34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2"/>
                <w:sz w:val="21"/>
                <w:szCs w:val="21"/>
                <w14:textFill>
                  <w14:solidFill>
                    <w14:schemeClr w14:val="tx1"/>
                  </w14:solidFill>
                </w14:textFill>
              </w:rPr>
              <w:t>评分因素</w:t>
            </w:r>
          </w:p>
        </w:tc>
        <w:tc>
          <w:tcPr>
            <w:tcW w:w="709" w:type="dxa"/>
            <w:vAlign w:val="top"/>
          </w:tcPr>
          <w:p>
            <w:pPr>
              <w:pStyle w:val="15"/>
              <w:spacing w:before="30" w:line="196" w:lineRule="auto"/>
              <w:ind w:left="172" w:right="133" w:hanging="5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权重</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pacing w:val="-11"/>
                <w:sz w:val="21"/>
                <w:szCs w:val="21"/>
                <w14:textFill>
                  <w14:solidFill>
                    <w14:schemeClr w14:val="tx1"/>
                  </w14:solidFill>
                </w14:textFill>
              </w:rPr>
              <w:t>(%)</w:t>
            </w:r>
          </w:p>
        </w:tc>
        <w:tc>
          <w:tcPr>
            <w:tcW w:w="6761" w:type="dxa"/>
            <w:vAlign w:val="top"/>
          </w:tcPr>
          <w:p>
            <w:pPr>
              <w:pStyle w:val="15"/>
              <w:spacing w:before="151" w:line="220" w:lineRule="auto"/>
              <w:ind w:left="2464"/>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评分准则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6" w:hRule="atLeast"/>
        </w:trPr>
        <w:tc>
          <w:tcPr>
            <w:tcW w:w="598" w:type="dxa"/>
            <w:vAlign w:val="center"/>
          </w:tcPr>
          <w:p>
            <w:pPr>
              <w:pStyle w:val="15"/>
              <w:spacing w:before="89" w:line="184" w:lineRule="auto"/>
              <w:ind w:left="260" w:right="-239" w:rightChars="-114"/>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498" w:type="dxa"/>
            <w:vAlign w:val="center"/>
          </w:tcPr>
          <w:p>
            <w:pPr>
              <w:pStyle w:val="15"/>
              <w:spacing w:before="2" w:line="207" w:lineRule="auto"/>
              <w:ind w:left="209" w:leftChars="0" w:right="-239" w:rightChars="-114" w:hanging="209" w:hangingChars="98"/>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2"/>
                <w:sz w:val="21"/>
                <w:szCs w:val="21"/>
                <w:lang w:eastAsia="zh-CN"/>
                <w14:textFill>
                  <w14:solidFill>
                    <w14:schemeClr w14:val="tx1"/>
                  </w14:solidFill>
                </w14:textFill>
              </w:rPr>
              <w:t>服务方案</w:t>
            </w:r>
          </w:p>
        </w:tc>
        <w:tc>
          <w:tcPr>
            <w:tcW w:w="709" w:type="dxa"/>
            <w:vAlign w:val="center"/>
          </w:tcPr>
          <w:p>
            <w:pPr>
              <w:pStyle w:val="15"/>
              <w:spacing w:before="169" w:line="184" w:lineRule="auto"/>
              <w:ind w:left="233" w:right="-239" w:rightChars="-114"/>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pacing w:val="-7"/>
                <w:sz w:val="21"/>
                <w:szCs w:val="21"/>
                <w:lang w:val="en-US" w:eastAsia="zh-CN"/>
                <w14:textFill>
                  <w14:solidFill>
                    <w14:schemeClr w14:val="tx1"/>
                  </w14:solidFill>
                </w14:textFill>
              </w:rPr>
              <w:t>10</w:t>
            </w:r>
          </w:p>
        </w:tc>
        <w:tc>
          <w:tcPr>
            <w:tcW w:w="6761" w:type="dxa"/>
            <w:vAlign w:val="top"/>
          </w:tcPr>
          <w:p>
            <w:pPr>
              <w:pStyle w:val="15"/>
              <w:keepNext w:val="0"/>
              <w:keepLines w:val="0"/>
              <w:pageBreakBefore w:val="0"/>
              <w:widowControl/>
              <w:tabs>
                <w:tab w:val="left" w:pos="5880"/>
              </w:tabs>
              <w:kinsoku w:val="0"/>
              <w:wordWrap/>
              <w:overflowPunct/>
              <w:topLinePunct w:val="0"/>
              <w:autoSpaceDE w:val="0"/>
              <w:autoSpaceDN w:val="0"/>
              <w:bidi w:val="0"/>
              <w:adjustRightInd w:val="0"/>
              <w:snapToGrid w:val="0"/>
              <w:spacing w:line="380" w:lineRule="exact"/>
              <w:ind w:left="127" w:right="21" w:rightChars="1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3"/>
                <w:sz w:val="21"/>
                <w:szCs w:val="21"/>
                <w14:textFill>
                  <w14:solidFill>
                    <w14:schemeClr w14:val="tx1"/>
                  </w14:solidFill>
                </w14:textFill>
              </w:rPr>
              <w:t>(一)评分内容：</w:t>
            </w:r>
          </w:p>
          <w:p>
            <w:pPr>
              <w:pStyle w:val="15"/>
              <w:keepNext w:val="0"/>
              <w:keepLines w:val="0"/>
              <w:pageBreakBefore w:val="0"/>
              <w:widowControl/>
              <w:tabs>
                <w:tab w:val="left" w:pos="5880"/>
              </w:tabs>
              <w:kinsoku w:val="0"/>
              <w:wordWrap/>
              <w:overflowPunct/>
              <w:topLinePunct w:val="0"/>
              <w:autoSpaceDE w:val="0"/>
              <w:autoSpaceDN w:val="0"/>
              <w:bidi w:val="0"/>
              <w:adjustRightInd w:val="0"/>
              <w:snapToGrid w:val="0"/>
              <w:spacing w:line="380" w:lineRule="exact"/>
              <w:ind w:left="124" w:right="21" w:rightChars="10" w:firstLine="210" w:firstLineChars="10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根据投标人提供的方案进行打分，内容包括：</w:t>
            </w:r>
          </w:p>
          <w:p>
            <w:pPr>
              <w:pStyle w:val="15"/>
              <w:keepNext w:val="0"/>
              <w:keepLines w:val="0"/>
              <w:pageBreakBefore w:val="0"/>
              <w:widowControl/>
              <w:tabs>
                <w:tab w:val="left" w:pos="5880"/>
              </w:tabs>
              <w:kinsoku w:val="0"/>
              <w:wordWrap/>
              <w:overflowPunct/>
              <w:topLinePunct w:val="0"/>
              <w:autoSpaceDE w:val="0"/>
              <w:autoSpaceDN w:val="0"/>
              <w:bidi w:val="0"/>
              <w:adjustRightInd w:val="0"/>
              <w:snapToGrid w:val="0"/>
              <w:spacing w:line="380" w:lineRule="exact"/>
              <w:ind w:left="124" w:right="21" w:rightChars="10"/>
              <w:textAlignment w:val="baseline"/>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pacing w:val="8"/>
                <w:sz w:val="21"/>
                <w:szCs w:val="21"/>
                <w14:textFill>
                  <w14:solidFill>
                    <w14:schemeClr w14:val="tx1"/>
                  </w14:solidFill>
                </w14:textFill>
              </w:rPr>
              <w:t>1、</w:t>
            </w:r>
            <w:r>
              <w:rPr>
                <w:rFonts w:hint="eastAsia" w:asciiTheme="majorEastAsia" w:hAnsiTheme="majorEastAsia" w:eastAsiaTheme="majorEastAsia" w:cstheme="majorEastAsia"/>
                <w:color w:val="auto"/>
                <w:kern w:val="0"/>
                <w:szCs w:val="21"/>
                <w:highlight w:val="none"/>
              </w:rPr>
              <w:t>项目实施总体思路</w:t>
            </w:r>
            <w:r>
              <w:rPr>
                <w:rFonts w:hint="eastAsia" w:asciiTheme="majorEastAsia" w:hAnsiTheme="majorEastAsia" w:eastAsiaTheme="majorEastAsia" w:cstheme="majorEastAsia"/>
                <w:color w:val="000000" w:themeColor="text1"/>
                <w:spacing w:val="8"/>
                <w:sz w:val="21"/>
                <w:szCs w:val="21"/>
                <w14:textFill>
                  <w14:solidFill>
                    <w14:schemeClr w14:val="tx1"/>
                  </w14:solidFill>
                </w14:textFill>
              </w:rPr>
              <w:t>；</w:t>
            </w:r>
          </w:p>
          <w:p>
            <w:pPr>
              <w:pStyle w:val="15"/>
              <w:keepNext w:val="0"/>
              <w:keepLines w:val="0"/>
              <w:pageBreakBefore w:val="0"/>
              <w:widowControl/>
              <w:tabs>
                <w:tab w:val="left" w:pos="5880"/>
              </w:tabs>
              <w:kinsoku w:val="0"/>
              <w:wordWrap/>
              <w:overflowPunct/>
              <w:topLinePunct w:val="0"/>
              <w:autoSpaceDE w:val="0"/>
              <w:autoSpaceDN w:val="0"/>
              <w:bidi w:val="0"/>
              <w:adjustRightInd w:val="0"/>
              <w:snapToGrid w:val="0"/>
              <w:spacing w:line="380" w:lineRule="exact"/>
              <w:ind w:left="124" w:right="21" w:rightChars="1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7"/>
                <w:sz w:val="21"/>
                <w:szCs w:val="21"/>
                <w14:textFill>
                  <w14:solidFill>
                    <w14:schemeClr w14:val="tx1"/>
                  </w14:solidFill>
                </w14:textFill>
              </w:rPr>
              <w:t>2、</w:t>
            </w:r>
            <w:r>
              <w:rPr>
                <w:rFonts w:hint="eastAsia" w:ascii="宋体" w:hAnsi="宋体" w:eastAsia="宋体" w:cs="宋体"/>
                <w:color w:val="000000" w:themeColor="text1"/>
                <w:spacing w:val="7"/>
                <w:sz w:val="21"/>
                <w:szCs w:val="21"/>
                <w:lang w:eastAsia="zh-CN"/>
                <w14:textFill>
                  <w14:solidFill>
                    <w14:schemeClr w14:val="tx1"/>
                  </w14:solidFill>
                </w14:textFill>
              </w:rPr>
              <w:t>项目的实施流程及内容</w:t>
            </w:r>
            <w:r>
              <w:rPr>
                <w:rFonts w:hint="eastAsia" w:ascii="宋体" w:hAnsi="宋体" w:eastAsia="宋体" w:cs="宋体"/>
                <w:color w:val="000000" w:themeColor="text1"/>
                <w:spacing w:val="7"/>
                <w:sz w:val="21"/>
                <w:szCs w:val="21"/>
                <w14:textFill>
                  <w14:solidFill>
                    <w14:schemeClr w14:val="tx1"/>
                  </w14:solidFill>
                </w14:textFill>
              </w:rPr>
              <w:t>；</w:t>
            </w:r>
          </w:p>
          <w:p>
            <w:pPr>
              <w:pStyle w:val="15"/>
              <w:keepNext w:val="0"/>
              <w:keepLines w:val="0"/>
              <w:pageBreakBefore w:val="0"/>
              <w:widowControl/>
              <w:tabs>
                <w:tab w:val="left" w:pos="5880"/>
              </w:tabs>
              <w:kinsoku w:val="0"/>
              <w:wordWrap/>
              <w:overflowPunct/>
              <w:topLinePunct w:val="0"/>
              <w:autoSpaceDE w:val="0"/>
              <w:autoSpaceDN w:val="0"/>
              <w:bidi w:val="0"/>
              <w:adjustRightInd w:val="0"/>
              <w:snapToGrid w:val="0"/>
              <w:spacing w:line="380" w:lineRule="exact"/>
              <w:ind w:left="124" w:right="21" w:rightChars="1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7"/>
                <w:sz w:val="21"/>
                <w:szCs w:val="21"/>
                <w14:textFill>
                  <w14:solidFill>
                    <w14:schemeClr w14:val="tx1"/>
                  </w14:solidFill>
                </w14:textFill>
              </w:rPr>
              <w:t>3、</w:t>
            </w:r>
            <w:r>
              <w:rPr>
                <w:rFonts w:hint="eastAsia" w:ascii="宋体" w:hAnsi="宋体" w:eastAsia="宋体" w:cs="宋体"/>
                <w:color w:val="auto"/>
                <w:kern w:val="0"/>
                <w:szCs w:val="21"/>
                <w:highlight w:val="none"/>
              </w:rPr>
              <w:t>保密工作措施</w:t>
            </w:r>
            <w:r>
              <w:rPr>
                <w:rFonts w:hint="eastAsia" w:ascii="宋体" w:hAnsi="宋体" w:eastAsia="宋体" w:cs="宋体"/>
                <w:color w:val="000000" w:themeColor="text1"/>
                <w:spacing w:val="7"/>
                <w:sz w:val="21"/>
                <w:szCs w:val="21"/>
                <w14:textFill>
                  <w14:solidFill>
                    <w14:schemeClr w14:val="tx1"/>
                  </w14:solidFill>
                </w14:textFill>
              </w:rPr>
              <w:t>；</w:t>
            </w:r>
          </w:p>
          <w:p>
            <w:pPr>
              <w:pStyle w:val="15"/>
              <w:keepNext w:val="0"/>
              <w:keepLines w:val="0"/>
              <w:pageBreakBefore w:val="0"/>
              <w:widowControl/>
              <w:tabs>
                <w:tab w:val="left" w:pos="5880"/>
              </w:tabs>
              <w:kinsoku w:val="0"/>
              <w:wordWrap/>
              <w:overflowPunct/>
              <w:topLinePunct w:val="0"/>
              <w:autoSpaceDE w:val="0"/>
              <w:autoSpaceDN w:val="0"/>
              <w:bidi w:val="0"/>
              <w:adjustRightInd w:val="0"/>
              <w:snapToGrid w:val="0"/>
              <w:spacing w:line="380" w:lineRule="exact"/>
              <w:ind w:left="124" w:right="21" w:rightChars="1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r>
              <w:rPr>
                <w:rFonts w:hint="eastAsia" w:ascii="宋体" w:hAnsi="宋体" w:eastAsia="宋体" w:cs="宋体"/>
                <w:color w:val="000000" w:themeColor="text1"/>
                <w:sz w:val="21"/>
                <w:szCs w:val="21"/>
                <w:lang w:eastAsia="zh-CN"/>
                <w14:textFill>
                  <w14:solidFill>
                    <w14:schemeClr w14:val="tx1"/>
                  </w14:solidFill>
                </w14:textFill>
              </w:rPr>
              <w:t>项目的管理措施</w:t>
            </w:r>
            <w:r>
              <w:rPr>
                <w:rFonts w:hint="eastAsia" w:ascii="宋体" w:hAnsi="宋体" w:eastAsia="宋体" w:cs="宋体"/>
                <w:color w:val="000000" w:themeColor="text1"/>
                <w:sz w:val="21"/>
                <w:szCs w:val="21"/>
                <w14:textFill>
                  <w14:solidFill>
                    <w14:schemeClr w14:val="tx1"/>
                  </w14:solidFill>
                </w14:textFill>
              </w:rPr>
              <w:t>。</w:t>
            </w:r>
          </w:p>
          <w:p>
            <w:pPr>
              <w:pStyle w:val="15"/>
              <w:keepNext w:val="0"/>
              <w:keepLines w:val="0"/>
              <w:pageBreakBefore w:val="0"/>
              <w:widowControl/>
              <w:tabs>
                <w:tab w:val="left" w:pos="5880"/>
              </w:tabs>
              <w:kinsoku w:val="0"/>
              <w:wordWrap/>
              <w:overflowPunct/>
              <w:topLinePunct w:val="0"/>
              <w:autoSpaceDE w:val="0"/>
              <w:autoSpaceDN w:val="0"/>
              <w:bidi w:val="0"/>
              <w:adjustRightInd w:val="0"/>
              <w:snapToGrid w:val="0"/>
              <w:spacing w:line="380" w:lineRule="exact"/>
              <w:ind w:left="127" w:right="21" w:rightChars="1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3"/>
                <w:sz w:val="21"/>
                <w:szCs w:val="21"/>
                <w14:textFill>
                  <w14:solidFill>
                    <w14:schemeClr w14:val="tx1"/>
                  </w14:solidFill>
                </w14:textFill>
              </w:rPr>
              <w:t>(二)评分依据：</w:t>
            </w:r>
          </w:p>
          <w:p>
            <w:pPr>
              <w:pStyle w:val="15"/>
              <w:keepNext w:val="0"/>
              <w:keepLines w:val="0"/>
              <w:pageBreakBefore w:val="0"/>
              <w:widowControl/>
              <w:tabs>
                <w:tab w:val="left" w:pos="5880"/>
              </w:tabs>
              <w:kinsoku w:val="0"/>
              <w:wordWrap/>
              <w:overflowPunct/>
              <w:topLinePunct w:val="0"/>
              <w:autoSpaceDE w:val="0"/>
              <w:autoSpaceDN w:val="0"/>
              <w:bidi w:val="0"/>
              <w:adjustRightInd w:val="0"/>
              <w:snapToGrid w:val="0"/>
              <w:spacing w:line="380" w:lineRule="exact"/>
              <w:ind w:left="124" w:right="21" w:rightChars="10" w:firstLine="210" w:firstLineChars="10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投标文件包含以上任意一项内容，即可得1</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，四项全部包含的得</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0</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pacing w:val="1"/>
                <w:sz w:val="21"/>
                <w:szCs w:val="21"/>
                <w14:textFill>
                  <w14:solidFill>
                    <w14:schemeClr w14:val="tx1"/>
                  </w14:solidFill>
                </w14:textFill>
              </w:rPr>
              <w:t>在此基础上，专家根据各供应商的具体响应内</w:t>
            </w:r>
            <w:r>
              <w:rPr>
                <w:rFonts w:hint="eastAsia" w:ascii="宋体" w:hAnsi="宋体" w:eastAsia="宋体" w:cs="宋体"/>
                <w:color w:val="000000" w:themeColor="text1"/>
                <w:sz w:val="21"/>
                <w:szCs w:val="21"/>
                <w14:textFill>
                  <w14:solidFill>
                    <w14:schemeClr w14:val="tx1"/>
                  </w14:solidFill>
                </w14:textFill>
              </w:rPr>
              <w:t>容横向比较。</w:t>
            </w:r>
          </w:p>
          <w:p>
            <w:pPr>
              <w:pStyle w:val="15"/>
              <w:keepNext w:val="0"/>
              <w:keepLines w:val="0"/>
              <w:pageBreakBefore w:val="0"/>
              <w:widowControl/>
              <w:tabs>
                <w:tab w:val="left" w:pos="5880"/>
              </w:tabs>
              <w:kinsoku w:val="0"/>
              <w:wordWrap/>
              <w:overflowPunct/>
              <w:topLinePunct w:val="0"/>
              <w:autoSpaceDE w:val="0"/>
              <w:autoSpaceDN w:val="0"/>
              <w:bidi w:val="0"/>
              <w:adjustRightInd w:val="0"/>
              <w:snapToGrid w:val="0"/>
              <w:spacing w:line="380" w:lineRule="exact"/>
              <w:ind w:left="124" w:right="21" w:rightChars="10" w:firstLine="9"/>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评审为优</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要素齐备、内容贴切、针对性强，加</w:t>
            </w:r>
            <w:r>
              <w:rPr>
                <w:rFonts w:hint="eastAsia" w:ascii="宋体" w:hAnsi="宋体" w:eastAsia="宋体" w:cs="宋体"/>
                <w:color w:val="000000" w:themeColor="text1"/>
                <w:spacing w:val="-9"/>
                <w:sz w:val="21"/>
                <w:szCs w:val="21"/>
                <w:lang w:val="en-US" w:eastAsia="zh-CN"/>
                <w14:textFill>
                  <w14:solidFill>
                    <w14:schemeClr w14:val="tx1"/>
                  </w14:solidFill>
                </w14:textFill>
              </w:rPr>
              <w:t>4</w:t>
            </w:r>
            <w:r>
              <w:rPr>
                <w:rFonts w:hint="eastAsia" w:ascii="宋体" w:hAnsi="宋体" w:eastAsia="宋体" w:cs="宋体"/>
                <w:color w:val="000000" w:themeColor="text1"/>
                <w:spacing w:val="-9"/>
                <w:sz w:val="21"/>
                <w:szCs w:val="21"/>
                <w14:textFill>
                  <w14:solidFill>
                    <w14:schemeClr w14:val="tx1"/>
                  </w14:solidFill>
                </w14:textFill>
              </w:rPr>
              <w:t>0</w:t>
            </w:r>
            <w:r>
              <w:rPr>
                <w:rFonts w:hint="eastAsia" w:ascii="宋体" w:hAnsi="宋体" w:eastAsia="宋体" w:cs="宋体"/>
                <w:color w:val="000000" w:themeColor="text1"/>
                <w:spacing w:val="-44"/>
                <w:sz w:val="21"/>
                <w:szCs w:val="21"/>
                <w14:textFill>
                  <w14:solidFill>
                    <w14:schemeClr w14:val="tx1"/>
                  </w14:solidFill>
                </w14:textFill>
              </w:rPr>
              <w:t xml:space="preserve"> </w:t>
            </w:r>
            <w:r>
              <w:rPr>
                <w:rFonts w:hint="eastAsia" w:ascii="宋体" w:hAnsi="宋体" w:eastAsia="宋体" w:cs="宋体"/>
                <w:color w:val="000000" w:themeColor="text1"/>
                <w:spacing w:val="-44"/>
                <w:sz w:val="21"/>
                <w:szCs w:val="21"/>
                <w:lang w:val="en-US" w:eastAsia="zh-CN"/>
                <w14:textFill>
                  <w14:solidFill>
                    <w14:schemeClr w14:val="tx1"/>
                  </w14:solidFill>
                </w14:textFill>
              </w:rPr>
              <w:t>%</w:t>
            </w:r>
            <w:r>
              <w:rPr>
                <w:rFonts w:hint="eastAsia" w:ascii="宋体" w:hAnsi="宋体" w:eastAsia="宋体" w:cs="宋体"/>
                <w:color w:val="000000" w:themeColor="text1"/>
                <w:spacing w:val="-9"/>
                <w:sz w:val="21"/>
                <w:szCs w:val="21"/>
                <w14:textFill>
                  <w14:solidFill>
                    <w14:schemeClr w14:val="tx1"/>
                  </w14:solidFill>
                </w14:textFill>
              </w:rPr>
              <w:t>；</w:t>
            </w:r>
          </w:p>
          <w:p>
            <w:pPr>
              <w:pStyle w:val="15"/>
              <w:keepNext w:val="0"/>
              <w:keepLines w:val="0"/>
              <w:pageBreakBefore w:val="0"/>
              <w:widowControl/>
              <w:tabs>
                <w:tab w:val="left" w:pos="5880"/>
              </w:tabs>
              <w:kinsoku w:val="0"/>
              <w:wordWrap/>
              <w:overflowPunct/>
              <w:topLinePunct w:val="0"/>
              <w:autoSpaceDE w:val="0"/>
              <w:autoSpaceDN w:val="0"/>
              <w:bidi w:val="0"/>
              <w:adjustRightInd w:val="0"/>
              <w:snapToGrid w:val="0"/>
              <w:spacing w:line="380" w:lineRule="exact"/>
              <w:ind w:left="124" w:right="21" w:rightChars="1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2、</w:t>
            </w:r>
            <w:r>
              <w:rPr>
                <w:rFonts w:hint="eastAsia" w:ascii="宋体" w:hAnsi="宋体" w:eastAsia="宋体" w:cs="宋体"/>
                <w:color w:val="000000" w:themeColor="text1"/>
                <w:spacing w:val="0"/>
                <w:sz w:val="21"/>
                <w:szCs w:val="21"/>
                <w14:textFill>
                  <w14:solidFill>
                    <w14:schemeClr w14:val="tx1"/>
                  </w14:solidFill>
                </w14:textFill>
              </w:rPr>
              <w:t>评审为良</w:t>
            </w:r>
            <w:r>
              <w:rPr>
                <w:rFonts w:hint="eastAsia" w:ascii="宋体" w:hAnsi="宋体" w:eastAsia="宋体" w:cs="宋体"/>
                <w:color w:val="000000" w:themeColor="text1"/>
                <w:spacing w:val="0"/>
                <w:sz w:val="21"/>
                <w:szCs w:val="21"/>
                <w:lang w:eastAsia="zh-CN"/>
                <w14:textFill>
                  <w14:solidFill>
                    <w14:schemeClr w14:val="tx1"/>
                  </w14:solidFill>
                </w14:textFill>
              </w:rPr>
              <w:t>，</w:t>
            </w:r>
            <w:r>
              <w:rPr>
                <w:rFonts w:hint="eastAsia" w:ascii="宋体" w:hAnsi="宋体" w:eastAsia="宋体" w:cs="宋体"/>
                <w:color w:val="000000" w:themeColor="text1"/>
                <w:spacing w:val="-1"/>
                <w:sz w:val="21"/>
                <w:szCs w:val="21"/>
                <w14:textFill>
                  <w14:solidFill>
                    <w14:schemeClr w14:val="tx1"/>
                  </w14:solidFill>
                </w14:textFill>
              </w:rPr>
              <w:t>要素比较齐备、内容比较贴切、针对性</w:t>
            </w:r>
            <w:r>
              <w:rPr>
                <w:rFonts w:hint="eastAsia" w:ascii="宋体" w:hAnsi="宋体" w:eastAsia="宋体" w:cs="宋体"/>
                <w:color w:val="000000" w:themeColor="text1"/>
                <w:spacing w:val="12"/>
                <w:sz w:val="21"/>
                <w:szCs w:val="21"/>
                <w14:textFill>
                  <w14:solidFill>
                    <w14:schemeClr w14:val="tx1"/>
                  </w14:solidFill>
                </w14:textFill>
              </w:rPr>
              <w:t>比较强，加</w:t>
            </w:r>
            <w:r>
              <w:rPr>
                <w:rFonts w:hint="eastAsia" w:ascii="宋体" w:hAnsi="宋体" w:eastAsia="宋体" w:cs="宋体"/>
                <w:color w:val="000000" w:themeColor="text1"/>
                <w:spacing w:val="12"/>
                <w:sz w:val="21"/>
                <w:szCs w:val="21"/>
                <w:lang w:val="en-US" w:eastAsia="zh-CN"/>
                <w14:textFill>
                  <w14:solidFill>
                    <w14:schemeClr w14:val="tx1"/>
                  </w14:solidFill>
                </w14:textFill>
              </w:rPr>
              <w:t>3</w:t>
            </w:r>
            <w:r>
              <w:rPr>
                <w:rFonts w:hint="eastAsia" w:ascii="宋体" w:hAnsi="宋体" w:eastAsia="宋体" w:cs="宋体"/>
                <w:color w:val="000000" w:themeColor="text1"/>
                <w:spacing w:val="12"/>
                <w:sz w:val="21"/>
                <w:szCs w:val="21"/>
                <w14:textFill>
                  <w14:solidFill>
                    <w14:schemeClr w14:val="tx1"/>
                  </w14:solidFill>
                </w14:textFill>
              </w:rPr>
              <w:t>0</w:t>
            </w:r>
            <w:r>
              <w:rPr>
                <w:rFonts w:hint="eastAsia" w:ascii="宋体" w:hAnsi="宋体" w:eastAsia="宋体" w:cs="宋体"/>
                <w:color w:val="000000" w:themeColor="text1"/>
                <w:spacing w:val="-44"/>
                <w:sz w:val="21"/>
                <w:szCs w:val="21"/>
                <w:lang w:val="en-US" w:eastAsia="zh-CN"/>
                <w14:textFill>
                  <w14:solidFill>
                    <w14:schemeClr w14:val="tx1"/>
                  </w14:solidFill>
                </w14:textFill>
              </w:rPr>
              <w:t>%</w:t>
            </w:r>
            <w:r>
              <w:rPr>
                <w:rFonts w:hint="eastAsia" w:ascii="宋体" w:hAnsi="宋体" w:eastAsia="宋体" w:cs="宋体"/>
                <w:color w:val="000000" w:themeColor="text1"/>
                <w:spacing w:val="12"/>
                <w:sz w:val="21"/>
                <w:szCs w:val="21"/>
                <w14:textFill>
                  <w14:solidFill>
                    <w14:schemeClr w14:val="tx1"/>
                  </w14:solidFill>
                </w14:textFill>
              </w:rPr>
              <w:t>；</w:t>
            </w:r>
          </w:p>
          <w:p>
            <w:pPr>
              <w:pStyle w:val="15"/>
              <w:keepNext w:val="0"/>
              <w:keepLines w:val="0"/>
              <w:pageBreakBefore w:val="0"/>
              <w:widowControl/>
              <w:tabs>
                <w:tab w:val="left" w:pos="5880"/>
              </w:tabs>
              <w:kinsoku w:val="0"/>
              <w:wordWrap/>
              <w:overflowPunct/>
              <w:topLinePunct w:val="0"/>
              <w:autoSpaceDE w:val="0"/>
              <w:autoSpaceDN w:val="0"/>
              <w:bidi w:val="0"/>
              <w:adjustRightInd w:val="0"/>
              <w:snapToGrid w:val="0"/>
              <w:spacing w:line="380" w:lineRule="exact"/>
              <w:ind w:left="124" w:right="21" w:rightChars="10"/>
              <w:textAlignment w:val="baseline"/>
              <w:rPr>
                <w:rFonts w:hint="eastAsia" w:ascii="宋体" w:hAnsi="宋体" w:eastAsia="宋体" w:cs="宋体"/>
                <w:color w:val="000000" w:themeColor="text1"/>
                <w:spacing w:val="12"/>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评审为中</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要素较为齐备、内容较为贴切、有一定</w:t>
            </w:r>
            <w:r>
              <w:rPr>
                <w:rFonts w:hint="eastAsia" w:ascii="宋体" w:hAnsi="宋体" w:eastAsia="宋体" w:cs="宋体"/>
                <w:color w:val="000000" w:themeColor="text1"/>
                <w:spacing w:val="12"/>
                <w:sz w:val="21"/>
                <w:szCs w:val="21"/>
                <w14:textFill>
                  <w14:solidFill>
                    <w14:schemeClr w14:val="tx1"/>
                  </w14:solidFill>
                </w14:textFill>
              </w:rPr>
              <w:t>针对性，加20</w:t>
            </w:r>
            <w:r>
              <w:rPr>
                <w:rFonts w:hint="eastAsia" w:ascii="宋体" w:hAnsi="宋体" w:eastAsia="宋体" w:cs="宋体"/>
                <w:color w:val="000000" w:themeColor="text1"/>
                <w:spacing w:val="-44"/>
                <w:sz w:val="21"/>
                <w:szCs w:val="21"/>
                <w:lang w:val="en-US" w:eastAsia="zh-CN"/>
                <w14:textFill>
                  <w14:solidFill>
                    <w14:schemeClr w14:val="tx1"/>
                  </w14:solidFill>
                </w14:textFill>
              </w:rPr>
              <w:t>%</w:t>
            </w:r>
            <w:r>
              <w:rPr>
                <w:rFonts w:hint="eastAsia" w:ascii="宋体" w:hAnsi="宋体" w:eastAsia="宋体" w:cs="宋体"/>
                <w:color w:val="000000" w:themeColor="text1"/>
                <w:spacing w:val="12"/>
                <w:sz w:val="21"/>
                <w:szCs w:val="21"/>
                <w14:textFill>
                  <w14:solidFill>
                    <w14:schemeClr w14:val="tx1"/>
                  </w14:solidFill>
                </w14:textFill>
              </w:rPr>
              <w:t>；</w:t>
            </w:r>
          </w:p>
          <w:p>
            <w:pPr>
              <w:pStyle w:val="15"/>
              <w:keepNext w:val="0"/>
              <w:keepLines w:val="0"/>
              <w:pageBreakBefore w:val="0"/>
              <w:widowControl/>
              <w:tabs>
                <w:tab w:val="left" w:pos="5880"/>
              </w:tabs>
              <w:kinsoku w:val="0"/>
              <w:wordWrap/>
              <w:overflowPunct/>
              <w:topLinePunct w:val="0"/>
              <w:autoSpaceDE w:val="0"/>
              <w:autoSpaceDN w:val="0"/>
              <w:bidi w:val="0"/>
              <w:adjustRightInd w:val="0"/>
              <w:snapToGrid w:val="0"/>
              <w:spacing w:line="380" w:lineRule="exact"/>
              <w:ind w:left="124" w:right="21" w:rightChars="1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cs="宋体"/>
                <w:color w:val="000000" w:themeColor="text1"/>
                <w:spacing w:val="-3"/>
                <w:sz w:val="21"/>
                <w:szCs w:val="21"/>
                <w:lang w:val="en-US" w:eastAsia="zh-CN"/>
                <w14:textFill>
                  <w14:solidFill>
                    <w14:schemeClr w14:val="tx1"/>
                  </w14:solidFill>
                </w14:textFill>
              </w:rPr>
              <w:t>4</w:t>
            </w:r>
            <w:r>
              <w:rPr>
                <w:rFonts w:hint="eastAsia" w:ascii="宋体" w:hAnsi="宋体" w:eastAsia="宋体" w:cs="宋体"/>
                <w:color w:val="000000" w:themeColor="text1"/>
                <w:spacing w:val="-3"/>
                <w:sz w:val="21"/>
                <w:szCs w:val="21"/>
                <w:lang w:val="en-US" w:eastAsia="zh-CN"/>
                <w14:textFill>
                  <w14:solidFill>
                    <w14:schemeClr w14:val="tx1"/>
                  </w14:solidFill>
                </w14:textFill>
              </w:rPr>
              <w:t>、</w:t>
            </w:r>
            <w:r>
              <w:rPr>
                <w:rFonts w:hint="eastAsia" w:ascii="宋体" w:hAnsi="宋体" w:eastAsia="宋体" w:cs="宋体"/>
                <w:color w:val="000000" w:themeColor="text1"/>
                <w:spacing w:val="-3"/>
                <w:sz w:val="21"/>
                <w:szCs w:val="21"/>
                <w14:textFill>
                  <w14:solidFill>
                    <w14:schemeClr w14:val="tx1"/>
                  </w14:solidFill>
                </w14:textFill>
              </w:rPr>
              <w:t>评审为差</w:t>
            </w:r>
            <w:r>
              <w:rPr>
                <w:rFonts w:hint="eastAsia" w:ascii="宋体" w:hAnsi="宋体" w:eastAsia="宋体" w:cs="宋体"/>
                <w:color w:val="000000" w:themeColor="text1"/>
                <w:spacing w:val="-3"/>
                <w:sz w:val="21"/>
                <w:szCs w:val="21"/>
                <w:lang w:eastAsia="zh-CN"/>
                <w14:textFill>
                  <w14:solidFill>
                    <w14:schemeClr w14:val="tx1"/>
                  </w14:solidFill>
                </w14:textFill>
              </w:rPr>
              <w:t>，</w:t>
            </w:r>
            <w:r>
              <w:rPr>
                <w:rFonts w:hint="eastAsia" w:ascii="宋体" w:hAnsi="宋体" w:eastAsia="宋体" w:cs="宋体"/>
                <w:color w:val="000000" w:themeColor="text1"/>
                <w:spacing w:val="-3"/>
                <w:sz w:val="21"/>
                <w:szCs w:val="21"/>
                <w14:textFill>
                  <w14:solidFill>
                    <w14:schemeClr w14:val="tx1"/>
                  </w14:solidFill>
                </w14:textFill>
              </w:rPr>
              <w:t>要素不齐备、内容不贴切、针对性不强，</w:t>
            </w:r>
            <w:r>
              <w:rPr>
                <w:rFonts w:hint="eastAsia" w:ascii="宋体" w:hAnsi="宋体" w:eastAsia="宋体" w:cs="宋体"/>
                <w:color w:val="000000" w:themeColor="text1"/>
                <w:spacing w:val="-2"/>
                <w:sz w:val="21"/>
                <w:szCs w:val="21"/>
                <w14:textFill>
                  <w14:solidFill>
                    <w14:schemeClr w14:val="tx1"/>
                  </w14:solidFill>
                </w14:textFill>
              </w:rPr>
              <w:t>不加分。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598" w:type="dxa"/>
            <w:vAlign w:val="center"/>
          </w:tcPr>
          <w:p>
            <w:pPr>
              <w:pStyle w:val="15"/>
              <w:spacing w:before="114" w:line="183" w:lineRule="auto"/>
              <w:ind w:left="260" w:right="-239" w:rightChars="-114"/>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1498" w:type="dxa"/>
            <w:vAlign w:val="center"/>
          </w:tcPr>
          <w:p>
            <w:pPr>
              <w:pStyle w:val="15"/>
              <w:spacing w:before="56" w:line="206" w:lineRule="auto"/>
              <w:ind w:left="570" w:leftChars="0" w:right="-239" w:rightChars="-114" w:hanging="570" w:firstLineChars="0"/>
              <w:jc w:val="center"/>
              <w:rPr>
                <w:rFonts w:hint="eastAsia" w:ascii="宋体" w:hAnsi="宋体" w:eastAsia="宋体" w:cs="宋体"/>
                <w:color w:val="000000" w:themeColor="text1"/>
                <w:spacing w:val="4"/>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项目</w:t>
            </w:r>
            <w:r>
              <w:rPr>
                <w:rFonts w:hint="eastAsia" w:ascii="宋体" w:hAnsi="宋体" w:eastAsia="宋体" w:cs="宋体"/>
                <w:color w:val="000000" w:themeColor="text1"/>
                <w:spacing w:val="4"/>
                <w:sz w:val="21"/>
                <w:szCs w:val="21"/>
                <w:lang w:eastAsia="zh-CN"/>
                <w14:textFill>
                  <w14:solidFill>
                    <w14:schemeClr w14:val="tx1"/>
                  </w14:solidFill>
                </w14:textFill>
              </w:rPr>
              <w:t>重点</w:t>
            </w:r>
          </w:p>
          <w:p>
            <w:pPr>
              <w:pStyle w:val="15"/>
              <w:spacing w:before="56" w:line="206" w:lineRule="auto"/>
              <w:ind w:left="570" w:leftChars="0" w:right="-239" w:rightChars="-114" w:hanging="57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难点分析</w:t>
            </w:r>
          </w:p>
        </w:tc>
        <w:tc>
          <w:tcPr>
            <w:tcW w:w="709" w:type="dxa"/>
            <w:vAlign w:val="center"/>
          </w:tcPr>
          <w:p>
            <w:pPr>
              <w:pStyle w:val="15"/>
              <w:spacing w:before="193" w:line="184" w:lineRule="auto"/>
              <w:ind w:left="233" w:right="-239" w:rightChars="-114"/>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pacing w:val="-7"/>
                <w:sz w:val="21"/>
                <w:szCs w:val="21"/>
                <w:lang w:val="en-US" w:eastAsia="zh-CN"/>
                <w14:textFill>
                  <w14:solidFill>
                    <w14:schemeClr w14:val="tx1"/>
                  </w14:solidFill>
                </w14:textFill>
              </w:rPr>
              <w:t>10</w:t>
            </w:r>
          </w:p>
        </w:tc>
        <w:tc>
          <w:tcPr>
            <w:tcW w:w="6761" w:type="dxa"/>
            <w:vAlign w:val="top"/>
          </w:tcPr>
          <w:p>
            <w:pPr>
              <w:pStyle w:val="15"/>
              <w:keepNext w:val="0"/>
              <w:keepLines w:val="0"/>
              <w:pageBreakBefore w:val="0"/>
              <w:widowControl/>
              <w:tabs>
                <w:tab w:val="left" w:pos="5880"/>
              </w:tabs>
              <w:kinsoku w:val="0"/>
              <w:wordWrap/>
              <w:overflowPunct/>
              <w:topLinePunct w:val="0"/>
              <w:autoSpaceDE w:val="0"/>
              <w:autoSpaceDN w:val="0"/>
              <w:bidi w:val="0"/>
              <w:adjustRightInd w:val="0"/>
              <w:snapToGrid w:val="0"/>
              <w:spacing w:line="380" w:lineRule="exact"/>
              <w:ind w:left="127" w:right="21" w:rightChars="1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3"/>
                <w:sz w:val="21"/>
                <w:szCs w:val="21"/>
                <w14:textFill>
                  <w14:solidFill>
                    <w14:schemeClr w14:val="tx1"/>
                  </w14:solidFill>
                </w14:textFill>
              </w:rPr>
              <w:t>(一)评分内容：</w:t>
            </w:r>
          </w:p>
          <w:p>
            <w:pPr>
              <w:pStyle w:val="15"/>
              <w:keepNext w:val="0"/>
              <w:keepLines w:val="0"/>
              <w:pageBreakBefore w:val="0"/>
              <w:widowControl/>
              <w:tabs>
                <w:tab w:val="left" w:pos="5880"/>
              </w:tabs>
              <w:kinsoku w:val="0"/>
              <w:wordWrap/>
              <w:overflowPunct/>
              <w:topLinePunct w:val="0"/>
              <w:autoSpaceDE w:val="0"/>
              <w:autoSpaceDN w:val="0"/>
              <w:bidi w:val="0"/>
              <w:adjustRightInd w:val="0"/>
              <w:snapToGrid w:val="0"/>
              <w:spacing w:line="380" w:lineRule="exact"/>
              <w:ind w:left="124" w:right="21" w:rightChars="10" w:firstLine="210" w:firstLineChars="10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根据投标人提供的方案进行打分，内容包括：</w:t>
            </w:r>
          </w:p>
          <w:p>
            <w:pPr>
              <w:pStyle w:val="15"/>
              <w:keepNext w:val="0"/>
              <w:keepLines w:val="0"/>
              <w:pageBreakBefore w:val="0"/>
              <w:widowControl/>
              <w:tabs>
                <w:tab w:val="left" w:pos="5880"/>
              </w:tabs>
              <w:kinsoku w:val="0"/>
              <w:wordWrap/>
              <w:overflowPunct/>
              <w:topLinePunct w:val="0"/>
              <w:autoSpaceDE w:val="0"/>
              <w:autoSpaceDN w:val="0"/>
              <w:bidi w:val="0"/>
              <w:adjustRightInd w:val="0"/>
              <w:snapToGrid w:val="0"/>
              <w:spacing w:line="380" w:lineRule="exact"/>
              <w:ind w:left="124" w:right="21" w:rightChars="1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10"/>
                <w:sz w:val="21"/>
                <w:szCs w:val="21"/>
                <w14:textFill>
                  <w14:solidFill>
                    <w14:schemeClr w14:val="tx1"/>
                  </w14:solidFill>
                </w14:textFill>
              </w:rPr>
              <w:t>1、项目重点情况分析；</w:t>
            </w:r>
          </w:p>
          <w:p>
            <w:pPr>
              <w:pStyle w:val="15"/>
              <w:keepNext w:val="0"/>
              <w:keepLines w:val="0"/>
              <w:pageBreakBefore w:val="0"/>
              <w:widowControl/>
              <w:tabs>
                <w:tab w:val="left" w:pos="5880"/>
              </w:tabs>
              <w:kinsoku w:val="0"/>
              <w:wordWrap/>
              <w:overflowPunct/>
              <w:topLinePunct w:val="0"/>
              <w:autoSpaceDE w:val="0"/>
              <w:autoSpaceDN w:val="0"/>
              <w:bidi w:val="0"/>
              <w:adjustRightInd w:val="0"/>
              <w:snapToGrid w:val="0"/>
              <w:spacing w:line="380" w:lineRule="exact"/>
              <w:ind w:left="124" w:right="21" w:rightChars="1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10"/>
                <w:sz w:val="21"/>
                <w:szCs w:val="21"/>
                <w14:textFill>
                  <w14:solidFill>
                    <w14:schemeClr w14:val="tx1"/>
                  </w14:solidFill>
                </w14:textFill>
              </w:rPr>
              <w:t>2、项目难点情况分析；</w:t>
            </w:r>
          </w:p>
          <w:p>
            <w:pPr>
              <w:pStyle w:val="15"/>
              <w:keepNext w:val="0"/>
              <w:keepLines w:val="0"/>
              <w:pageBreakBefore w:val="0"/>
              <w:widowControl/>
              <w:tabs>
                <w:tab w:val="left" w:pos="5880"/>
              </w:tabs>
              <w:kinsoku w:val="0"/>
              <w:wordWrap/>
              <w:overflowPunct/>
              <w:topLinePunct w:val="0"/>
              <w:autoSpaceDE w:val="0"/>
              <w:autoSpaceDN w:val="0"/>
              <w:bidi w:val="0"/>
              <w:adjustRightInd w:val="0"/>
              <w:snapToGrid w:val="0"/>
              <w:spacing w:line="380" w:lineRule="exact"/>
              <w:ind w:left="124" w:right="21" w:rightChars="1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11"/>
                <w:sz w:val="21"/>
                <w:szCs w:val="21"/>
                <w14:textFill>
                  <w14:solidFill>
                    <w14:schemeClr w14:val="tx1"/>
                  </w14:solidFill>
                </w14:textFill>
              </w:rPr>
              <w:t>3、对应的应对措施；</w:t>
            </w:r>
          </w:p>
          <w:p>
            <w:pPr>
              <w:pStyle w:val="15"/>
              <w:keepNext w:val="0"/>
              <w:keepLines w:val="0"/>
              <w:pageBreakBefore w:val="0"/>
              <w:widowControl/>
              <w:tabs>
                <w:tab w:val="left" w:pos="5880"/>
              </w:tabs>
              <w:kinsoku w:val="0"/>
              <w:wordWrap/>
              <w:overflowPunct/>
              <w:topLinePunct w:val="0"/>
              <w:autoSpaceDE w:val="0"/>
              <w:autoSpaceDN w:val="0"/>
              <w:bidi w:val="0"/>
              <w:adjustRightInd w:val="0"/>
              <w:snapToGrid w:val="0"/>
              <w:spacing w:line="380" w:lineRule="exact"/>
              <w:ind w:left="124" w:right="21" w:rightChars="1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12"/>
                <w:sz w:val="21"/>
                <w:szCs w:val="21"/>
                <w14:textFill>
                  <w14:solidFill>
                    <w14:schemeClr w14:val="tx1"/>
                  </w14:solidFill>
                </w14:textFill>
              </w:rPr>
              <w:t>4、相关合理化建议</w:t>
            </w:r>
            <w:r>
              <w:rPr>
                <w:rFonts w:hint="eastAsia" w:cs="宋体"/>
                <w:color w:val="000000" w:themeColor="text1"/>
                <w:spacing w:val="12"/>
                <w:sz w:val="21"/>
                <w:szCs w:val="21"/>
                <w:lang w:eastAsia="zh-CN"/>
                <w14:textFill>
                  <w14:solidFill>
                    <w14:schemeClr w14:val="tx1"/>
                  </w14:solidFill>
                </w14:textFill>
              </w:rPr>
              <w:t>。</w:t>
            </w:r>
          </w:p>
          <w:p>
            <w:pPr>
              <w:pStyle w:val="15"/>
              <w:keepNext w:val="0"/>
              <w:keepLines w:val="0"/>
              <w:pageBreakBefore w:val="0"/>
              <w:widowControl/>
              <w:tabs>
                <w:tab w:val="left" w:pos="5880"/>
              </w:tabs>
              <w:kinsoku w:val="0"/>
              <w:wordWrap/>
              <w:overflowPunct/>
              <w:topLinePunct w:val="0"/>
              <w:autoSpaceDE w:val="0"/>
              <w:autoSpaceDN w:val="0"/>
              <w:bidi w:val="0"/>
              <w:adjustRightInd w:val="0"/>
              <w:snapToGrid w:val="0"/>
              <w:spacing w:line="380" w:lineRule="exact"/>
              <w:ind w:left="127" w:right="21" w:rightChars="1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3"/>
                <w:sz w:val="21"/>
                <w:szCs w:val="21"/>
                <w14:textFill>
                  <w14:solidFill>
                    <w14:schemeClr w14:val="tx1"/>
                  </w14:solidFill>
                </w14:textFill>
              </w:rPr>
              <w:t>(二)评分依据：</w:t>
            </w:r>
          </w:p>
          <w:p>
            <w:pPr>
              <w:pStyle w:val="15"/>
              <w:keepNext w:val="0"/>
              <w:keepLines w:val="0"/>
              <w:pageBreakBefore w:val="0"/>
              <w:widowControl/>
              <w:tabs>
                <w:tab w:val="left" w:pos="5880"/>
              </w:tabs>
              <w:kinsoku w:val="0"/>
              <w:wordWrap/>
              <w:overflowPunct/>
              <w:topLinePunct w:val="0"/>
              <w:autoSpaceDE w:val="0"/>
              <w:autoSpaceDN w:val="0"/>
              <w:bidi w:val="0"/>
              <w:adjustRightInd w:val="0"/>
              <w:snapToGrid w:val="0"/>
              <w:spacing w:line="380" w:lineRule="exact"/>
              <w:ind w:left="124" w:right="21" w:rightChars="10" w:firstLine="237" w:firstLineChars="113"/>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投标文件包含以上任意一项内容，即可得1</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pacing w:val="-44"/>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，四项全部包含的得</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0</w:t>
            </w:r>
            <w:r>
              <w:rPr>
                <w:rFonts w:hint="eastAsia" w:ascii="宋体" w:hAnsi="宋体" w:eastAsia="宋体" w:cs="宋体"/>
                <w:color w:val="000000" w:themeColor="text1"/>
                <w:spacing w:val="-44"/>
                <w:sz w:val="21"/>
                <w:szCs w:val="21"/>
                <w:lang w:val="en-US" w:eastAsia="zh-CN"/>
                <w14:textFill>
                  <w14:solidFill>
                    <w14:schemeClr w14:val="tx1"/>
                  </w14:solidFill>
                </w14:textFill>
              </w:rPr>
              <w:t>%，</w:t>
            </w:r>
            <w:r>
              <w:rPr>
                <w:rFonts w:hint="eastAsia" w:ascii="宋体" w:hAnsi="宋体" w:eastAsia="宋体" w:cs="宋体"/>
                <w:color w:val="000000" w:themeColor="text1"/>
                <w:spacing w:val="1"/>
                <w:sz w:val="21"/>
                <w:szCs w:val="21"/>
                <w14:textFill>
                  <w14:solidFill>
                    <w14:schemeClr w14:val="tx1"/>
                  </w14:solidFill>
                </w14:textFill>
              </w:rPr>
              <w:t>在此基础上，专家根据各供应商的具体响应内</w:t>
            </w:r>
            <w:r>
              <w:rPr>
                <w:rFonts w:hint="eastAsia" w:ascii="宋体" w:hAnsi="宋体" w:eastAsia="宋体" w:cs="宋体"/>
                <w:color w:val="000000" w:themeColor="text1"/>
                <w:spacing w:val="-1"/>
                <w:sz w:val="21"/>
                <w:szCs w:val="21"/>
                <w14:textFill>
                  <w14:solidFill>
                    <w14:schemeClr w14:val="tx1"/>
                  </w14:solidFill>
                </w14:textFill>
              </w:rPr>
              <w:t>容横向比较。</w:t>
            </w:r>
          </w:p>
          <w:p>
            <w:pPr>
              <w:pStyle w:val="15"/>
              <w:keepNext w:val="0"/>
              <w:keepLines w:val="0"/>
              <w:pageBreakBefore w:val="0"/>
              <w:widowControl/>
              <w:tabs>
                <w:tab w:val="left" w:pos="5880"/>
              </w:tabs>
              <w:kinsoku w:val="0"/>
              <w:wordWrap/>
              <w:overflowPunct/>
              <w:topLinePunct w:val="0"/>
              <w:autoSpaceDE w:val="0"/>
              <w:autoSpaceDN w:val="0"/>
              <w:bidi w:val="0"/>
              <w:adjustRightInd w:val="0"/>
              <w:snapToGrid w:val="0"/>
              <w:spacing w:line="380" w:lineRule="exact"/>
              <w:ind w:left="124" w:right="21" w:rightChars="1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评审为优：要素齐备、内容贴切、针对性强，加</w:t>
            </w:r>
            <w:r>
              <w:rPr>
                <w:rFonts w:hint="eastAsia" w:ascii="宋体" w:hAnsi="宋体" w:eastAsia="宋体" w:cs="宋体"/>
                <w:color w:val="000000" w:themeColor="text1"/>
                <w:spacing w:val="-9"/>
                <w:sz w:val="21"/>
                <w:szCs w:val="21"/>
                <w:lang w:val="en-US" w:eastAsia="zh-CN"/>
                <w14:textFill>
                  <w14:solidFill>
                    <w14:schemeClr w14:val="tx1"/>
                  </w14:solidFill>
                </w14:textFill>
              </w:rPr>
              <w:t>4</w:t>
            </w:r>
            <w:r>
              <w:rPr>
                <w:rFonts w:hint="eastAsia" w:ascii="宋体" w:hAnsi="宋体" w:eastAsia="宋体" w:cs="宋体"/>
                <w:color w:val="000000" w:themeColor="text1"/>
                <w:spacing w:val="-9"/>
                <w:sz w:val="21"/>
                <w:szCs w:val="21"/>
                <w14:textFill>
                  <w14:solidFill>
                    <w14:schemeClr w14:val="tx1"/>
                  </w14:solidFill>
                </w14:textFill>
              </w:rPr>
              <w:t>0</w:t>
            </w:r>
            <w:r>
              <w:rPr>
                <w:rFonts w:hint="eastAsia" w:ascii="宋体" w:hAnsi="宋体" w:eastAsia="宋体" w:cs="宋体"/>
                <w:color w:val="000000" w:themeColor="text1"/>
                <w:spacing w:val="-44"/>
                <w:sz w:val="21"/>
                <w:szCs w:val="21"/>
                <w:lang w:val="en-US" w:eastAsia="zh-CN"/>
                <w14:textFill>
                  <w14:solidFill>
                    <w14:schemeClr w14:val="tx1"/>
                  </w14:solidFill>
                </w14:textFill>
              </w:rPr>
              <w:t>%</w:t>
            </w:r>
            <w:r>
              <w:rPr>
                <w:rFonts w:hint="eastAsia" w:ascii="宋体" w:hAnsi="宋体" w:eastAsia="宋体" w:cs="宋体"/>
                <w:color w:val="000000" w:themeColor="text1"/>
                <w:spacing w:val="-9"/>
                <w:sz w:val="21"/>
                <w:szCs w:val="21"/>
                <w14:textFill>
                  <w14:solidFill>
                    <w14:schemeClr w14:val="tx1"/>
                  </w14:solidFill>
                </w14:textFill>
              </w:rPr>
              <w:t>；</w:t>
            </w:r>
          </w:p>
          <w:p>
            <w:pPr>
              <w:pStyle w:val="15"/>
              <w:keepNext w:val="0"/>
              <w:keepLines w:val="0"/>
              <w:pageBreakBefore w:val="0"/>
              <w:widowControl/>
              <w:tabs>
                <w:tab w:val="left" w:pos="5880"/>
              </w:tabs>
              <w:kinsoku w:val="0"/>
              <w:wordWrap/>
              <w:overflowPunct/>
              <w:topLinePunct w:val="0"/>
              <w:autoSpaceDE w:val="0"/>
              <w:autoSpaceDN w:val="0"/>
              <w:bidi w:val="0"/>
              <w:adjustRightInd w:val="0"/>
              <w:snapToGrid w:val="0"/>
              <w:spacing w:line="380" w:lineRule="exact"/>
              <w:ind w:left="153" w:right="21" w:rightChars="10" w:hanging="29"/>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1"/>
                <w:sz w:val="21"/>
                <w:szCs w:val="21"/>
                <w:lang w:val="en-US" w:eastAsia="zh-CN"/>
                <w14:textFill>
                  <w14:solidFill>
                    <w14:schemeClr w14:val="tx1"/>
                  </w14:solidFill>
                </w14:textFill>
              </w:rPr>
              <w:t>2、</w:t>
            </w:r>
            <w:r>
              <w:rPr>
                <w:rFonts w:hint="eastAsia" w:ascii="宋体" w:hAnsi="宋体" w:eastAsia="宋体" w:cs="宋体"/>
                <w:color w:val="000000" w:themeColor="text1"/>
                <w:spacing w:val="-1"/>
                <w:sz w:val="21"/>
                <w:szCs w:val="21"/>
                <w14:textFill>
                  <w14:solidFill>
                    <w14:schemeClr w14:val="tx1"/>
                  </w14:solidFill>
                </w14:textFill>
              </w:rPr>
              <w:t>评审为良：要素比较齐备、内容比较贴切、针对性</w:t>
            </w:r>
            <w:r>
              <w:rPr>
                <w:rFonts w:hint="eastAsia" w:ascii="宋体" w:hAnsi="宋体" w:eastAsia="宋体" w:cs="宋体"/>
                <w:color w:val="000000" w:themeColor="text1"/>
                <w:spacing w:val="12"/>
                <w:sz w:val="21"/>
                <w:szCs w:val="21"/>
                <w14:textFill>
                  <w14:solidFill>
                    <w14:schemeClr w14:val="tx1"/>
                  </w14:solidFill>
                </w14:textFill>
              </w:rPr>
              <w:t>比较强，加</w:t>
            </w:r>
            <w:r>
              <w:rPr>
                <w:rFonts w:hint="eastAsia" w:ascii="宋体" w:hAnsi="宋体" w:eastAsia="宋体" w:cs="宋体"/>
                <w:color w:val="000000" w:themeColor="text1"/>
                <w:spacing w:val="12"/>
                <w:sz w:val="21"/>
                <w:szCs w:val="21"/>
                <w:lang w:val="en-US" w:eastAsia="zh-CN"/>
                <w14:textFill>
                  <w14:solidFill>
                    <w14:schemeClr w14:val="tx1"/>
                  </w14:solidFill>
                </w14:textFill>
              </w:rPr>
              <w:t>3</w:t>
            </w:r>
            <w:r>
              <w:rPr>
                <w:rFonts w:hint="eastAsia" w:ascii="宋体" w:hAnsi="宋体" w:eastAsia="宋体" w:cs="宋体"/>
                <w:color w:val="000000" w:themeColor="text1"/>
                <w:spacing w:val="12"/>
                <w:sz w:val="21"/>
                <w:szCs w:val="21"/>
                <w14:textFill>
                  <w14:solidFill>
                    <w14:schemeClr w14:val="tx1"/>
                  </w14:solidFill>
                </w14:textFill>
              </w:rPr>
              <w:t>0</w:t>
            </w:r>
            <w:r>
              <w:rPr>
                <w:rFonts w:hint="eastAsia" w:ascii="宋体" w:hAnsi="宋体" w:eastAsia="宋体" w:cs="宋体"/>
                <w:color w:val="000000" w:themeColor="text1"/>
                <w:spacing w:val="-44"/>
                <w:sz w:val="21"/>
                <w:szCs w:val="21"/>
                <w:lang w:val="en-US" w:eastAsia="zh-CN"/>
                <w14:textFill>
                  <w14:solidFill>
                    <w14:schemeClr w14:val="tx1"/>
                  </w14:solidFill>
                </w14:textFill>
              </w:rPr>
              <w:t>%</w:t>
            </w:r>
            <w:r>
              <w:rPr>
                <w:rFonts w:hint="eastAsia" w:ascii="宋体" w:hAnsi="宋体" w:eastAsia="宋体" w:cs="宋体"/>
                <w:color w:val="000000" w:themeColor="text1"/>
                <w:spacing w:val="12"/>
                <w:sz w:val="21"/>
                <w:szCs w:val="21"/>
                <w14:textFill>
                  <w14:solidFill>
                    <w14:schemeClr w14:val="tx1"/>
                  </w14:solidFill>
                </w14:textFill>
              </w:rPr>
              <w:t>；</w:t>
            </w:r>
          </w:p>
          <w:p>
            <w:pPr>
              <w:pStyle w:val="15"/>
              <w:keepNext w:val="0"/>
              <w:keepLines w:val="0"/>
              <w:pageBreakBefore w:val="0"/>
              <w:widowControl/>
              <w:tabs>
                <w:tab w:val="left" w:pos="5880"/>
              </w:tabs>
              <w:kinsoku w:val="0"/>
              <w:wordWrap/>
              <w:overflowPunct/>
              <w:topLinePunct w:val="0"/>
              <w:autoSpaceDE w:val="0"/>
              <w:autoSpaceDN w:val="0"/>
              <w:bidi w:val="0"/>
              <w:adjustRightInd w:val="0"/>
              <w:snapToGrid w:val="0"/>
              <w:spacing w:line="380" w:lineRule="exact"/>
              <w:ind w:left="143" w:right="21" w:rightChars="10" w:hanging="9"/>
              <w:textAlignment w:val="baseline"/>
              <w:rPr>
                <w:rFonts w:hint="eastAsia" w:ascii="宋体" w:hAnsi="宋体" w:eastAsia="宋体" w:cs="宋体"/>
                <w:color w:val="000000" w:themeColor="text1"/>
                <w:spacing w:val="12"/>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评审为中：要素较为齐备、内容较为贴切、有一定</w:t>
            </w:r>
            <w:r>
              <w:rPr>
                <w:rFonts w:hint="eastAsia" w:ascii="宋体" w:hAnsi="宋体" w:eastAsia="宋体" w:cs="宋体"/>
                <w:color w:val="000000" w:themeColor="text1"/>
                <w:spacing w:val="12"/>
                <w:sz w:val="21"/>
                <w:szCs w:val="21"/>
                <w14:textFill>
                  <w14:solidFill>
                    <w14:schemeClr w14:val="tx1"/>
                  </w14:solidFill>
                </w14:textFill>
              </w:rPr>
              <w:t>针对性，加20</w:t>
            </w:r>
            <w:r>
              <w:rPr>
                <w:rFonts w:hint="eastAsia" w:ascii="宋体" w:hAnsi="宋体" w:eastAsia="宋体" w:cs="宋体"/>
                <w:color w:val="000000" w:themeColor="text1"/>
                <w:spacing w:val="-44"/>
                <w:sz w:val="21"/>
                <w:szCs w:val="21"/>
                <w:lang w:val="en-US" w:eastAsia="zh-CN"/>
                <w14:textFill>
                  <w14:solidFill>
                    <w14:schemeClr w14:val="tx1"/>
                  </w14:solidFill>
                </w14:textFill>
              </w:rPr>
              <w:t>%</w:t>
            </w:r>
            <w:r>
              <w:rPr>
                <w:rFonts w:hint="eastAsia" w:ascii="宋体" w:hAnsi="宋体" w:eastAsia="宋体" w:cs="宋体"/>
                <w:color w:val="000000" w:themeColor="text1"/>
                <w:spacing w:val="12"/>
                <w:sz w:val="21"/>
                <w:szCs w:val="21"/>
                <w14:textFill>
                  <w14:solidFill>
                    <w14:schemeClr w14:val="tx1"/>
                  </w14:solidFill>
                </w14:textFill>
              </w:rPr>
              <w:t>；</w:t>
            </w:r>
          </w:p>
          <w:p>
            <w:pPr>
              <w:pStyle w:val="15"/>
              <w:keepNext w:val="0"/>
              <w:keepLines w:val="0"/>
              <w:pageBreakBefore w:val="0"/>
              <w:widowControl/>
              <w:tabs>
                <w:tab w:val="left" w:pos="5880"/>
              </w:tabs>
              <w:kinsoku w:val="0"/>
              <w:wordWrap/>
              <w:overflowPunct/>
              <w:topLinePunct w:val="0"/>
              <w:autoSpaceDE w:val="0"/>
              <w:autoSpaceDN w:val="0"/>
              <w:bidi w:val="0"/>
              <w:adjustRightInd w:val="0"/>
              <w:snapToGrid w:val="0"/>
              <w:spacing w:line="380" w:lineRule="exact"/>
              <w:ind w:left="124" w:right="21" w:rightChars="1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cs="宋体"/>
                <w:color w:val="000000" w:themeColor="text1"/>
                <w:spacing w:val="-3"/>
                <w:sz w:val="21"/>
                <w:szCs w:val="21"/>
                <w:lang w:val="en-US" w:eastAsia="zh-CN"/>
                <w14:textFill>
                  <w14:solidFill>
                    <w14:schemeClr w14:val="tx1"/>
                  </w14:solidFill>
                </w14:textFill>
              </w:rPr>
              <w:t>4</w:t>
            </w:r>
            <w:r>
              <w:rPr>
                <w:rFonts w:hint="eastAsia" w:ascii="宋体" w:hAnsi="宋体" w:eastAsia="宋体" w:cs="宋体"/>
                <w:color w:val="000000" w:themeColor="text1"/>
                <w:spacing w:val="-3"/>
                <w:sz w:val="21"/>
                <w:szCs w:val="21"/>
                <w:lang w:val="en-US" w:eastAsia="zh-CN"/>
                <w14:textFill>
                  <w14:solidFill>
                    <w14:schemeClr w14:val="tx1"/>
                  </w14:solidFill>
                </w14:textFill>
              </w:rPr>
              <w:t>、</w:t>
            </w:r>
            <w:r>
              <w:rPr>
                <w:rFonts w:hint="eastAsia" w:ascii="宋体" w:hAnsi="宋体" w:eastAsia="宋体" w:cs="宋体"/>
                <w:color w:val="000000" w:themeColor="text1"/>
                <w:spacing w:val="-3"/>
                <w:sz w:val="21"/>
                <w:szCs w:val="21"/>
                <w14:textFill>
                  <w14:solidFill>
                    <w14:schemeClr w14:val="tx1"/>
                  </w14:solidFill>
                </w14:textFill>
              </w:rPr>
              <w:t>评审为差：要素不齐备、内容不贴切、针对性不强，</w:t>
            </w:r>
            <w:r>
              <w:rPr>
                <w:rFonts w:hint="eastAsia" w:ascii="宋体" w:hAnsi="宋体" w:eastAsia="宋体" w:cs="宋体"/>
                <w:color w:val="000000" w:themeColor="text1"/>
                <w:spacing w:val="-2"/>
                <w:sz w:val="21"/>
                <w:szCs w:val="21"/>
                <w14:textFill>
                  <w14:solidFill>
                    <w14:schemeClr w14:val="tx1"/>
                  </w14:solidFill>
                </w14:textFill>
              </w:rPr>
              <w:t>不加分。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7" w:hRule="atLeast"/>
        </w:trPr>
        <w:tc>
          <w:tcPr>
            <w:tcW w:w="598" w:type="dxa"/>
            <w:vAlign w:val="center"/>
          </w:tcPr>
          <w:p>
            <w:pPr>
              <w:pStyle w:val="15"/>
              <w:spacing w:before="118" w:line="183" w:lineRule="auto"/>
              <w:ind w:left="260" w:right="-239" w:rightChars="-114"/>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1498" w:type="dxa"/>
            <w:vAlign w:val="center"/>
          </w:tcPr>
          <w:p>
            <w:pPr>
              <w:pStyle w:val="15"/>
              <w:spacing w:before="60" w:line="206" w:lineRule="auto"/>
              <w:ind w:left="690" w:leftChars="0" w:right="-239" w:rightChars="-114" w:hanging="690" w:firstLineChars="0"/>
              <w:jc w:val="center"/>
              <w:rPr>
                <w:rFonts w:hint="eastAsia" w:ascii="宋体" w:hAnsi="宋体" w:eastAsia="宋体" w:cs="宋体"/>
                <w:color w:val="000000" w:themeColor="text1"/>
                <w:spacing w:val="1"/>
                <w:sz w:val="21"/>
                <w:szCs w:val="21"/>
                <w:lang w:eastAsia="zh-CN"/>
                <w14:textFill>
                  <w14:solidFill>
                    <w14:schemeClr w14:val="tx1"/>
                  </w14:solidFill>
                </w14:textFill>
              </w:rPr>
            </w:pPr>
            <w:r>
              <w:rPr>
                <w:rFonts w:hint="eastAsia" w:ascii="宋体" w:hAnsi="宋体" w:eastAsia="宋体" w:cs="宋体"/>
                <w:color w:val="000000" w:themeColor="text1"/>
                <w:spacing w:val="1"/>
                <w:sz w:val="21"/>
                <w:szCs w:val="21"/>
                <w:lang w:eastAsia="zh-CN"/>
                <w14:textFill>
                  <w14:solidFill>
                    <w14:schemeClr w14:val="tx1"/>
                  </w14:solidFill>
                </w14:textFill>
              </w:rPr>
              <w:t>项目质量管理</w:t>
            </w:r>
          </w:p>
          <w:p>
            <w:pPr>
              <w:pStyle w:val="15"/>
              <w:spacing w:before="60" w:line="206" w:lineRule="auto"/>
              <w:ind w:left="690" w:leftChars="0" w:right="-239" w:rightChars="-114" w:hanging="690" w:firstLineChars="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1"/>
                <w:sz w:val="21"/>
                <w:szCs w:val="21"/>
                <w:lang w:eastAsia="zh-CN"/>
                <w14:textFill>
                  <w14:solidFill>
                    <w14:schemeClr w14:val="tx1"/>
                  </w14:solidFill>
                </w14:textFill>
              </w:rPr>
              <w:t>及保障措施</w:t>
            </w:r>
          </w:p>
        </w:tc>
        <w:tc>
          <w:tcPr>
            <w:tcW w:w="709" w:type="dxa"/>
            <w:vAlign w:val="center"/>
          </w:tcPr>
          <w:p>
            <w:pPr>
              <w:pStyle w:val="15"/>
              <w:spacing w:before="197" w:line="184" w:lineRule="auto"/>
              <w:ind w:left="233" w:right="-239" w:rightChars="-114"/>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pacing w:val="-7"/>
                <w:sz w:val="21"/>
                <w:szCs w:val="21"/>
                <w:lang w:val="en-US" w:eastAsia="zh-CN"/>
                <w14:textFill>
                  <w14:solidFill>
                    <w14:schemeClr w14:val="tx1"/>
                  </w14:solidFill>
                </w14:textFill>
              </w:rPr>
              <w:t>10</w:t>
            </w:r>
          </w:p>
        </w:tc>
        <w:tc>
          <w:tcPr>
            <w:tcW w:w="6761" w:type="dxa"/>
            <w:vAlign w:val="top"/>
          </w:tcPr>
          <w:p>
            <w:pPr>
              <w:keepNext w:val="0"/>
              <w:keepLines w:val="0"/>
              <w:widowControl/>
              <w:suppressLineNumbers w:val="0"/>
              <w:snapToGrid w:val="0"/>
              <w:spacing w:line="380" w:lineRule="exact"/>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（一）评分内容 ：</w:t>
            </w:r>
          </w:p>
          <w:p>
            <w:pPr>
              <w:keepNext w:val="0"/>
              <w:keepLines w:val="0"/>
              <w:widowControl/>
              <w:suppressLineNumbers w:val="0"/>
              <w:snapToGrid w:val="0"/>
              <w:spacing w:line="380" w:lineRule="exact"/>
              <w:ind w:firstLine="210" w:firstLineChars="1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根据投标人提供的项目质量管理及保障措施进行评审，内容包括但不限于以下内容： </w:t>
            </w:r>
          </w:p>
          <w:p>
            <w:pPr>
              <w:pStyle w:val="15"/>
              <w:tabs>
                <w:tab w:val="left" w:pos="5880"/>
              </w:tabs>
              <w:kinsoku w:val="0"/>
              <w:autoSpaceDE w:val="0"/>
              <w:autoSpaceDN w:val="0"/>
              <w:adjustRightInd w:val="0"/>
              <w:snapToGrid w:val="0"/>
              <w:spacing w:line="380" w:lineRule="exact"/>
              <w:ind w:left="124" w:right="21" w:rightChars="10"/>
              <w:textAlignment w:val="baseline"/>
              <w:rPr>
                <w:rFonts w:hint="eastAsia" w:ascii="宋体" w:hAnsi="宋体" w:eastAsia="宋体" w:cs="宋体"/>
                <w:color w:val="000000" w:themeColor="text1"/>
                <w:spacing w:val="11"/>
                <w:sz w:val="21"/>
                <w:szCs w:val="21"/>
                <w14:textFill>
                  <w14:solidFill>
                    <w14:schemeClr w14:val="tx1"/>
                  </w14:solidFill>
                </w14:textFill>
              </w:rPr>
            </w:pPr>
            <w:r>
              <w:rPr>
                <w:rFonts w:hint="eastAsia" w:ascii="宋体" w:hAnsi="宋体" w:eastAsia="宋体" w:cs="宋体"/>
                <w:color w:val="000000" w:themeColor="text1"/>
                <w:spacing w:val="11"/>
                <w:kern w:val="2"/>
                <w:sz w:val="21"/>
                <w:szCs w:val="21"/>
                <w:lang w:val="en-US" w:eastAsia="zh-CN" w:bidi="ar"/>
                <w14:textFill>
                  <w14:solidFill>
                    <w14:schemeClr w14:val="tx1"/>
                  </w14:solidFill>
                </w14:textFill>
              </w:rPr>
              <w:t xml:space="preserve">1、项目完成时间保障措施； </w:t>
            </w:r>
          </w:p>
          <w:p>
            <w:pPr>
              <w:pStyle w:val="15"/>
              <w:tabs>
                <w:tab w:val="left" w:pos="5880"/>
              </w:tabs>
              <w:kinsoku w:val="0"/>
              <w:autoSpaceDE w:val="0"/>
              <w:autoSpaceDN w:val="0"/>
              <w:adjustRightInd w:val="0"/>
              <w:snapToGrid w:val="0"/>
              <w:spacing w:line="380" w:lineRule="exact"/>
              <w:ind w:left="124" w:right="21" w:rightChars="10"/>
              <w:textAlignment w:val="baseline"/>
              <w:rPr>
                <w:rFonts w:hint="eastAsia" w:ascii="宋体" w:hAnsi="宋体" w:eastAsia="宋体" w:cs="宋体"/>
                <w:color w:val="000000" w:themeColor="text1"/>
                <w:spacing w:val="11"/>
                <w:sz w:val="21"/>
                <w:szCs w:val="21"/>
                <w14:textFill>
                  <w14:solidFill>
                    <w14:schemeClr w14:val="tx1"/>
                  </w14:solidFill>
                </w14:textFill>
              </w:rPr>
            </w:pPr>
            <w:r>
              <w:rPr>
                <w:rFonts w:hint="eastAsia" w:ascii="宋体" w:hAnsi="宋体" w:eastAsia="宋体" w:cs="宋体"/>
                <w:color w:val="000000" w:themeColor="text1"/>
                <w:spacing w:val="11"/>
                <w:kern w:val="2"/>
                <w:sz w:val="21"/>
                <w:szCs w:val="21"/>
                <w:lang w:val="en-US" w:eastAsia="zh-CN" w:bidi="ar"/>
                <w14:textFill>
                  <w14:solidFill>
                    <w14:schemeClr w14:val="tx1"/>
                  </w14:solidFill>
                </w14:textFill>
              </w:rPr>
              <w:t xml:space="preserve">2、项目安全保障措施； </w:t>
            </w:r>
          </w:p>
          <w:p>
            <w:pPr>
              <w:pStyle w:val="15"/>
              <w:tabs>
                <w:tab w:val="left" w:pos="5880"/>
              </w:tabs>
              <w:kinsoku w:val="0"/>
              <w:autoSpaceDE w:val="0"/>
              <w:autoSpaceDN w:val="0"/>
              <w:adjustRightInd w:val="0"/>
              <w:snapToGrid w:val="0"/>
              <w:spacing w:line="380" w:lineRule="exact"/>
              <w:ind w:left="124" w:right="21" w:rightChars="10"/>
              <w:textAlignment w:val="baseline"/>
              <w:rPr>
                <w:rFonts w:hint="eastAsia" w:ascii="宋体" w:hAnsi="宋体" w:eastAsia="宋体" w:cs="宋体"/>
                <w:color w:val="000000" w:themeColor="text1"/>
                <w:spacing w:val="11"/>
                <w:sz w:val="21"/>
                <w:szCs w:val="21"/>
                <w14:textFill>
                  <w14:solidFill>
                    <w14:schemeClr w14:val="tx1"/>
                  </w14:solidFill>
                </w14:textFill>
              </w:rPr>
            </w:pPr>
            <w:r>
              <w:rPr>
                <w:rFonts w:hint="eastAsia" w:ascii="宋体" w:hAnsi="宋体" w:eastAsia="宋体" w:cs="宋体"/>
                <w:color w:val="000000" w:themeColor="text1"/>
                <w:spacing w:val="11"/>
                <w:kern w:val="2"/>
                <w:sz w:val="21"/>
                <w:szCs w:val="21"/>
                <w:lang w:val="en-US" w:eastAsia="zh-CN" w:bidi="ar"/>
                <w14:textFill>
                  <w14:solidFill>
                    <w14:schemeClr w14:val="tx1"/>
                  </w14:solidFill>
                </w14:textFill>
              </w:rPr>
              <w:t>3、项目质量保障措施。</w:t>
            </w:r>
          </w:p>
          <w:p>
            <w:pPr>
              <w:pStyle w:val="15"/>
              <w:keepNext w:val="0"/>
              <w:keepLines w:val="0"/>
              <w:pageBreakBefore w:val="0"/>
              <w:widowControl/>
              <w:kinsoku w:val="0"/>
              <w:wordWrap/>
              <w:overflowPunct/>
              <w:topLinePunct w:val="0"/>
              <w:autoSpaceDE w:val="0"/>
              <w:autoSpaceDN w:val="0"/>
              <w:bidi w:val="0"/>
              <w:adjustRightInd w:val="0"/>
              <w:snapToGrid w:val="0"/>
              <w:spacing w:line="380" w:lineRule="exact"/>
              <w:ind w:left="217" w:right="1" w:rightChars="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4"/>
                <w:sz w:val="21"/>
                <w:szCs w:val="21"/>
                <w14:textFill>
                  <w14:solidFill>
                    <w14:schemeClr w14:val="tx1"/>
                  </w14:solidFill>
                </w14:textFill>
              </w:rPr>
              <w:t>(二)评分依据：</w:t>
            </w:r>
          </w:p>
          <w:p>
            <w:pPr>
              <w:pStyle w:val="15"/>
              <w:keepNext w:val="0"/>
              <w:keepLines w:val="0"/>
              <w:pageBreakBefore w:val="0"/>
              <w:widowControl/>
              <w:kinsoku w:val="0"/>
              <w:wordWrap/>
              <w:overflowPunct/>
              <w:topLinePunct w:val="0"/>
              <w:autoSpaceDE w:val="0"/>
              <w:autoSpaceDN w:val="0"/>
              <w:bidi w:val="0"/>
              <w:adjustRightInd w:val="0"/>
              <w:snapToGrid w:val="0"/>
              <w:spacing w:line="380" w:lineRule="exact"/>
              <w:ind w:left="94" w:right="1" w:rightChars="0" w:firstLine="210" w:firstLineChars="10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投标文件包含以上任意--项内容，即可得</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0</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r>
              <w:rPr>
                <w:rFonts w:hint="eastAsia" w:cs="宋体"/>
                <w:color w:val="000000" w:themeColor="text1"/>
                <w:sz w:val="21"/>
                <w:szCs w:val="21"/>
                <w:lang w:val="en-US" w:eastAsia="zh-CN"/>
                <w14:textFill>
                  <w14:solidFill>
                    <w14:schemeClr w14:val="tx1"/>
                  </w14:solidFill>
                </w14:textFill>
              </w:rPr>
              <w:t>三项</w:t>
            </w:r>
            <w:r>
              <w:rPr>
                <w:rFonts w:hint="eastAsia" w:ascii="宋体" w:hAnsi="宋体" w:eastAsia="宋体" w:cs="宋体"/>
                <w:color w:val="000000" w:themeColor="text1"/>
                <w:sz w:val="21"/>
                <w:szCs w:val="21"/>
                <w14:textFill>
                  <w14:solidFill>
                    <w14:schemeClr w14:val="tx1"/>
                  </w14:solidFill>
                </w14:textFill>
              </w:rPr>
              <w:t>全部包含的得</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0</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p>
          <w:p>
            <w:pPr>
              <w:pStyle w:val="15"/>
              <w:keepNext w:val="0"/>
              <w:keepLines w:val="0"/>
              <w:pageBreakBefore w:val="0"/>
              <w:widowControl/>
              <w:kinsoku w:val="0"/>
              <w:wordWrap/>
              <w:overflowPunct/>
              <w:topLinePunct w:val="0"/>
              <w:autoSpaceDE w:val="0"/>
              <w:autoSpaceDN w:val="0"/>
              <w:bidi w:val="0"/>
              <w:adjustRightInd w:val="0"/>
              <w:snapToGrid w:val="0"/>
              <w:spacing w:line="380" w:lineRule="exact"/>
              <w:ind w:left="94" w:right="1" w:rightChars="0" w:firstLine="1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在此基础上，专家根据各供应商的具体响应内</w:t>
            </w:r>
            <w:r>
              <w:rPr>
                <w:rFonts w:hint="eastAsia" w:ascii="宋体" w:hAnsi="宋体" w:eastAsia="宋体" w:cs="宋体"/>
                <w:color w:val="000000" w:themeColor="text1"/>
                <w:sz w:val="21"/>
                <w:szCs w:val="21"/>
                <w14:textFill>
                  <w14:solidFill>
                    <w14:schemeClr w14:val="tx1"/>
                  </w14:solidFill>
                </w14:textFill>
              </w:rPr>
              <w:t>容横向比较。</w:t>
            </w:r>
          </w:p>
          <w:p>
            <w:pPr>
              <w:pStyle w:val="15"/>
              <w:keepNext w:val="0"/>
              <w:keepLines w:val="0"/>
              <w:pageBreakBefore w:val="0"/>
              <w:widowControl/>
              <w:kinsoku w:val="0"/>
              <w:wordWrap/>
              <w:overflowPunct/>
              <w:topLinePunct w:val="0"/>
              <w:autoSpaceDE w:val="0"/>
              <w:autoSpaceDN w:val="0"/>
              <w:bidi w:val="0"/>
              <w:adjustRightInd w:val="0"/>
              <w:snapToGrid w:val="0"/>
              <w:spacing w:line="380" w:lineRule="exact"/>
              <w:ind w:left="94" w:right="1" w:rightChars="0" w:firstLine="2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评审为优：要素齐备、内容贴切、针对性强，加</w:t>
            </w:r>
            <w:r>
              <w:rPr>
                <w:rFonts w:hint="eastAsia" w:ascii="宋体" w:hAnsi="宋体" w:eastAsia="宋体" w:cs="宋体"/>
                <w:color w:val="000000" w:themeColor="text1"/>
                <w:spacing w:val="-9"/>
                <w:sz w:val="21"/>
                <w:szCs w:val="21"/>
                <w:lang w:val="en-US" w:eastAsia="zh-CN"/>
                <w14:textFill>
                  <w14:solidFill>
                    <w14:schemeClr w14:val="tx1"/>
                  </w14:solidFill>
                </w14:textFill>
              </w:rPr>
              <w:t>4</w:t>
            </w:r>
            <w:r>
              <w:rPr>
                <w:rFonts w:hint="eastAsia" w:ascii="宋体" w:hAnsi="宋体" w:eastAsia="宋体" w:cs="宋体"/>
                <w:color w:val="000000" w:themeColor="text1"/>
                <w:spacing w:val="-9"/>
                <w:sz w:val="21"/>
                <w:szCs w:val="21"/>
                <w14:textFill>
                  <w14:solidFill>
                    <w14:schemeClr w14:val="tx1"/>
                  </w14:solidFill>
                </w14:textFill>
              </w:rPr>
              <w:t>0</w:t>
            </w:r>
            <w:r>
              <w:rPr>
                <w:rFonts w:hint="eastAsia" w:ascii="宋体" w:hAnsi="宋体" w:eastAsia="宋体" w:cs="宋体"/>
                <w:color w:val="000000" w:themeColor="text1"/>
                <w:spacing w:val="-9"/>
                <w:sz w:val="21"/>
                <w:szCs w:val="21"/>
                <w:lang w:val="en-US" w:eastAsia="zh-CN"/>
                <w14:textFill>
                  <w14:solidFill>
                    <w14:schemeClr w14:val="tx1"/>
                  </w14:solidFill>
                </w14:textFill>
              </w:rPr>
              <w:t>%</w:t>
            </w:r>
            <w:r>
              <w:rPr>
                <w:rFonts w:hint="eastAsia" w:ascii="宋体" w:hAnsi="宋体" w:eastAsia="宋体" w:cs="宋体"/>
                <w:color w:val="000000" w:themeColor="text1"/>
                <w:spacing w:val="-9"/>
                <w:sz w:val="21"/>
                <w:szCs w:val="21"/>
                <w14:textFill>
                  <w14:solidFill>
                    <w14:schemeClr w14:val="tx1"/>
                  </w14:solidFill>
                </w14:textFill>
              </w:rPr>
              <w:t>；</w:t>
            </w:r>
          </w:p>
          <w:p>
            <w:pPr>
              <w:pStyle w:val="15"/>
              <w:keepNext w:val="0"/>
              <w:keepLines w:val="0"/>
              <w:pageBreakBefore w:val="0"/>
              <w:widowControl/>
              <w:kinsoku w:val="0"/>
              <w:wordWrap/>
              <w:overflowPunct/>
              <w:topLinePunct w:val="0"/>
              <w:autoSpaceDE w:val="0"/>
              <w:autoSpaceDN w:val="0"/>
              <w:bidi w:val="0"/>
              <w:adjustRightInd w:val="0"/>
              <w:snapToGrid w:val="0"/>
              <w:spacing w:line="380" w:lineRule="exact"/>
              <w:ind w:left="94" w:right="1" w:rightChars="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1"/>
                <w:sz w:val="21"/>
                <w:szCs w:val="21"/>
                <w:lang w:val="en-US" w:eastAsia="zh-CN"/>
                <w14:textFill>
                  <w14:solidFill>
                    <w14:schemeClr w14:val="tx1"/>
                  </w14:solidFill>
                </w14:textFill>
              </w:rPr>
              <w:t>2、</w:t>
            </w:r>
            <w:r>
              <w:rPr>
                <w:rFonts w:hint="eastAsia" w:ascii="宋体" w:hAnsi="宋体" w:eastAsia="宋体" w:cs="宋体"/>
                <w:color w:val="000000" w:themeColor="text1"/>
                <w:spacing w:val="-1"/>
                <w:sz w:val="21"/>
                <w:szCs w:val="21"/>
                <w14:textFill>
                  <w14:solidFill>
                    <w14:schemeClr w14:val="tx1"/>
                  </w14:solidFill>
                </w14:textFill>
              </w:rPr>
              <w:t>评审为良：要素比较齐备、内容比较贴切、针对性</w:t>
            </w:r>
            <w:r>
              <w:rPr>
                <w:rFonts w:hint="eastAsia" w:ascii="宋体" w:hAnsi="宋体" w:eastAsia="宋体" w:cs="宋体"/>
                <w:color w:val="000000" w:themeColor="text1"/>
                <w:spacing w:val="12"/>
                <w:sz w:val="21"/>
                <w:szCs w:val="21"/>
                <w14:textFill>
                  <w14:solidFill>
                    <w14:schemeClr w14:val="tx1"/>
                  </w14:solidFill>
                </w14:textFill>
              </w:rPr>
              <w:t>比较强，加</w:t>
            </w:r>
            <w:r>
              <w:rPr>
                <w:rFonts w:hint="eastAsia" w:ascii="宋体" w:hAnsi="宋体" w:eastAsia="宋体" w:cs="宋体"/>
                <w:color w:val="000000" w:themeColor="text1"/>
                <w:spacing w:val="12"/>
                <w:sz w:val="21"/>
                <w:szCs w:val="21"/>
                <w:lang w:val="en-US" w:eastAsia="zh-CN"/>
                <w14:textFill>
                  <w14:solidFill>
                    <w14:schemeClr w14:val="tx1"/>
                  </w14:solidFill>
                </w14:textFill>
              </w:rPr>
              <w:t>3</w:t>
            </w:r>
            <w:r>
              <w:rPr>
                <w:rFonts w:hint="eastAsia" w:ascii="宋体" w:hAnsi="宋体" w:eastAsia="宋体" w:cs="宋体"/>
                <w:color w:val="000000" w:themeColor="text1"/>
                <w:spacing w:val="12"/>
                <w:sz w:val="21"/>
                <w:szCs w:val="21"/>
                <w14:textFill>
                  <w14:solidFill>
                    <w14:schemeClr w14:val="tx1"/>
                  </w14:solidFill>
                </w14:textFill>
              </w:rPr>
              <w:t>0</w:t>
            </w:r>
            <w:r>
              <w:rPr>
                <w:rFonts w:hint="eastAsia" w:ascii="宋体" w:hAnsi="宋体" w:eastAsia="宋体" w:cs="宋体"/>
                <w:color w:val="000000" w:themeColor="text1"/>
                <w:spacing w:val="12"/>
                <w:sz w:val="21"/>
                <w:szCs w:val="21"/>
                <w:lang w:val="en-US" w:eastAsia="zh-CN"/>
                <w14:textFill>
                  <w14:solidFill>
                    <w14:schemeClr w14:val="tx1"/>
                  </w14:solidFill>
                </w14:textFill>
              </w:rPr>
              <w:t>%</w:t>
            </w:r>
            <w:r>
              <w:rPr>
                <w:rFonts w:hint="eastAsia" w:ascii="宋体" w:hAnsi="宋体" w:eastAsia="宋体" w:cs="宋体"/>
                <w:color w:val="000000" w:themeColor="text1"/>
                <w:spacing w:val="12"/>
                <w:sz w:val="21"/>
                <w:szCs w:val="21"/>
                <w14:textFill>
                  <w14:solidFill>
                    <w14:schemeClr w14:val="tx1"/>
                  </w14:solidFill>
                </w14:textFill>
              </w:rPr>
              <w:t>；</w:t>
            </w:r>
          </w:p>
          <w:p>
            <w:pPr>
              <w:pStyle w:val="15"/>
              <w:keepNext w:val="0"/>
              <w:keepLines w:val="0"/>
              <w:pageBreakBefore w:val="0"/>
              <w:widowControl/>
              <w:kinsoku w:val="0"/>
              <w:wordWrap/>
              <w:overflowPunct/>
              <w:topLinePunct w:val="0"/>
              <w:autoSpaceDE w:val="0"/>
              <w:autoSpaceDN w:val="0"/>
              <w:bidi w:val="0"/>
              <w:adjustRightInd w:val="0"/>
              <w:snapToGrid w:val="0"/>
              <w:spacing w:line="380" w:lineRule="exact"/>
              <w:ind w:left="94" w:right="1" w:rightChars="0" w:firstLine="2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评审为中：要素较为齐备、内容较为贴切、有一定</w:t>
            </w:r>
            <w:r>
              <w:rPr>
                <w:rFonts w:hint="eastAsia" w:ascii="宋体" w:hAnsi="宋体" w:eastAsia="宋体" w:cs="宋体"/>
                <w:color w:val="000000" w:themeColor="text1"/>
                <w:spacing w:val="12"/>
                <w:sz w:val="21"/>
                <w:szCs w:val="21"/>
                <w14:textFill>
                  <w14:solidFill>
                    <w14:schemeClr w14:val="tx1"/>
                  </w14:solidFill>
                </w14:textFill>
              </w:rPr>
              <w:t>针对性，加20</w:t>
            </w:r>
            <w:r>
              <w:rPr>
                <w:rFonts w:hint="eastAsia" w:ascii="宋体" w:hAnsi="宋体" w:eastAsia="宋体" w:cs="宋体"/>
                <w:color w:val="000000" w:themeColor="text1"/>
                <w:spacing w:val="12"/>
                <w:sz w:val="21"/>
                <w:szCs w:val="21"/>
                <w:lang w:val="en-US" w:eastAsia="zh-CN"/>
                <w14:textFill>
                  <w14:solidFill>
                    <w14:schemeClr w14:val="tx1"/>
                  </w14:solidFill>
                </w14:textFill>
              </w:rPr>
              <w:t>%</w:t>
            </w:r>
            <w:r>
              <w:rPr>
                <w:rFonts w:hint="eastAsia" w:ascii="宋体" w:hAnsi="宋体" w:eastAsia="宋体" w:cs="宋体"/>
                <w:color w:val="000000" w:themeColor="text1"/>
                <w:spacing w:val="12"/>
                <w:sz w:val="21"/>
                <w:szCs w:val="21"/>
                <w14:textFill>
                  <w14:solidFill>
                    <w14:schemeClr w14:val="tx1"/>
                  </w14:solidFill>
                </w14:textFill>
              </w:rPr>
              <w:t>；</w:t>
            </w:r>
          </w:p>
          <w:p>
            <w:pPr>
              <w:pStyle w:val="15"/>
              <w:keepNext w:val="0"/>
              <w:keepLines w:val="0"/>
              <w:pageBreakBefore w:val="0"/>
              <w:widowControl/>
              <w:kinsoku w:val="0"/>
              <w:wordWrap/>
              <w:overflowPunct/>
              <w:topLinePunct w:val="0"/>
              <w:autoSpaceDE w:val="0"/>
              <w:autoSpaceDN w:val="0"/>
              <w:bidi w:val="0"/>
              <w:adjustRightInd w:val="0"/>
              <w:snapToGrid w:val="0"/>
              <w:spacing w:line="380" w:lineRule="exact"/>
              <w:ind w:left="124" w:right="1" w:rightChars="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cs="宋体"/>
                <w:color w:val="000000" w:themeColor="text1"/>
                <w:spacing w:val="-3"/>
                <w:sz w:val="21"/>
                <w:szCs w:val="21"/>
                <w:lang w:val="en-US" w:eastAsia="zh-CN"/>
                <w14:textFill>
                  <w14:solidFill>
                    <w14:schemeClr w14:val="tx1"/>
                  </w14:solidFill>
                </w14:textFill>
              </w:rPr>
              <w:t>4</w:t>
            </w:r>
            <w:r>
              <w:rPr>
                <w:rFonts w:hint="eastAsia" w:ascii="宋体" w:hAnsi="宋体" w:eastAsia="宋体" w:cs="宋体"/>
                <w:color w:val="000000" w:themeColor="text1"/>
                <w:spacing w:val="-3"/>
                <w:sz w:val="21"/>
                <w:szCs w:val="21"/>
                <w:lang w:val="en-US" w:eastAsia="zh-CN"/>
                <w14:textFill>
                  <w14:solidFill>
                    <w14:schemeClr w14:val="tx1"/>
                  </w14:solidFill>
                </w14:textFill>
              </w:rPr>
              <w:t>、</w:t>
            </w:r>
            <w:r>
              <w:rPr>
                <w:rFonts w:hint="eastAsia" w:ascii="宋体" w:hAnsi="宋体" w:eastAsia="宋体" w:cs="宋体"/>
                <w:color w:val="000000" w:themeColor="text1"/>
                <w:spacing w:val="-3"/>
                <w:sz w:val="21"/>
                <w:szCs w:val="21"/>
                <w14:textFill>
                  <w14:solidFill>
                    <w14:schemeClr w14:val="tx1"/>
                  </w14:solidFill>
                </w14:textFill>
              </w:rPr>
              <w:t>评审为差：要素不齐备、内容不贴切、针对性不强，</w:t>
            </w:r>
            <w:r>
              <w:rPr>
                <w:rFonts w:hint="eastAsia" w:ascii="宋体" w:hAnsi="宋体" w:eastAsia="宋体" w:cs="宋体"/>
                <w:color w:val="000000" w:themeColor="text1"/>
                <w:spacing w:val="-1"/>
                <w:sz w:val="21"/>
                <w:szCs w:val="21"/>
                <w14:textFill>
                  <w14:solidFill>
                    <w14:schemeClr w14:val="tx1"/>
                  </w14:solidFill>
                </w14:textFill>
              </w:rPr>
              <w:t>不加分。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7" w:hRule="atLeast"/>
        </w:trPr>
        <w:tc>
          <w:tcPr>
            <w:tcW w:w="598" w:type="dxa"/>
            <w:vAlign w:val="center"/>
          </w:tcPr>
          <w:p>
            <w:pPr>
              <w:pStyle w:val="15"/>
              <w:spacing w:before="118" w:line="183" w:lineRule="auto"/>
              <w:ind w:left="260" w:right="-239" w:rightChars="-114"/>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p>
        </w:tc>
        <w:tc>
          <w:tcPr>
            <w:tcW w:w="1498" w:type="dxa"/>
            <w:vAlign w:val="center"/>
          </w:tcPr>
          <w:p>
            <w:pPr>
              <w:pStyle w:val="15"/>
              <w:spacing w:before="60" w:line="206" w:lineRule="auto"/>
              <w:ind w:left="0" w:leftChars="0" w:right="8" w:rightChars="0" w:firstLine="0" w:firstLineChars="0"/>
              <w:jc w:val="center"/>
              <w:rPr>
                <w:rFonts w:hint="eastAsia" w:ascii="宋体" w:hAnsi="宋体" w:eastAsia="宋体" w:cs="宋体"/>
                <w:color w:val="000000" w:themeColor="text1"/>
                <w:spacing w:val="1"/>
                <w:sz w:val="21"/>
                <w:szCs w:val="21"/>
                <w:lang w:eastAsia="zh-CN"/>
                <w14:textFill>
                  <w14:solidFill>
                    <w14:schemeClr w14:val="tx1"/>
                  </w14:solidFill>
                </w14:textFill>
              </w:rPr>
            </w:pPr>
            <w:bookmarkStart w:id="0" w:name="OLE_LINK14"/>
            <w:r>
              <w:rPr>
                <w:rFonts w:hint="eastAsia" w:ascii="宋体" w:hAnsi="宋体" w:eastAsia="宋体" w:cs="宋体"/>
                <w:color w:val="000000" w:themeColor="text1"/>
                <w:sz w:val="21"/>
                <w:szCs w:val="21"/>
                <w14:textFill>
                  <w14:solidFill>
                    <w14:schemeClr w14:val="tx1"/>
                  </w14:solidFill>
                </w14:textFill>
              </w:rPr>
              <w:t>项目完成（服务期满）后的服务承诺</w:t>
            </w:r>
            <w:bookmarkEnd w:id="0"/>
          </w:p>
        </w:tc>
        <w:tc>
          <w:tcPr>
            <w:tcW w:w="709" w:type="dxa"/>
            <w:vAlign w:val="center"/>
          </w:tcPr>
          <w:p>
            <w:pPr>
              <w:pStyle w:val="15"/>
              <w:spacing w:before="197" w:line="184" w:lineRule="auto"/>
              <w:ind w:left="233" w:right="-239" w:rightChars="-114"/>
              <w:jc w:val="both"/>
              <w:rPr>
                <w:rFonts w:hint="eastAsia" w:ascii="宋体" w:hAnsi="宋体" w:eastAsia="宋体" w:cs="宋体"/>
                <w:color w:val="000000" w:themeColor="text1"/>
                <w:spacing w:val="-7"/>
                <w:sz w:val="21"/>
                <w:szCs w:val="21"/>
                <w:lang w:val="en-US" w:eastAsia="zh-CN"/>
                <w14:textFill>
                  <w14:solidFill>
                    <w14:schemeClr w14:val="tx1"/>
                  </w14:solidFill>
                </w14:textFill>
              </w:rPr>
            </w:pPr>
            <w:r>
              <w:rPr>
                <w:rFonts w:hint="eastAsia" w:ascii="宋体" w:hAnsi="宋体" w:eastAsia="宋体" w:cs="宋体"/>
                <w:color w:val="000000" w:themeColor="text1"/>
                <w:spacing w:val="-7"/>
                <w:sz w:val="21"/>
                <w:szCs w:val="21"/>
                <w:lang w:val="en-US" w:eastAsia="zh-CN"/>
                <w14:textFill>
                  <w14:solidFill>
                    <w14:schemeClr w14:val="tx1"/>
                  </w14:solidFill>
                </w14:textFill>
              </w:rPr>
              <w:t>5</w:t>
            </w:r>
          </w:p>
        </w:tc>
        <w:tc>
          <w:tcPr>
            <w:tcW w:w="6761" w:type="dxa"/>
            <w:vAlign w:val="top"/>
          </w:tcPr>
          <w:p>
            <w:pPr>
              <w:adjustRightInd w:val="0"/>
              <w:snapToGrid w:val="0"/>
              <w:spacing w:line="380" w:lineRule="exact"/>
              <w:jc w:val="lef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w:t>
            </w:r>
            <w:r>
              <w:rPr>
                <w:rFonts w:hint="eastAsia" w:ascii="宋体" w:hAnsi="宋体" w:eastAsia="宋体" w:cs="宋体"/>
                <w:b/>
                <w:bCs/>
                <w:color w:val="000000" w:themeColor="text1"/>
                <w:sz w:val="21"/>
                <w:szCs w:val="21"/>
                <w:lang w:val="en-US" w:eastAsia="zh-CN"/>
                <w14:textFill>
                  <w14:solidFill>
                    <w14:schemeClr w14:val="tx1"/>
                  </w14:solidFill>
                </w14:textFill>
              </w:rPr>
              <w:t>一）</w:t>
            </w:r>
            <w:r>
              <w:rPr>
                <w:rFonts w:hint="eastAsia" w:ascii="宋体" w:hAnsi="宋体" w:eastAsia="宋体" w:cs="宋体"/>
                <w:b/>
                <w:bCs/>
                <w:color w:val="000000" w:themeColor="text1"/>
                <w:sz w:val="21"/>
                <w:szCs w:val="21"/>
                <w14:textFill>
                  <w14:solidFill>
                    <w14:schemeClr w14:val="tx1"/>
                  </w14:solidFill>
                </w14:textFill>
              </w:rPr>
              <w:t>评</w:t>
            </w:r>
            <w:r>
              <w:rPr>
                <w:rFonts w:hint="eastAsia" w:ascii="宋体" w:hAnsi="宋体" w:eastAsia="宋体" w:cs="宋体"/>
                <w:b/>
                <w:bCs/>
                <w:color w:val="000000" w:themeColor="text1"/>
                <w:sz w:val="21"/>
                <w:szCs w:val="21"/>
                <w:lang w:val="en-US" w:eastAsia="zh-CN"/>
                <w14:textFill>
                  <w14:solidFill>
                    <w14:schemeClr w14:val="tx1"/>
                  </w14:solidFill>
                </w14:textFill>
              </w:rPr>
              <w:t>分</w:t>
            </w:r>
            <w:r>
              <w:rPr>
                <w:rFonts w:hint="eastAsia" w:ascii="宋体" w:hAnsi="宋体" w:eastAsia="宋体" w:cs="宋体"/>
                <w:b/>
                <w:bCs/>
                <w:color w:val="000000" w:themeColor="text1"/>
                <w:sz w:val="21"/>
                <w:szCs w:val="21"/>
                <w14:textFill>
                  <w14:solidFill>
                    <w14:schemeClr w14:val="tx1"/>
                  </w14:solidFill>
                </w14:textFill>
              </w:rPr>
              <w:t>内容：</w:t>
            </w:r>
          </w:p>
          <w:p>
            <w:pPr>
              <w:pStyle w:val="15"/>
              <w:widowControl/>
              <w:kinsoku w:val="0"/>
              <w:autoSpaceDE w:val="0"/>
              <w:autoSpaceDN w:val="0"/>
              <w:adjustRightInd w:val="0"/>
              <w:snapToGrid w:val="0"/>
              <w:spacing w:line="380" w:lineRule="exact"/>
              <w:ind w:left="124" w:right="1" w:firstLine="204" w:firstLineChars="100"/>
              <w:textAlignment w:val="baseline"/>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3"/>
                <w:sz w:val="21"/>
                <w:szCs w:val="21"/>
                <w:lang w:eastAsia="zh-CN"/>
                <w14:textFill>
                  <w14:solidFill>
                    <w14:schemeClr w14:val="tx1"/>
                  </w14:solidFill>
                </w14:textFill>
              </w:rPr>
              <w:t>投标人</w:t>
            </w:r>
            <w:r>
              <w:rPr>
                <w:rFonts w:hint="eastAsia" w:ascii="宋体" w:hAnsi="宋体" w:eastAsia="宋体" w:cs="宋体"/>
                <w:color w:val="000000" w:themeColor="text1"/>
                <w:spacing w:val="-3"/>
                <w:sz w:val="21"/>
                <w:szCs w:val="21"/>
                <w14:textFill>
                  <w14:solidFill>
                    <w14:schemeClr w14:val="tx1"/>
                  </w14:solidFill>
                </w14:textFill>
              </w:rPr>
              <w:t>提供服务承诺，承诺内容包含项目服务期满后，中标人继续提供</w:t>
            </w:r>
            <w:r>
              <w:rPr>
                <w:rFonts w:hint="eastAsia" w:ascii="宋体" w:hAnsi="宋体" w:eastAsia="宋体" w:cs="宋体"/>
                <w:color w:val="000000" w:themeColor="text1"/>
                <w:spacing w:val="-3"/>
                <w:sz w:val="21"/>
                <w:szCs w:val="21"/>
                <w:lang w:eastAsia="zh-CN"/>
                <w14:textFill>
                  <w14:solidFill>
                    <w14:schemeClr w14:val="tx1"/>
                  </w14:solidFill>
                </w14:textFill>
              </w:rPr>
              <w:t>项目售后</w:t>
            </w:r>
            <w:r>
              <w:rPr>
                <w:rFonts w:hint="eastAsia" w:ascii="宋体" w:hAnsi="宋体" w:eastAsia="宋体" w:cs="宋体"/>
                <w:color w:val="000000" w:themeColor="text1"/>
                <w:spacing w:val="-3"/>
                <w:sz w:val="21"/>
                <w:szCs w:val="21"/>
                <w14:textFill>
                  <w14:solidFill>
                    <w14:schemeClr w14:val="tx1"/>
                  </w14:solidFill>
                </w14:textFill>
              </w:rPr>
              <w:t>服务（</w:t>
            </w:r>
            <w:r>
              <w:rPr>
                <w:rFonts w:hint="eastAsia" w:ascii="宋体" w:hAnsi="宋体" w:eastAsia="宋体" w:cs="宋体"/>
                <w:color w:val="000000" w:themeColor="text1"/>
                <w:spacing w:val="-3"/>
                <w:sz w:val="21"/>
                <w:szCs w:val="21"/>
                <w:lang w:eastAsia="zh-CN"/>
                <w14:textFill>
                  <w14:solidFill>
                    <w14:schemeClr w14:val="tx1"/>
                  </w14:solidFill>
                </w14:textFill>
              </w:rPr>
              <w:t>服务</w:t>
            </w:r>
            <w:r>
              <w:rPr>
                <w:rFonts w:hint="eastAsia" w:ascii="宋体" w:hAnsi="宋体" w:eastAsia="宋体" w:cs="宋体"/>
                <w:color w:val="000000" w:themeColor="text1"/>
                <w:spacing w:val="-3"/>
                <w:sz w:val="21"/>
                <w:szCs w:val="21"/>
                <w14:textFill>
                  <w14:solidFill>
                    <w14:schemeClr w14:val="tx1"/>
                  </w14:solidFill>
                </w14:textFill>
              </w:rPr>
              <w:t>期</w:t>
            </w:r>
            <w:r>
              <w:rPr>
                <w:rFonts w:hint="eastAsia" w:cs="宋体"/>
                <w:color w:val="000000" w:themeColor="text1"/>
                <w:spacing w:val="-3"/>
                <w:sz w:val="21"/>
                <w:szCs w:val="21"/>
                <w:lang w:val="en-US" w:eastAsia="zh-CN"/>
                <w14:textFill>
                  <w14:solidFill>
                    <w14:schemeClr w14:val="tx1"/>
                  </w14:solidFill>
                </w14:textFill>
              </w:rPr>
              <w:t>1个月</w:t>
            </w:r>
            <w:r>
              <w:rPr>
                <w:rFonts w:hint="eastAsia" w:ascii="宋体" w:hAnsi="宋体" w:eastAsia="宋体" w:cs="宋体"/>
                <w:color w:val="000000" w:themeColor="text1"/>
                <w:spacing w:val="-3"/>
                <w:sz w:val="21"/>
                <w:szCs w:val="21"/>
                <w14:textFill>
                  <w14:solidFill>
                    <w14:schemeClr w14:val="tx1"/>
                  </w14:solidFill>
                </w14:textFill>
              </w:rPr>
              <w:t>），</w:t>
            </w:r>
            <w:r>
              <w:rPr>
                <w:rFonts w:hint="eastAsia" w:ascii="宋体" w:hAnsi="宋体" w:eastAsia="宋体" w:cs="宋体"/>
                <w:color w:val="000000" w:themeColor="text1"/>
                <w:spacing w:val="-3"/>
                <w:sz w:val="21"/>
                <w:szCs w:val="21"/>
                <w:lang w:val="en-US" w:eastAsia="zh-CN"/>
                <w14:textFill>
                  <w14:solidFill>
                    <w14:schemeClr w14:val="tx1"/>
                  </w14:solidFill>
                </w14:textFill>
              </w:rPr>
              <w:t>内容包括但不限于标准规范技术咨询、技术指导、安全培训及配合教育局开展监督检查</w:t>
            </w:r>
            <w:r>
              <w:rPr>
                <w:rFonts w:hint="eastAsia" w:ascii="宋体" w:hAnsi="宋体" w:eastAsia="宋体" w:cs="宋体"/>
                <w:color w:val="000000" w:themeColor="text1"/>
                <w:spacing w:val="-3"/>
                <w:sz w:val="21"/>
                <w:szCs w:val="21"/>
                <w14:textFill>
                  <w14:solidFill>
                    <w14:schemeClr w14:val="tx1"/>
                  </w14:solidFill>
                </w14:textFill>
              </w:rPr>
              <w:t>等内容。</w:t>
            </w:r>
          </w:p>
          <w:p>
            <w:pPr>
              <w:numPr>
                <w:ilvl w:val="0"/>
                <w:numId w:val="2"/>
              </w:numPr>
              <w:adjustRightInd w:val="0"/>
              <w:snapToGrid w:val="0"/>
              <w:spacing w:line="380" w:lineRule="exact"/>
              <w:jc w:val="left"/>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评分依据：</w:t>
            </w:r>
          </w:p>
          <w:p>
            <w:pPr>
              <w:pStyle w:val="15"/>
              <w:keepNext w:val="0"/>
              <w:keepLines w:val="0"/>
              <w:pageBreakBefore w:val="0"/>
              <w:widowControl/>
              <w:kinsoku w:val="0"/>
              <w:wordWrap/>
              <w:overflowPunct/>
              <w:topLinePunct w:val="0"/>
              <w:autoSpaceDE w:val="0"/>
              <w:autoSpaceDN w:val="0"/>
              <w:bidi w:val="0"/>
              <w:adjustRightInd w:val="0"/>
              <w:snapToGrid w:val="0"/>
              <w:spacing w:line="380" w:lineRule="exact"/>
              <w:ind w:left="124" w:right="1" w:rightChars="0"/>
              <w:textAlignment w:val="baseline"/>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提供承诺函得</w:t>
            </w:r>
            <w:r>
              <w:rPr>
                <w:rFonts w:hint="eastAsia" w:ascii="宋体" w:hAnsi="宋体" w:eastAsia="宋体" w:cs="宋体"/>
                <w:color w:val="000000" w:themeColor="text1"/>
                <w:sz w:val="21"/>
                <w:szCs w:val="21"/>
                <w:lang w:val="en-US" w:eastAsia="zh-CN"/>
                <w14:textFill>
                  <w14:solidFill>
                    <w14:schemeClr w14:val="tx1"/>
                  </w14:solidFill>
                </w14:textFill>
              </w:rPr>
              <w:t>100%</w:t>
            </w:r>
            <w:r>
              <w:rPr>
                <w:rFonts w:hint="eastAsia" w:ascii="宋体" w:hAnsi="宋体" w:eastAsia="宋体" w:cs="宋体"/>
                <w:color w:val="000000" w:themeColor="text1"/>
                <w:sz w:val="21"/>
                <w:szCs w:val="21"/>
                <w14:textFill>
                  <w14:solidFill>
                    <w14:schemeClr w14:val="tx1"/>
                  </w14:solidFill>
                </w14:textFill>
              </w:rPr>
              <w:t>，未提供不得分。（格式自定，加盖投标公司公章）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805" w:type="dxa"/>
            <w:gridSpan w:val="3"/>
            <w:vAlign w:val="center"/>
          </w:tcPr>
          <w:p>
            <w:pPr>
              <w:pStyle w:val="15"/>
              <w:spacing w:before="77" w:after="157" w:afterLines="50" w:line="185" w:lineRule="auto"/>
              <w:ind w:left="232" w:right="-239" w:rightChars="-114"/>
              <w:jc w:val="center"/>
              <w:rPr>
                <w:rFonts w:hint="eastAsia" w:ascii="宋体" w:hAnsi="宋体" w:eastAsia="宋体" w:cs="宋体"/>
                <w:color w:val="000000" w:themeColor="text1"/>
                <w:spacing w:val="-7"/>
                <w:sz w:val="21"/>
                <w:szCs w:val="21"/>
                <w:lang w:val="en-US" w:eastAsia="zh-CN"/>
                <w14:textFill>
                  <w14:solidFill>
                    <w14:schemeClr w14:val="tx1"/>
                  </w14:solidFill>
                </w14:textFill>
              </w:rPr>
            </w:pPr>
            <w:r>
              <w:rPr>
                <w:rFonts w:hint="eastAsia" w:ascii="宋体" w:hAnsi="宋体" w:eastAsia="宋体" w:cs="宋体"/>
                <w:b/>
                <w:bCs/>
                <w:color w:val="000000" w:themeColor="text1"/>
                <w:spacing w:val="-7"/>
                <w:sz w:val="21"/>
                <w:szCs w:val="21"/>
                <w:lang w:val="en-US" w:eastAsia="zh-CN"/>
                <w14:textFill>
                  <w14:solidFill>
                    <w14:schemeClr w14:val="tx1"/>
                  </w14:solidFill>
                </w14:textFill>
              </w:rPr>
              <w:t>商务部分</w:t>
            </w:r>
          </w:p>
        </w:tc>
        <w:tc>
          <w:tcPr>
            <w:tcW w:w="6761" w:type="dxa"/>
            <w:vAlign w:val="center"/>
          </w:tcPr>
          <w:p>
            <w:pPr>
              <w:pStyle w:val="15"/>
              <w:keepNext w:val="0"/>
              <w:keepLines w:val="0"/>
              <w:pageBreakBefore w:val="0"/>
              <w:widowControl/>
              <w:kinsoku/>
              <w:wordWrap/>
              <w:overflowPunct/>
              <w:topLinePunct w:val="0"/>
              <w:autoSpaceDE/>
              <w:autoSpaceDN/>
              <w:bidi w:val="0"/>
              <w:adjustRightInd/>
              <w:snapToGrid/>
              <w:spacing w:before="77" w:after="157" w:afterLines="50" w:line="185" w:lineRule="auto"/>
              <w:ind w:left="232" w:right="-239" w:rightChars="-114" w:firstLine="2362" w:firstLineChars="1200"/>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pacing w:val="-7"/>
                <w:sz w:val="21"/>
                <w:szCs w:val="21"/>
                <w:lang w:val="en-US" w:eastAsia="zh-CN"/>
                <w14:textFill>
                  <w14:solidFill>
                    <w14:schemeClr w14:val="tx1"/>
                  </w14:solidFill>
                </w14:textFill>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598" w:type="dxa"/>
            <w:shd w:val="clear" w:color="auto" w:fill="auto"/>
            <w:textDirection w:val="tbRlV"/>
            <w:vAlign w:val="top"/>
          </w:tcPr>
          <w:p>
            <w:pPr>
              <w:pStyle w:val="15"/>
              <w:spacing w:before="233" w:line="199" w:lineRule="auto"/>
              <w:ind w:left="18" w:leftChars="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1498" w:type="dxa"/>
            <w:shd w:val="clear" w:color="auto" w:fill="auto"/>
            <w:vAlign w:val="top"/>
          </w:tcPr>
          <w:p>
            <w:pPr>
              <w:pStyle w:val="15"/>
              <w:spacing w:before="150" w:line="219" w:lineRule="auto"/>
              <w:ind w:left="341" w:leftChars="0"/>
              <w:rPr>
                <w:rFonts w:hint="eastAsia" w:ascii="宋体" w:hAnsi="宋体" w:eastAsia="宋体" w:cs="宋体"/>
                <w:color w:val="000000" w:themeColor="text1"/>
                <w:kern w:val="2"/>
                <w:sz w:val="21"/>
                <w:szCs w:val="21"/>
                <w:lang w:val="en-US" w:eastAsia="en-US" w:bidi="ar-SA"/>
                <w14:textFill>
                  <w14:solidFill>
                    <w14:schemeClr w14:val="tx1"/>
                  </w14:solidFill>
                </w14:textFill>
              </w:rPr>
            </w:pPr>
            <w:r>
              <w:rPr>
                <w:rFonts w:hint="eastAsia" w:ascii="宋体" w:hAnsi="宋体" w:eastAsia="宋体" w:cs="宋体"/>
                <w:color w:val="000000" w:themeColor="text1"/>
                <w:spacing w:val="-2"/>
                <w:sz w:val="21"/>
                <w:szCs w:val="21"/>
                <w14:textFill>
                  <w14:solidFill>
                    <w14:schemeClr w14:val="tx1"/>
                  </w14:solidFill>
                </w14:textFill>
              </w:rPr>
              <w:t>评分因素</w:t>
            </w:r>
          </w:p>
        </w:tc>
        <w:tc>
          <w:tcPr>
            <w:tcW w:w="709" w:type="dxa"/>
            <w:shd w:val="clear" w:color="auto" w:fill="auto"/>
            <w:vAlign w:val="top"/>
          </w:tcPr>
          <w:p>
            <w:pPr>
              <w:pStyle w:val="15"/>
              <w:spacing w:before="30" w:line="196" w:lineRule="auto"/>
              <w:ind w:left="172" w:leftChars="0" w:right="133" w:rightChars="0" w:hanging="59" w:firstLineChars="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权重</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pacing w:val="-11"/>
                <w:sz w:val="21"/>
                <w:szCs w:val="21"/>
                <w14:textFill>
                  <w14:solidFill>
                    <w14:schemeClr w14:val="tx1"/>
                  </w14:solidFill>
                </w14:textFill>
              </w:rPr>
              <w:t>(%)</w:t>
            </w:r>
          </w:p>
        </w:tc>
        <w:tc>
          <w:tcPr>
            <w:tcW w:w="6761" w:type="dxa"/>
            <w:shd w:val="clear" w:color="auto" w:fill="auto"/>
            <w:vAlign w:val="top"/>
          </w:tcPr>
          <w:p>
            <w:pPr>
              <w:pStyle w:val="15"/>
              <w:spacing w:before="151" w:line="220" w:lineRule="auto"/>
              <w:ind w:left="2464" w:leftChars="0"/>
              <w:rPr>
                <w:rFonts w:hint="eastAsia" w:ascii="宋体" w:hAnsi="宋体" w:eastAsia="宋体" w:cs="宋体"/>
                <w:color w:val="000000" w:themeColor="text1"/>
                <w:kern w:val="2"/>
                <w:sz w:val="21"/>
                <w:szCs w:val="21"/>
                <w:lang w:val="en-US" w:eastAsia="en-US" w:bidi="ar-SA"/>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评分准则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98" w:type="dxa"/>
            <w:shd w:val="clear" w:color="auto" w:fill="auto"/>
            <w:vAlign w:val="center"/>
          </w:tcPr>
          <w:p>
            <w:pPr>
              <w:pStyle w:val="15"/>
              <w:spacing w:before="124" w:line="184" w:lineRule="auto"/>
              <w:ind w:left="259" w:leftChars="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498" w:type="dxa"/>
            <w:shd w:val="clear" w:color="auto" w:fill="auto"/>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320" w:lineRule="exact"/>
              <w:ind w:left="231"/>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投标人资质</w:t>
            </w:r>
          </w:p>
          <w:p>
            <w:pPr>
              <w:pStyle w:val="15"/>
              <w:keepNext w:val="0"/>
              <w:keepLines w:val="0"/>
              <w:pageBreakBefore w:val="0"/>
              <w:widowControl/>
              <w:kinsoku w:val="0"/>
              <w:wordWrap/>
              <w:overflowPunct/>
              <w:topLinePunct w:val="0"/>
              <w:autoSpaceDE w:val="0"/>
              <w:autoSpaceDN w:val="0"/>
              <w:bidi w:val="0"/>
              <w:adjustRightInd w:val="0"/>
              <w:snapToGrid w:val="0"/>
              <w:spacing w:line="320" w:lineRule="exact"/>
              <w:ind w:left="231"/>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2"/>
                <w:sz w:val="21"/>
                <w:szCs w:val="21"/>
                <w14:textFill>
                  <w14:solidFill>
                    <w14:schemeClr w14:val="tx1"/>
                  </w14:solidFill>
                </w14:textFill>
              </w:rPr>
              <w:t>情况及通过</w:t>
            </w:r>
          </w:p>
          <w:p>
            <w:pPr>
              <w:pStyle w:val="15"/>
              <w:keepNext w:val="0"/>
              <w:keepLines w:val="0"/>
              <w:pageBreakBefore w:val="0"/>
              <w:widowControl/>
              <w:kinsoku w:val="0"/>
              <w:wordWrap/>
              <w:overflowPunct/>
              <w:topLinePunct w:val="0"/>
              <w:autoSpaceDE w:val="0"/>
              <w:autoSpaceDN w:val="0"/>
              <w:bidi w:val="0"/>
              <w:adjustRightInd w:val="0"/>
              <w:snapToGrid w:val="0"/>
              <w:spacing w:line="320" w:lineRule="exact"/>
              <w:ind w:left="231"/>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2"/>
                <w:sz w:val="21"/>
                <w:szCs w:val="21"/>
                <w14:textFill>
                  <w14:solidFill>
                    <w14:schemeClr w14:val="tx1"/>
                  </w14:solidFill>
                </w14:textFill>
              </w:rPr>
              <w:t>相关认证情</w:t>
            </w:r>
          </w:p>
          <w:p>
            <w:pPr>
              <w:pStyle w:val="15"/>
              <w:keepNext w:val="0"/>
              <w:keepLines w:val="0"/>
              <w:pageBreakBefore w:val="0"/>
              <w:widowControl/>
              <w:kinsoku w:val="0"/>
              <w:wordWrap/>
              <w:overflowPunct/>
              <w:topLinePunct w:val="0"/>
              <w:autoSpaceDE w:val="0"/>
              <w:autoSpaceDN w:val="0"/>
              <w:bidi w:val="0"/>
              <w:adjustRightInd w:val="0"/>
              <w:snapToGrid w:val="0"/>
              <w:spacing w:line="320" w:lineRule="exact"/>
              <w:ind w:left="691" w:leftChars="0"/>
              <w:textAlignment w:val="baseline"/>
              <w:rPr>
                <w:rFonts w:hint="eastAsia" w:ascii="宋体" w:hAnsi="宋体" w:eastAsia="宋体" w:cs="宋体"/>
                <w:color w:val="000000" w:themeColor="text1"/>
                <w:kern w:val="2"/>
                <w:sz w:val="21"/>
                <w:szCs w:val="21"/>
                <w:lang w:val="en-US" w:eastAsia="en-US"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况</w:t>
            </w:r>
          </w:p>
        </w:tc>
        <w:tc>
          <w:tcPr>
            <w:tcW w:w="709" w:type="dxa"/>
            <w:shd w:val="clear" w:color="auto" w:fill="auto"/>
            <w:vAlign w:val="center"/>
          </w:tcPr>
          <w:p>
            <w:pPr>
              <w:pStyle w:val="15"/>
              <w:spacing w:before="175" w:line="183" w:lineRule="auto"/>
              <w:ind w:left="283" w:leftChars="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w:t>
            </w:r>
          </w:p>
        </w:tc>
        <w:tc>
          <w:tcPr>
            <w:tcW w:w="6761" w:type="dxa"/>
            <w:shd w:val="clear" w:color="auto" w:fill="auto"/>
            <w:vAlign w:val="top"/>
          </w:tcPr>
          <w:p>
            <w:pPr>
              <w:pStyle w:val="15"/>
              <w:keepNext w:val="0"/>
              <w:keepLines w:val="0"/>
              <w:pageBreakBefore w:val="0"/>
              <w:widowControl/>
              <w:tabs>
                <w:tab w:val="left" w:pos="6100"/>
              </w:tabs>
              <w:kinsoku w:val="0"/>
              <w:wordWrap/>
              <w:overflowPunct/>
              <w:topLinePunct w:val="0"/>
              <w:autoSpaceDE w:val="0"/>
              <w:autoSpaceDN w:val="0"/>
              <w:bidi w:val="0"/>
              <w:adjustRightInd w:val="0"/>
              <w:snapToGrid w:val="0"/>
              <w:spacing w:line="380" w:lineRule="exact"/>
              <w:ind w:left="0" w:leftChars="0" w:right="1" w:rightChars="0" w:firstLine="58" w:firstLineChars="28"/>
              <w:jc w:val="both"/>
              <w:textAlignment w:val="baseline"/>
              <w:rPr>
                <w:rFonts w:hint="eastAsia" w:ascii="宋体" w:hAnsi="宋体" w:eastAsia="宋体" w:cs="宋体"/>
                <w:b/>
                <w:bCs/>
                <w:color w:val="000000" w:themeColor="text1"/>
                <w:spacing w:val="-1"/>
                <w:sz w:val="21"/>
                <w:szCs w:val="21"/>
                <w:lang w:val="en-US" w:eastAsia="zh-CN"/>
                <w14:textFill>
                  <w14:solidFill>
                    <w14:schemeClr w14:val="tx1"/>
                  </w14:solidFill>
                </w14:textFill>
              </w:rPr>
            </w:pPr>
            <w:r>
              <w:rPr>
                <w:rFonts w:hint="eastAsia" w:ascii="宋体" w:hAnsi="宋体" w:eastAsia="宋体" w:cs="宋体"/>
                <w:b/>
                <w:bCs/>
                <w:color w:val="000000" w:themeColor="text1"/>
                <w:spacing w:val="-1"/>
                <w:sz w:val="21"/>
                <w:szCs w:val="21"/>
                <w:lang w:val="en-US" w:eastAsia="zh-CN"/>
                <w14:textFill>
                  <w14:solidFill>
                    <w14:schemeClr w14:val="tx1"/>
                  </w14:solidFill>
                </w14:textFill>
              </w:rPr>
              <w:t>（一）评分内容：</w:t>
            </w:r>
          </w:p>
          <w:p>
            <w:pPr>
              <w:pStyle w:val="15"/>
              <w:keepNext w:val="0"/>
              <w:keepLines w:val="0"/>
              <w:pageBreakBefore w:val="0"/>
              <w:widowControl/>
              <w:kinsoku w:val="0"/>
              <w:wordWrap/>
              <w:overflowPunct/>
              <w:topLinePunct w:val="0"/>
              <w:autoSpaceDE w:val="0"/>
              <w:autoSpaceDN w:val="0"/>
              <w:bidi w:val="0"/>
              <w:adjustRightInd/>
              <w:snapToGrid w:val="0"/>
              <w:spacing w:line="380" w:lineRule="exact"/>
              <w:ind w:left="94" w:leftChars="0" w:right="1" w:rightChars="0" w:firstLine="10" w:firstLineChars="0"/>
              <w:jc w:val="left"/>
              <w:textAlignment w:val="baseline"/>
              <w:rPr>
                <w:rFonts w:hint="eastAsia" w:ascii="宋体" w:hAnsi="宋体" w:eastAsia="宋体" w:cs="宋体"/>
                <w:color w:val="000000" w:themeColor="text1"/>
                <w:spacing w:val="1"/>
                <w:sz w:val="21"/>
                <w:szCs w:val="21"/>
                <w:lang w:val="en-US" w:eastAsia="zh-CN"/>
                <w14:textFill>
                  <w14:solidFill>
                    <w14:schemeClr w14:val="tx1"/>
                  </w14:solidFill>
                </w14:textFill>
              </w:rPr>
            </w:pPr>
            <w:r>
              <w:rPr>
                <w:rFonts w:hint="eastAsia" w:ascii="宋体" w:hAnsi="宋体" w:eastAsia="宋体" w:cs="宋体"/>
                <w:color w:val="000000" w:themeColor="text1"/>
                <w:spacing w:val="1"/>
                <w:sz w:val="21"/>
                <w:szCs w:val="21"/>
                <w:lang w:val="en-US" w:eastAsia="zh-CN"/>
                <w14:textFill>
                  <w14:solidFill>
                    <w14:schemeClr w14:val="tx1"/>
                  </w14:solidFill>
                </w14:textFill>
              </w:rPr>
              <w:t>1、投标人具有检验检测机构(CMA)的资质认定证书</w:t>
            </w:r>
            <w:r>
              <w:rPr>
                <w:rFonts w:hint="eastAsia" w:cs="宋体"/>
                <w:color w:val="000000" w:themeColor="text1"/>
                <w:spacing w:val="1"/>
                <w:sz w:val="21"/>
                <w:szCs w:val="21"/>
                <w:lang w:val="en-US" w:eastAsia="zh-CN"/>
                <w14:textFill>
                  <w14:solidFill>
                    <w14:schemeClr w14:val="tx1"/>
                  </w14:solidFill>
                </w14:textFill>
              </w:rPr>
              <w:t>的,</w:t>
            </w:r>
            <w:r>
              <w:rPr>
                <w:rFonts w:hint="eastAsia" w:ascii="宋体" w:hAnsi="宋体" w:eastAsia="宋体" w:cs="宋体"/>
                <w:color w:val="000000" w:themeColor="text1"/>
                <w:spacing w:val="1"/>
                <w:sz w:val="21"/>
                <w:szCs w:val="21"/>
                <w:lang w:val="en-US" w:eastAsia="zh-CN"/>
                <w14:textFill>
                  <w14:solidFill>
                    <w14:schemeClr w14:val="tx1"/>
                  </w14:solidFill>
                </w14:textFill>
              </w:rPr>
              <w:t>得40%；</w:t>
            </w:r>
          </w:p>
          <w:p>
            <w:pPr>
              <w:pStyle w:val="15"/>
              <w:keepNext w:val="0"/>
              <w:keepLines w:val="0"/>
              <w:pageBreakBefore w:val="0"/>
              <w:widowControl/>
              <w:kinsoku w:val="0"/>
              <w:wordWrap/>
              <w:overflowPunct/>
              <w:topLinePunct w:val="0"/>
              <w:autoSpaceDE w:val="0"/>
              <w:autoSpaceDN w:val="0"/>
              <w:bidi w:val="0"/>
              <w:adjustRightInd/>
              <w:snapToGrid w:val="0"/>
              <w:spacing w:line="380" w:lineRule="exact"/>
              <w:ind w:left="94" w:leftChars="0" w:right="1" w:rightChars="0" w:firstLine="10" w:firstLineChars="0"/>
              <w:jc w:val="left"/>
              <w:textAlignment w:val="baseline"/>
              <w:rPr>
                <w:rFonts w:hint="eastAsia" w:ascii="宋体" w:hAnsi="宋体" w:eastAsia="宋体" w:cs="宋体"/>
                <w:color w:val="000000" w:themeColor="text1"/>
                <w:spacing w:val="1"/>
                <w:sz w:val="21"/>
                <w:szCs w:val="21"/>
                <w:lang w:val="en-US" w:eastAsia="zh-CN"/>
                <w14:textFill>
                  <w14:solidFill>
                    <w14:schemeClr w14:val="tx1"/>
                  </w14:solidFill>
                </w14:textFill>
              </w:rPr>
            </w:pPr>
            <w:r>
              <w:rPr>
                <w:rFonts w:hint="eastAsia" w:ascii="宋体" w:hAnsi="宋体" w:eastAsia="宋体" w:cs="宋体"/>
                <w:color w:val="000000" w:themeColor="text1"/>
                <w:spacing w:val="1"/>
                <w:sz w:val="21"/>
                <w:szCs w:val="21"/>
                <w:lang w:val="en-US" w:eastAsia="zh-CN"/>
                <w14:textFill>
                  <w14:solidFill>
                    <w14:schemeClr w14:val="tx1"/>
                  </w14:solidFill>
                </w14:textFill>
              </w:rPr>
              <w:t>2、投标人具有质量管理体系认证证书，且认证范围包含</w:t>
            </w:r>
            <w:r>
              <w:rPr>
                <w:rFonts w:hint="eastAsia" w:ascii="宋体" w:hAnsi="宋体" w:eastAsia="宋体" w:cs="宋体"/>
                <w:color w:val="000000" w:themeColor="text1"/>
                <w:spacing w:val="1"/>
                <w:sz w:val="21"/>
                <w:szCs w:val="21"/>
                <w:lang w:eastAsia="zh-CN"/>
                <w14:textFill>
                  <w14:solidFill>
                    <w14:schemeClr w14:val="tx1"/>
                  </w14:solidFill>
                </w14:textFill>
              </w:rPr>
              <w:t>安全生产技术咨询</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的，得20%；                 </w:t>
            </w:r>
          </w:p>
          <w:p>
            <w:pPr>
              <w:pStyle w:val="15"/>
              <w:keepNext w:val="0"/>
              <w:keepLines w:val="0"/>
              <w:pageBreakBefore w:val="0"/>
              <w:widowControl/>
              <w:kinsoku w:val="0"/>
              <w:wordWrap/>
              <w:overflowPunct/>
              <w:topLinePunct w:val="0"/>
              <w:autoSpaceDE w:val="0"/>
              <w:autoSpaceDN w:val="0"/>
              <w:bidi w:val="0"/>
              <w:adjustRightInd/>
              <w:snapToGrid w:val="0"/>
              <w:spacing w:line="380" w:lineRule="exact"/>
              <w:ind w:left="94" w:leftChars="0" w:right="1" w:rightChars="0" w:firstLine="10" w:firstLineChars="0"/>
              <w:jc w:val="left"/>
              <w:textAlignment w:val="baseline"/>
              <w:rPr>
                <w:rFonts w:hint="eastAsia" w:ascii="宋体" w:hAnsi="宋体" w:eastAsia="宋体" w:cs="宋体"/>
                <w:color w:val="000000" w:themeColor="text1"/>
                <w:spacing w:val="1"/>
                <w:sz w:val="21"/>
                <w:szCs w:val="21"/>
                <w:lang w:val="en-US" w:eastAsia="zh-CN"/>
                <w14:textFill>
                  <w14:solidFill>
                    <w14:schemeClr w14:val="tx1"/>
                  </w14:solidFill>
                </w14:textFill>
              </w:rPr>
            </w:pPr>
            <w:r>
              <w:rPr>
                <w:rFonts w:hint="eastAsia" w:ascii="宋体" w:hAnsi="宋体" w:eastAsia="宋体" w:cs="宋体"/>
                <w:color w:val="000000" w:themeColor="text1"/>
                <w:spacing w:val="1"/>
                <w:sz w:val="21"/>
                <w:szCs w:val="21"/>
                <w:lang w:val="en-US" w:eastAsia="zh-CN"/>
                <w14:textFill>
                  <w14:solidFill>
                    <w14:schemeClr w14:val="tx1"/>
                  </w14:solidFill>
                </w14:textFill>
              </w:rPr>
              <w:t>3、投标人具有环境管理体系认证证书，且认证范围包含</w:t>
            </w:r>
            <w:r>
              <w:rPr>
                <w:rFonts w:hint="eastAsia" w:ascii="宋体" w:hAnsi="宋体" w:eastAsia="宋体" w:cs="宋体"/>
                <w:color w:val="000000" w:themeColor="text1"/>
                <w:spacing w:val="1"/>
                <w:sz w:val="21"/>
                <w:szCs w:val="21"/>
                <w:lang w:eastAsia="zh-CN"/>
                <w14:textFill>
                  <w14:solidFill>
                    <w14:schemeClr w14:val="tx1"/>
                  </w14:solidFill>
                </w14:textFill>
              </w:rPr>
              <w:t>安全生产技术咨询</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的，得20%；                </w:t>
            </w:r>
          </w:p>
          <w:p>
            <w:pPr>
              <w:pStyle w:val="15"/>
              <w:keepNext w:val="0"/>
              <w:keepLines w:val="0"/>
              <w:pageBreakBefore w:val="0"/>
              <w:widowControl/>
              <w:kinsoku w:val="0"/>
              <w:wordWrap/>
              <w:overflowPunct/>
              <w:topLinePunct w:val="0"/>
              <w:autoSpaceDE w:val="0"/>
              <w:autoSpaceDN w:val="0"/>
              <w:bidi w:val="0"/>
              <w:adjustRightInd/>
              <w:snapToGrid w:val="0"/>
              <w:spacing w:line="380" w:lineRule="exact"/>
              <w:ind w:left="94" w:leftChars="0" w:right="1" w:rightChars="0" w:firstLine="10" w:firstLineChars="0"/>
              <w:jc w:val="left"/>
              <w:textAlignment w:val="baseline"/>
              <w:rPr>
                <w:rFonts w:hint="eastAsia" w:ascii="宋体" w:hAnsi="宋体" w:eastAsia="宋体" w:cs="宋体"/>
                <w:color w:val="000000" w:themeColor="text1"/>
                <w:spacing w:val="1"/>
                <w:sz w:val="21"/>
                <w:szCs w:val="21"/>
                <w:lang w:val="en-US" w:eastAsia="zh-CN"/>
                <w14:textFill>
                  <w14:solidFill>
                    <w14:schemeClr w14:val="tx1"/>
                  </w14:solidFill>
                </w14:textFill>
              </w:rPr>
            </w:pPr>
            <w:r>
              <w:rPr>
                <w:rFonts w:hint="eastAsia" w:ascii="宋体" w:hAnsi="宋体" w:eastAsia="宋体" w:cs="宋体"/>
                <w:color w:val="000000" w:themeColor="text1"/>
                <w:spacing w:val="1"/>
                <w:sz w:val="21"/>
                <w:szCs w:val="21"/>
                <w:lang w:val="en-US" w:eastAsia="zh-CN"/>
                <w14:textFill>
                  <w14:solidFill>
                    <w14:schemeClr w14:val="tx1"/>
                  </w14:solidFill>
                </w14:textFill>
              </w:rPr>
              <w:t>4、投标人具有职业健康安全管理体系认证证书，且认证范围包含</w:t>
            </w:r>
            <w:r>
              <w:rPr>
                <w:rFonts w:hint="eastAsia" w:ascii="宋体" w:hAnsi="宋体" w:eastAsia="宋体" w:cs="宋体"/>
                <w:color w:val="000000" w:themeColor="text1"/>
                <w:spacing w:val="1"/>
                <w:sz w:val="21"/>
                <w:szCs w:val="21"/>
                <w:lang w:eastAsia="zh-CN"/>
                <w14:textFill>
                  <w14:solidFill>
                    <w14:schemeClr w14:val="tx1"/>
                  </w14:solidFill>
                </w14:textFill>
              </w:rPr>
              <w:t>安全生产技术咨询</w:t>
            </w:r>
            <w:r>
              <w:rPr>
                <w:rFonts w:hint="eastAsia" w:ascii="宋体" w:hAnsi="宋体" w:eastAsia="宋体" w:cs="宋体"/>
                <w:color w:val="000000" w:themeColor="text1"/>
                <w:spacing w:val="1"/>
                <w:sz w:val="21"/>
                <w:szCs w:val="21"/>
                <w:lang w:val="en-US" w:eastAsia="zh-CN"/>
                <w14:textFill>
                  <w14:solidFill>
                    <w14:schemeClr w14:val="tx1"/>
                  </w14:solidFill>
                </w14:textFill>
              </w:rPr>
              <w:t>的，得20%。</w:t>
            </w:r>
          </w:p>
          <w:p>
            <w:pPr>
              <w:pStyle w:val="15"/>
              <w:keepNext w:val="0"/>
              <w:keepLines w:val="0"/>
              <w:pageBreakBefore w:val="0"/>
              <w:widowControl/>
              <w:tabs>
                <w:tab w:val="left" w:pos="6100"/>
              </w:tabs>
              <w:kinsoku w:val="0"/>
              <w:wordWrap/>
              <w:overflowPunct/>
              <w:topLinePunct w:val="0"/>
              <w:autoSpaceDE w:val="0"/>
              <w:autoSpaceDN w:val="0"/>
              <w:bidi w:val="0"/>
              <w:adjustRightInd w:val="0"/>
              <w:snapToGrid w:val="0"/>
              <w:spacing w:line="380" w:lineRule="exact"/>
              <w:ind w:left="0" w:leftChars="0" w:right="1" w:rightChars="0" w:firstLine="58" w:firstLineChars="28"/>
              <w:jc w:val="both"/>
              <w:textAlignment w:val="baseline"/>
              <w:rPr>
                <w:rFonts w:hint="eastAsia" w:ascii="宋体" w:hAnsi="宋体" w:eastAsia="宋体" w:cs="宋体"/>
                <w:color w:val="000000" w:themeColor="text1"/>
                <w:spacing w:val="-1"/>
                <w:sz w:val="21"/>
                <w:szCs w:val="21"/>
                <w:lang w:val="en-US" w:eastAsia="zh-CN"/>
                <w14:textFill>
                  <w14:solidFill>
                    <w14:schemeClr w14:val="tx1"/>
                  </w14:solidFill>
                </w14:textFill>
              </w:rPr>
            </w:pPr>
            <w:r>
              <w:rPr>
                <w:rFonts w:hint="eastAsia" w:ascii="宋体" w:hAnsi="宋体" w:eastAsia="宋体" w:cs="宋体"/>
                <w:b/>
                <w:bCs/>
                <w:color w:val="000000" w:themeColor="text1"/>
                <w:spacing w:val="-1"/>
                <w:sz w:val="21"/>
                <w:szCs w:val="21"/>
                <w:lang w:val="en-US" w:eastAsia="zh-CN"/>
                <w14:textFill>
                  <w14:solidFill>
                    <w14:schemeClr w14:val="tx1"/>
                  </w14:solidFill>
                </w14:textFill>
              </w:rPr>
              <w:t>（二）评分依据：</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p>
          <w:p>
            <w:pPr>
              <w:pStyle w:val="15"/>
              <w:keepNext w:val="0"/>
              <w:keepLines w:val="0"/>
              <w:pageBreakBefore w:val="0"/>
              <w:widowControl/>
              <w:kinsoku w:val="0"/>
              <w:wordWrap/>
              <w:overflowPunct/>
              <w:topLinePunct w:val="0"/>
              <w:autoSpaceDE w:val="0"/>
              <w:autoSpaceDN w:val="0"/>
              <w:bidi w:val="0"/>
              <w:adjustRightInd/>
              <w:snapToGrid w:val="0"/>
              <w:spacing w:line="380" w:lineRule="exact"/>
              <w:ind w:left="94" w:leftChars="0" w:right="1" w:rightChars="0" w:firstLine="10" w:firstLineChars="0"/>
              <w:jc w:val="left"/>
              <w:textAlignment w:val="baseline"/>
              <w:rPr>
                <w:rFonts w:hint="eastAsia" w:ascii="宋体" w:hAnsi="宋体" w:eastAsia="宋体" w:cs="宋体"/>
                <w:color w:val="000000" w:themeColor="text1"/>
                <w:spacing w:val="1"/>
                <w:sz w:val="21"/>
                <w:szCs w:val="21"/>
                <w:lang w:val="en-US" w:eastAsia="zh-CN"/>
                <w14:textFill>
                  <w14:solidFill>
                    <w14:schemeClr w14:val="tx1"/>
                  </w14:solidFill>
                </w14:textFill>
              </w:rPr>
            </w:pPr>
            <w:r>
              <w:rPr>
                <w:rFonts w:hint="eastAsia" w:ascii="宋体" w:hAnsi="宋体" w:eastAsia="宋体" w:cs="宋体"/>
                <w:color w:val="000000" w:themeColor="text1"/>
                <w:spacing w:val="1"/>
                <w:sz w:val="21"/>
                <w:szCs w:val="21"/>
                <w:lang w:val="en-US" w:eastAsia="zh-CN"/>
                <w14:textFill>
                  <w14:solidFill>
                    <w14:schemeClr w14:val="tx1"/>
                  </w14:solidFill>
                </w14:textFill>
              </w:rPr>
              <w:t>1、（内容1）提供有效期内的证书及附表及官网查询截图；</w:t>
            </w:r>
          </w:p>
          <w:p>
            <w:pPr>
              <w:pStyle w:val="15"/>
              <w:keepNext w:val="0"/>
              <w:keepLines w:val="0"/>
              <w:pageBreakBefore w:val="0"/>
              <w:widowControl/>
              <w:kinsoku w:val="0"/>
              <w:wordWrap/>
              <w:overflowPunct/>
              <w:topLinePunct w:val="0"/>
              <w:autoSpaceDE w:val="0"/>
              <w:autoSpaceDN w:val="0"/>
              <w:bidi w:val="0"/>
              <w:adjustRightInd/>
              <w:snapToGrid w:val="0"/>
              <w:spacing w:line="380" w:lineRule="exact"/>
              <w:ind w:left="94" w:leftChars="0" w:right="1" w:rightChars="0" w:firstLine="10" w:firstLineChars="0"/>
              <w:jc w:val="left"/>
              <w:textAlignment w:val="baseline"/>
              <w:rPr>
                <w:rFonts w:hint="eastAsia" w:ascii="宋体" w:hAnsi="宋体" w:eastAsia="宋体" w:cs="宋体"/>
                <w:color w:val="000000" w:themeColor="text1"/>
                <w:spacing w:val="1"/>
                <w:sz w:val="21"/>
                <w:szCs w:val="21"/>
                <w:lang w:val="en-US" w:eastAsia="zh-CN"/>
                <w14:textFill>
                  <w14:solidFill>
                    <w14:schemeClr w14:val="tx1"/>
                  </w14:solidFill>
                </w14:textFill>
              </w:rPr>
            </w:pP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2、（内容2-4）提供有效的证书及全国认证认可信息公共服务平台”（http://cx.cnca.cn）查询的证书信息截图；            </w:t>
            </w:r>
          </w:p>
          <w:p>
            <w:pPr>
              <w:pStyle w:val="15"/>
              <w:keepNext w:val="0"/>
              <w:keepLines w:val="0"/>
              <w:pageBreakBefore w:val="0"/>
              <w:widowControl/>
              <w:kinsoku w:val="0"/>
              <w:wordWrap/>
              <w:overflowPunct/>
              <w:topLinePunct w:val="0"/>
              <w:autoSpaceDE w:val="0"/>
              <w:autoSpaceDN w:val="0"/>
              <w:bidi w:val="0"/>
              <w:adjustRightInd/>
              <w:snapToGrid w:val="0"/>
              <w:spacing w:line="380" w:lineRule="exact"/>
              <w:ind w:left="94" w:leftChars="0" w:right="1" w:rightChars="0" w:firstLine="10" w:firstLineChars="0"/>
              <w:jc w:val="left"/>
              <w:textAlignment w:val="baseline"/>
              <w:rPr>
                <w:rFonts w:hint="eastAsia" w:ascii="宋体" w:hAnsi="宋体" w:eastAsia="宋体" w:cs="宋体"/>
                <w:color w:val="000000" w:themeColor="text1"/>
                <w:spacing w:val="-1"/>
                <w:sz w:val="21"/>
                <w:szCs w:val="21"/>
                <w:lang w:val="en-US" w:eastAsia="en-US"/>
                <w14:textFill>
                  <w14:solidFill>
                    <w14:schemeClr w14:val="tx1"/>
                  </w14:solidFill>
                </w14:textFill>
              </w:rPr>
            </w:pPr>
            <w:r>
              <w:rPr>
                <w:rFonts w:hint="eastAsia" w:ascii="宋体" w:hAnsi="宋体" w:eastAsia="宋体" w:cs="宋体"/>
                <w:color w:val="000000" w:themeColor="text1"/>
                <w:spacing w:val="1"/>
                <w:sz w:val="21"/>
                <w:szCs w:val="21"/>
                <w:lang w:val="en-US" w:eastAsia="zh-CN"/>
                <w14:textFill>
                  <w14:solidFill>
                    <w14:schemeClr w14:val="tx1"/>
                  </w14:solidFill>
                </w14:textFill>
              </w:rPr>
              <w:t>3、未按要求提供或提供不清晰导致专家无法判断的不得分。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98" w:type="dxa"/>
            <w:vAlign w:val="center"/>
          </w:tcPr>
          <w:p>
            <w:pPr>
              <w:pStyle w:val="15"/>
              <w:spacing w:before="105" w:line="182" w:lineRule="auto"/>
              <w:ind w:left="261" w:right="-239" w:rightChars="-114"/>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p>
        </w:tc>
        <w:tc>
          <w:tcPr>
            <w:tcW w:w="1498"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23" w:line="240" w:lineRule="auto"/>
              <w:ind w:left="130" w:right="-239" w:rightChars="-114" w:firstLine="91"/>
              <w:jc w:val="left"/>
              <w:textAlignment w:val="baseline"/>
              <w:rPr>
                <w:rFonts w:hint="eastAsia" w:ascii="宋体" w:hAnsi="宋体" w:eastAsia="宋体" w:cs="宋体"/>
                <w:color w:val="000000" w:themeColor="text1"/>
                <w:spacing w:val="2"/>
                <w:sz w:val="21"/>
                <w:szCs w:val="21"/>
                <w14:textFill>
                  <w14:solidFill>
                    <w14:schemeClr w14:val="tx1"/>
                  </w14:solidFill>
                </w14:textFill>
              </w:rPr>
            </w:pPr>
          </w:p>
          <w:p>
            <w:pPr>
              <w:pStyle w:val="15"/>
              <w:keepNext w:val="0"/>
              <w:keepLines w:val="0"/>
              <w:pageBreakBefore w:val="0"/>
              <w:widowControl/>
              <w:kinsoku w:val="0"/>
              <w:wordWrap/>
              <w:overflowPunct/>
              <w:topLinePunct w:val="0"/>
              <w:autoSpaceDE w:val="0"/>
              <w:autoSpaceDN w:val="0"/>
              <w:bidi w:val="0"/>
              <w:adjustRightInd w:val="0"/>
              <w:snapToGrid w:val="0"/>
              <w:spacing w:before="23" w:line="240" w:lineRule="auto"/>
              <w:ind w:left="130" w:right="-239" w:rightChars="-114" w:firstLine="91"/>
              <w:jc w:val="left"/>
              <w:textAlignment w:val="baseline"/>
              <w:rPr>
                <w:rFonts w:hint="eastAsia" w:ascii="宋体" w:hAnsi="宋体" w:eastAsia="宋体" w:cs="宋体"/>
                <w:color w:val="000000" w:themeColor="text1"/>
                <w:spacing w:val="2"/>
                <w:sz w:val="21"/>
                <w:szCs w:val="21"/>
                <w14:textFill>
                  <w14:solidFill>
                    <w14:schemeClr w14:val="tx1"/>
                  </w14:solidFill>
                </w14:textFill>
              </w:rPr>
            </w:pPr>
          </w:p>
          <w:p>
            <w:pPr>
              <w:pStyle w:val="15"/>
              <w:keepNext w:val="0"/>
              <w:keepLines w:val="0"/>
              <w:pageBreakBefore w:val="0"/>
              <w:widowControl/>
              <w:kinsoku w:val="0"/>
              <w:wordWrap/>
              <w:overflowPunct/>
              <w:topLinePunct w:val="0"/>
              <w:autoSpaceDE w:val="0"/>
              <w:autoSpaceDN w:val="0"/>
              <w:bidi w:val="0"/>
              <w:adjustRightInd w:val="0"/>
              <w:snapToGrid w:val="0"/>
              <w:spacing w:before="0" w:line="320" w:lineRule="exact"/>
              <w:ind w:left="60" w:right="0" w:rightChars="0" w:firstLine="0"/>
              <w:jc w:val="left"/>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2"/>
                <w:sz w:val="21"/>
                <w:szCs w:val="21"/>
                <w14:textFill>
                  <w14:solidFill>
                    <w14:schemeClr w14:val="tx1"/>
                  </w14:solidFill>
                </w14:textFill>
              </w:rPr>
              <w:t>拟安排的项目负责人情况(限 1人</w:t>
            </w:r>
            <w:r>
              <w:rPr>
                <w:rFonts w:hint="eastAsia" w:ascii="宋体" w:hAnsi="宋体" w:eastAsia="宋体" w:cs="宋体"/>
                <w:color w:val="000000" w:themeColor="text1"/>
                <w:spacing w:val="-2"/>
                <w:sz w:val="21"/>
                <w:szCs w:val="21"/>
                <w:lang w:eastAsia="zh-CN"/>
                <w14:textFill>
                  <w14:solidFill>
                    <w14:schemeClr w14:val="tx1"/>
                  </w14:solidFill>
                </w14:textFill>
              </w:rPr>
              <w:t>，技术负责人除外</w:t>
            </w:r>
            <w:r>
              <w:rPr>
                <w:rFonts w:hint="eastAsia" w:ascii="宋体" w:hAnsi="宋体" w:eastAsia="宋体" w:cs="宋体"/>
                <w:color w:val="000000" w:themeColor="text1"/>
                <w:spacing w:val="-2"/>
                <w:sz w:val="21"/>
                <w:szCs w:val="21"/>
                <w14:textFill>
                  <w14:solidFill>
                    <w14:schemeClr w14:val="tx1"/>
                  </w14:solidFill>
                </w14:textFill>
              </w:rPr>
              <w:t xml:space="preserve"> )</w:t>
            </w:r>
          </w:p>
        </w:tc>
        <w:tc>
          <w:tcPr>
            <w:tcW w:w="709" w:type="dxa"/>
            <w:vAlign w:val="center"/>
          </w:tcPr>
          <w:p>
            <w:pPr>
              <w:pStyle w:val="15"/>
              <w:spacing w:before="172" w:line="184" w:lineRule="auto"/>
              <w:ind w:left="223" w:right="-239" w:rightChars="-114"/>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pacing w:val="-7"/>
                <w:sz w:val="21"/>
                <w:szCs w:val="21"/>
                <w:lang w:val="en-US" w:eastAsia="zh-CN"/>
                <w14:textFill>
                  <w14:solidFill>
                    <w14:schemeClr w14:val="tx1"/>
                  </w14:solidFill>
                </w14:textFill>
              </w:rPr>
              <w:t>10</w:t>
            </w:r>
          </w:p>
        </w:tc>
        <w:tc>
          <w:tcPr>
            <w:tcW w:w="6761" w:type="dxa"/>
            <w:vAlign w:val="top"/>
          </w:tcPr>
          <w:p>
            <w:pPr>
              <w:pStyle w:val="15"/>
              <w:keepNext w:val="0"/>
              <w:keepLines w:val="0"/>
              <w:pageBreakBefore w:val="0"/>
              <w:widowControl/>
              <w:kinsoku w:val="0"/>
              <w:wordWrap/>
              <w:overflowPunct/>
              <w:topLinePunct w:val="0"/>
              <w:autoSpaceDE w:val="0"/>
              <w:autoSpaceDN w:val="0"/>
              <w:bidi w:val="0"/>
              <w:adjustRightInd w:val="0"/>
              <w:snapToGrid w:val="0"/>
              <w:spacing w:line="380" w:lineRule="exact"/>
              <w:ind w:left="98" w:right="107" w:rightChars="51"/>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3"/>
                <w:sz w:val="21"/>
                <w:szCs w:val="21"/>
                <w14:textFill>
                  <w14:solidFill>
                    <w14:schemeClr w14:val="tx1"/>
                  </w14:solidFill>
                </w14:textFill>
              </w:rPr>
              <w:t>(一)评分内容：</w:t>
            </w:r>
          </w:p>
          <w:p>
            <w:pPr>
              <w:pStyle w:val="15"/>
              <w:keepNext w:val="0"/>
              <w:keepLines w:val="0"/>
              <w:pageBreakBefore w:val="0"/>
              <w:widowControl/>
              <w:kinsoku w:val="0"/>
              <w:wordWrap/>
              <w:overflowPunct/>
              <w:topLinePunct w:val="0"/>
              <w:autoSpaceDE w:val="0"/>
              <w:autoSpaceDN w:val="0"/>
              <w:bidi w:val="0"/>
              <w:adjustRightInd/>
              <w:snapToGrid w:val="0"/>
              <w:spacing w:line="380" w:lineRule="exact"/>
              <w:ind w:left="94" w:right="1" w:rightChars="0" w:firstLine="10"/>
              <w:jc w:val="left"/>
              <w:textAlignment w:val="baseline"/>
              <w:rPr>
                <w:rFonts w:hint="eastAsia" w:ascii="宋体" w:hAnsi="宋体" w:eastAsia="宋体" w:cs="宋体"/>
                <w:color w:val="000000" w:themeColor="text1"/>
                <w:spacing w:val="1"/>
                <w:sz w:val="21"/>
                <w:szCs w:val="21"/>
                <w:lang w:eastAsia="zh-CN"/>
                <w14:textFill>
                  <w14:solidFill>
                    <w14:schemeClr w14:val="tx1"/>
                  </w14:solidFill>
                </w14:textFill>
              </w:rPr>
            </w:pPr>
            <w:r>
              <w:rPr>
                <w:rFonts w:hint="eastAsia" w:ascii="宋体" w:hAnsi="宋体" w:eastAsia="宋体" w:cs="宋体"/>
                <w:color w:val="000000" w:themeColor="text1"/>
                <w:spacing w:val="1"/>
                <w:sz w:val="21"/>
                <w:szCs w:val="21"/>
                <w:lang w:eastAsia="zh-CN"/>
                <w14:textFill>
                  <w14:solidFill>
                    <w14:schemeClr w14:val="tx1"/>
                  </w14:solidFill>
                </w14:textFill>
              </w:rPr>
              <w:t>1、具有安全工程专业本科及以上学历的，得</w:t>
            </w:r>
            <w:r>
              <w:rPr>
                <w:rFonts w:hint="eastAsia" w:ascii="宋体" w:hAnsi="宋体" w:eastAsia="宋体" w:cs="宋体"/>
                <w:color w:val="000000" w:themeColor="text1"/>
                <w:spacing w:val="1"/>
                <w:sz w:val="21"/>
                <w:szCs w:val="21"/>
                <w:lang w:val="en-US" w:eastAsia="zh-CN"/>
                <w14:textFill>
                  <w14:solidFill>
                    <w14:schemeClr w14:val="tx1"/>
                  </w14:solidFill>
                </w14:textFill>
              </w:rPr>
              <w:t>20%</w:t>
            </w:r>
            <w:r>
              <w:rPr>
                <w:rFonts w:hint="eastAsia" w:ascii="宋体" w:hAnsi="宋体" w:eastAsia="宋体" w:cs="宋体"/>
                <w:color w:val="000000" w:themeColor="text1"/>
                <w:spacing w:val="1"/>
                <w:sz w:val="21"/>
                <w:szCs w:val="21"/>
                <w:lang w:eastAsia="zh-CN"/>
                <w14:textFill>
                  <w14:solidFill>
                    <w14:schemeClr w14:val="tx1"/>
                  </w14:solidFill>
                </w14:textFill>
              </w:rPr>
              <w:t>；</w:t>
            </w:r>
          </w:p>
          <w:p>
            <w:pPr>
              <w:pStyle w:val="15"/>
              <w:keepNext w:val="0"/>
              <w:keepLines w:val="0"/>
              <w:pageBreakBefore w:val="0"/>
              <w:widowControl/>
              <w:kinsoku w:val="0"/>
              <w:wordWrap/>
              <w:overflowPunct/>
              <w:topLinePunct w:val="0"/>
              <w:autoSpaceDE w:val="0"/>
              <w:autoSpaceDN w:val="0"/>
              <w:bidi w:val="0"/>
              <w:adjustRightInd/>
              <w:snapToGrid w:val="0"/>
              <w:spacing w:line="380" w:lineRule="exact"/>
              <w:ind w:left="94" w:right="1" w:rightChars="0" w:firstLine="10"/>
              <w:jc w:val="left"/>
              <w:textAlignment w:val="baseline"/>
              <w:rPr>
                <w:rFonts w:hint="eastAsia" w:ascii="宋体" w:hAnsi="宋体" w:eastAsia="宋体" w:cs="宋体"/>
                <w:color w:val="000000" w:themeColor="text1"/>
                <w:spacing w:val="1"/>
                <w:sz w:val="21"/>
                <w:szCs w:val="21"/>
                <w:lang w:eastAsia="zh-CN"/>
                <w14:textFill>
                  <w14:solidFill>
                    <w14:schemeClr w14:val="tx1"/>
                  </w14:solidFill>
                </w14:textFill>
              </w:rPr>
            </w:pPr>
            <w:r>
              <w:rPr>
                <w:rFonts w:hint="eastAsia" w:ascii="宋体" w:hAnsi="宋体" w:eastAsia="宋体" w:cs="宋体"/>
                <w:color w:val="000000" w:themeColor="text1"/>
                <w:spacing w:val="1"/>
                <w:sz w:val="21"/>
                <w:szCs w:val="21"/>
                <w:lang w:val="en-US" w:eastAsia="zh-CN"/>
                <w14:textFill>
                  <w14:solidFill>
                    <w14:schemeClr w14:val="tx1"/>
                  </w14:solidFill>
                </w14:textFill>
              </w:rPr>
              <w:t>2</w:t>
            </w:r>
            <w:r>
              <w:rPr>
                <w:rFonts w:hint="eastAsia" w:ascii="宋体" w:hAnsi="宋体" w:eastAsia="宋体" w:cs="宋体"/>
                <w:color w:val="000000" w:themeColor="text1"/>
                <w:spacing w:val="1"/>
                <w:sz w:val="21"/>
                <w:szCs w:val="21"/>
                <w:lang w:eastAsia="zh-CN"/>
                <w14:textFill>
                  <w14:solidFill>
                    <w14:schemeClr w14:val="tx1"/>
                  </w14:solidFill>
                </w14:textFill>
              </w:rPr>
              <w:t>、具有安全培训教师岗位证书的，得</w:t>
            </w:r>
            <w:r>
              <w:rPr>
                <w:rFonts w:hint="eastAsia" w:ascii="宋体" w:hAnsi="宋体" w:eastAsia="宋体" w:cs="宋体"/>
                <w:color w:val="000000" w:themeColor="text1"/>
                <w:spacing w:val="1"/>
                <w:sz w:val="21"/>
                <w:szCs w:val="21"/>
                <w:lang w:val="en-US" w:eastAsia="zh-CN"/>
                <w14:textFill>
                  <w14:solidFill>
                    <w14:schemeClr w14:val="tx1"/>
                  </w14:solidFill>
                </w14:textFill>
              </w:rPr>
              <w:t>30%</w:t>
            </w:r>
            <w:r>
              <w:rPr>
                <w:rFonts w:hint="eastAsia" w:ascii="宋体" w:hAnsi="宋体" w:eastAsia="宋体" w:cs="宋体"/>
                <w:color w:val="000000" w:themeColor="text1"/>
                <w:spacing w:val="1"/>
                <w:sz w:val="21"/>
                <w:szCs w:val="21"/>
                <w:lang w:eastAsia="zh-CN"/>
                <w14:textFill>
                  <w14:solidFill>
                    <w14:schemeClr w14:val="tx1"/>
                  </w14:solidFill>
                </w14:textFill>
              </w:rPr>
              <w:t>；</w:t>
            </w:r>
          </w:p>
          <w:p>
            <w:pPr>
              <w:pStyle w:val="15"/>
              <w:keepNext w:val="0"/>
              <w:keepLines w:val="0"/>
              <w:pageBreakBefore w:val="0"/>
              <w:widowControl/>
              <w:kinsoku w:val="0"/>
              <w:wordWrap/>
              <w:overflowPunct/>
              <w:topLinePunct w:val="0"/>
              <w:autoSpaceDE w:val="0"/>
              <w:autoSpaceDN w:val="0"/>
              <w:bidi w:val="0"/>
              <w:adjustRightInd/>
              <w:snapToGrid w:val="0"/>
              <w:spacing w:line="380" w:lineRule="exact"/>
              <w:ind w:left="94" w:right="1" w:rightChars="0" w:firstLine="10"/>
              <w:jc w:val="left"/>
              <w:textAlignment w:val="baseline"/>
              <w:rPr>
                <w:rFonts w:hint="eastAsia" w:ascii="宋体" w:hAnsi="宋体" w:eastAsia="宋体" w:cs="宋体"/>
                <w:color w:val="000000" w:themeColor="text1"/>
                <w:spacing w:val="1"/>
                <w:sz w:val="21"/>
                <w:szCs w:val="21"/>
                <w:lang w:val="en-US" w:eastAsia="zh-CN"/>
                <w14:textFill>
                  <w14:solidFill>
                    <w14:schemeClr w14:val="tx1"/>
                  </w14:solidFill>
                </w14:textFill>
              </w:rPr>
            </w:pPr>
            <w:r>
              <w:rPr>
                <w:rFonts w:hint="eastAsia" w:ascii="宋体" w:hAnsi="宋体" w:eastAsia="宋体" w:cs="宋体"/>
                <w:color w:val="000000" w:themeColor="text1"/>
                <w:spacing w:val="1"/>
                <w:sz w:val="21"/>
                <w:szCs w:val="21"/>
                <w:lang w:val="en-US" w:eastAsia="zh-CN"/>
                <w14:textFill>
                  <w14:solidFill>
                    <w14:schemeClr w14:val="tx1"/>
                  </w14:solidFill>
                </w14:textFill>
              </w:rPr>
              <w:t>3、具有政府部门颁发的应急管理专家证书，得50%；</w:t>
            </w:r>
          </w:p>
          <w:p>
            <w:pPr>
              <w:pStyle w:val="15"/>
              <w:keepNext w:val="0"/>
              <w:keepLines w:val="0"/>
              <w:pageBreakBefore w:val="0"/>
              <w:widowControl/>
              <w:kinsoku w:val="0"/>
              <w:wordWrap/>
              <w:overflowPunct/>
              <w:topLinePunct w:val="0"/>
              <w:autoSpaceDE w:val="0"/>
              <w:autoSpaceDN w:val="0"/>
              <w:bidi w:val="0"/>
              <w:adjustRightInd w:val="0"/>
              <w:snapToGrid w:val="0"/>
              <w:spacing w:line="380" w:lineRule="exact"/>
              <w:ind w:left="98" w:right="107" w:rightChars="51"/>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3"/>
                <w:sz w:val="21"/>
                <w:szCs w:val="21"/>
                <w14:textFill>
                  <w14:solidFill>
                    <w14:schemeClr w14:val="tx1"/>
                  </w14:solidFill>
                </w14:textFill>
              </w:rPr>
              <w:t>(二)评分依据：</w:t>
            </w:r>
          </w:p>
          <w:p>
            <w:pPr>
              <w:pStyle w:val="15"/>
              <w:keepNext w:val="0"/>
              <w:keepLines w:val="0"/>
              <w:pageBreakBefore w:val="0"/>
              <w:widowControl/>
              <w:kinsoku w:val="0"/>
              <w:wordWrap/>
              <w:overflowPunct/>
              <w:topLinePunct w:val="0"/>
              <w:autoSpaceDE w:val="0"/>
              <w:autoSpaceDN w:val="0"/>
              <w:bidi w:val="0"/>
              <w:adjustRightInd/>
              <w:snapToGrid w:val="0"/>
              <w:spacing w:line="380" w:lineRule="exact"/>
              <w:ind w:left="94" w:right="1" w:rightChars="0" w:firstLine="10"/>
              <w:jc w:val="left"/>
              <w:textAlignment w:val="baseline"/>
              <w:rPr>
                <w:rFonts w:hint="eastAsia" w:ascii="宋体" w:hAnsi="宋体" w:eastAsia="宋体" w:cs="宋体"/>
                <w:color w:val="000000" w:themeColor="text1"/>
                <w:spacing w:val="1"/>
                <w:sz w:val="21"/>
                <w:szCs w:val="21"/>
                <w:lang w:eastAsia="zh-CN"/>
                <w14:textFill>
                  <w14:solidFill>
                    <w14:schemeClr w14:val="tx1"/>
                  </w14:solidFill>
                </w14:textFill>
              </w:rPr>
            </w:pPr>
            <w:r>
              <w:rPr>
                <w:rFonts w:hint="eastAsia" w:ascii="宋体" w:hAnsi="宋体" w:eastAsia="宋体" w:cs="宋体"/>
                <w:color w:val="000000" w:themeColor="text1"/>
                <w:spacing w:val="1"/>
                <w:sz w:val="21"/>
                <w:szCs w:val="21"/>
                <w:lang w:eastAsia="zh-CN"/>
                <w14:textFill>
                  <w14:solidFill>
                    <w14:schemeClr w14:val="tx1"/>
                  </w14:solidFill>
                </w14:textFill>
              </w:rPr>
              <w:t>1、评分内容1至</w:t>
            </w:r>
            <w:r>
              <w:rPr>
                <w:rFonts w:hint="eastAsia" w:ascii="宋体" w:hAnsi="宋体" w:eastAsia="宋体" w:cs="宋体"/>
                <w:color w:val="000000" w:themeColor="text1"/>
                <w:spacing w:val="1"/>
                <w:sz w:val="21"/>
                <w:szCs w:val="21"/>
                <w:lang w:val="en-US" w:eastAsia="zh-CN"/>
                <w14:textFill>
                  <w14:solidFill>
                    <w14:schemeClr w14:val="tx1"/>
                  </w14:solidFill>
                </w14:textFill>
              </w:rPr>
              <w:t>3</w:t>
            </w:r>
            <w:r>
              <w:rPr>
                <w:rFonts w:hint="eastAsia" w:ascii="宋体" w:hAnsi="宋体" w:eastAsia="宋体" w:cs="宋体"/>
                <w:color w:val="000000" w:themeColor="text1"/>
                <w:spacing w:val="1"/>
                <w:sz w:val="21"/>
                <w:szCs w:val="21"/>
                <w:lang w:eastAsia="zh-CN"/>
                <w14:textFill>
                  <w14:solidFill>
                    <w14:schemeClr w14:val="tx1"/>
                  </w14:solidFill>
                </w14:textFill>
              </w:rPr>
              <w:t>:提供相应证书扫描件；</w:t>
            </w:r>
          </w:p>
          <w:p>
            <w:pPr>
              <w:pStyle w:val="15"/>
              <w:keepNext w:val="0"/>
              <w:keepLines w:val="0"/>
              <w:pageBreakBefore w:val="0"/>
              <w:widowControl/>
              <w:kinsoku w:val="0"/>
              <w:wordWrap/>
              <w:overflowPunct/>
              <w:topLinePunct w:val="0"/>
              <w:autoSpaceDE w:val="0"/>
              <w:autoSpaceDN w:val="0"/>
              <w:bidi w:val="0"/>
              <w:adjustRightInd/>
              <w:snapToGrid w:val="0"/>
              <w:spacing w:line="380" w:lineRule="exact"/>
              <w:ind w:left="94" w:right="1" w:rightChars="0" w:firstLine="10"/>
              <w:jc w:val="left"/>
              <w:textAlignment w:val="baseline"/>
              <w:rPr>
                <w:rFonts w:hint="eastAsia" w:ascii="宋体" w:hAnsi="宋体" w:eastAsia="宋体" w:cs="宋体"/>
                <w:color w:val="000000" w:themeColor="text1"/>
                <w:spacing w:val="1"/>
                <w:sz w:val="21"/>
                <w:szCs w:val="21"/>
                <w:lang w:eastAsia="zh-CN"/>
                <w14:textFill>
                  <w14:solidFill>
                    <w14:schemeClr w14:val="tx1"/>
                  </w14:solidFill>
                </w14:textFill>
              </w:rPr>
            </w:pPr>
            <w:r>
              <w:rPr>
                <w:rFonts w:hint="eastAsia" w:ascii="宋体" w:hAnsi="宋体" w:eastAsia="宋体" w:cs="宋体"/>
                <w:color w:val="000000" w:themeColor="text1"/>
                <w:spacing w:val="1"/>
                <w:sz w:val="21"/>
                <w:szCs w:val="21"/>
                <w:lang w:eastAsia="zh-CN"/>
                <w14:textFill>
                  <w14:solidFill>
                    <w14:schemeClr w14:val="tx1"/>
                  </w14:solidFill>
                </w14:textFill>
              </w:rPr>
              <w:t>2</w:t>
            </w:r>
            <w:r>
              <w:rPr>
                <w:rFonts w:hint="eastAsia" w:ascii="宋体" w:hAnsi="宋体" w:eastAsia="宋体" w:cs="宋体"/>
                <w:color w:val="000000" w:themeColor="text1"/>
                <w:spacing w:val="1"/>
                <w:sz w:val="21"/>
                <w:szCs w:val="21"/>
                <w:lang w:val="en-US" w:eastAsia="zh-CN"/>
                <w14:textFill>
                  <w14:solidFill>
                    <w14:schemeClr w14:val="tx1"/>
                  </w14:solidFill>
                </w14:textFill>
              </w:rPr>
              <w:t>、</w:t>
            </w:r>
            <w:r>
              <w:rPr>
                <w:rFonts w:hint="eastAsia" w:ascii="宋体" w:hAnsi="宋体" w:eastAsia="宋体" w:cs="宋体"/>
                <w:color w:val="000000" w:themeColor="text1"/>
                <w:spacing w:val="1"/>
                <w:sz w:val="21"/>
                <w:szCs w:val="21"/>
                <w:lang w:eastAsia="zh-CN"/>
                <w14:textFill>
                  <w14:solidFill>
                    <w14:schemeClr w14:val="tx1"/>
                  </w14:solidFill>
                </w14:textFill>
              </w:rPr>
              <w:t>提供学历证书以及学信网查询记录，原件备查。学信网无法查询的，可提供其他佐证材料:如毕业院校、人社部门等颁发机构或监管机构等单位出具的证明；</w:t>
            </w:r>
          </w:p>
          <w:p>
            <w:pPr>
              <w:pStyle w:val="15"/>
              <w:keepNext w:val="0"/>
              <w:keepLines w:val="0"/>
              <w:pageBreakBefore w:val="0"/>
              <w:widowControl/>
              <w:kinsoku w:val="0"/>
              <w:wordWrap/>
              <w:overflowPunct/>
              <w:topLinePunct w:val="0"/>
              <w:autoSpaceDE w:val="0"/>
              <w:autoSpaceDN w:val="0"/>
              <w:bidi w:val="0"/>
              <w:adjustRightInd/>
              <w:snapToGrid w:val="0"/>
              <w:spacing w:line="380" w:lineRule="exact"/>
              <w:ind w:left="94" w:right="1" w:rightChars="0" w:firstLine="10"/>
              <w:jc w:val="left"/>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1"/>
                <w:sz w:val="21"/>
                <w:szCs w:val="21"/>
                <w:lang w:val="en-US" w:eastAsia="zh-CN"/>
                <w14:textFill>
                  <w14:solidFill>
                    <w14:schemeClr w14:val="tx1"/>
                  </w14:solidFill>
                </w14:textFill>
              </w:rPr>
              <w:t>3、</w:t>
            </w:r>
            <w:r>
              <w:rPr>
                <w:rFonts w:hint="eastAsia" w:ascii="宋体" w:hAnsi="宋体" w:eastAsia="宋体" w:cs="宋体"/>
                <w:color w:val="000000" w:themeColor="text1"/>
                <w:spacing w:val="1"/>
                <w:sz w:val="21"/>
                <w:szCs w:val="21"/>
                <w:lang w:eastAsia="zh-CN"/>
                <w14:textFill>
                  <w14:solidFill>
                    <w14:schemeClr w14:val="tx1"/>
                  </w14:solidFill>
                </w14:textFill>
              </w:rPr>
              <w:t>提供投标截止时间前</w:t>
            </w:r>
            <w:r>
              <w:rPr>
                <w:rFonts w:hint="eastAsia" w:cs="宋体"/>
                <w:color w:val="000000" w:themeColor="text1"/>
                <w:spacing w:val="1"/>
                <w:sz w:val="21"/>
                <w:szCs w:val="21"/>
                <w:lang w:val="en-US" w:eastAsia="zh-CN"/>
                <w14:textFill>
                  <w14:solidFill>
                    <w14:schemeClr w14:val="tx1"/>
                  </w14:solidFill>
                </w14:textFill>
              </w:rPr>
              <w:t>一</w:t>
            </w:r>
            <w:r>
              <w:rPr>
                <w:rFonts w:hint="eastAsia" w:ascii="宋体" w:hAnsi="宋体" w:eastAsia="宋体" w:cs="宋体"/>
                <w:color w:val="000000" w:themeColor="text1"/>
                <w:spacing w:val="1"/>
                <w:sz w:val="21"/>
                <w:szCs w:val="21"/>
                <w:lang w:eastAsia="zh-CN"/>
                <w14:textFill>
                  <w14:solidFill>
                    <w14:schemeClr w14:val="tx1"/>
                  </w14:solidFill>
                </w14:textFill>
              </w:rPr>
              <w:t>个月社保费用缴交明细， 如开标日上一个月的社保材料因社保部门原因暂时无法取得，则可以往前顺延一个月，不接受补缴社保。不提供或提供不清晰导致专家无法判断的不得分。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5" w:hRule="atLeast"/>
        </w:trPr>
        <w:tc>
          <w:tcPr>
            <w:tcW w:w="598" w:type="dxa"/>
            <w:vAlign w:val="center"/>
          </w:tcPr>
          <w:p>
            <w:pPr>
              <w:pStyle w:val="15"/>
              <w:spacing w:before="116" w:line="183" w:lineRule="auto"/>
              <w:ind w:left="261" w:right="-239" w:rightChars="-114"/>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p>
        </w:tc>
        <w:tc>
          <w:tcPr>
            <w:tcW w:w="1498" w:type="dxa"/>
            <w:vAlign w:val="center"/>
          </w:tcPr>
          <w:p>
            <w:pPr>
              <w:pStyle w:val="15"/>
              <w:widowControl/>
              <w:kinsoku w:val="0"/>
              <w:autoSpaceDE w:val="0"/>
              <w:autoSpaceDN w:val="0"/>
              <w:adjustRightInd w:val="0"/>
              <w:snapToGrid w:val="0"/>
              <w:spacing w:before="0" w:line="320" w:lineRule="exact"/>
              <w:ind w:left="60" w:right="0" w:rightChars="0" w:firstLine="0"/>
              <w:jc w:val="left"/>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2"/>
                <w:sz w:val="21"/>
                <w:szCs w:val="21"/>
                <w14:textFill>
                  <w14:solidFill>
                    <w14:schemeClr w14:val="tx1"/>
                  </w14:solidFill>
                </w14:textFill>
              </w:rPr>
              <w:t>拟安排的技</w:t>
            </w:r>
            <w:r>
              <w:rPr>
                <w:rFonts w:hint="eastAsia" w:ascii="宋体" w:hAnsi="宋体" w:eastAsia="宋体" w:cs="宋体"/>
                <w:color w:val="000000" w:themeColor="text1"/>
                <w:spacing w:val="-2"/>
                <w:sz w:val="21"/>
                <w:szCs w:val="21"/>
                <w:lang w:eastAsia="zh-CN"/>
                <w14:textFill>
                  <w14:solidFill>
                    <w14:schemeClr w14:val="tx1"/>
                  </w14:solidFill>
                </w14:textFill>
              </w:rPr>
              <w:t>术</w:t>
            </w:r>
            <w:r>
              <w:rPr>
                <w:rFonts w:hint="eastAsia" w:ascii="宋体" w:hAnsi="宋体" w:eastAsia="宋体" w:cs="宋体"/>
                <w:color w:val="000000" w:themeColor="text1"/>
                <w:spacing w:val="-2"/>
                <w:sz w:val="21"/>
                <w:szCs w:val="21"/>
                <w14:textFill>
                  <w14:solidFill>
                    <w14:schemeClr w14:val="tx1"/>
                  </w14:solidFill>
                </w14:textFill>
              </w:rPr>
              <w:t xml:space="preserve">负责人情况( 限1人 </w:t>
            </w:r>
            <w:r>
              <w:rPr>
                <w:rFonts w:hint="eastAsia" w:ascii="宋体" w:hAnsi="宋体" w:eastAsia="宋体" w:cs="宋体"/>
                <w:color w:val="000000" w:themeColor="text1"/>
                <w:spacing w:val="-2"/>
                <w:sz w:val="21"/>
                <w:szCs w:val="21"/>
                <w:lang w:eastAsia="zh-CN"/>
                <w14:textFill>
                  <w14:solidFill>
                    <w14:schemeClr w14:val="tx1"/>
                  </w14:solidFill>
                </w14:textFill>
              </w:rPr>
              <w:t>，项目负责人除外</w:t>
            </w:r>
            <w:r>
              <w:rPr>
                <w:rFonts w:hint="eastAsia" w:ascii="宋体" w:hAnsi="宋体" w:eastAsia="宋体" w:cs="宋体"/>
                <w:color w:val="000000" w:themeColor="text1"/>
                <w:spacing w:val="-2"/>
                <w:sz w:val="21"/>
                <w:szCs w:val="21"/>
                <w14:textFill>
                  <w14:solidFill>
                    <w14:schemeClr w14:val="tx1"/>
                  </w14:solidFill>
                </w14:textFill>
              </w:rPr>
              <w:t>)</w:t>
            </w:r>
          </w:p>
        </w:tc>
        <w:tc>
          <w:tcPr>
            <w:tcW w:w="709"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320" w:lineRule="exact"/>
              <w:ind w:left="223" w:right="-239" w:rightChars="-114"/>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pacing w:val="-7"/>
                <w:sz w:val="21"/>
                <w:szCs w:val="21"/>
                <w:lang w:val="en-US" w:eastAsia="zh-CN"/>
                <w14:textFill>
                  <w14:solidFill>
                    <w14:schemeClr w14:val="tx1"/>
                  </w14:solidFill>
                </w14:textFill>
              </w:rPr>
              <w:t>8</w:t>
            </w:r>
          </w:p>
        </w:tc>
        <w:tc>
          <w:tcPr>
            <w:tcW w:w="6761" w:type="dxa"/>
            <w:vAlign w:val="top"/>
          </w:tcPr>
          <w:p>
            <w:pPr>
              <w:pStyle w:val="15"/>
              <w:keepNext w:val="0"/>
              <w:keepLines w:val="0"/>
              <w:pageBreakBefore w:val="0"/>
              <w:widowControl/>
              <w:kinsoku w:val="0"/>
              <w:wordWrap/>
              <w:overflowPunct/>
              <w:topLinePunct w:val="0"/>
              <w:autoSpaceDE w:val="0"/>
              <w:autoSpaceDN w:val="0"/>
              <w:bidi w:val="0"/>
              <w:adjustRightInd w:val="0"/>
              <w:snapToGrid w:val="0"/>
              <w:spacing w:line="380" w:lineRule="exact"/>
              <w:ind w:left="40" w:leftChars="19" w:right="107" w:rightChars="51" w:firstLine="47" w:firstLineChars="23"/>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4"/>
                <w:sz w:val="21"/>
                <w:szCs w:val="21"/>
                <w14:textFill>
                  <w14:solidFill>
                    <w14:schemeClr w14:val="tx1"/>
                  </w14:solidFill>
                </w14:textFill>
              </w:rPr>
              <w:t>(一)评分内容：</w:t>
            </w:r>
          </w:p>
          <w:p>
            <w:pPr>
              <w:pStyle w:val="15"/>
              <w:keepNext w:val="0"/>
              <w:keepLines w:val="0"/>
              <w:pageBreakBefore w:val="0"/>
              <w:widowControl/>
              <w:kinsoku w:val="0"/>
              <w:wordWrap/>
              <w:overflowPunct/>
              <w:topLinePunct w:val="0"/>
              <w:autoSpaceDE w:val="0"/>
              <w:autoSpaceDN w:val="0"/>
              <w:bidi w:val="0"/>
              <w:adjustRightInd/>
              <w:snapToGrid w:val="0"/>
              <w:spacing w:line="380" w:lineRule="exact"/>
              <w:ind w:left="94" w:leftChars="0" w:right="1" w:rightChars="0" w:firstLine="10" w:firstLineChars="0"/>
              <w:jc w:val="left"/>
              <w:textAlignment w:val="baseline"/>
              <w:rPr>
                <w:rFonts w:hint="eastAsia" w:ascii="宋体" w:hAnsi="宋体" w:eastAsia="宋体" w:cs="宋体"/>
                <w:color w:val="000000" w:themeColor="text1"/>
                <w:spacing w:val="1"/>
                <w:sz w:val="21"/>
                <w:szCs w:val="21"/>
                <w:lang w:eastAsia="zh-CN"/>
                <w14:textFill>
                  <w14:solidFill>
                    <w14:schemeClr w14:val="tx1"/>
                  </w14:solidFill>
                </w14:textFill>
              </w:rPr>
            </w:pPr>
            <w:r>
              <w:rPr>
                <w:rFonts w:hint="eastAsia" w:ascii="宋体" w:hAnsi="宋体" w:eastAsia="宋体" w:cs="宋体"/>
                <w:color w:val="000000" w:themeColor="text1"/>
                <w:spacing w:val="1"/>
                <w:sz w:val="21"/>
                <w:szCs w:val="21"/>
                <w:lang w:eastAsia="zh-CN"/>
                <w14:textFill>
                  <w14:solidFill>
                    <w14:schemeClr w14:val="tx1"/>
                  </w14:solidFill>
                </w14:textFill>
              </w:rPr>
              <w:t>1、具有本科及以上学历的，得</w:t>
            </w:r>
            <w:r>
              <w:rPr>
                <w:rFonts w:hint="eastAsia" w:ascii="宋体" w:hAnsi="宋体" w:eastAsia="宋体" w:cs="宋体"/>
                <w:color w:val="000000" w:themeColor="text1"/>
                <w:spacing w:val="1"/>
                <w:sz w:val="21"/>
                <w:szCs w:val="21"/>
                <w:lang w:val="en-US" w:eastAsia="zh-CN"/>
                <w14:textFill>
                  <w14:solidFill>
                    <w14:schemeClr w14:val="tx1"/>
                  </w14:solidFill>
                </w14:textFill>
              </w:rPr>
              <w:t>40%</w:t>
            </w:r>
            <w:r>
              <w:rPr>
                <w:rFonts w:hint="eastAsia" w:ascii="宋体" w:hAnsi="宋体" w:eastAsia="宋体" w:cs="宋体"/>
                <w:color w:val="000000" w:themeColor="text1"/>
                <w:spacing w:val="1"/>
                <w:sz w:val="21"/>
                <w:szCs w:val="21"/>
                <w:lang w:eastAsia="zh-CN"/>
                <w14:textFill>
                  <w14:solidFill>
                    <w14:schemeClr w14:val="tx1"/>
                  </w14:solidFill>
                </w14:textFill>
              </w:rPr>
              <w:t>；</w:t>
            </w:r>
          </w:p>
          <w:p>
            <w:pPr>
              <w:pStyle w:val="15"/>
              <w:keepNext w:val="0"/>
              <w:keepLines w:val="0"/>
              <w:pageBreakBefore w:val="0"/>
              <w:widowControl/>
              <w:kinsoku w:val="0"/>
              <w:wordWrap/>
              <w:overflowPunct/>
              <w:topLinePunct w:val="0"/>
              <w:autoSpaceDE w:val="0"/>
              <w:autoSpaceDN w:val="0"/>
              <w:bidi w:val="0"/>
              <w:adjustRightInd/>
              <w:snapToGrid w:val="0"/>
              <w:spacing w:line="380" w:lineRule="exact"/>
              <w:ind w:left="94" w:leftChars="0" w:right="1" w:rightChars="0" w:firstLine="10" w:firstLineChars="0"/>
              <w:jc w:val="left"/>
              <w:textAlignment w:val="baseline"/>
              <w:rPr>
                <w:rFonts w:hint="eastAsia" w:ascii="宋体" w:hAnsi="宋体" w:eastAsia="宋体" w:cs="宋体"/>
                <w:color w:val="000000" w:themeColor="text1"/>
                <w:spacing w:val="1"/>
                <w:sz w:val="21"/>
                <w:szCs w:val="21"/>
                <w:lang w:eastAsia="zh-CN"/>
                <w14:textFill>
                  <w14:solidFill>
                    <w14:schemeClr w14:val="tx1"/>
                  </w14:solidFill>
                </w14:textFill>
              </w:rPr>
            </w:pPr>
            <w:r>
              <w:rPr>
                <w:rFonts w:hint="eastAsia" w:ascii="宋体" w:hAnsi="宋体" w:eastAsia="宋体" w:cs="宋体"/>
                <w:color w:val="000000" w:themeColor="text1"/>
                <w:spacing w:val="1"/>
                <w:sz w:val="21"/>
                <w:szCs w:val="21"/>
                <w:lang w:val="en-US" w:eastAsia="zh-CN"/>
                <w14:textFill>
                  <w14:solidFill>
                    <w14:schemeClr w14:val="tx1"/>
                  </w14:solidFill>
                </w14:textFill>
              </w:rPr>
              <w:t>2</w:t>
            </w:r>
            <w:r>
              <w:rPr>
                <w:rFonts w:hint="eastAsia" w:ascii="宋体" w:hAnsi="宋体" w:eastAsia="宋体" w:cs="宋体"/>
                <w:color w:val="000000" w:themeColor="text1"/>
                <w:spacing w:val="1"/>
                <w:sz w:val="21"/>
                <w:szCs w:val="21"/>
                <w:lang w:eastAsia="zh-CN"/>
                <w14:textFill>
                  <w14:solidFill>
                    <w14:schemeClr w14:val="tx1"/>
                  </w14:solidFill>
                </w14:textFill>
              </w:rPr>
              <w:t>、具有电气高级工程师职称证书的，得</w:t>
            </w:r>
            <w:r>
              <w:rPr>
                <w:rFonts w:hint="eastAsia" w:ascii="宋体" w:hAnsi="宋体" w:eastAsia="宋体" w:cs="宋体"/>
                <w:color w:val="000000" w:themeColor="text1"/>
                <w:spacing w:val="1"/>
                <w:sz w:val="21"/>
                <w:szCs w:val="21"/>
                <w:lang w:val="en-US" w:eastAsia="zh-CN"/>
                <w14:textFill>
                  <w14:solidFill>
                    <w14:schemeClr w14:val="tx1"/>
                  </w14:solidFill>
                </w14:textFill>
              </w:rPr>
              <w:t>60%</w:t>
            </w:r>
            <w:r>
              <w:rPr>
                <w:rFonts w:hint="eastAsia" w:ascii="宋体" w:hAnsi="宋体" w:eastAsia="宋体" w:cs="宋体"/>
                <w:color w:val="000000" w:themeColor="text1"/>
                <w:spacing w:val="1"/>
                <w:sz w:val="21"/>
                <w:szCs w:val="21"/>
                <w:lang w:eastAsia="zh-CN"/>
                <w14:textFill>
                  <w14:solidFill>
                    <w14:schemeClr w14:val="tx1"/>
                  </w14:solidFill>
                </w14:textFill>
              </w:rPr>
              <w:t xml:space="preserve"> ；</w:t>
            </w:r>
          </w:p>
          <w:p>
            <w:pPr>
              <w:pStyle w:val="15"/>
              <w:keepNext w:val="0"/>
              <w:keepLines w:val="0"/>
              <w:pageBreakBefore w:val="0"/>
              <w:widowControl/>
              <w:kinsoku w:val="0"/>
              <w:wordWrap/>
              <w:overflowPunct/>
              <w:topLinePunct w:val="0"/>
              <w:autoSpaceDE w:val="0"/>
              <w:autoSpaceDN w:val="0"/>
              <w:bidi w:val="0"/>
              <w:adjustRightInd w:val="0"/>
              <w:snapToGrid w:val="0"/>
              <w:spacing w:line="380" w:lineRule="exact"/>
              <w:ind w:left="40" w:leftChars="19" w:right="107" w:rightChars="51" w:firstLine="47" w:firstLineChars="23"/>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4"/>
                <w:sz w:val="21"/>
                <w:szCs w:val="21"/>
                <w14:textFill>
                  <w14:solidFill>
                    <w14:schemeClr w14:val="tx1"/>
                  </w14:solidFill>
                </w14:textFill>
              </w:rPr>
              <w:t>(二)评分依据：</w:t>
            </w:r>
          </w:p>
          <w:p>
            <w:pPr>
              <w:pStyle w:val="15"/>
              <w:keepNext w:val="0"/>
              <w:keepLines w:val="0"/>
              <w:pageBreakBefore w:val="0"/>
              <w:widowControl/>
              <w:kinsoku w:val="0"/>
              <w:wordWrap/>
              <w:overflowPunct/>
              <w:topLinePunct w:val="0"/>
              <w:autoSpaceDE w:val="0"/>
              <w:autoSpaceDN w:val="0"/>
              <w:bidi w:val="0"/>
              <w:adjustRightInd/>
              <w:snapToGrid w:val="0"/>
              <w:spacing w:line="380" w:lineRule="exact"/>
              <w:ind w:left="94" w:leftChars="0" w:right="1" w:rightChars="0" w:firstLine="10" w:firstLineChars="0"/>
              <w:jc w:val="left"/>
              <w:textAlignment w:val="baseline"/>
              <w:rPr>
                <w:rFonts w:hint="eastAsia" w:ascii="宋体" w:hAnsi="宋体" w:eastAsia="宋体" w:cs="宋体"/>
                <w:color w:val="000000" w:themeColor="text1"/>
                <w:spacing w:val="1"/>
                <w:sz w:val="21"/>
                <w:szCs w:val="21"/>
                <w:lang w:eastAsia="zh-CN"/>
                <w14:textFill>
                  <w14:solidFill>
                    <w14:schemeClr w14:val="tx1"/>
                  </w14:solidFill>
                </w14:textFill>
              </w:rPr>
            </w:pPr>
            <w:r>
              <w:rPr>
                <w:rFonts w:hint="eastAsia" w:ascii="宋体" w:hAnsi="宋体" w:eastAsia="宋体" w:cs="宋体"/>
                <w:color w:val="000000" w:themeColor="text1"/>
                <w:spacing w:val="1"/>
                <w:sz w:val="21"/>
                <w:szCs w:val="21"/>
                <w:lang w:eastAsia="zh-CN"/>
                <w14:textFill>
                  <w14:solidFill>
                    <w14:schemeClr w14:val="tx1"/>
                  </w14:solidFill>
                </w14:textFill>
              </w:rPr>
              <w:t>1、评分内容1提供学历证书和学信网查询记录截图(如学信网无法查询的，还需提供毕业院校、人社部门等颁发机构或监管机构等单位出具的证明作为得分依据)。留学归国人员如无法提供学信网查询记录截图，提供国(境)外学历证书扫描件(以及中文翻译件)和教育部留学服务中心出具的国外学历学位认证书扫描件【或</w:t>
            </w:r>
            <w:r>
              <w:rPr>
                <w:rFonts w:hint="eastAsia" w:ascii="宋体" w:hAnsi="宋体" w:eastAsia="宋体" w:cs="宋体"/>
                <w:color w:val="000000" w:themeColor="text1"/>
                <w:spacing w:val="1"/>
                <w:sz w:val="21"/>
                <w:szCs w:val="21"/>
                <w:lang w:eastAsia="zh-CN"/>
                <w14:textFill>
                  <w14:solidFill>
                    <w14:schemeClr w14:val="tx1"/>
                  </w14:solidFill>
                </w14:textFill>
              </w:rPr>
              <w:fldChar w:fldCharType="begin"/>
            </w:r>
            <w:r>
              <w:rPr>
                <w:rFonts w:hint="eastAsia" w:ascii="宋体" w:hAnsi="宋体" w:eastAsia="宋体" w:cs="宋体"/>
                <w:color w:val="000000" w:themeColor="text1"/>
                <w:spacing w:val="1"/>
                <w:sz w:val="21"/>
                <w:szCs w:val="21"/>
                <w:lang w:eastAsia="zh-CN"/>
                <w14:textFill>
                  <w14:solidFill>
                    <w14:schemeClr w14:val="tx1"/>
                  </w14:solidFill>
                </w14:textFill>
              </w:rPr>
              <w:instrText xml:space="preserve"> HYPERLINK "http://zwfw.cscsc.edu.cn/" </w:instrText>
            </w:r>
            <w:r>
              <w:rPr>
                <w:rFonts w:hint="eastAsia" w:ascii="宋体" w:hAnsi="宋体" w:eastAsia="宋体" w:cs="宋体"/>
                <w:color w:val="000000" w:themeColor="text1"/>
                <w:spacing w:val="1"/>
                <w:sz w:val="21"/>
                <w:szCs w:val="21"/>
                <w:lang w:eastAsia="zh-CN"/>
                <w14:textFill>
                  <w14:solidFill>
                    <w14:schemeClr w14:val="tx1"/>
                  </w14:solidFill>
                </w14:textFill>
              </w:rPr>
              <w:fldChar w:fldCharType="separate"/>
            </w:r>
            <w:r>
              <w:rPr>
                <w:rFonts w:hint="eastAsia" w:ascii="宋体" w:hAnsi="宋体" w:eastAsia="宋体" w:cs="宋体"/>
                <w:color w:val="000000" w:themeColor="text1"/>
                <w:spacing w:val="1"/>
                <w:sz w:val="21"/>
                <w:szCs w:val="21"/>
                <w:lang w:eastAsia="zh-CN"/>
                <w14:textFill>
                  <w14:solidFill>
                    <w14:schemeClr w14:val="tx1"/>
                  </w14:solidFill>
                </w14:textFill>
              </w:rPr>
              <w:t>http://zwfw.cscsc.edu.cn/</w:t>
            </w:r>
            <w:r>
              <w:rPr>
                <w:rFonts w:hint="eastAsia" w:ascii="宋体" w:hAnsi="宋体" w:eastAsia="宋体" w:cs="宋体"/>
                <w:color w:val="000000" w:themeColor="text1"/>
                <w:spacing w:val="1"/>
                <w:sz w:val="21"/>
                <w:szCs w:val="21"/>
                <w:lang w:eastAsia="zh-CN"/>
                <w14:textFill>
                  <w14:solidFill>
                    <w14:schemeClr w14:val="tx1"/>
                  </w14:solidFill>
                </w14:textFill>
              </w:rPr>
              <w:fldChar w:fldCharType="end"/>
            </w:r>
            <w:r>
              <w:rPr>
                <w:rFonts w:hint="eastAsia" w:ascii="宋体" w:hAnsi="宋体" w:eastAsia="宋体" w:cs="宋体"/>
                <w:color w:val="000000" w:themeColor="text1"/>
                <w:spacing w:val="1"/>
                <w:sz w:val="21"/>
                <w:szCs w:val="21"/>
                <w:lang w:eastAsia="zh-CN"/>
                <w14:textFill>
                  <w14:solidFill>
                    <w14:schemeClr w14:val="tx1"/>
                  </w14:solidFill>
                </w14:textFill>
              </w:rPr>
              <w:t>)查询截图】 也予认可；</w:t>
            </w:r>
          </w:p>
          <w:p>
            <w:pPr>
              <w:pStyle w:val="15"/>
              <w:keepNext w:val="0"/>
              <w:keepLines w:val="0"/>
              <w:pageBreakBefore w:val="0"/>
              <w:widowControl/>
              <w:kinsoku w:val="0"/>
              <w:wordWrap/>
              <w:overflowPunct/>
              <w:topLinePunct w:val="0"/>
              <w:autoSpaceDE w:val="0"/>
              <w:autoSpaceDN w:val="0"/>
              <w:bidi w:val="0"/>
              <w:adjustRightInd/>
              <w:snapToGrid w:val="0"/>
              <w:spacing w:line="380" w:lineRule="exact"/>
              <w:ind w:left="94" w:leftChars="0" w:right="1" w:firstLine="10" w:firstLineChars="0"/>
              <w:jc w:val="left"/>
              <w:textAlignment w:val="baseline"/>
              <w:rPr>
                <w:rFonts w:hint="eastAsia" w:ascii="宋体" w:hAnsi="宋体" w:eastAsia="宋体" w:cs="宋体"/>
                <w:color w:val="000000" w:themeColor="text1"/>
                <w:spacing w:val="1"/>
                <w:sz w:val="21"/>
                <w:szCs w:val="21"/>
                <w:lang w:eastAsia="zh-CN"/>
                <w14:textFill>
                  <w14:solidFill>
                    <w14:schemeClr w14:val="tx1"/>
                  </w14:solidFill>
                </w14:textFill>
              </w:rPr>
            </w:pPr>
            <w:r>
              <w:rPr>
                <w:rFonts w:hint="eastAsia" w:ascii="宋体" w:hAnsi="宋体" w:eastAsia="宋体" w:cs="宋体"/>
                <w:color w:val="000000" w:themeColor="text1"/>
                <w:spacing w:val="1"/>
                <w:sz w:val="21"/>
                <w:szCs w:val="21"/>
                <w:lang w:eastAsia="zh-CN"/>
                <w14:textFill>
                  <w14:solidFill>
                    <w14:schemeClr w14:val="tx1"/>
                  </w14:solidFill>
                </w14:textFill>
              </w:rPr>
              <w:t>2、评分内容</w:t>
            </w:r>
            <w:r>
              <w:rPr>
                <w:rFonts w:hint="eastAsia" w:ascii="宋体" w:hAnsi="宋体" w:eastAsia="宋体" w:cs="宋体"/>
                <w:color w:val="000000" w:themeColor="text1"/>
                <w:spacing w:val="1"/>
                <w:sz w:val="21"/>
                <w:szCs w:val="21"/>
                <w:lang w:val="en-US" w:eastAsia="zh-CN"/>
                <w14:textFill>
                  <w14:solidFill>
                    <w14:schemeClr w14:val="tx1"/>
                  </w14:solidFill>
                </w14:textFill>
              </w:rPr>
              <w:t>1-2</w:t>
            </w:r>
            <w:r>
              <w:rPr>
                <w:rFonts w:hint="eastAsia" w:ascii="宋体" w:hAnsi="宋体" w:eastAsia="宋体" w:cs="宋体"/>
                <w:color w:val="000000" w:themeColor="text1"/>
                <w:spacing w:val="1"/>
                <w:sz w:val="21"/>
                <w:szCs w:val="21"/>
                <w:lang w:eastAsia="zh-CN"/>
                <w14:textFill>
                  <w14:solidFill>
                    <w14:schemeClr w14:val="tx1"/>
                  </w14:solidFill>
                </w14:textFill>
              </w:rPr>
              <w:t>:提供相应证书扫描件</w:t>
            </w:r>
            <w:r>
              <w:rPr>
                <w:rFonts w:hint="eastAsia" w:ascii="宋体" w:hAnsi="宋体" w:eastAsia="宋体" w:cs="宋体"/>
                <w:color w:val="000000" w:themeColor="text1"/>
                <w:spacing w:val="1"/>
                <w:sz w:val="21"/>
                <w:szCs w:val="21"/>
                <w:lang w:val="en-US" w:eastAsia="zh-CN"/>
                <w14:textFill>
                  <w14:solidFill>
                    <w14:schemeClr w14:val="tx1"/>
                  </w14:solidFill>
                </w14:textFill>
              </w:rPr>
              <w:t>及证书官网查询截图；</w:t>
            </w:r>
          </w:p>
          <w:p>
            <w:pPr>
              <w:pStyle w:val="15"/>
              <w:keepNext w:val="0"/>
              <w:keepLines w:val="0"/>
              <w:pageBreakBefore w:val="0"/>
              <w:widowControl/>
              <w:kinsoku w:val="0"/>
              <w:wordWrap/>
              <w:overflowPunct/>
              <w:topLinePunct w:val="0"/>
              <w:autoSpaceDE w:val="0"/>
              <w:autoSpaceDN w:val="0"/>
              <w:bidi w:val="0"/>
              <w:adjustRightInd/>
              <w:snapToGrid w:val="0"/>
              <w:spacing w:line="380" w:lineRule="exact"/>
              <w:ind w:left="94" w:leftChars="0" w:right="1" w:firstLine="10" w:firstLineChars="0"/>
              <w:jc w:val="left"/>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1"/>
                <w:sz w:val="21"/>
                <w:szCs w:val="21"/>
                <w:lang w:eastAsia="zh-CN"/>
                <w14:textFill>
                  <w14:solidFill>
                    <w14:schemeClr w14:val="tx1"/>
                  </w14:solidFill>
                </w14:textFill>
              </w:rPr>
              <w:t>3、提供投标截止时间前</w:t>
            </w:r>
            <w:r>
              <w:rPr>
                <w:rFonts w:hint="eastAsia" w:cs="宋体"/>
                <w:color w:val="000000" w:themeColor="text1"/>
                <w:spacing w:val="1"/>
                <w:sz w:val="21"/>
                <w:szCs w:val="21"/>
                <w:lang w:val="en-US" w:eastAsia="zh-CN"/>
                <w14:textFill>
                  <w14:solidFill>
                    <w14:schemeClr w14:val="tx1"/>
                  </w14:solidFill>
                </w14:textFill>
              </w:rPr>
              <w:t>一</w:t>
            </w:r>
            <w:r>
              <w:rPr>
                <w:rFonts w:hint="eastAsia" w:ascii="宋体" w:hAnsi="宋体" w:eastAsia="宋体" w:cs="宋体"/>
                <w:color w:val="000000" w:themeColor="text1"/>
                <w:spacing w:val="1"/>
                <w:sz w:val="21"/>
                <w:szCs w:val="21"/>
                <w:lang w:eastAsia="zh-CN"/>
                <w14:textFill>
                  <w14:solidFill>
                    <w14:schemeClr w14:val="tx1"/>
                  </w14:solidFill>
                </w14:textFill>
              </w:rPr>
              <w:t>个月社保费用缴交明细，如开标日上一个月的社保材料因社保部门原因暂时无法取得，则可以往前顺延-个月，不接受补缴社保。不提供或提供不清晰导致专家无法判断的不得分。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0" w:hRule="atLeast"/>
        </w:trPr>
        <w:tc>
          <w:tcPr>
            <w:tcW w:w="598" w:type="dxa"/>
            <w:vAlign w:val="center"/>
          </w:tcPr>
          <w:p>
            <w:pPr>
              <w:pStyle w:val="15"/>
              <w:spacing w:before="101" w:line="182" w:lineRule="auto"/>
              <w:ind w:left="25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p>
        </w:tc>
        <w:tc>
          <w:tcPr>
            <w:tcW w:w="1498"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40" w:leftChars="19"/>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拟安排项目</w:t>
            </w:r>
            <w:r>
              <w:rPr>
                <w:rFonts w:hint="eastAsia" w:ascii="宋体" w:hAnsi="宋体" w:eastAsia="宋体" w:cs="宋体"/>
                <w:color w:val="000000" w:themeColor="text1"/>
                <w:spacing w:val="1"/>
                <w:sz w:val="21"/>
                <w:szCs w:val="21"/>
                <w14:textFill>
                  <w14:solidFill>
                    <w14:schemeClr w14:val="tx1"/>
                  </w14:solidFill>
                </w14:textFill>
              </w:rPr>
              <w:t>团队成员(项</w:t>
            </w:r>
            <w:r>
              <w:rPr>
                <w:rFonts w:hint="eastAsia" w:ascii="宋体" w:hAnsi="宋体" w:eastAsia="宋体" w:cs="宋体"/>
                <w:color w:val="000000" w:themeColor="text1"/>
                <w:spacing w:val="2"/>
                <w:sz w:val="21"/>
                <w:szCs w:val="21"/>
                <w14:textFill>
                  <w14:solidFill>
                    <w14:schemeClr w14:val="tx1"/>
                  </w14:solidFill>
                </w14:textFill>
              </w:rPr>
              <w:t>目负责人</w:t>
            </w:r>
            <w:r>
              <w:rPr>
                <w:rFonts w:hint="eastAsia" w:ascii="宋体" w:hAnsi="宋体" w:eastAsia="宋体" w:cs="宋体"/>
                <w:color w:val="000000" w:themeColor="text1"/>
                <w:spacing w:val="2"/>
                <w:sz w:val="21"/>
                <w:szCs w:val="21"/>
                <w:lang w:eastAsia="zh-CN"/>
                <w14:textFill>
                  <w14:solidFill>
                    <w14:schemeClr w14:val="tx1"/>
                  </w14:solidFill>
                </w14:textFill>
              </w:rPr>
              <w:t>和技术负责人</w:t>
            </w:r>
            <w:r>
              <w:rPr>
                <w:rFonts w:hint="eastAsia" w:ascii="宋体" w:hAnsi="宋体" w:eastAsia="宋体" w:cs="宋体"/>
                <w:color w:val="000000" w:themeColor="text1"/>
                <w:spacing w:val="2"/>
                <w:sz w:val="21"/>
                <w:szCs w:val="21"/>
                <w14:textFill>
                  <w14:solidFill>
                    <w14:schemeClr w14:val="tx1"/>
                  </w14:solidFill>
                </w14:textFill>
              </w:rPr>
              <w:t>除</w:t>
            </w:r>
            <w:r>
              <w:rPr>
                <w:rFonts w:hint="eastAsia" w:ascii="宋体" w:hAnsi="宋体" w:eastAsia="宋体" w:cs="宋体"/>
                <w:color w:val="000000" w:themeColor="text1"/>
                <w:spacing w:val="-7"/>
                <w:sz w:val="21"/>
                <w:szCs w:val="21"/>
                <w14:textFill>
                  <w14:solidFill>
                    <w14:schemeClr w14:val="tx1"/>
                  </w14:solidFill>
                </w14:textFill>
              </w:rPr>
              <w:t>外</w:t>
            </w:r>
            <w:r>
              <w:rPr>
                <w:rFonts w:hint="eastAsia" w:ascii="宋体" w:hAnsi="宋体" w:eastAsia="宋体" w:cs="宋体"/>
                <w:color w:val="000000" w:themeColor="text1"/>
                <w:spacing w:val="-47"/>
                <w:sz w:val="21"/>
                <w:szCs w:val="21"/>
                <w14:textFill>
                  <w14:solidFill>
                    <w14:schemeClr w14:val="tx1"/>
                  </w14:solidFill>
                </w14:textFill>
              </w:rPr>
              <w:t xml:space="preserve"> </w:t>
            </w:r>
            <w:r>
              <w:rPr>
                <w:rFonts w:hint="eastAsia" w:ascii="宋体" w:hAnsi="宋体" w:eastAsia="宋体" w:cs="宋体"/>
                <w:color w:val="000000" w:themeColor="text1"/>
                <w:spacing w:val="-7"/>
                <w:sz w:val="21"/>
                <w:szCs w:val="21"/>
                <w14:textFill>
                  <w14:solidFill>
                    <w14:schemeClr w14:val="tx1"/>
                  </w14:solidFill>
                </w14:textFill>
              </w:rPr>
              <w:t>)</w:t>
            </w:r>
          </w:p>
        </w:tc>
        <w:tc>
          <w:tcPr>
            <w:tcW w:w="709"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189" w:line="240" w:lineRule="auto"/>
              <w:ind w:left="233"/>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7"/>
                <w:sz w:val="21"/>
                <w:szCs w:val="21"/>
                <w14:textFill>
                  <w14:solidFill>
                    <w14:schemeClr w14:val="tx1"/>
                  </w14:solidFill>
                </w14:textFill>
              </w:rPr>
              <w:t>1</w:t>
            </w:r>
            <w:r>
              <w:rPr>
                <w:rFonts w:hint="eastAsia" w:ascii="宋体" w:hAnsi="宋体" w:eastAsia="宋体" w:cs="宋体"/>
                <w:color w:val="000000" w:themeColor="text1"/>
                <w:spacing w:val="-7"/>
                <w:sz w:val="21"/>
                <w:szCs w:val="21"/>
                <w:lang w:val="en-US" w:eastAsia="zh-CN"/>
                <w14:textFill>
                  <w14:solidFill>
                    <w14:schemeClr w14:val="tx1"/>
                  </w14:solidFill>
                </w14:textFill>
              </w:rPr>
              <w:t>6</w:t>
            </w:r>
          </w:p>
        </w:tc>
        <w:tc>
          <w:tcPr>
            <w:tcW w:w="6761" w:type="dxa"/>
            <w:vAlign w:val="top"/>
          </w:tcPr>
          <w:p>
            <w:pPr>
              <w:pStyle w:val="15"/>
              <w:keepNext w:val="0"/>
              <w:keepLines w:val="0"/>
              <w:pageBreakBefore w:val="0"/>
              <w:widowControl/>
              <w:kinsoku w:val="0"/>
              <w:wordWrap/>
              <w:overflowPunct/>
              <w:topLinePunct w:val="0"/>
              <w:autoSpaceDE w:val="0"/>
              <w:autoSpaceDN w:val="0"/>
              <w:bidi w:val="0"/>
              <w:adjustRightInd w:val="0"/>
              <w:snapToGrid w:val="0"/>
              <w:spacing w:before="47" w:line="380" w:lineRule="exact"/>
              <w:ind w:left="40" w:leftChars="19" w:firstLine="47" w:firstLineChars="23"/>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4"/>
                <w:sz w:val="21"/>
                <w:szCs w:val="21"/>
                <w14:textFill>
                  <w14:solidFill>
                    <w14:schemeClr w14:val="tx1"/>
                  </w14:solidFill>
                </w14:textFill>
              </w:rPr>
              <w:t>(一)评分内容：</w:t>
            </w:r>
          </w:p>
          <w:p>
            <w:pPr>
              <w:pStyle w:val="15"/>
              <w:widowControl/>
              <w:kinsoku w:val="0"/>
              <w:autoSpaceDE w:val="0"/>
              <w:autoSpaceDN w:val="0"/>
              <w:snapToGrid w:val="0"/>
              <w:spacing w:line="380" w:lineRule="exact"/>
              <w:ind w:left="94" w:leftChars="0" w:right="1" w:firstLine="10" w:firstLineChars="0"/>
              <w:textAlignment w:val="baseline"/>
              <w:rPr>
                <w:rFonts w:hint="eastAsia" w:ascii="宋体" w:hAnsi="宋体" w:eastAsia="宋体" w:cs="宋体"/>
                <w:color w:val="000000" w:themeColor="text1"/>
                <w:spacing w:val="1"/>
                <w:kern w:val="2"/>
                <w:sz w:val="21"/>
                <w:szCs w:val="21"/>
                <w:lang w:eastAsia="zh-CN"/>
                <w14:textFill>
                  <w14:solidFill>
                    <w14:schemeClr w14:val="tx1"/>
                  </w14:solidFill>
                </w14:textFill>
              </w:rPr>
            </w:pPr>
            <w:r>
              <w:rPr>
                <w:rFonts w:hint="eastAsia" w:ascii="宋体" w:hAnsi="宋体" w:eastAsia="宋体" w:cs="宋体"/>
                <w:color w:val="000000" w:themeColor="text1"/>
                <w:spacing w:val="1"/>
                <w:kern w:val="2"/>
                <w:sz w:val="21"/>
                <w:szCs w:val="21"/>
                <w:lang w:val="en-US" w:eastAsia="zh-CN"/>
                <w14:textFill>
                  <w14:solidFill>
                    <w14:schemeClr w14:val="tx1"/>
                  </w14:solidFill>
                </w14:textFill>
              </w:rPr>
              <w:t>1、具有大专及以上学历证书的，</w:t>
            </w:r>
            <w:r>
              <w:rPr>
                <w:rFonts w:hint="eastAsia" w:ascii="宋体" w:hAnsi="宋体" w:eastAsia="宋体" w:cs="宋体"/>
                <w:color w:val="000000" w:themeColor="text1"/>
                <w:spacing w:val="1"/>
                <w:kern w:val="2"/>
                <w:sz w:val="21"/>
                <w:szCs w:val="21"/>
                <w:lang w:eastAsia="zh-CN"/>
                <w14:textFill>
                  <w14:solidFill>
                    <w14:schemeClr w14:val="tx1"/>
                  </w14:solidFill>
                </w14:textFill>
              </w:rPr>
              <w:t>每提供1个得</w:t>
            </w:r>
            <w:r>
              <w:rPr>
                <w:rFonts w:hint="eastAsia" w:ascii="宋体" w:hAnsi="宋体" w:eastAsia="宋体" w:cs="宋体"/>
                <w:color w:val="000000" w:themeColor="text1"/>
                <w:spacing w:val="1"/>
                <w:kern w:val="2"/>
                <w:sz w:val="21"/>
                <w:szCs w:val="21"/>
                <w:lang w:val="en-US" w:eastAsia="zh-CN"/>
                <w14:textFill>
                  <w14:solidFill>
                    <w14:schemeClr w14:val="tx1"/>
                  </w14:solidFill>
                </w14:textFill>
              </w:rPr>
              <w:t>5%</w:t>
            </w:r>
            <w:r>
              <w:rPr>
                <w:rFonts w:hint="eastAsia" w:ascii="宋体" w:hAnsi="宋体" w:eastAsia="宋体" w:cs="宋体"/>
                <w:color w:val="000000" w:themeColor="text1"/>
                <w:spacing w:val="1"/>
                <w:kern w:val="2"/>
                <w:sz w:val="21"/>
                <w:szCs w:val="21"/>
                <w:lang w:eastAsia="zh-CN"/>
                <w14:textFill>
                  <w14:solidFill>
                    <w14:schemeClr w14:val="tx1"/>
                  </w14:solidFill>
                </w14:textFill>
              </w:rPr>
              <w:t>，本项最高得</w:t>
            </w:r>
            <w:r>
              <w:rPr>
                <w:rFonts w:hint="eastAsia" w:ascii="宋体" w:hAnsi="宋体" w:eastAsia="宋体" w:cs="宋体"/>
                <w:color w:val="000000" w:themeColor="text1"/>
                <w:spacing w:val="1"/>
                <w:kern w:val="2"/>
                <w:sz w:val="21"/>
                <w:szCs w:val="21"/>
                <w:lang w:val="en-US" w:eastAsia="zh-CN"/>
                <w14:textFill>
                  <w14:solidFill>
                    <w14:schemeClr w14:val="tx1"/>
                  </w14:solidFill>
                </w14:textFill>
              </w:rPr>
              <w:t>10%</w:t>
            </w:r>
            <w:r>
              <w:rPr>
                <w:rFonts w:hint="eastAsia" w:ascii="宋体" w:hAnsi="宋体" w:eastAsia="宋体" w:cs="宋体"/>
                <w:color w:val="000000" w:themeColor="text1"/>
                <w:spacing w:val="1"/>
                <w:kern w:val="2"/>
                <w:sz w:val="21"/>
                <w:szCs w:val="21"/>
                <w:lang w:eastAsia="zh-CN"/>
                <w14:textFill>
                  <w14:solidFill>
                    <w14:schemeClr w14:val="tx1"/>
                  </w14:solidFill>
                </w14:textFill>
              </w:rPr>
              <w:t>；</w:t>
            </w:r>
          </w:p>
          <w:p>
            <w:pPr>
              <w:pStyle w:val="15"/>
              <w:widowControl/>
              <w:kinsoku w:val="0"/>
              <w:autoSpaceDE w:val="0"/>
              <w:autoSpaceDN w:val="0"/>
              <w:snapToGrid w:val="0"/>
              <w:spacing w:line="380" w:lineRule="exact"/>
              <w:ind w:left="94" w:leftChars="0" w:right="1" w:firstLine="10" w:firstLineChars="0"/>
              <w:textAlignment w:val="baseline"/>
              <w:rPr>
                <w:rFonts w:hint="eastAsia" w:ascii="宋体" w:hAnsi="宋体" w:eastAsia="宋体" w:cs="宋体"/>
                <w:color w:val="000000" w:themeColor="text1"/>
                <w:spacing w:val="1"/>
                <w:kern w:val="2"/>
                <w:sz w:val="21"/>
                <w:szCs w:val="21"/>
                <w:lang w:eastAsia="zh-CN"/>
                <w14:textFill>
                  <w14:solidFill>
                    <w14:schemeClr w14:val="tx1"/>
                  </w14:solidFill>
                </w14:textFill>
              </w:rPr>
            </w:pPr>
            <w:r>
              <w:rPr>
                <w:rFonts w:hint="eastAsia" w:ascii="宋体" w:hAnsi="宋体" w:eastAsia="宋体" w:cs="宋体"/>
                <w:color w:val="000000" w:themeColor="text1"/>
                <w:spacing w:val="1"/>
                <w:kern w:val="2"/>
                <w:sz w:val="21"/>
                <w:szCs w:val="21"/>
                <w:lang w:val="en-US" w:eastAsia="zh-CN"/>
                <w14:textFill>
                  <w14:solidFill>
                    <w14:schemeClr w14:val="tx1"/>
                  </w14:solidFill>
                </w14:textFill>
              </w:rPr>
              <w:t>2</w:t>
            </w:r>
            <w:r>
              <w:rPr>
                <w:rFonts w:hint="eastAsia" w:ascii="宋体" w:hAnsi="宋体" w:eastAsia="宋体" w:cs="宋体"/>
                <w:color w:val="000000" w:themeColor="text1"/>
                <w:spacing w:val="1"/>
                <w:kern w:val="2"/>
                <w:sz w:val="21"/>
                <w:szCs w:val="21"/>
                <w:lang w:eastAsia="zh-CN"/>
                <w14:textFill>
                  <w14:solidFill>
                    <w14:schemeClr w14:val="tx1"/>
                  </w14:solidFill>
                </w14:textFill>
              </w:rPr>
              <w:t>、</w:t>
            </w:r>
            <w:r>
              <w:rPr>
                <w:rFonts w:hint="eastAsia" w:cs="宋体"/>
                <w:color w:val="000000" w:themeColor="text1"/>
                <w:spacing w:val="1"/>
                <w:kern w:val="2"/>
                <w:sz w:val="21"/>
                <w:szCs w:val="21"/>
                <w:lang w:val="en-US" w:eastAsia="zh-CN"/>
                <w14:textFill>
                  <w14:solidFill>
                    <w14:schemeClr w14:val="tx1"/>
                  </w14:solidFill>
                </w14:textFill>
              </w:rPr>
              <w:t>具有一级注册消防工程师证书且持有高级电工证书</w:t>
            </w:r>
            <w:r>
              <w:rPr>
                <w:rFonts w:hint="eastAsia" w:ascii="宋体" w:hAnsi="宋体" w:eastAsia="宋体" w:cs="宋体"/>
                <w:color w:val="000000" w:themeColor="text1"/>
                <w:spacing w:val="1"/>
                <w:kern w:val="2"/>
                <w:sz w:val="21"/>
                <w:szCs w:val="21"/>
                <w:lang w:eastAsia="zh-CN"/>
                <w14:textFill>
                  <w14:solidFill>
                    <w14:schemeClr w14:val="tx1"/>
                  </w14:solidFill>
                </w14:textFill>
              </w:rPr>
              <w:t>，每提供1个得</w:t>
            </w:r>
            <w:r>
              <w:rPr>
                <w:rFonts w:hint="eastAsia" w:cs="宋体"/>
                <w:color w:val="000000" w:themeColor="text1"/>
                <w:spacing w:val="1"/>
                <w:kern w:val="2"/>
                <w:sz w:val="21"/>
                <w:szCs w:val="21"/>
                <w:lang w:val="en-US" w:eastAsia="zh-CN"/>
                <w14:textFill>
                  <w14:solidFill>
                    <w14:schemeClr w14:val="tx1"/>
                  </w14:solidFill>
                </w14:textFill>
              </w:rPr>
              <w:t>1</w:t>
            </w:r>
            <w:r>
              <w:rPr>
                <w:rFonts w:hint="eastAsia" w:ascii="宋体" w:hAnsi="宋体" w:eastAsia="宋体" w:cs="宋体"/>
                <w:color w:val="000000" w:themeColor="text1"/>
                <w:spacing w:val="1"/>
                <w:kern w:val="2"/>
                <w:sz w:val="21"/>
                <w:szCs w:val="21"/>
                <w:lang w:val="en-US" w:eastAsia="zh-CN"/>
                <w14:textFill>
                  <w14:solidFill>
                    <w14:schemeClr w14:val="tx1"/>
                  </w14:solidFill>
                </w14:textFill>
              </w:rPr>
              <w:t>5%</w:t>
            </w:r>
            <w:r>
              <w:rPr>
                <w:rFonts w:hint="eastAsia" w:ascii="宋体" w:hAnsi="宋体" w:eastAsia="宋体" w:cs="宋体"/>
                <w:color w:val="000000" w:themeColor="text1"/>
                <w:spacing w:val="1"/>
                <w:kern w:val="2"/>
                <w:sz w:val="21"/>
                <w:szCs w:val="21"/>
                <w:lang w:eastAsia="zh-CN"/>
                <w14:textFill>
                  <w14:solidFill>
                    <w14:schemeClr w14:val="tx1"/>
                  </w14:solidFill>
                </w14:textFill>
              </w:rPr>
              <w:t>，本项最高得</w:t>
            </w:r>
            <w:r>
              <w:rPr>
                <w:rFonts w:hint="eastAsia" w:ascii="宋体" w:hAnsi="宋体" w:eastAsia="宋体" w:cs="宋体"/>
                <w:color w:val="000000" w:themeColor="text1"/>
                <w:spacing w:val="1"/>
                <w:kern w:val="2"/>
                <w:sz w:val="21"/>
                <w:szCs w:val="21"/>
                <w:lang w:val="en-US" w:eastAsia="zh-CN"/>
                <w14:textFill>
                  <w14:solidFill>
                    <w14:schemeClr w14:val="tx1"/>
                  </w14:solidFill>
                </w14:textFill>
              </w:rPr>
              <w:t>15%</w:t>
            </w:r>
            <w:r>
              <w:rPr>
                <w:rFonts w:hint="eastAsia" w:ascii="宋体" w:hAnsi="宋体" w:eastAsia="宋体" w:cs="宋体"/>
                <w:color w:val="000000" w:themeColor="text1"/>
                <w:spacing w:val="1"/>
                <w:kern w:val="2"/>
                <w:sz w:val="21"/>
                <w:szCs w:val="21"/>
                <w:lang w:eastAsia="zh-CN"/>
                <w14:textFill>
                  <w14:solidFill>
                    <w14:schemeClr w14:val="tx1"/>
                  </w14:solidFill>
                </w14:textFill>
              </w:rPr>
              <w:t>；</w:t>
            </w:r>
          </w:p>
          <w:p>
            <w:pPr>
              <w:pStyle w:val="15"/>
              <w:widowControl/>
              <w:kinsoku w:val="0"/>
              <w:autoSpaceDE w:val="0"/>
              <w:autoSpaceDN w:val="0"/>
              <w:snapToGrid w:val="0"/>
              <w:spacing w:line="380" w:lineRule="exact"/>
              <w:ind w:left="94" w:leftChars="0" w:right="1" w:firstLine="10" w:firstLineChars="0"/>
              <w:textAlignment w:val="baseline"/>
              <w:rPr>
                <w:rFonts w:hint="eastAsia" w:ascii="宋体" w:hAnsi="宋体" w:eastAsia="宋体" w:cs="宋体"/>
                <w:color w:val="000000" w:themeColor="text1"/>
                <w:spacing w:val="1"/>
                <w:kern w:val="2"/>
                <w:sz w:val="21"/>
                <w:szCs w:val="21"/>
                <w:lang w:val="en-US" w:eastAsia="zh-CN"/>
                <w14:textFill>
                  <w14:solidFill>
                    <w14:schemeClr w14:val="tx1"/>
                  </w14:solidFill>
                </w14:textFill>
              </w:rPr>
            </w:pPr>
            <w:r>
              <w:rPr>
                <w:rFonts w:hint="eastAsia" w:ascii="宋体" w:hAnsi="宋体" w:eastAsia="宋体" w:cs="宋体"/>
                <w:color w:val="000000" w:themeColor="text1"/>
                <w:spacing w:val="1"/>
                <w:kern w:val="2"/>
                <w:sz w:val="21"/>
                <w:szCs w:val="21"/>
                <w:lang w:val="en-US" w:eastAsia="zh-CN"/>
                <w14:textFill>
                  <w14:solidFill>
                    <w14:schemeClr w14:val="tx1"/>
                  </w14:solidFill>
                </w14:textFill>
              </w:rPr>
              <w:t>3</w:t>
            </w:r>
            <w:r>
              <w:rPr>
                <w:rFonts w:hint="eastAsia" w:ascii="宋体" w:hAnsi="宋体" w:eastAsia="宋体" w:cs="宋体"/>
                <w:color w:val="000000" w:themeColor="text1"/>
                <w:spacing w:val="1"/>
                <w:kern w:val="2"/>
                <w:sz w:val="21"/>
                <w:szCs w:val="21"/>
                <w:lang w:eastAsia="zh-CN"/>
                <w14:textFill>
                  <w14:solidFill>
                    <w14:schemeClr w14:val="tx1"/>
                  </w14:solidFill>
                </w14:textFill>
              </w:rPr>
              <w:t>、具有注册安全工程师证书的，每提供</w:t>
            </w:r>
            <w:r>
              <w:rPr>
                <w:rFonts w:hint="eastAsia" w:ascii="宋体" w:hAnsi="宋体" w:eastAsia="宋体" w:cs="宋体"/>
                <w:color w:val="000000" w:themeColor="text1"/>
                <w:spacing w:val="1"/>
                <w:kern w:val="2"/>
                <w:sz w:val="21"/>
                <w:szCs w:val="21"/>
                <w:lang w:val="en-US" w:eastAsia="zh-CN"/>
                <w14:textFill>
                  <w14:solidFill>
                    <w14:schemeClr w14:val="tx1"/>
                  </w14:solidFill>
                </w14:textFill>
              </w:rPr>
              <w:t>1个得15%，本项最高得45%；</w:t>
            </w:r>
          </w:p>
          <w:p>
            <w:pPr>
              <w:pStyle w:val="15"/>
              <w:widowControl/>
              <w:kinsoku w:val="0"/>
              <w:autoSpaceDE w:val="0"/>
              <w:autoSpaceDN w:val="0"/>
              <w:snapToGrid w:val="0"/>
              <w:spacing w:line="380" w:lineRule="exact"/>
              <w:ind w:left="94" w:leftChars="0" w:right="1" w:firstLine="10" w:firstLineChars="0"/>
              <w:textAlignment w:val="baseline"/>
              <w:rPr>
                <w:rFonts w:hint="eastAsia" w:ascii="宋体" w:hAnsi="宋体" w:eastAsia="宋体" w:cs="宋体"/>
                <w:color w:val="000000" w:themeColor="text1"/>
                <w:spacing w:val="1"/>
                <w:kern w:val="2"/>
                <w:sz w:val="21"/>
                <w:szCs w:val="21"/>
                <w:lang w:eastAsia="zh-CN"/>
                <w14:textFill>
                  <w14:solidFill>
                    <w14:schemeClr w14:val="tx1"/>
                  </w14:solidFill>
                </w14:textFill>
              </w:rPr>
            </w:pPr>
            <w:r>
              <w:rPr>
                <w:rFonts w:hint="eastAsia" w:ascii="宋体" w:hAnsi="宋体" w:eastAsia="宋体" w:cs="宋体"/>
                <w:color w:val="000000" w:themeColor="text1"/>
                <w:spacing w:val="1"/>
                <w:kern w:val="2"/>
                <w:sz w:val="21"/>
                <w:szCs w:val="21"/>
                <w:lang w:val="en-US" w:eastAsia="zh-CN"/>
                <w14:textFill>
                  <w14:solidFill>
                    <w14:schemeClr w14:val="tx1"/>
                  </w14:solidFill>
                </w14:textFill>
              </w:rPr>
              <w:t>4、</w:t>
            </w:r>
            <w:r>
              <w:rPr>
                <w:rFonts w:hint="eastAsia" w:cs="宋体"/>
                <w:color w:val="000000" w:themeColor="text1"/>
                <w:spacing w:val="1"/>
                <w:kern w:val="2"/>
                <w:sz w:val="21"/>
                <w:szCs w:val="21"/>
                <w:lang w:val="en-US" w:eastAsia="zh-CN"/>
                <w14:textFill>
                  <w14:solidFill>
                    <w14:schemeClr w14:val="tx1"/>
                  </w14:solidFill>
                </w14:textFill>
              </w:rPr>
              <w:t>具有中级或以上消防设施操作员资格证书且</w:t>
            </w:r>
            <w:r>
              <w:rPr>
                <w:rFonts w:hint="eastAsia" w:ascii="宋体" w:hAnsi="宋体" w:eastAsia="宋体" w:cs="宋体"/>
                <w:color w:val="000000" w:themeColor="text1"/>
                <w:spacing w:val="1"/>
                <w:kern w:val="2"/>
                <w:sz w:val="21"/>
                <w:szCs w:val="21"/>
                <w:lang w:eastAsia="zh-CN"/>
                <w14:textFill>
                  <w14:solidFill>
                    <w14:schemeClr w14:val="tx1"/>
                  </w14:solidFill>
                </w14:textFill>
              </w:rPr>
              <w:t>持有特种作业操作证（作业类别：电工作业）的，每提供一个得</w:t>
            </w:r>
            <w:r>
              <w:rPr>
                <w:rFonts w:hint="eastAsia" w:ascii="宋体" w:hAnsi="宋体" w:eastAsia="宋体" w:cs="宋体"/>
                <w:color w:val="000000" w:themeColor="text1"/>
                <w:spacing w:val="1"/>
                <w:kern w:val="2"/>
                <w:sz w:val="21"/>
                <w:szCs w:val="21"/>
                <w:lang w:val="en-US" w:eastAsia="zh-CN"/>
                <w14:textFill>
                  <w14:solidFill>
                    <w14:schemeClr w14:val="tx1"/>
                  </w14:solidFill>
                </w14:textFill>
              </w:rPr>
              <w:t>10%</w:t>
            </w:r>
            <w:r>
              <w:rPr>
                <w:rFonts w:hint="eastAsia" w:ascii="宋体" w:hAnsi="宋体" w:eastAsia="宋体" w:cs="宋体"/>
                <w:color w:val="000000" w:themeColor="text1"/>
                <w:spacing w:val="1"/>
                <w:kern w:val="2"/>
                <w:sz w:val="21"/>
                <w:szCs w:val="21"/>
                <w:lang w:eastAsia="zh-CN"/>
                <w14:textFill>
                  <w14:solidFill>
                    <w14:schemeClr w14:val="tx1"/>
                  </w14:solidFill>
                </w14:textFill>
              </w:rPr>
              <w:t>，最高得</w:t>
            </w:r>
            <w:r>
              <w:rPr>
                <w:rFonts w:hint="eastAsia" w:ascii="宋体" w:hAnsi="宋体" w:eastAsia="宋体" w:cs="宋体"/>
                <w:color w:val="000000" w:themeColor="text1"/>
                <w:spacing w:val="1"/>
                <w:kern w:val="2"/>
                <w:sz w:val="21"/>
                <w:szCs w:val="21"/>
                <w:lang w:val="en-US" w:eastAsia="zh-CN"/>
                <w14:textFill>
                  <w14:solidFill>
                    <w14:schemeClr w14:val="tx1"/>
                  </w14:solidFill>
                </w14:textFill>
              </w:rPr>
              <w:t>30%</w:t>
            </w:r>
            <w:r>
              <w:rPr>
                <w:rFonts w:hint="eastAsia" w:ascii="宋体" w:hAnsi="宋体" w:eastAsia="宋体" w:cs="宋体"/>
                <w:color w:val="000000" w:themeColor="text1"/>
                <w:spacing w:val="1"/>
                <w:kern w:val="2"/>
                <w:sz w:val="21"/>
                <w:szCs w:val="21"/>
                <w:lang w:eastAsia="zh-CN"/>
                <w14:textFill>
                  <w14:solidFill>
                    <w14:schemeClr w14:val="tx1"/>
                  </w14:solidFill>
                </w14:textFill>
              </w:rPr>
              <w:t>；</w:t>
            </w:r>
          </w:p>
          <w:p>
            <w:pPr>
              <w:pStyle w:val="15"/>
              <w:widowControl/>
              <w:kinsoku w:val="0"/>
              <w:autoSpaceDE w:val="0"/>
              <w:autoSpaceDN w:val="0"/>
              <w:snapToGrid w:val="0"/>
              <w:spacing w:line="380" w:lineRule="exact"/>
              <w:ind w:left="94" w:leftChars="0" w:right="1" w:firstLine="10" w:firstLineChars="0"/>
              <w:textAlignment w:val="baseline"/>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1"/>
                <w:kern w:val="2"/>
                <w:sz w:val="21"/>
                <w:szCs w:val="21"/>
                <w:lang w:eastAsia="zh-CN"/>
                <w14:textFill>
                  <w14:solidFill>
                    <w14:schemeClr w14:val="tx1"/>
                  </w14:solidFill>
                </w14:textFill>
              </w:rPr>
              <w:t>注：一人具有多个证书，只选取最优且只计算一次，不重复计分</w:t>
            </w:r>
            <w:r>
              <w:rPr>
                <w:rFonts w:hint="eastAsia" w:ascii="宋体" w:hAnsi="宋体" w:eastAsia="宋体" w:cs="宋体"/>
                <w:color w:val="000000" w:themeColor="text1"/>
                <w:kern w:val="0"/>
                <w:sz w:val="21"/>
                <w:szCs w:val="21"/>
                <w:highlight w:val="none"/>
                <w14:textFill>
                  <w14:solidFill>
                    <w14:schemeClr w14:val="tx1"/>
                  </w14:solidFill>
                </w14:textFill>
              </w:rPr>
              <w:t>。</w:t>
            </w:r>
          </w:p>
          <w:p>
            <w:pPr>
              <w:pStyle w:val="15"/>
              <w:keepNext w:val="0"/>
              <w:keepLines w:val="0"/>
              <w:pageBreakBefore w:val="0"/>
              <w:widowControl/>
              <w:kinsoku w:val="0"/>
              <w:wordWrap/>
              <w:overflowPunct/>
              <w:topLinePunct w:val="0"/>
              <w:autoSpaceDE w:val="0"/>
              <w:autoSpaceDN w:val="0"/>
              <w:bidi w:val="0"/>
              <w:adjustRightInd w:val="0"/>
              <w:snapToGrid w:val="0"/>
              <w:spacing w:line="380" w:lineRule="exact"/>
              <w:ind w:left="40" w:leftChars="19" w:firstLine="47" w:firstLineChars="23"/>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4"/>
                <w:sz w:val="21"/>
                <w:szCs w:val="21"/>
                <w14:textFill>
                  <w14:solidFill>
                    <w14:schemeClr w14:val="tx1"/>
                  </w14:solidFill>
                </w14:textFill>
              </w:rPr>
              <w:t>(二)评分依据：</w:t>
            </w:r>
          </w:p>
          <w:p>
            <w:pPr>
              <w:pStyle w:val="15"/>
              <w:widowControl/>
              <w:kinsoku w:val="0"/>
              <w:autoSpaceDE w:val="0"/>
              <w:autoSpaceDN w:val="0"/>
              <w:snapToGrid w:val="0"/>
              <w:spacing w:line="380" w:lineRule="exact"/>
              <w:ind w:left="94" w:leftChars="0" w:right="1" w:firstLine="10" w:firstLineChars="0"/>
              <w:textAlignment w:val="baseline"/>
              <w:rPr>
                <w:rFonts w:hint="eastAsia" w:ascii="宋体" w:hAnsi="宋体" w:eastAsia="宋体" w:cs="宋体"/>
                <w:color w:val="000000" w:themeColor="text1"/>
                <w:spacing w:val="1"/>
                <w:kern w:val="2"/>
                <w:sz w:val="21"/>
                <w:szCs w:val="21"/>
                <w:lang w:eastAsia="zh-CN"/>
                <w14:textFill>
                  <w14:solidFill>
                    <w14:schemeClr w14:val="tx1"/>
                  </w14:solidFill>
                </w14:textFill>
              </w:rPr>
            </w:pPr>
            <w:r>
              <w:rPr>
                <w:rFonts w:hint="eastAsia" w:ascii="宋体" w:hAnsi="宋体" w:eastAsia="宋体" w:cs="宋体"/>
                <w:color w:val="000000" w:themeColor="text1"/>
                <w:spacing w:val="1"/>
                <w:kern w:val="2"/>
                <w:sz w:val="21"/>
                <w:szCs w:val="21"/>
                <w:lang w:eastAsia="zh-CN"/>
                <w14:textFill>
                  <w14:solidFill>
                    <w14:schemeClr w14:val="tx1"/>
                  </w14:solidFill>
                </w14:textFill>
              </w:rPr>
              <w:t>1、</w:t>
            </w:r>
            <w:r>
              <w:rPr>
                <w:rFonts w:hint="eastAsia" w:ascii="宋体" w:hAnsi="宋体" w:eastAsia="宋体" w:cs="宋体"/>
                <w:color w:val="000000" w:themeColor="text1"/>
                <w:spacing w:val="1"/>
                <w:kern w:val="2"/>
                <w:sz w:val="21"/>
                <w:szCs w:val="21"/>
                <w:lang w:val="en-US" w:eastAsia="zh-CN"/>
                <w14:textFill>
                  <w14:solidFill>
                    <w14:schemeClr w14:val="tx1"/>
                  </w14:solidFill>
                </w14:textFill>
              </w:rPr>
              <w:t>提供投标截止时间前一个月社保费用缴交明细，如开标日上一个月的社保材料因社保部门原因暂时无法取得，则可以往前顺延一个月，</w:t>
            </w:r>
            <w:r>
              <w:rPr>
                <w:rFonts w:hint="eastAsia" w:ascii="宋体" w:hAnsi="宋体" w:eastAsia="宋体" w:cs="宋体"/>
                <w:color w:val="000000" w:themeColor="text1"/>
                <w:spacing w:val="1"/>
                <w:kern w:val="2"/>
                <w:sz w:val="21"/>
                <w:szCs w:val="21"/>
                <w:lang w:eastAsia="zh-CN"/>
                <w14:textFill>
                  <w14:solidFill>
                    <w14:schemeClr w14:val="tx1"/>
                  </w14:solidFill>
                </w14:textFill>
              </w:rPr>
              <w:t>不接受补缴社保或退休人员。</w:t>
            </w:r>
          </w:p>
          <w:p>
            <w:pPr>
              <w:pStyle w:val="15"/>
              <w:widowControl/>
              <w:kinsoku w:val="0"/>
              <w:autoSpaceDE w:val="0"/>
              <w:autoSpaceDN w:val="0"/>
              <w:snapToGrid w:val="0"/>
              <w:spacing w:line="380" w:lineRule="exact"/>
              <w:ind w:left="94" w:leftChars="0" w:right="1" w:firstLine="10" w:firstLineChars="0"/>
              <w:textAlignment w:val="baseline"/>
              <w:rPr>
                <w:rFonts w:hint="eastAsia" w:ascii="宋体" w:hAnsi="宋体" w:eastAsia="宋体" w:cs="宋体"/>
                <w:color w:val="000000" w:themeColor="text1"/>
                <w:spacing w:val="1"/>
                <w:kern w:val="2"/>
                <w:sz w:val="21"/>
                <w:szCs w:val="21"/>
                <w:lang w:eastAsia="zh-CN"/>
                <w14:textFill>
                  <w14:solidFill>
                    <w14:schemeClr w14:val="tx1"/>
                  </w14:solidFill>
                </w14:textFill>
              </w:rPr>
            </w:pPr>
            <w:r>
              <w:rPr>
                <w:rFonts w:hint="eastAsia" w:ascii="宋体" w:hAnsi="宋体" w:eastAsia="宋体" w:cs="宋体"/>
                <w:color w:val="000000" w:themeColor="text1"/>
                <w:spacing w:val="1"/>
                <w:kern w:val="2"/>
                <w:sz w:val="21"/>
                <w:szCs w:val="21"/>
                <w:lang w:val="en-US" w:eastAsia="zh-CN"/>
                <w14:textFill>
                  <w14:solidFill>
                    <w14:schemeClr w14:val="tx1"/>
                  </w14:solidFill>
                </w14:textFill>
              </w:rPr>
              <w:t>2、</w:t>
            </w:r>
            <w:r>
              <w:rPr>
                <w:rFonts w:hint="eastAsia" w:ascii="宋体" w:hAnsi="宋体" w:eastAsia="宋体" w:cs="宋体"/>
                <w:color w:val="000000" w:themeColor="text1"/>
                <w:spacing w:val="1"/>
                <w:kern w:val="2"/>
                <w:sz w:val="21"/>
                <w:szCs w:val="21"/>
                <w:lang w:eastAsia="zh-CN"/>
                <w14:textFill>
                  <w14:solidFill>
                    <w14:schemeClr w14:val="tx1"/>
                  </w14:solidFill>
                </w14:textFill>
              </w:rPr>
              <w:t>（评分内容1-</w:t>
            </w:r>
            <w:r>
              <w:rPr>
                <w:rFonts w:hint="eastAsia" w:ascii="宋体" w:hAnsi="宋体" w:eastAsia="宋体" w:cs="宋体"/>
                <w:color w:val="000000" w:themeColor="text1"/>
                <w:spacing w:val="1"/>
                <w:kern w:val="2"/>
                <w:sz w:val="21"/>
                <w:szCs w:val="21"/>
                <w:lang w:val="en-US" w:eastAsia="zh-CN"/>
                <w14:textFill>
                  <w14:solidFill>
                    <w14:schemeClr w14:val="tx1"/>
                  </w14:solidFill>
                </w14:textFill>
              </w:rPr>
              <w:t>4</w:t>
            </w:r>
            <w:r>
              <w:rPr>
                <w:rFonts w:hint="eastAsia" w:ascii="宋体" w:hAnsi="宋体" w:eastAsia="宋体" w:cs="宋体"/>
                <w:color w:val="000000" w:themeColor="text1"/>
                <w:spacing w:val="1"/>
                <w:kern w:val="2"/>
                <w:sz w:val="21"/>
                <w:szCs w:val="21"/>
                <w:lang w:eastAsia="zh-CN"/>
                <w14:textFill>
                  <w14:solidFill>
                    <w14:schemeClr w14:val="tx1"/>
                  </w14:solidFill>
                </w14:textFill>
              </w:rPr>
              <w:t>）提供上述有效（资格）证书及官网查询截图，特种作业操作证需同时提供特种作业证及安全生产知识和管理能力考核信息查询平台（http://cx.mem.gov.cn/）的查询截图；</w:t>
            </w:r>
          </w:p>
          <w:p>
            <w:pPr>
              <w:pStyle w:val="15"/>
              <w:widowControl/>
              <w:kinsoku w:val="0"/>
              <w:autoSpaceDE w:val="0"/>
              <w:autoSpaceDN w:val="0"/>
              <w:snapToGrid w:val="0"/>
              <w:spacing w:line="380" w:lineRule="exact"/>
              <w:ind w:left="94" w:leftChars="0" w:right="1" w:firstLine="10" w:firstLineChars="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1"/>
                <w:kern w:val="2"/>
                <w:sz w:val="21"/>
                <w:szCs w:val="21"/>
                <w:lang w:val="en-US" w:eastAsia="zh-CN"/>
                <w14:textFill>
                  <w14:solidFill>
                    <w14:schemeClr w14:val="tx1"/>
                  </w14:solidFill>
                </w14:textFill>
              </w:rPr>
              <w:t>以上证明文件原件备查，未提供证明材料或者提供的证明材料不符合要求或提供的证明材料不清晰导致评审专家无法辨认的，不得分。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0" w:hRule="atLeast"/>
        </w:trPr>
        <w:tc>
          <w:tcPr>
            <w:tcW w:w="598" w:type="dxa"/>
            <w:vAlign w:val="center"/>
          </w:tcPr>
          <w:p>
            <w:pPr>
              <w:pStyle w:val="15"/>
              <w:spacing w:before="107" w:line="183" w:lineRule="auto"/>
              <w:ind w:left="25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1498" w:type="dxa"/>
            <w:vAlign w:val="center"/>
          </w:tcPr>
          <w:p>
            <w:pPr>
              <w:pStyle w:val="15"/>
              <w:spacing w:before="37" w:line="207" w:lineRule="auto"/>
              <w:ind w:left="200" w:leftChars="0" w:right="228" w:firstLine="2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 xml:space="preserve">同类项目业 </w:t>
            </w:r>
            <w:r>
              <w:rPr>
                <w:rFonts w:hint="eastAsia" w:ascii="宋体" w:hAnsi="宋体" w:eastAsia="宋体" w:cs="宋体"/>
                <w:color w:val="000000" w:themeColor="text1"/>
                <w:sz w:val="21"/>
                <w:szCs w:val="21"/>
                <w14:textFill>
                  <w14:solidFill>
                    <w14:schemeClr w14:val="tx1"/>
                  </w14:solidFill>
                </w14:textFill>
              </w:rPr>
              <w:t>绩</w:t>
            </w:r>
          </w:p>
        </w:tc>
        <w:tc>
          <w:tcPr>
            <w:tcW w:w="709" w:type="dxa"/>
            <w:vAlign w:val="center"/>
          </w:tcPr>
          <w:p>
            <w:pPr>
              <w:pStyle w:val="15"/>
              <w:spacing w:before="187" w:line="183" w:lineRule="auto"/>
              <w:ind w:left="283"/>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6761" w:type="dxa"/>
            <w:vAlign w:val="top"/>
          </w:tcPr>
          <w:p>
            <w:pPr>
              <w:pStyle w:val="15"/>
              <w:keepNext w:val="0"/>
              <w:keepLines w:val="0"/>
              <w:pageBreakBefore w:val="0"/>
              <w:widowControl/>
              <w:tabs>
                <w:tab w:val="left" w:pos="6100"/>
              </w:tabs>
              <w:kinsoku w:val="0"/>
              <w:wordWrap/>
              <w:overflowPunct/>
              <w:topLinePunct w:val="0"/>
              <w:autoSpaceDE w:val="0"/>
              <w:autoSpaceDN w:val="0"/>
              <w:bidi w:val="0"/>
              <w:adjustRightInd w:val="0"/>
              <w:snapToGrid w:val="0"/>
              <w:spacing w:line="380" w:lineRule="exact"/>
              <w:ind w:left="0" w:leftChars="0" w:right="1" w:rightChars="0" w:firstLine="57" w:firstLineChars="28"/>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4"/>
                <w:sz w:val="21"/>
                <w:szCs w:val="21"/>
                <w14:textFill>
                  <w14:solidFill>
                    <w14:schemeClr w14:val="tx1"/>
                  </w14:solidFill>
                </w14:textFill>
              </w:rPr>
              <w:t>(一)评分内容：</w:t>
            </w:r>
          </w:p>
          <w:p>
            <w:pPr>
              <w:pStyle w:val="15"/>
              <w:keepNext w:val="0"/>
              <w:keepLines w:val="0"/>
              <w:pageBreakBefore w:val="0"/>
              <w:widowControl/>
              <w:kinsoku w:val="0"/>
              <w:wordWrap/>
              <w:overflowPunct/>
              <w:topLinePunct w:val="0"/>
              <w:autoSpaceDE w:val="0"/>
              <w:autoSpaceDN w:val="0"/>
              <w:bidi w:val="0"/>
              <w:adjustRightInd/>
              <w:snapToGrid w:val="0"/>
              <w:spacing w:line="380" w:lineRule="exact"/>
              <w:ind w:left="94" w:leftChars="0" w:right="1" w:rightChars="0" w:firstLine="10" w:firstLineChars="0"/>
              <w:jc w:val="left"/>
              <w:textAlignment w:val="baseline"/>
              <w:rPr>
                <w:rFonts w:hint="eastAsia" w:ascii="宋体" w:hAnsi="宋体" w:eastAsia="宋体" w:cs="宋体"/>
                <w:color w:val="000000" w:themeColor="text1"/>
                <w:spacing w:val="1"/>
                <w:sz w:val="21"/>
                <w:szCs w:val="21"/>
                <w:lang w:eastAsia="zh-CN"/>
                <w14:textFill>
                  <w14:solidFill>
                    <w14:schemeClr w14:val="tx1"/>
                  </w14:solidFill>
                </w14:textFill>
              </w:rPr>
            </w:pPr>
            <w:r>
              <w:rPr>
                <w:rFonts w:hint="eastAsia" w:ascii="宋体" w:hAnsi="宋体" w:eastAsia="宋体" w:cs="宋体"/>
                <w:color w:val="000000" w:themeColor="text1"/>
                <w:spacing w:val="1"/>
                <w:sz w:val="21"/>
                <w:szCs w:val="21"/>
                <w:lang w:eastAsia="zh-CN"/>
                <w14:textFill>
                  <w14:solidFill>
                    <w14:schemeClr w14:val="tx1"/>
                  </w14:solidFill>
                </w14:textFill>
              </w:rPr>
              <w:t>投标人于202</w:t>
            </w:r>
            <w:r>
              <w:rPr>
                <w:rFonts w:hint="eastAsia" w:ascii="宋体" w:hAnsi="宋体" w:eastAsia="宋体" w:cs="宋体"/>
                <w:color w:val="000000" w:themeColor="text1"/>
                <w:spacing w:val="1"/>
                <w:sz w:val="21"/>
                <w:szCs w:val="21"/>
                <w:lang w:val="en-US" w:eastAsia="zh-CN"/>
                <w14:textFill>
                  <w14:solidFill>
                    <w14:schemeClr w14:val="tx1"/>
                  </w14:solidFill>
                </w14:textFill>
              </w:rPr>
              <w:t>2</w:t>
            </w:r>
            <w:r>
              <w:rPr>
                <w:rFonts w:hint="eastAsia" w:ascii="宋体" w:hAnsi="宋体" w:eastAsia="宋体" w:cs="宋体"/>
                <w:color w:val="000000" w:themeColor="text1"/>
                <w:spacing w:val="1"/>
                <w:sz w:val="21"/>
                <w:szCs w:val="21"/>
                <w:lang w:eastAsia="zh-CN"/>
                <w14:textFill>
                  <w14:solidFill>
                    <w14:schemeClr w14:val="tx1"/>
                  </w14:solidFill>
                </w14:textFill>
              </w:rPr>
              <w:t>年1月1日至本项目投标截止时间， 承接过政府部门</w:t>
            </w:r>
            <w:r>
              <w:rPr>
                <w:rFonts w:hint="eastAsia" w:cs="宋体"/>
                <w:color w:val="000000" w:themeColor="text1"/>
                <w:spacing w:val="1"/>
                <w:sz w:val="21"/>
                <w:szCs w:val="21"/>
                <w:lang w:val="en-US" w:eastAsia="zh-CN"/>
                <w14:textFill>
                  <w14:solidFill>
                    <w14:schemeClr w14:val="tx1"/>
                  </w14:solidFill>
                </w14:textFill>
              </w:rPr>
              <w:t>组织的</w:t>
            </w:r>
            <w:r>
              <w:rPr>
                <w:rFonts w:hint="eastAsia" w:ascii="宋体" w:hAnsi="宋体" w:eastAsia="宋体" w:cs="宋体"/>
                <w:color w:val="000000" w:themeColor="text1"/>
                <w:spacing w:val="1"/>
                <w:sz w:val="21"/>
                <w:szCs w:val="21"/>
                <w:lang w:eastAsia="zh-CN"/>
                <w14:textFill>
                  <w14:solidFill>
                    <w14:schemeClr w14:val="tx1"/>
                  </w14:solidFill>
                </w14:textFill>
              </w:rPr>
              <w:t>安全生产类项目业绩</w:t>
            </w:r>
            <w:r>
              <w:rPr>
                <w:rFonts w:hint="eastAsia" w:cs="宋体"/>
                <w:color w:val="000000" w:themeColor="text1"/>
                <w:spacing w:val="1"/>
                <w:sz w:val="21"/>
                <w:szCs w:val="21"/>
                <w:lang w:eastAsia="zh-CN"/>
                <w14:textFill>
                  <w14:solidFill>
                    <w14:schemeClr w14:val="tx1"/>
                  </w14:solidFill>
                </w14:textFill>
              </w:rPr>
              <w:t>，</w:t>
            </w:r>
            <w:r>
              <w:rPr>
                <w:rFonts w:hint="eastAsia" w:ascii="宋体" w:hAnsi="宋体" w:eastAsia="宋体" w:cs="宋体"/>
                <w:color w:val="000000" w:themeColor="text1"/>
                <w:spacing w:val="1"/>
                <w:sz w:val="21"/>
                <w:szCs w:val="21"/>
                <w:lang w:eastAsia="zh-CN"/>
                <w14:textFill>
                  <w14:solidFill>
                    <w14:schemeClr w14:val="tx1"/>
                  </w14:solidFill>
                </w14:textFill>
              </w:rPr>
              <w:t>每提供一项得</w:t>
            </w:r>
            <w:r>
              <w:rPr>
                <w:rFonts w:hint="eastAsia" w:ascii="宋体" w:hAnsi="宋体" w:eastAsia="宋体" w:cs="宋体"/>
                <w:color w:val="000000" w:themeColor="text1"/>
                <w:spacing w:val="1"/>
                <w:sz w:val="21"/>
                <w:szCs w:val="21"/>
                <w:lang w:val="en-US" w:eastAsia="zh-CN"/>
                <w14:textFill>
                  <w14:solidFill>
                    <w14:schemeClr w14:val="tx1"/>
                  </w14:solidFill>
                </w14:textFill>
              </w:rPr>
              <w:t>20%</w:t>
            </w:r>
            <w:r>
              <w:rPr>
                <w:rFonts w:hint="eastAsia" w:ascii="宋体" w:hAnsi="宋体" w:eastAsia="宋体" w:cs="宋体"/>
                <w:color w:val="000000" w:themeColor="text1"/>
                <w:spacing w:val="1"/>
                <w:sz w:val="21"/>
                <w:szCs w:val="21"/>
                <w:lang w:eastAsia="zh-CN"/>
                <w14:textFill>
                  <w14:solidFill>
                    <w14:schemeClr w14:val="tx1"/>
                  </w14:solidFill>
                </w14:textFill>
              </w:rPr>
              <w:t>，最高得</w:t>
            </w:r>
            <w:r>
              <w:rPr>
                <w:rFonts w:hint="eastAsia" w:ascii="宋体" w:hAnsi="宋体" w:eastAsia="宋体" w:cs="宋体"/>
                <w:color w:val="000000" w:themeColor="text1"/>
                <w:spacing w:val="1"/>
                <w:sz w:val="21"/>
                <w:szCs w:val="21"/>
                <w:lang w:val="en-US" w:eastAsia="zh-CN"/>
                <w14:textFill>
                  <w14:solidFill>
                    <w14:schemeClr w14:val="tx1"/>
                  </w14:solidFill>
                </w14:textFill>
              </w:rPr>
              <w:t>100%</w:t>
            </w:r>
            <w:r>
              <w:rPr>
                <w:rFonts w:hint="eastAsia" w:ascii="宋体" w:hAnsi="宋体" w:eastAsia="宋体" w:cs="宋体"/>
                <w:color w:val="000000" w:themeColor="text1"/>
                <w:spacing w:val="1"/>
                <w:sz w:val="21"/>
                <w:szCs w:val="21"/>
                <w:lang w:eastAsia="zh-CN"/>
                <w14:textFill>
                  <w14:solidFill>
                    <w14:schemeClr w14:val="tx1"/>
                  </w14:solidFill>
                </w14:textFill>
              </w:rPr>
              <w:t>；</w:t>
            </w:r>
          </w:p>
          <w:p>
            <w:pPr>
              <w:pStyle w:val="15"/>
              <w:keepNext w:val="0"/>
              <w:keepLines w:val="0"/>
              <w:pageBreakBefore w:val="0"/>
              <w:widowControl/>
              <w:tabs>
                <w:tab w:val="left" w:pos="6100"/>
              </w:tabs>
              <w:kinsoku w:val="0"/>
              <w:wordWrap/>
              <w:overflowPunct/>
              <w:topLinePunct w:val="0"/>
              <w:autoSpaceDE w:val="0"/>
              <w:autoSpaceDN w:val="0"/>
              <w:bidi w:val="0"/>
              <w:adjustRightInd w:val="0"/>
              <w:snapToGrid w:val="0"/>
              <w:spacing w:line="380" w:lineRule="exact"/>
              <w:ind w:left="0" w:leftChars="0" w:right="1" w:rightChars="0" w:firstLine="57" w:firstLineChars="28"/>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3"/>
                <w:sz w:val="21"/>
                <w:szCs w:val="21"/>
                <w14:textFill>
                  <w14:solidFill>
                    <w14:schemeClr w14:val="tx1"/>
                  </w14:solidFill>
                </w14:textFill>
              </w:rPr>
              <w:t>(二)评分依据：</w:t>
            </w:r>
          </w:p>
          <w:p>
            <w:pPr>
              <w:pStyle w:val="15"/>
              <w:keepNext w:val="0"/>
              <w:keepLines w:val="0"/>
              <w:pageBreakBefore w:val="0"/>
              <w:widowControl/>
              <w:kinsoku w:val="0"/>
              <w:wordWrap/>
              <w:overflowPunct/>
              <w:topLinePunct w:val="0"/>
              <w:autoSpaceDE w:val="0"/>
              <w:autoSpaceDN w:val="0"/>
              <w:bidi w:val="0"/>
              <w:adjustRightInd/>
              <w:snapToGrid w:val="0"/>
              <w:spacing w:line="380" w:lineRule="exact"/>
              <w:ind w:left="94" w:leftChars="0" w:right="1" w:rightChars="0" w:firstLine="10" w:firstLineChars="0"/>
              <w:jc w:val="left"/>
              <w:textAlignment w:val="baseline"/>
              <w:rPr>
                <w:rFonts w:hint="eastAsia" w:ascii="宋体" w:hAnsi="宋体" w:eastAsia="宋体" w:cs="宋体"/>
                <w:color w:val="000000" w:themeColor="text1"/>
                <w:spacing w:val="1"/>
                <w:sz w:val="21"/>
                <w:szCs w:val="21"/>
                <w:lang w:eastAsia="zh-CN"/>
                <w14:textFill>
                  <w14:solidFill>
                    <w14:schemeClr w14:val="tx1"/>
                  </w14:solidFill>
                </w14:textFill>
              </w:rPr>
            </w:pPr>
            <w:r>
              <w:rPr>
                <w:rFonts w:hint="eastAsia" w:ascii="宋体" w:hAnsi="宋体" w:eastAsia="宋体" w:cs="宋体"/>
                <w:color w:val="000000" w:themeColor="text1"/>
                <w:spacing w:val="1"/>
                <w:sz w:val="21"/>
                <w:szCs w:val="21"/>
                <w:lang w:eastAsia="zh-CN"/>
                <w14:textFill>
                  <w14:solidFill>
                    <w14:schemeClr w14:val="tx1"/>
                  </w14:solidFill>
                </w14:textFill>
              </w:rPr>
              <w:t>1、提供合同关键页（关键信息包括但不限于合同的项目名称、服务内容、合同签字盖章页）。一年一签的长期服务续签合同只计算一个业绩；</w:t>
            </w:r>
          </w:p>
          <w:p>
            <w:pPr>
              <w:pStyle w:val="15"/>
              <w:keepNext w:val="0"/>
              <w:keepLines w:val="0"/>
              <w:pageBreakBefore w:val="0"/>
              <w:widowControl/>
              <w:kinsoku w:val="0"/>
              <w:wordWrap/>
              <w:overflowPunct/>
              <w:topLinePunct w:val="0"/>
              <w:autoSpaceDE w:val="0"/>
              <w:autoSpaceDN w:val="0"/>
              <w:bidi w:val="0"/>
              <w:adjustRightInd/>
              <w:snapToGrid w:val="0"/>
              <w:spacing w:line="380" w:lineRule="exact"/>
              <w:ind w:left="94" w:leftChars="0" w:right="1" w:rightChars="0" w:firstLine="10" w:firstLineChars="0"/>
              <w:jc w:val="left"/>
              <w:textAlignment w:val="baseline"/>
              <w:rPr>
                <w:rFonts w:hint="eastAsia" w:ascii="宋体" w:hAnsi="宋体" w:eastAsia="宋体" w:cs="宋体"/>
                <w:color w:val="000000" w:themeColor="text1"/>
                <w:spacing w:val="1"/>
                <w:sz w:val="21"/>
                <w:szCs w:val="21"/>
                <w:lang w:eastAsia="zh-CN"/>
                <w14:textFill>
                  <w14:solidFill>
                    <w14:schemeClr w14:val="tx1"/>
                  </w14:solidFill>
                </w14:textFill>
              </w:rPr>
            </w:pPr>
            <w:r>
              <w:rPr>
                <w:rFonts w:hint="eastAsia" w:ascii="宋体" w:hAnsi="宋体" w:eastAsia="宋体" w:cs="宋体"/>
                <w:color w:val="000000" w:themeColor="text1"/>
                <w:spacing w:val="1"/>
                <w:sz w:val="21"/>
                <w:szCs w:val="21"/>
                <w:lang w:eastAsia="zh-CN"/>
                <w14:textFill>
                  <w14:solidFill>
                    <w14:schemeClr w14:val="tx1"/>
                  </w14:solidFill>
                </w14:textFill>
              </w:rPr>
              <w:t>2、通过合同关键信息无法判断是否得分的,还须同时提供能证明得分的其它证明资料,如项目报告或合同甲方出具的证明文件等；</w:t>
            </w:r>
          </w:p>
          <w:p>
            <w:pPr>
              <w:pStyle w:val="15"/>
              <w:keepNext w:val="0"/>
              <w:keepLines w:val="0"/>
              <w:pageBreakBefore w:val="0"/>
              <w:widowControl/>
              <w:kinsoku w:val="0"/>
              <w:wordWrap/>
              <w:overflowPunct/>
              <w:topLinePunct w:val="0"/>
              <w:autoSpaceDE w:val="0"/>
              <w:autoSpaceDN w:val="0"/>
              <w:bidi w:val="0"/>
              <w:adjustRightInd/>
              <w:snapToGrid w:val="0"/>
              <w:spacing w:line="380" w:lineRule="exact"/>
              <w:ind w:left="94" w:leftChars="0" w:right="1" w:rightChars="0" w:firstLine="10" w:firstLineChars="0"/>
              <w:jc w:val="left"/>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1"/>
                <w:sz w:val="21"/>
                <w:szCs w:val="21"/>
                <w:lang w:eastAsia="zh-CN"/>
                <w14:textFill>
                  <w14:solidFill>
                    <w14:schemeClr w14:val="tx1"/>
                  </w14:solidFill>
                </w14:textFill>
              </w:rPr>
              <w:t>3、以上资料均要求原件备查。评分中出现无证明资料或专家无法凭所提供资料判断是否得分的情况,一律作不得分处理。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4" w:hRule="atLeast"/>
        </w:trPr>
        <w:tc>
          <w:tcPr>
            <w:tcW w:w="598" w:type="dxa"/>
            <w:vAlign w:val="center"/>
          </w:tcPr>
          <w:p>
            <w:pPr>
              <w:pStyle w:val="15"/>
              <w:spacing w:before="82" w:line="183" w:lineRule="auto"/>
              <w:ind w:left="271"/>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1498" w:type="dxa"/>
            <w:vAlign w:val="center"/>
          </w:tcPr>
          <w:p>
            <w:pPr>
              <w:pStyle w:val="15"/>
              <w:spacing w:before="37" w:line="207" w:lineRule="auto"/>
              <w:ind w:left="200" w:right="228" w:firstLine="2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设备物资保障能力</w:t>
            </w:r>
          </w:p>
        </w:tc>
        <w:tc>
          <w:tcPr>
            <w:tcW w:w="709" w:type="dxa"/>
            <w:vAlign w:val="center"/>
          </w:tcPr>
          <w:p>
            <w:pPr>
              <w:pStyle w:val="15"/>
              <w:spacing w:before="152" w:line="183" w:lineRule="auto"/>
              <w:ind w:left="283"/>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6761" w:type="dxa"/>
            <w:vAlign w:val="top"/>
          </w:tcPr>
          <w:p>
            <w:pPr>
              <w:pStyle w:val="15"/>
              <w:keepNext w:val="0"/>
              <w:keepLines w:val="0"/>
              <w:pageBreakBefore w:val="0"/>
              <w:widowControl/>
              <w:kinsoku w:val="0"/>
              <w:wordWrap/>
              <w:overflowPunct/>
              <w:topLinePunct w:val="0"/>
              <w:autoSpaceDE w:val="0"/>
              <w:autoSpaceDN w:val="0"/>
              <w:bidi w:val="0"/>
              <w:adjustRightInd w:val="0"/>
              <w:snapToGrid w:val="0"/>
              <w:spacing w:line="380" w:lineRule="exact"/>
              <w:ind w:left="148"/>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3"/>
                <w:sz w:val="21"/>
                <w:szCs w:val="21"/>
                <w14:textFill>
                  <w14:solidFill>
                    <w14:schemeClr w14:val="tx1"/>
                  </w14:solidFill>
                </w14:textFill>
              </w:rPr>
              <w:t>(一)评分内容：</w:t>
            </w:r>
          </w:p>
          <w:p>
            <w:pPr>
              <w:pStyle w:val="15"/>
              <w:keepNext w:val="0"/>
              <w:keepLines w:val="0"/>
              <w:pageBreakBefore w:val="0"/>
              <w:widowControl/>
              <w:kinsoku w:val="0"/>
              <w:wordWrap/>
              <w:overflowPunct/>
              <w:topLinePunct w:val="0"/>
              <w:autoSpaceDE w:val="0"/>
              <w:autoSpaceDN w:val="0"/>
              <w:bidi w:val="0"/>
              <w:adjustRightInd/>
              <w:snapToGrid w:val="0"/>
              <w:spacing w:line="380" w:lineRule="exact"/>
              <w:ind w:left="94" w:right="1" w:rightChars="0" w:firstLine="10"/>
              <w:jc w:val="left"/>
              <w:textAlignment w:val="baseline"/>
              <w:rPr>
                <w:rFonts w:hint="eastAsia" w:ascii="宋体" w:hAnsi="宋体" w:eastAsia="宋体" w:cs="宋体"/>
                <w:color w:val="000000" w:themeColor="text1"/>
                <w:spacing w:val="1"/>
                <w:sz w:val="21"/>
                <w:szCs w:val="21"/>
                <w:lang w:eastAsia="zh-CN"/>
                <w14:textFill>
                  <w14:solidFill>
                    <w14:schemeClr w14:val="tx1"/>
                  </w14:solidFill>
                </w14:textFill>
              </w:rPr>
            </w:pPr>
            <w:r>
              <w:rPr>
                <w:rFonts w:hint="eastAsia" w:ascii="宋体" w:hAnsi="宋体" w:eastAsia="宋体" w:cs="宋体"/>
                <w:color w:val="000000" w:themeColor="text1"/>
                <w:spacing w:val="1"/>
                <w:sz w:val="21"/>
                <w:szCs w:val="21"/>
                <w:lang w:eastAsia="zh-CN"/>
                <w14:textFill>
                  <w14:solidFill>
                    <w14:schemeClr w14:val="tx1"/>
                  </w14:solidFill>
                </w14:textFill>
              </w:rPr>
              <w:t>提供</w:t>
            </w:r>
            <w:r>
              <w:rPr>
                <w:rFonts w:hint="eastAsia" w:ascii="宋体" w:hAnsi="宋体" w:eastAsia="宋体" w:cs="宋体"/>
                <w:color w:val="000000" w:themeColor="text1"/>
                <w:spacing w:val="1"/>
                <w:sz w:val="21"/>
                <w:szCs w:val="21"/>
                <w:lang w:val="en-US" w:eastAsia="zh-CN"/>
                <w14:textFill>
                  <w14:solidFill>
                    <w14:schemeClr w14:val="tx1"/>
                  </w14:solidFill>
                </w14:textFill>
              </w:rPr>
              <w:t>包括音视频现场记录仪 、激光测距仪、消防感烟测试枪、漏电开关测试仪、红外热成像仪、烟气分析仪、建筑烟密度测试仪</w:t>
            </w:r>
            <w:r>
              <w:rPr>
                <w:rFonts w:hint="eastAsia" w:cs="宋体"/>
                <w:color w:val="000000" w:themeColor="text1"/>
                <w:spacing w:val="1"/>
                <w:sz w:val="21"/>
                <w:szCs w:val="21"/>
                <w:lang w:val="en-US" w:eastAsia="zh-CN"/>
                <w14:textFill>
                  <w14:solidFill>
                    <w14:schemeClr w14:val="tx1"/>
                  </w14:solidFill>
                </w14:textFill>
              </w:rPr>
              <w:t>等设备</w:t>
            </w:r>
            <w:r>
              <w:rPr>
                <w:rFonts w:hint="eastAsia" w:ascii="宋体" w:hAnsi="宋体" w:eastAsia="宋体" w:cs="宋体"/>
                <w:color w:val="000000" w:themeColor="text1"/>
                <w:spacing w:val="1"/>
                <w:sz w:val="21"/>
                <w:szCs w:val="21"/>
                <w:lang w:val="en-US" w:eastAsia="zh-CN"/>
                <w14:textFill>
                  <w14:solidFill>
                    <w14:schemeClr w14:val="tx1"/>
                  </w14:solidFill>
                </w14:textFill>
              </w:rPr>
              <w:t>，</w:t>
            </w:r>
            <w:r>
              <w:rPr>
                <w:rFonts w:hint="eastAsia" w:cs="宋体"/>
                <w:color w:val="000000" w:themeColor="text1"/>
                <w:spacing w:val="1"/>
                <w:sz w:val="21"/>
                <w:szCs w:val="21"/>
                <w:lang w:val="en-US" w:eastAsia="zh-CN"/>
                <w14:textFill>
                  <w14:solidFill>
                    <w14:schemeClr w14:val="tx1"/>
                  </w14:solidFill>
                </w14:textFill>
              </w:rPr>
              <w:t>得分100%。</w:t>
            </w:r>
          </w:p>
          <w:p>
            <w:pPr>
              <w:pStyle w:val="15"/>
              <w:keepNext w:val="0"/>
              <w:keepLines w:val="0"/>
              <w:pageBreakBefore w:val="0"/>
              <w:widowControl/>
              <w:kinsoku w:val="0"/>
              <w:wordWrap/>
              <w:overflowPunct/>
              <w:topLinePunct w:val="0"/>
              <w:autoSpaceDE w:val="0"/>
              <w:autoSpaceDN w:val="0"/>
              <w:bidi w:val="0"/>
              <w:adjustRightInd w:val="0"/>
              <w:snapToGrid w:val="0"/>
              <w:spacing w:line="380" w:lineRule="exact"/>
              <w:ind w:left="148"/>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pacing w:val="-3"/>
                <w:sz w:val="21"/>
                <w:szCs w:val="21"/>
                <w14:textFill>
                  <w14:solidFill>
                    <w14:schemeClr w14:val="tx1"/>
                  </w14:solidFill>
                </w14:textFill>
              </w:rPr>
              <w:t>(二)评分依据：</w:t>
            </w:r>
          </w:p>
          <w:p>
            <w:pPr>
              <w:pStyle w:val="15"/>
              <w:keepNext w:val="0"/>
              <w:keepLines w:val="0"/>
              <w:pageBreakBefore w:val="0"/>
              <w:widowControl/>
              <w:kinsoku w:val="0"/>
              <w:wordWrap/>
              <w:overflowPunct/>
              <w:topLinePunct w:val="0"/>
              <w:autoSpaceDE w:val="0"/>
              <w:autoSpaceDN w:val="0"/>
              <w:bidi w:val="0"/>
              <w:adjustRightInd/>
              <w:snapToGrid w:val="0"/>
              <w:spacing w:line="380" w:lineRule="exact"/>
              <w:ind w:left="94" w:right="1" w:firstLine="10"/>
              <w:jc w:val="left"/>
              <w:textAlignment w:val="baseline"/>
              <w:rPr>
                <w:rFonts w:hint="eastAsia" w:ascii="宋体" w:hAnsi="宋体" w:eastAsia="宋体" w:cs="宋体"/>
                <w:color w:val="000000" w:themeColor="text1"/>
                <w:spacing w:val="1"/>
                <w:sz w:val="21"/>
                <w:szCs w:val="21"/>
                <w:lang w:eastAsia="zh-CN"/>
                <w14:textFill>
                  <w14:solidFill>
                    <w14:schemeClr w14:val="tx1"/>
                  </w14:solidFill>
                </w14:textFill>
              </w:rPr>
            </w:pP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须提供设备购置发票扫描件（发票须能体现购买方为投标人或其法定代表人）。 </w:t>
            </w:r>
          </w:p>
          <w:p>
            <w:pPr>
              <w:pStyle w:val="15"/>
              <w:keepNext w:val="0"/>
              <w:keepLines w:val="0"/>
              <w:pageBreakBefore w:val="0"/>
              <w:widowControl/>
              <w:kinsoku w:val="0"/>
              <w:wordWrap/>
              <w:overflowPunct/>
              <w:topLinePunct w:val="0"/>
              <w:autoSpaceDE w:val="0"/>
              <w:autoSpaceDN w:val="0"/>
              <w:bidi w:val="0"/>
              <w:adjustRightInd/>
              <w:snapToGrid w:val="0"/>
              <w:spacing w:line="380" w:lineRule="exact"/>
              <w:ind w:left="94" w:right="1" w:firstLine="10"/>
              <w:jc w:val="left"/>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cs="宋体"/>
                <w:color w:val="000000" w:themeColor="text1"/>
                <w:spacing w:val="1"/>
                <w:sz w:val="21"/>
                <w:szCs w:val="21"/>
                <w:lang w:val="en-US" w:eastAsia="zh-CN"/>
                <w14:textFill>
                  <w14:solidFill>
                    <w14:schemeClr w14:val="tx1"/>
                  </w14:solidFill>
                </w14:textFill>
              </w:rPr>
              <w:t>缺一项发票</w:t>
            </w:r>
            <w:r>
              <w:rPr>
                <w:rFonts w:hint="eastAsia" w:ascii="宋体" w:hAnsi="宋体" w:eastAsia="宋体" w:cs="宋体"/>
                <w:color w:val="000000" w:themeColor="text1"/>
                <w:spacing w:val="1"/>
                <w:sz w:val="21"/>
                <w:szCs w:val="21"/>
                <w:lang w:eastAsia="zh-CN"/>
                <w14:textFill>
                  <w14:solidFill>
                    <w14:schemeClr w14:val="tx1"/>
                  </w14:solidFill>
                </w14:textFill>
              </w:rPr>
              <w:t>或提供不清晰导致专家无法判断的不得分。</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五、项目需求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(一)服务内容</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textAlignment w:val="auto"/>
        <w:outlineLvl w:val="9"/>
        <w:rPr>
          <w:rFonts w:hint="eastAsia" w:ascii="微软雅黑" w:hAnsi="微软雅黑" w:eastAsia="微软雅黑" w:cs="微软雅黑"/>
          <w:i w:val="0"/>
          <w:iCs w:val="0"/>
          <w:caps w:val="0"/>
          <w:color w:val="4B4B4B"/>
          <w:spacing w:val="0"/>
          <w:sz w:val="24"/>
          <w:szCs w:val="24"/>
          <w:lang w:eastAsia="zh-CN"/>
        </w:rPr>
      </w:pPr>
      <w:r>
        <w:rPr>
          <w:rFonts w:hint="eastAsia" w:ascii="仿宋_GB2312" w:hAnsi="仿宋_GB2312" w:eastAsia="仿宋_GB2312" w:cs="仿宋_GB2312"/>
          <w:color w:val="auto"/>
          <w:kern w:val="2"/>
          <w:sz w:val="32"/>
          <w:szCs w:val="32"/>
          <w:highlight w:val="none"/>
          <w:lang w:val="en-US" w:eastAsia="zh-CN"/>
        </w:rPr>
        <w:t>依据</w:t>
      </w:r>
      <w:r>
        <w:rPr>
          <w:rFonts w:hint="eastAsia" w:ascii="仿宋_GB2312" w:hAnsi="仿宋_GB2312" w:eastAsia="仿宋_GB2312" w:cs="仿宋_GB2312"/>
          <w:i w:val="0"/>
          <w:iCs w:val="0"/>
          <w:caps w:val="0"/>
          <w:color w:val="auto"/>
          <w:spacing w:val="0"/>
          <w:sz w:val="32"/>
          <w:szCs w:val="32"/>
          <w:highlight w:val="none"/>
          <w:shd w:val="clear"/>
        </w:rPr>
        <w:t>《校外培训机构消防安全管理九项规定》</w:t>
      </w:r>
      <w:r>
        <w:rPr>
          <w:rFonts w:hint="eastAsia" w:ascii="仿宋_GB2312" w:hAnsi="仿宋_GB2312" w:eastAsia="仿宋_GB2312" w:cs="仿宋_GB2312"/>
          <w:i w:val="0"/>
          <w:iCs w:val="0"/>
          <w:caps w:val="0"/>
          <w:color w:val="auto"/>
          <w:spacing w:val="0"/>
          <w:sz w:val="32"/>
          <w:szCs w:val="32"/>
          <w:highlight w:val="none"/>
          <w:shd w:val="clear"/>
          <w:lang w:eastAsia="zh-CN"/>
        </w:rPr>
        <w:t>（</w:t>
      </w:r>
      <w:r>
        <w:rPr>
          <w:rFonts w:hint="eastAsia" w:ascii="仿宋_GB2312" w:hAnsi="仿宋_GB2312" w:eastAsia="仿宋_GB2312" w:cs="仿宋_GB2312"/>
          <w:i w:val="0"/>
          <w:iCs w:val="0"/>
          <w:caps w:val="0"/>
          <w:color w:val="auto"/>
          <w:spacing w:val="0"/>
          <w:sz w:val="32"/>
          <w:szCs w:val="32"/>
          <w:highlight w:val="none"/>
          <w:shd w:val="clear"/>
        </w:rPr>
        <w:t>教监管厅函〔2022〕9号</w:t>
      </w:r>
      <w:r>
        <w:rPr>
          <w:rFonts w:hint="eastAsia" w:ascii="仿宋_GB2312" w:hAnsi="仿宋_GB2312" w:eastAsia="仿宋_GB2312" w:cs="仿宋_GB2312"/>
          <w:i w:val="0"/>
          <w:iCs w:val="0"/>
          <w:caps w:val="0"/>
          <w:color w:val="auto"/>
          <w:spacing w:val="0"/>
          <w:sz w:val="32"/>
          <w:szCs w:val="32"/>
          <w:highlight w:val="none"/>
          <w:shd w:val="clear"/>
          <w:lang w:eastAsia="zh-CN"/>
        </w:rPr>
        <w:t>）文件规定，结合本项目采购实际，开展校外培训机构</w:t>
      </w:r>
      <w:r>
        <w:rPr>
          <w:rFonts w:hint="eastAsia" w:ascii="仿宋_GB2312" w:hAnsi="仿宋_GB2312" w:eastAsia="仿宋_GB2312" w:cs="仿宋_GB2312"/>
          <w:color w:val="auto"/>
          <w:sz w:val="32"/>
          <w:szCs w:val="32"/>
          <w:lang w:val="en-US" w:eastAsia="zh-CN"/>
        </w:rPr>
        <w:t>安全隐患排查</w:t>
      </w:r>
      <w:r>
        <w:rPr>
          <w:rFonts w:hint="eastAsia" w:ascii="仿宋_GB2312" w:hAnsi="仿宋_GB2312" w:eastAsia="仿宋_GB2312" w:cs="仿宋_GB2312"/>
          <w:i w:val="0"/>
          <w:iCs w:val="0"/>
          <w:caps w:val="0"/>
          <w:color w:val="auto"/>
          <w:spacing w:val="0"/>
          <w:sz w:val="32"/>
          <w:szCs w:val="32"/>
          <w:highlight w:val="none"/>
          <w:shd w:val="clear"/>
          <w:lang w:eastAsia="zh-CN"/>
        </w:rPr>
        <w:t>、培训、演练，具体内容如下：</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1、校外培训机构安全</w:t>
      </w:r>
      <w:r>
        <w:rPr>
          <w:rFonts w:hint="eastAsia" w:ascii="仿宋_GB2312" w:hAnsi="仿宋_GB2312" w:eastAsia="仿宋_GB2312" w:cs="仿宋_GB2312"/>
          <w:b/>
          <w:bCs/>
          <w:color w:val="auto"/>
          <w:sz w:val="32"/>
          <w:szCs w:val="32"/>
          <w:lang w:val="en-US" w:eastAsia="zh-CN"/>
        </w:rPr>
        <w:t>隐患排查</w:t>
      </w:r>
      <w:r>
        <w:rPr>
          <w:rFonts w:hint="eastAsia" w:ascii="仿宋_GB2312" w:hAnsi="仿宋_GB2312" w:eastAsia="仿宋_GB2312" w:cs="仿宋_GB2312"/>
          <w:b/>
          <w:bCs/>
          <w:sz w:val="32"/>
          <w:szCs w:val="32"/>
          <w:highlight w:val="none"/>
          <w:lang w:val="en-US" w:eastAsia="zh-CN"/>
        </w:rPr>
        <w:t>及复查</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检查300家校外培训机构落实消防安全主体责任情况、场所安全条件、消防设施器材、安全疏散等是否符合规范要求</w:t>
      </w:r>
      <w:r>
        <w:rPr>
          <w:rFonts w:hint="eastAsia" w:ascii="仿宋_GB2312" w:hAnsi="仿宋_GB2312" w:eastAsia="仿宋_GB2312" w:cs="仿宋_GB2312"/>
          <w:b w:val="0"/>
          <w:bCs w:val="0"/>
          <w:sz w:val="32"/>
          <w:szCs w:val="32"/>
          <w:highlight w:val="none"/>
          <w:lang w:val="en-US" w:eastAsia="zh-CN"/>
        </w:rPr>
        <w:t>，出具检查记录和隐患整改建议，并对各机构隐患整改情况进行复查。现场</w:t>
      </w:r>
      <w:r>
        <w:rPr>
          <w:rFonts w:hint="eastAsia" w:ascii="仿宋_GB2312" w:hAnsi="仿宋_GB2312" w:eastAsia="仿宋_GB2312" w:cs="仿宋_GB2312"/>
          <w:sz w:val="32"/>
          <w:szCs w:val="32"/>
          <w:highlight w:val="none"/>
          <w:lang w:val="en-US" w:eastAsia="zh-CN"/>
        </w:rPr>
        <w:t>检查重点主要关注以下方面：</w:t>
      </w:r>
    </w:p>
    <w:p>
      <w:pPr>
        <w:widowControl w:val="0"/>
        <w:numPr>
          <w:ilvl w:val="0"/>
          <w:numId w:val="0"/>
        </w:numPr>
        <w:spacing w:line="560" w:lineRule="exact"/>
        <w:ind w:firstLine="640" w:firstLineChars="200"/>
        <w:outlineLvl w:val="9"/>
        <w:rPr>
          <w:rFonts w:hint="eastAsia" w:ascii="仿宋_GB2312" w:hAnsi="仿宋_GB2312" w:eastAsia="仿宋_GB2312" w:cs="仿宋_GB2312"/>
          <w:i w:val="0"/>
          <w:iCs w:val="0"/>
          <w:caps w:val="0"/>
          <w:spacing w:val="0"/>
          <w:sz w:val="32"/>
          <w:szCs w:val="32"/>
          <w:highlight w:val="none"/>
        </w:rPr>
      </w:pPr>
      <w:r>
        <w:rPr>
          <w:rFonts w:hint="eastAsia" w:ascii="仿宋_GB2312" w:hAnsi="仿宋_GB2312" w:eastAsia="仿宋_GB2312" w:cs="仿宋_GB2312"/>
          <w:b w:val="0"/>
          <w:bCs w:val="0"/>
          <w:i w:val="0"/>
          <w:iCs w:val="0"/>
          <w:caps w:val="0"/>
          <w:spacing w:val="0"/>
          <w:sz w:val="32"/>
          <w:szCs w:val="32"/>
          <w:highlight w:val="none"/>
          <w:shd w:val="clear"/>
          <w:lang w:eastAsia="zh-CN"/>
        </w:rPr>
        <w:t>（</w:t>
      </w:r>
      <w:r>
        <w:rPr>
          <w:rFonts w:hint="eastAsia" w:ascii="仿宋_GB2312" w:hAnsi="仿宋_GB2312" w:eastAsia="仿宋_GB2312" w:cs="仿宋_GB2312"/>
          <w:b w:val="0"/>
          <w:bCs w:val="0"/>
          <w:i w:val="0"/>
          <w:iCs w:val="0"/>
          <w:caps w:val="0"/>
          <w:spacing w:val="0"/>
          <w:sz w:val="32"/>
          <w:szCs w:val="32"/>
          <w:highlight w:val="none"/>
          <w:shd w:val="clear"/>
          <w:lang w:val="en-US" w:eastAsia="zh-CN"/>
        </w:rPr>
        <w:t>1</w:t>
      </w:r>
      <w:r>
        <w:rPr>
          <w:rFonts w:hint="eastAsia" w:ascii="仿宋_GB2312" w:hAnsi="仿宋_GB2312" w:eastAsia="仿宋_GB2312" w:cs="仿宋_GB2312"/>
          <w:b w:val="0"/>
          <w:bCs w:val="0"/>
          <w:i w:val="0"/>
          <w:iCs w:val="0"/>
          <w:caps w:val="0"/>
          <w:spacing w:val="0"/>
          <w:sz w:val="32"/>
          <w:szCs w:val="32"/>
          <w:highlight w:val="none"/>
          <w:shd w:val="clear"/>
          <w:lang w:eastAsia="zh-CN"/>
        </w:rPr>
        <w:t>）</w:t>
      </w:r>
      <w:r>
        <w:rPr>
          <w:rFonts w:hint="eastAsia" w:ascii="仿宋_GB2312" w:hAnsi="仿宋_GB2312" w:eastAsia="仿宋_GB2312" w:cs="仿宋_GB2312"/>
          <w:b w:val="0"/>
          <w:bCs w:val="0"/>
          <w:i w:val="0"/>
          <w:iCs w:val="0"/>
          <w:caps w:val="0"/>
          <w:spacing w:val="0"/>
          <w:sz w:val="32"/>
          <w:szCs w:val="32"/>
          <w:highlight w:val="none"/>
          <w:shd w:val="clear"/>
        </w:rPr>
        <w:t>落实消防安全主体责任</w:t>
      </w:r>
      <w:r>
        <w:rPr>
          <w:rFonts w:hint="eastAsia" w:ascii="仿宋_GB2312" w:hAnsi="仿宋_GB2312" w:eastAsia="仿宋_GB2312" w:cs="仿宋_GB2312"/>
          <w:b w:val="0"/>
          <w:bCs w:val="0"/>
          <w:i w:val="0"/>
          <w:iCs w:val="0"/>
          <w:caps w:val="0"/>
          <w:spacing w:val="0"/>
          <w:sz w:val="32"/>
          <w:szCs w:val="32"/>
          <w:highlight w:val="none"/>
          <w:shd w:val="clear"/>
          <w:lang w:eastAsia="zh-CN"/>
        </w:rPr>
        <w:t>情况。</w:t>
      </w:r>
      <w:r>
        <w:rPr>
          <w:rFonts w:hint="eastAsia" w:ascii="仿宋_GB2312" w:hAnsi="仿宋_GB2312" w:eastAsia="仿宋_GB2312" w:cs="仿宋_GB2312"/>
          <w:i w:val="0"/>
          <w:iCs w:val="0"/>
          <w:caps w:val="0"/>
          <w:spacing w:val="0"/>
          <w:sz w:val="32"/>
          <w:szCs w:val="32"/>
          <w:highlight w:val="none"/>
          <w:shd w:val="clear"/>
        </w:rPr>
        <w:t>校外培训机构应当落实消防安全职责，配备专兼职消防安全管理人员，自主购置合格的消防装备器材，组织开展检查巡查、隐患整改、设施维护、宣传教育、疏散演练等工作。实行承包、租赁或者委托经营、管理的校外培训机构，在与产权单位签订相关租赁合同时，应依照有关规定明确各方的消防安全责任。</w:t>
      </w:r>
    </w:p>
    <w:p>
      <w:pPr>
        <w:widowControl w:val="0"/>
        <w:numPr>
          <w:ilvl w:val="0"/>
          <w:numId w:val="0"/>
        </w:numPr>
        <w:spacing w:line="560" w:lineRule="exact"/>
        <w:ind w:firstLine="640" w:firstLineChars="200"/>
        <w:outlineLvl w:val="9"/>
        <w:rPr>
          <w:rFonts w:hint="eastAsia" w:ascii="仿宋_GB2312" w:hAnsi="仿宋_GB2312" w:eastAsia="仿宋_GB2312" w:cs="仿宋_GB2312"/>
          <w:i w:val="0"/>
          <w:iCs w:val="0"/>
          <w:caps w:val="0"/>
          <w:spacing w:val="0"/>
          <w:sz w:val="32"/>
          <w:szCs w:val="32"/>
          <w:highlight w:val="none"/>
        </w:rPr>
      </w:pPr>
      <w:r>
        <w:rPr>
          <w:rFonts w:hint="eastAsia" w:ascii="仿宋_GB2312" w:hAnsi="仿宋_GB2312" w:eastAsia="仿宋_GB2312" w:cs="仿宋_GB2312"/>
          <w:b w:val="0"/>
          <w:bCs w:val="0"/>
          <w:i w:val="0"/>
          <w:iCs w:val="0"/>
          <w:caps w:val="0"/>
          <w:spacing w:val="0"/>
          <w:sz w:val="32"/>
          <w:szCs w:val="32"/>
          <w:highlight w:val="none"/>
          <w:shd w:val="clear"/>
          <w:lang w:eastAsia="zh-CN"/>
        </w:rPr>
        <w:t>（</w:t>
      </w:r>
      <w:r>
        <w:rPr>
          <w:rFonts w:hint="eastAsia" w:ascii="仿宋_GB2312" w:hAnsi="仿宋_GB2312" w:eastAsia="仿宋_GB2312" w:cs="仿宋_GB2312"/>
          <w:b w:val="0"/>
          <w:bCs w:val="0"/>
          <w:i w:val="0"/>
          <w:iCs w:val="0"/>
          <w:caps w:val="0"/>
          <w:spacing w:val="0"/>
          <w:sz w:val="32"/>
          <w:szCs w:val="32"/>
          <w:highlight w:val="none"/>
          <w:shd w:val="clear"/>
          <w:lang w:val="en-US" w:eastAsia="zh-CN"/>
        </w:rPr>
        <w:t>2</w:t>
      </w:r>
      <w:r>
        <w:rPr>
          <w:rFonts w:hint="eastAsia" w:ascii="仿宋_GB2312" w:hAnsi="仿宋_GB2312" w:eastAsia="仿宋_GB2312" w:cs="仿宋_GB2312"/>
          <w:b w:val="0"/>
          <w:bCs w:val="0"/>
          <w:i w:val="0"/>
          <w:iCs w:val="0"/>
          <w:caps w:val="0"/>
          <w:spacing w:val="0"/>
          <w:sz w:val="32"/>
          <w:szCs w:val="32"/>
          <w:highlight w:val="none"/>
          <w:shd w:val="clear"/>
          <w:lang w:eastAsia="zh-CN"/>
        </w:rPr>
        <w:t>）</w:t>
      </w:r>
      <w:r>
        <w:rPr>
          <w:rFonts w:hint="eastAsia" w:ascii="仿宋_GB2312" w:hAnsi="仿宋_GB2312" w:eastAsia="仿宋_GB2312" w:cs="仿宋_GB2312"/>
          <w:b w:val="0"/>
          <w:bCs w:val="0"/>
          <w:i w:val="0"/>
          <w:iCs w:val="0"/>
          <w:caps w:val="0"/>
          <w:spacing w:val="0"/>
          <w:sz w:val="32"/>
          <w:szCs w:val="32"/>
          <w:highlight w:val="none"/>
          <w:shd w:val="clear"/>
        </w:rPr>
        <w:t>场所消防安全设置</w:t>
      </w:r>
      <w:r>
        <w:rPr>
          <w:rFonts w:hint="eastAsia" w:ascii="仿宋_GB2312" w:hAnsi="仿宋_GB2312" w:eastAsia="仿宋_GB2312" w:cs="仿宋_GB2312"/>
          <w:b w:val="0"/>
          <w:bCs w:val="0"/>
          <w:i w:val="0"/>
          <w:iCs w:val="0"/>
          <w:caps w:val="0"/>
          <w:spacing w:val="0"/>
          <w:sz w:val="32"/>
          <w:szCs w:val="32"/>
          <w:highlight w:val="none"/>
          <w:shd w:val="clear"/>
          <w:lang w:eastAsia="zh-CN"/>
        </w:rPr>
        <w:t>情况。</w:t>
      </w:r>
      <w:r>
        <w:rPr>
          <w:rFonts w:hint="eastAsia" w:ascii="仿宋_GB2312" w:hAnsi="仿宋_GB2312" w:eastAsia="仿宋_GB2312" w:cs="仿宋_GB2312"/>
          <w:i w:val="0"/>
          <w:iCs w:val="0"/>
          <w:caps w:val="0"/>
          <w:spacing w:val="0"/>
          <w:sz w:val="32"/>
          <w:szCs w:val="32"/>
          <w:highlight w:val="none"/>
          <w:shd w:val="clear"/>
        </w:rPr>
        <w:t>校外培训机构应当依法审批登记</w:t>
      </w:r>
      <w:r>
        <w:rPr>
          <w:rFonts w:hint="eastAsia" w:ascii="仿宋_GB2312" w:hAnsi="仿宋_GB2312" w:eastAsia="仿宋_GB2312" w:cs="仿宋_GB2312"/>
          <w:i w:val="0"/>
          <w:iCs w:val="0"/>
          <w:caps w:val="0"/>
          <w:spacing w:val="0"/>
          <w:sz w:val="32"/>
          <w:szCs w:val="32"/>
          <w:highlight w:val="none"/>
          <w:shd w:val="clear"/>
          <w:lang w:eastAsia="zh-CN"/>
        </w:rPr>
        <w:t>，</w:t>
      </w:r>
      <w:r>
        <w:rPr>
          <w:rFonts w:hint="eastAsia" w:ascii="仿宋_GB2312" w:hAnsi="仿宋_GB2312" w:eastAsia="仿宋_GB2312" w:cs="仿宋_GB2312"/>
          <w:i w:val="0"/>
          <w:iCs w:val="0"/>
          <w:caps w:val="0"/>
          <w:spacing w:val="0"/>
          <w:sz w:val="32"/>
          <w:szCs w:val="32"/>
          <w:highlight w:val="none"/>
          <w:shd w:val="clear"/>
        </w:rPr>
        <w:t>遵守国家消防法律法规，执行标准规范，设置在符合安全条件的固定场所。</w:t>
      </w:r>
    </w:p>
    <w:p>
      <w:pPr>
        <w:widowControl w:val="0"/>
        <w:numPr>
          <w:ilvl w:val="0"/>
          <w:numId w:val="0"/>
        </w:numPr>
        <w:spacing w:line="560" w:lineRule="exact"/>
        <w:ind w:firstLine="640" w:firstLineChars="200"/>
        <w:outlineLvl w:val="9"/>
        <w:rPr>
          <w:rFonts w:hint="eastAsia" w:ascii="仿宋_GB2312" w:hAnsi="仿宋_GB2312" w:eastAsia="仿宋_GB2312" w:cs="仿宋_GB2312"/>
          <w:i w:val="0"/>
          <w:iCs w:val="0"/>
          <w:caps w:val="0"/>
          <w:spacing w:val="0"/>
          <w:sz w:val="32"/>
          <w:szCs w:val="32"/>
          <w:highlight w:val="none"/>
        </w:rPr>
      </w:pPr>
      <w:r>
        <w:rPr>
          <w:rFonts w:hint="eastAsia" w:ascii="仿宋_GB2312" w:hAnsi="仿宋_GB2312" w:eastAsia="仿宋_GB2312" w:cs="仿宋_GB2312"/>
          <w:b w:val="0"/>
          <w:bCs w:val="0"/>
          <w:i w:val="0"/>
          <w:iCs w:val="0"/>
          <w:caps w:val="0"/>
          <w:spacing w:val="0"/>
          <w:sz w:val="32"/>
          <w:szCs w:val="32"/>
          <w:highlight w:val="none"/>
          <w:shd w:val="clear"/>
          <w:lang w:eastAsia="zh-CN"/>
        </w:rPr>
        <w:t>（</w:t>
      </w:r>
      <w:r>
        <w:rPr>
          <w:rFonts w:hint="eastAsia" w:ascii="仿宋_GB2312" w:hAnsi="仿宋_GB2312" w:eastAsia="仿宋_GB2312" w:cs="仿宋_GB2312"/>
          <w:b w:val="0"/>
          <w:bCs w:val="0"/>
          <w:i w:val="0"/>
          <w:iCs w:val="0"/>
          <w:caps w:val="0"/>
          <w:spacing w:val="0"/>
          <w:sz w:val="32"/>
          <w:szCs w:val="32"/>
          <w:highlight w:val="none"/>
          <w:shd w:val="clear"/>
          <w:lang w:val="en-US" w:eastAsia="zh-CN"/>
        </w:rPr>
        <w:t>3</w:t>
      </w:r>
      <w:r>
        <w:rPr>
          <w:rFonts w:hint="eastAsia" w:ascii="仿宋_GB2312" w:hAnsi="仿宋_GB2312" w:eastAsia="仿宋_GB2312" w:cs="仿宋_GB2312"/>
          <w:b w:val="0"/>
          <w:bCs w:val="0"/>
          <w:i w:val="0"/>
          <w:iCs w:val="0"/>
          <w:caps w:val="0"/>
          <w:spacing w:val="0"/>
          <w:sz w:val="32"/>
          <w:szCs w:val="32"/>
          <w:highlight w:val="none"/>
          <w:shd w:val="clear"/>
          <w:lang w:eastAsia="zh-CN"/>
        </w:rPr>
        <w:t>）</w:t>
      </w:r>
      <w:r>
        <w:rPr>
          <w:rFonts w:hint="eastAsia" w:ascii="仿宋_GB2312" w:hAnsi="仿宋_GB2312" w:eastAsia="仿宋_GB2312" w:cs="仿宋_GB2312"/>
          <w:b w:val="0"/>
          <w:bCs w:val="0"/>
          <w:i w:val="0"/>
          <w:iCs w:val="0"/>
          <w:caps w:val="0"/>
          <w:spacing w:val="0"/>
          <w:sz w:val="32"/>
          <w:szCs w:val="32"/>
          <w:highlight w:val="none"/>
          <w:shd w:val="clear"/>
        </w:rPr>
        <w:t>火灾危险源</w:t>
      </w:r>
      <w:r>
        <w:rPr>
          <w:rFonts w:hint="eastAsia" w:ascii="仿宋_GB2312" w:hAnsi="仿宋_GB2312" w:eastAsia="仿宋_GB2312" w:cs="仿宋_GB2312"/>
          <w:b w:val="0"/>
          <w:bCs w:val="0"/>
          <w:i w:val="0"/>
          <w:iCs w:val="0"/>
          <w:caps w:val="0"/>
          <w:spacing w:val="0"/>
          <w:sz w:val="32"/>
          <w:szCs w:val="32"/>
          <w:highlight w:val="none"/>
          <w:shd w:val="clear"/>
          <w:lang w:eastAsia="zh-CN"/>
        </w:rPr>
        <w:t>的</w:t>
      </w:r>
      <w:r>
        <w:rPr>
          <w:rFonts w:hint="eastAsia" w:ascii="仿宋_GB2312" w:hAnsi="仿宋_GB2312" w:eastAsia="仿宋_GB2312" w:cs="仿宋_GB2312"/>
          <w:b w:val="0"/>
          <w:bCs w:val="0"/>
          <w:i w:val="0"/>
          <w:iCs w:val="0"/>
          <w:caps w:val="0"/>
          <w:spacing w:val="0"/>
          <w:sz w:val="32"/>
          <w:szCs w:val="32"/>
          <w:highlight w:val="none"/>
          <w:shd w:val="clear"/>
        </w:rPr>
        <w:t>管理</w:t>
      </w:r>
      <w:r>
        <w:rPr>
          <w:rFonts w:hint="eastAsia" w:ascii="仿宋_GB2312" w:hAnsi="仿宋_GB2312" w:eastAsia="仿宋_GB2312" w:cs="仿宋_GB2312"/>
          <w:b w:val="0"/>
          <w:bCs w:val="0"/>
          <w:i w:val="0"/>
          <w:iCs w:val="0"/>
          <w:caps w:val="0"/>
          <w:spacing w:val="0"/>
          <w:sz w:val="32"/>
          <w:szCs w:val="32"/>
          <w:highlight w:val="none"/>
          <w:shd w:val="clear"/>
          <w:lang w:eastAsia="zh-CN"/>
        </w:rPr>
        <w:t>。</w:t>
      </w:r>
      <w:r>
        <w:rPr>
          <w:rFonts w:hint="eastAsia" w:ascii="仿宋_GB2312" w:hAnsi="仿宋_GB2312" w:eastAsia="仿宋_GB2312" w:cs="仿宋_GB2312"/>
          <w:i w:val="0"/>
          <w:iCs w:val="0"/>
          <w:caps w:val="0"/>
          <w:spacing w:val="0"/>
          <w:sz w:val="32"/>
          <w:szCs w:val="32"/>
          <w:highlight w:val="none"/>
          <w:shd w:val="clear"/>
        </w:rPr>
        <w:t>使用合格且符合国家标准的电气设备。电气线路应穿管保护，并敷设在难燃或不燃材料上。燃气使用</w:t>
      </w:r>
      <w:r>
        <w:rPr>
          <w:rFonts w:hint="eastAsia" w:ascii="仿宋_GB2312" w:hAnsi="仿宋_GB2312" w:eastAsia="仿宋_GB2312" w:cs="仿宋_GB2312"/>
          <w:i w:val="0"/>
          <w:iCs w:val="0"/>
          <w:caps w:val="0"/>
          <w:spacing w:val="0"/>
          <w:sz w:val="32"/>
          <w:szCs w:val="32"/>
          <w:highlight w:val="none"/>
          <w:shd w:val="clear"/>
          <w:lang w:eastAsia="zh-CN"/>
        </w:rPr>
        <w:t>符合</w:t>
      </w:r>
      <w:r>
        <w:rPr>
          <w:rFonts w:hint="eastAsia" w:ascii="仿宋_GB2312" w:hAnsi="仿宋_GB2312" w:eastAsia="仿宋_GB2312" w:cs="仿宋_GB2312"/>
          <w:i w:val="0"/>
          <w:iCs w:val="0"/>
          <w:caps w:val="0"/>
          <w:spacing w:val="0"/>
          <w:sz w:val="32"/>
          <w:szCs w:val="32"/>
          <w:highlight w:val="none"/>
          <w:shd w:val="clear"/>
        </w:rPr>
        <w:t>规定，并安装燃气泄漏报警装置。培训时段内，不得动火动焊作业以及在建筑外部动火作业；其他时段动火动焊应当履行审批流程，并落实防护措施，安排专人监管看护。</w:t>
      </w:r>
    </w:p>
    <w:p>
      <w:pPr>
        <w:widowControl w:val="0"/>
        <w:numPr>
          <w:ilvl w:val="0"/>
          <w:numId w:val="0"/>
        </w:numPr>
        <w:spacing w:line="560" w:lineRule="exact"/>
        <w:ind w:firstLine="640" w:firstLineChars="200"/>
        <w:outlineLvl w:val="9"/>
        <w:rPr>
          <w:rFonts w:hint="eastAsia" w:ascii="仿宋_GB2312" w:hAnsi="仿宋_GB2312" w:eastAsia="仿宋_GB2312" w:cs="仿宋_GB2312"/>
          <w:i w:val="0"/>
          <w:iCs w:val="0"/>
          <w:caps w:val="0"/>
          <w:spacing w:val="0"/>
          <w:sz w:val="32"/>
          <w:szCs w:val="32"/>
          <w:highlight w:val="none"/>
        </w:rPr>
      </w:pPr>
      <w:r>
        <w:rPr>
          <w:rFonts w:hint="eastAsia" w:ascii="仿宋_GB2312" w:hAnsi="仿宋_GB2312" w:eastAsia="仿宋_GB2312" w:cs="仿宋_GB2312"/>
          <w:i w:val="0"/>
          <w:iCs w:val="0"/>
          <w:caps w:val="0"/>
          <w:spacing w:val="0"/>
          <w:sz w:val="32"/>
          <w:szCs w:val="32"/>
          <w:highlight w:val="none"/>
          <w:shd w:val="clear"/>
          <w:lang w:eastAsia="zh-CN"/>
        </w:rPr>
        <w:t>（</w:t>
      </w:r>
      <w:r>
        <w:rPr>
          <w:rFonts w:hint="eastAsia" w:ascii="仿宋_GB2312" w:hAnsi="仿宋_GB2312" w:eastAsia="仿宋_GB2312" w:cs="仿宋_GB2312"/>
          <w:i w:val="0"/>
          <w:iCs w:val="0"/>
          <w:caps w:val="0"/>
          <w:spacing w:val="0"/>
          <w:sz w:val="32"/>
          <w:szCs w:val="32"/>
          <w:highlight w:val="none"/>
          <w:shd w:val="clear"/>
          <w:lang w:val="en-US" w:eastAsia="zh-CN"/>
        </w:rPr>
        <w:t>4</w:t>
      </w:r>
      <w:r>
        <w:rPr>
          <w:rFonts w:hint="eastAsia" w:ascii="仿宋_GB2312" w:hAnsi="仿宋_GB2312" w:eastAsia="仿宋_GB2312" w:cs="仿宋_GB2312"/>
          <w:i w:val="0"/>
          <w:iCs w:val="0"/>
          <w:caps w:val="0"/>
          <w:spacing w:val="0"/>
          <w:sz w:val="32"/>
          <w:szCs w:val="32"/>
          <w:highlight w:val="none"/>
          <w:shd w:val="clear"/>
          <w:lang w:eastAsia="zh-CN"/>
        </w:rPr>
        <w:t>）</w:t>
      </w:r>
      <w:r>
        <w:rPr>
          <w:rFonts w:hint="eastAsia" w:ascii="仿宋_GB2312" w:hAnsi="仿宋_GB2312" w:eastAsia="仿宋_GB2312" w:cs="仿宋_GB2312"/>
          <w:b w:val="0"/>
          <w:bCs w:val="0"/>
          <w:i w:val="0"/>
          <w:iCs w:val="0"/>
          <w:caps w:val="0"/>
          <w:spacing w:val="0"/>
          <w:sz w:val="32"/>
          <w:szCs w:val="32"/>
          <w:highlight w:val="none"/>
          <w:shd w:val="clear"/>
        </w:rPr>
        <w:t>消防安全疏散条件</w:t>
      </w:r>
      <w:r>
        <w:rPr>
          <w:rFonts w:hint="eastAsia" w:ascii="仿宋_GB2312" w:hAnsi="仿宋_GB2312" w:eastAsia="仿宋_GB2312" w:cs="仿宋_GB2312"/>
          <w:b w:val="0"/>
          <w:bCs w:val="0"/>
          <w:i w:val="0"/>
          <w:iCs w:val="0"/>
          <w:caps w:val="0"/>
          <w:spacing w:val="0"/>
          <w:sz w:val="32"/>
          <w:szCs w:val="32"/>
          <w:highlight w:val="none"/>
          <w:shd w:val="clear"/>
          <w:lang w:eastAsia="zh-CN"/>
        </w:rPr>
        <w:t>。</w:t>
      </w:r>
      <w:r>
        <w:rPr>
          <w:rFonts w:hint="eastAsia" w:ascii="仿宋_GB2312" w:hAnsi="仿宋_GB2312" w:eastAsia="仿宋_GB2312" w:cs="仿宋_GB2312"/>
          <w:i w:val="0"/>
          <w:iCs w:val="0"/>
          <w:caps w:val="0"/>
          <w:spacing w:val="0"/>
          <w:sz w:val="32"/>
          <w:szCs w:val="32"/>
          <w:highlight w:val="none"/>
          <w:shd w:val="clear"/>
        </w:rPr>
        <w:t>安全疏散门应当向疏散方向开启，不得使用转门、卷帘门、推拉门、折叠门和设置金属栅栏。安全出口、楼梯间、疏散走道应当设置疏散照明灯具</w:t>
      </w:r>
      <w:r>
        <w:rPr>
          <w:rFonts w:hint="eastAsia" w:ascii="仿宋_GB2312" w:hAnsi="仿宋_GB2312" w:eastAsia="仿宋_GB2312" w:cs="仿宋_GB2312"/>
          <w:i w:val="0"/>
          <w:iCs w:val="0"/>
          <w:caps w:val="0"/>
          <w:spacing w:val="0"/>
          <w:sz w:val="32"/>
          <w:szCs w:val="32"/>
          <w:highlight w:val="none"/>
          <w:shd w:val="clear"/>
          <w:lang w:eastAsia="zh-CN"/>
        </w:rPr>
        <w:t>并保持畅通</w:t>
      </w:r>
      <w:r>
        <w:rPr>
          <w:rFonts w:hint="eastAsia" w:ascii="仿宋_GB2312" w:hAnsi="仿宋_GB2312" w:eastAsia="仿宋_GB2312" w:cs="仿宋_GB2312"/>
          <w:i w:val="0"/>
          <w:iCs w:val="0"/>
          <w:caps w:val="0"/>
          <w:spacing w:val="0"/>
          <w:sz w:val="32"/>
          <w:szCs w:val="32"/>
          <w:highlight w:val="none"/>
          <w:shd w:val="clear"/>
        </w:rPr>
        <w:t>。培训室、集体宿舍</w:t>
      </w:r>
      <w:r>
        <w:rPr>
          <w:rFonts w:hint="eastAsia" w:ascii="仿宋_GB2312" w:hAnsi="仿宋_GB2312" w:eastAsia="仿宋_GB2312" w:cs="仿宋_GB2312"/>
          <w:i w:val="0"/>
          <w:iCs w:val="0"/>
          <w:caps w:val="0"/>
          <w:spacing w:val="0"/>
          <w:sz w:val="32"/>
          <w:szCs w:val="32"/>
          <w:highlight w:val="none"/>
          <w:shd w:val="clear"/>
          <w:lang w:eastAsia="zh-CN"/>
        </w:rPr>
        <w:t>按要求配备应急物资</w:t>
      </w:r>
      <w:r>
        <w:rPr>
          <w:rFonts w:hint="eastAsia" w:ascii="仿宋_GB2312" w:hAnsi="仿宋_GB2312" w:eastAsia="仿宋_GB2312" w:cs="仿宋_GB2312"/>
          <w:i w:val="0"/>
          <w:iCs w:val="0"/>
          <w:caps w:val="0"/>
          <w:spacing w:val="0"/>
          <w:sz w:val="32"/>
          <w:szCs w:val="32"/>
          <w:highlight w:val="none"/>
          <w:shd w:val="clear"/>
        </w:rPr>
        <w:t>。</w:t>
      </w:r>
    </w:p>
    <w:p>
      <w:pPr>
        <w:widowControl w:val="0"/>
        <w:numPr>
          <w:ilvl w:val="0"/>
          <w:numId w:val="0"/>
        </w:numPr>
        <w:spacing w:line="560" w:lineRule="exact"/>
        <w:ind w:firstLine="640" w:firstLineChars="200"/>
        <w:outlineLvl w:val="9"/>
        <w:rPr>
          <w:rFonts w:hint="eastAsia" w:ascii="仿宋_GB2312" w:hAnsi="仿宋_GB2312" w:eastAsia="仿宋_GB2312" w:cs="仿宋_GB2312"/>
          <w:i w:val="0"/>
          <w:iCs w:val="0"/>
          <w:caps w:val="0"/>
          <w:spacing w:val="0"/>
          <w:sz w:val="32"/>
          <w:szCs w:val="32"/>
          <w:highlight w:val="none"/>
        </w:rPr>
      </w:pPr>
      <w:r>
        <w:rPr>
          <w:rFonts w:hint="eastAsia" w:ascii="仿宋_GB2312" w:hAnsi="仿宋_GB2312" w:eastAsia="仿宋_GB2312" w:cs="仿宋_GB2312"/>
          <w:i w:val="0"/>
          <w:iCs w:val="0"/>
          <w:caps w:val="0"/>
          <w:spacing w:val="0"/>
          <w:sz w:val="32"/>
          <w:szCs w:val="32"/>
          <w:highlight w:val="none"/>
          <w:shd w:val="clear"/>
          <w:lang w:eastAsia="zh-CN"/>
        </w:rPr>
        <w:t>（</w:t>
      </w:r>
      <w:r>
        <w:rPr>
          <w:rFonts w:hint="eastAsia" w:ascii="仿宋_GB2312" w:hAnsi="仿宋_GB2312" w:eastAsia="仿宋_GB2312" w:cs="仿宋_GB2312"/>
          <w:i w:val="0"/>
          <w:iCs w:val="0"/>
          <w:caps w:val="0"/>
          <w:spacing w:val="0"/>
          <w:sz w:val="32"/>
          <w:szCs w:val="32"/>
          <w:highlight w:val="none"/>
          <w:shd w:val="clear"/>
          <w:lang w:val="en-US" w:eastAsia="zh-CN"/>
        </w:rPr>
        <w:t>5</w:t>
      </w:r>
      <w:r>
        <w:rPr>
          <w:rFonts w:hint="eastAsia" w:ascii="仿宋_GB2312" w:hAnsi="仿宋_GB2312" w:eastAsia="仿宋_GB2312" w:cs="仿宋_GB2312"/>
          <w:i w:val="0"/>
          <w:iCs w:val="0"/>
          <w:caps w:val="0"/>
          <w:spacing w:val="0"/>
          <w:sz w:val="32"/>
          <w:szCs w:val="32"/>
          <w:highlight w:val="none"/>
          <w:shd w:val="clear"/>
          <w:lang w:eastAsia="zh-CN"/>
        </w:rPr>
        <w:t>）落实</w:t>
      </w:r>
      <w:r>
        <w:rPr>
          <w:rFonts w:hint="eastAsia" w:ascii="仿宋_GB2312" w:hAnsi="仿宋_GB2312" w:eastAsia="仿宋_GB2312" w:cs="仿宋_GB2312"/>
          <w:b w:val="0"/>
          <w:bCs w:val="0"/>
          <w:i w:val="0"/>
          <w:iCs w:val="0"/>
          <w:caps w:val="0"/>
          <w:spacing w:val="0"/>
          <w:sz w:val="32"/>
          <w:szCs w:val="32"/>
          <w:highlight w:val="none"/>
          <w:shd w:val="clear"/>
        </w:rPr>
        <w:t>日常防火检查巡查</w:t>
      </w:r>
      <w:r>
        <w:rPr>
          <w:rFonts w:hint="eastAsia" w:ascii="仿宋_GB2312" w:hAnsi="仿宋_GB2312" w:eastAsia="仿宋_GB2312" w:cs="仿宋_GB2312"/>
          <w:b w:val="0"/>
          <w:bCs w:val="0"/>
          <w:i w:val="0"/>
          <w:iCs w:val="0"/>
          <w:caps w:val="0"/>
          <w:spacing w:val="0"/>
          <w:sz w:val="32"/>
          <w:szCs w:val="32"/>
          <w:highlight w:val="none"/>
          <w:shd w:val="clear"/>
          <w:lang w:eastAsia="zh-CN"/>
        </w:rPr>
        <w:t>。</w:t>
      </w:r>
      <w:r>
        <w:rPr>
          <w:rFonts w:hint="eastAsia" w:ascii="仿宋_GB2312" w:hAnsi="仿宋_GB2312" w:eastAsia="仿宋_GB2312" w:cs="仿宋_GB2312"/>
          <w:i w:val="0"/>
          <w:iCs w:val="0"/>
          <w:caps w:val="0"/>
          <w:spacing w:val="0"/>
          <w:sz w:val="32"/>
          <w:szCs w:val="32"/>
          <w:highlight w:val="none"/>
          <w:lang w:eastAsia="zh-CN"/>
        </w:rPr>
        <w:t>定期开展</w:t>
      </w:r>
      <w:r>
        <w:rPr>
          <w:rFonts w:hint="eastAsia" w:ascii="仿宋_GB2312" w:hAnsi="仿宋_GB2312" w:eastAsia="仿宋_GB2312" w:cs="仿宋_GB2312"/>
          <w:i w:val="0"/>
          <w:iCs w:val="0"/>
          <w:caps w:val="0"/>
          <w:spacing w:val="0"/>
          <w:sz w:val="32"/>
          <w:szCs w:val="32"/>
          <w:highlight w:val="none"/>
          <w:shd w:val="clear"/>
        </w:rPr>
        <w:t>防火检查。培训期间，每2小时开展不少于1次的防火巡查。重点检查电气线路、燃气管道、安全出口、消防设施运行和维护保养情况以及电器使用管理等情况。</w:t>
      </w:r>
    </w:p>
    <w:p>
      <w:pPr>
        <w:widowControl w:val="0"/>
        <w:numPr>
          <w:ilvl w:val="0"/>
          <w:numId w:val="0"/>
        </w:numPr>
        <w:spacing w:line="560" w:lineRule="exact"/>
        <w:ind w:firstLine="640" w:firstLineChars="200"/>
        <w:outlineLvl w:val="9"/>
        <w:rPr>
          <w:rFonts w:hint="eastAsia" w:ascii="仿宋_GB2312" w:hAnsi="仿宋_GB2312" w:eastAsia="仿宋_GB2312" w:cs="仿宋_GB2312"/>
          <w:i w:val="0"/>
          <w:iCs w:val="0"/>
          <w:caps w:val="0"/>
          <w:spacing w:val="0"/>
          <w:sz w:val="32"/>
          <w:szCs w:val="32"/>
          <w:highlight w:val="none"/>
        </w:rPr>
      </w:pPr>
      <w:r>
        <w:rPr>
          <w:rFonts w:hint="eastAsia" w:ascii="仿宋_GB2312" w:hAnsi="仿宋_GB2312" w:eastAsia="仿宋_GB2312" w:cs="仿宋_GB2312"/>
          <w:b w:val="0"/>
          <w:bCs w:val="0"/>
          <w:i w:val="0"/>
          <w:iCs w:val="0"/>
          <w:caps w:val="0"/>
          <w:spacing w:val="0"/>
          <w:sz w:val="32"/>
          <w:szCs w:val="32"/>
          <w:highlight w:val="none"/>
          <w:shd w:val="clear"/>
          <w:lang w:eastAsia="zh-CN"/>
        </w:rPr>
        <w:t>（</w:t>
      </w:r>
      <w:r>
        <w:rPr>
          <w:rFonts w:hint="eastAsia" w:ascii="仿宋_GB2312" w:hAnsi="仿宋_GB2312" w:eastAsia="仿宋_GB2312" w:cs="仿宋_GB2312"/>
          <w:b w:val="0"/>
          <w:bCs w:val="0"/>
          <w:i w:val="0"/>
          <w:iCs w:val="0"/>
          <w:caps w:val="0"/>
          <w:spacing w:val="0"/>
          <w:sz w:val="32"/>
          <w:szCs w:val="32"/>
          <w:highlight w:val="none"/>
          <w:shd w:val="clear"/>
          <w:lang w:val="en-US" w:eastAsia="zh-CN"/>
        </w:rPr>
        <w:t>6</w:t>
      </w:r>
      <w:r>
        <w:rPr>
          <w:rFonts w:hint="eastAsia" w:ascii="仿宋_GB2312" w:hAnsi="仿宋_GB2312" w:eastAsia="仿宋_GB2312" w:cs="仿宋_GB2312"/>
          <w:b w:val="0"/>
          <w:bCs w:val="0"/>
          <w:i w:val="0"/>
          <w:iCs w:val="0"/>
          <w:caps w:val="0"/>
          <w:spacing w:val="0"/>
          <w:sz w:val="32"/>
          <w:szCs w:val="32"/>
          <w:highlight w:val="none"/>
          <w:shd w:val="clear"/>
          <w:lang w:eastAsia="zh-CN"/>
        </w:rPr>
        <w:t>）</w:t>
      </w:r>
      <w:r>
        <w:rPr>
          <w:rFonts w:hint="eastAsia" w:ascii="仿宋_GB2312" w:hAnsi="仿宋_GB2312" w:eastAsia="仿宋_GB2312" w:cs="仿宋_GB2312"/>
          <w:b w:val="0"/>
          <w:bCs w:val="0"/>
          <w:i w:val="0"/>
          <w:iCs w:val="0"/>
          <w:caps w:val="0"/>
          <w:spacing w:val="0"/>
          <w:sz w:val="32"/>
          <w:szCs w:val="32"/>
          <w:highlight w:val="none"/>
          <w:shd w:val="clear"/>
        </w:rPr>
        <w:t>培训期间值班值守</w:t>
      </w:r>
      <w:r>
        <w:rPr>
          <w:rFonts w:hint="eastAsia" w:ascii="仿宋_GB2312" w:hAnsi="仿宋_GB2312" w:eastAsia="仿宋_GB2312" w:cs="仿宋_GB2312"/>
          <w:b w:val="0"/>
          <w:bCs w:val="0"/>
          <w:i w:val="0"/>
          <w:iCs w:val="0"/>
          <w:caps w:val="0"/>
          <w:spacing w:val="0"/>
          <w:sz w:val="32"/>
          <w:szCs w:val="32"/>
          <w:highlight w:val="none"/>
          <w:shd w:val="clear"/>
          <w:lang w:eastAsia="zh-CN"/>
        </w:rPr>
        <w:t>。</w:t>
      </w:r>
      <w:r>
        <w:rPr>
          <w:rFonts w:hint="eastAsia" w:ascii="仿宋_GB2312" w:hAnsi="仿宋_GB2312" w:eastAsia="仿宋_GB2312" w:cs="仿宋_GB2312"/>
          <w:i w:val="0"/>
          <w:iCs w:val="0"/>
          <w:caps w:val="0"/>
          <w:spacing w:val="0"/>
          <w:sz w:val="32"/>
          <w:szCs w:val="32"/>
          <w:highlight w:val="none"/>
          <w:shd w:val="clear"/>
        </w:rPr>
        <w:t>设有消防控制室的，控制室值班人员应当持有消防行业特有工种职业资格证书，落实24小时专人值班。设有集体宿舍的，应当加强夜间巡查。有儿童参加培训的，现场至少明确1名工作人员全程在岗值守。</w:t>
      </w:r>
    </w:p>
    <w:p>
      <w:pPr>
        <w:widowControl w:val="0"/>
        <w:numPr>
          <w:ilvl w:val="0"/>
          <w:numId w:val="0"/>
        </w:numPr>
        <w:spacing w:line="560" w:lineRule="exact"/>
        <w:ind w:firstLine="640" w:firstLineChars="200"/>
        <w:outlineLvl w:val="9"/>
        <w:rPr>
          <w:rFonts w:hint="eastAsia" w:ascii="仿宋_GB2312" w:hAnsi="仿宋_GB2312" w:eastAsia="仿宋_GB2312" w:cs="仿宋_GB2312"/>
          <w:i w:val="0"/>
          <w:iCs w:val="0"/>
          <w:caps w:val="0"/>
          <w:spacing w:val="0"/>
          <w:sz w:val="32"/>
          <w:szCs w:val="32"/>
          <w:highlight w:val="none"/>
        </w:rPr>
      </w:pPr>
      <w:r>
        <w:rPr>
          <w:rFonts w:hint="eastAsia" w:ascii="仿宋_GB2312" w:hAnsi="仿宋_GB2312" w:eastAsia="仿宋_GB2312" w:cs="仿宋_GB2312"/>
          <w:b w:val="0"/>
          <w:bCs w:val="0"/>
          <w:i w:val="0"/>
          <w:iCs w:val="0"/>
          <w:caps w:val="0"/>
          <w:spacing w:val="0"/>
          <w:sz w:val="32"/>
          <w:szCs w:val="32"/>
          <w:highlight w:val="none"/>
          <w:shd w:val="clear"/>
          <w:lang w:eastAsia="zh-CN"/>
        </w:rPr>
        <w:t>（</w:t>
      </w:r>
      <w:r>
        <w:rPr>
          <w:rFonts w:hint="eastAsia" w:ascii="仿宋_GB2312" w:hAnsi="仿宋_GB2312" w:eastAsia="仿宋_GB2312" w:cs="仿宋_GB2312"/>
          <w:b w:val="0"/>
          <w:bCs w:val="0"/>
          <w:i w:val="0"/>
          <w:iCs w:val="0"/>
          <w:caps w:val="0"/>
          <w:spacing w:val="0"/>
          <w:sz w:val="32"/>
          <w:szCs w:val="32"/>
          <w:highlight w:val="none"/>
          <w:shd w:val="clear"/>
          <w:lang w:val="en-US" w:eastAsia="zh-CN"/>
        </w:rPr>
        <w:t>7</w:t>
      </w:r>
      <w:r>
        <w:rPr>
          <w:rFonts w:hint="eastAsia" w:ascii="仿宋_GB2312" w:hAnsi="仿宋_GB2312" w:eastAsia="仿宋_GB2312" w:cs="仿宋_GB2312"/>
          <w:b w:val="0"/>
          <w:bCs w:val="0"/>
          <w:i w:val="0"/>
          <w:iCs w:val="0"/>
          <w:caps w:val="0"/>
          <w:spacing w:val="0"/>
          <w:sz w:val="32"/>
          <w:szCs w:val="32"/>
          <w:highlight w:val="none"/>
          <w:shd w:val="clear"/>
          <w:lang w:eastAsia="zh-CN"/>
        </w:rPr>
        <w:t>）</w:t>
      </w:r>
      <w:r>
        <w:rPr>
          <w:rFonts w:hint="eastAsia" w:ascii="仿宋_GB2312" w:hAnsi="仿宋_GB2312" w:eastAsia="仿宋_GB2312" w:cs="仿宋_GB2312"/>
          <w:b w:val="0"/>
          <w:bCs w:val="0"/>
          <w:i w:val="0"/>
          <w:iCs w:val="0"/>
          <w:caps w:val="0"/>
          <w:spacing w:val="0"/>
          <w:sz w:val="32"/>
          <w:szCs w:val="32"/>
          <w:highlight w:val="none"/>
          <w:shd w:val="clear"/>
        </w:rPr>
        <w:t>消防设施器材管理</w:t>
      </w:r>
      <w:r>
        <w:rPr>
          <w:rFonts w:hint="eastAsia" w:ascii="仿宋_GB2312" w:hAnsi="仿宋_GB2312" w:eastAsia="仿宋_GB2312" w:cs="仿宋_GB2312"/>
          <w:b w:val="0"/>
          <w:bCs w:val="0"/>
          <w:i w:val="0"/>
          <w:iCs w:val="0"/>
          <w:caps w:val="0"/>
          <w:spacing w:val="0"/>
          <w:sz w:val="32"/>
          <w:szCs w:val="32"/>
          <w:highlight w:val="none"/>
          <w:shd w:val="clear"/>
          <w:lang w:eastAsia="zh-CN"/>
        </w:rPr>
        <w:t>。</w:t>
      </w:r>
      <w:r>
        <w:rPr>
          <w:rFonts w:hint="eastAsia" w:ascii="仿宋_GB2312" w:hAnsi="仿宋_GB2312" w:eastAsia="仿宋_GB2312" w:cs="仿宋_GB2312"/>
          <w:i w:val="0"/>
          <w:iCs w:val="0"/>
          <w:caps w:val="0"/>
          <w:spacing w:val="0"/>
          <w:sz w:val="32"/>
          <w:szCs w:val="32"/>
          <w:highlight w:val="none"/>
          <w:shd w:val="clear"/>
        </w:rPr>
        <w:t>严格</w:t>
      </w:r>
      <w:r>
        <w:rPr>
          <w:rFonts w:hint="eastAsia" w:ascii="仿宋_GB2312" w:hAnsi="仿宋_GB2312" w:eastAsia="仿宋_GB2312" w:cs="仿宋_GB2312"/>
          <w:i w:val="0"/>
          <w:iCs w:val="0"/>
          <w:caps w:val="0"/>
          <w:spacing w:val="0"/>
          <w:sz w:val="32"/>
          <w:szCs w:val="32"/>
          <w:highlight w:val="none"/>
          <w:shd w:val="clear"/>
          <w:lang w:eastAsia="zh-CN"/>
        </w:rPr>
        <w:t>按</w:t>
      </w:r>
      <w:r>
        <w:rPr>
          <w:rFonts w:hint="eastAsia" w:ascii="仿宋_GB2312" w:hAnsi="仿宋_GB2312" w:eastAsia="仿宋_GB2312" w:cs="仿宋_GB2312"/>
          <w:i w:val="0"/>
          <w:iCs w:val="0"/>
          <w:caps w:val="0"/>
          <w:spacing w:val="0"/>
          <w:sz w:val="32"/>
          <w:szCs w:val="32"/>
          <w:highlight w:val="none"/>
          <w:shd w:val="clear"/>
        </w:rPr>
        <w:t>标准配置灭火器等消防设施器材，场所内未设置自动消防设施的，应当设置具有集中平台或移动终端报警功能的独立式感烟火灾探测报警器，建筑消防设施、器材应当定期维护保养，确保完好有效。</w:t>
      </w:r>
    </w:p>
    <w:p>
      <w:pPr>
        <w:widowControl w:val="0"/>
        <w:numPr>
          <w:ilvl w:val="0"/>
          <w:numId w:val="0"/>
        </w:numPr>
        <w:spacing w:line="560" w:lineRule="exact"/>
        <w:ind w:firstLine="640" w:firstLineChars="200"/>
        <w:outlineLvl w:val="9"/>
        <w:rPr>
          <w:rFonts w:hint="eastAsia" w:ascii="仿宋_GB2312" w:hAnsi="仿宋_GB2312" w:eastAsia="仿宋_GB2312" w:cs="仿宋_GB2312"/>
          <w:i w:val="0"/>
          <w:iCs w:val="0"/>
          <w:caps w:val="0"/>
          <w:spacing w:val="0"/>
          <w:sz w:val="32"/>
          <w:szCs w:val="32"/>
          <w:highlight w:val="none"/>
        </w:rPr>
      </w:pPr>
      <w:r>
        <w:rPr>
          <w:rFonts w:hint="eastAsia" w:ascii="仿宋_GB2312" w:hAnsi="仿宋_GB2312" w:eastAsia="仿宋_GB2312" w:cs="仿宋_GB2312"/>
          <w:b w:val="0"/>
          <w:bCs w:val="0"/>
          <w:i w:val="0"/>
          <w:iCs w:val="0"/>
          <w:caps w:val="0"/>
          <w:spacing w:val="0"/>
          <w:sz w:val="32"/>
          <w:szCs w:val="32"/>
          <w:highlight w:val="none"/>
          <w:shd w:val="clear"/>
          <w:lang w:eastAsia="zh-CN"/>
        </w:rPr>
        <w:t>（</w:t>
      </w:r>
      <w:r>
        <w:rPr>
          <w:rFonts w:hint="eastAsia" w:ascii="仿宋_GB2312" w:hAnsi="仿宋_GB2312" w:eastAsia="仿宋_GB2312" w:cs="仿宋_GB2312"/>
          <w:b w:val="0"/>
          <w:bCs w:val="0"/>
          <w:i w:val="0"/>
          <w:iCs w:val="0"/>
          <w:caps w:val="0"/>
          <w:spacing w:val="0"/>
          <w:sz w:val="32"/>
          <w:szCs w:val="32"/>
          <w:highlight w:val="none"/>
          <w:shd w:val="clear"/>
          <w:lang w:val="en-US" w:eastAsia="zh-CN"/>
        </w:rPr>
        <w:t>8</w:t>
      </w:r>
      <w:r>
        <w:rPr>
          <w:rFonts w:hint="eastAsia" w:ascii="仿宋_GB2312" w:hAnsi="仿宋_GB2312" w:eastAsia="仿宋_GB2312" w:cs="仿宋_GB2312"/>
          <w:b w:val="0"/>
          <w:bCs w:val="0"/>
          <w:i w:val="0"/>
          <w:iCs w:val="0"/>
          <w:caps w:val="0"/>
          <w:spacing w:val="0"/>
          <w:sz w:val="32"/>
          <w:szCs w:val="32"/>
          <w:highlight w:val="none"/>
          <w:shd w:val="clear"/>
          <w:lang w:eastAsia="zh-CN"/>
        </w:rPr>
        <w:t>）</w:t>
      </w:r>
      <w:r>
        <w:rPr>
          <w:rFonts w:hint="eastAsia" w:ascii="仿宋_GB2312" w:hAnsi="仿宋_GB2312" w:eastAsia="仿宋_GB2312" w:cs="仿宋_GB2312"/>
          <w:b w:val="0"/>
          <w:bCs w:val="0"/>
          <w:i w:val="0"/>
          <w:iCs w:val="0"/>
          <w:caps w:val="0"/>
          <w:spacing w:val="0"/>
          <w:sz w:val="32"/>
          <w:szCs w:val="32"/>
          <w:highlight w:val="none"/>
          <w:shd w:val="clear"/>
        </w:rPr>
        <w:t>宣传教育培训演练</w:t>
      </w:r>
      <w:r>
        <w:rPr>
          <w:rFonts w:hint="eastAsia" w:ascii="仿宋_GB2312" w:hAnsi="仿宋_GB2312" w:eastAsia="仿宋_GB2312" w:cs="仿宋_GB2312"/>
          <w:b w:val="0"/>
          <w:bCs w:val="0"/>
          <w:i w:val="0"/>
          <w:iCs w:val="0"/>
          <w:caps w:val="0"/>
          <w:spacing w:val="0"/>
          <w:sz w:val="32"/>
          <w:szCs w:val="32"/>
          <w:highlight w:val="none"/>
          <w:shd w:val="clear"/>
          <w:lang w:eastAsia="zh-CN"/>
        </w:rPr>
        <w:t>。</w:t>
      </w:r>
      <w:r>
        <w:rPr>
          <w:rFonts w:hint="eastAsia" w:ascii="仿宋_GB2312" w:hAnsi="仿宋_GB2312" w:eastAsia="仿宋_GB2312" w:cs="仿宋_GB2312"/>
          <w:i w:val="0"/>
          <w:iCs w:val="0"/>
          <w:caps w:val="0"/>
          <w:spacing w:val="0"/>
          <w:sz w:val="32"/>
          <w:szCs w:val="32"/>
          <w:highlight w:val="none"/>
          <w:shd w:val="clear"/>
        </w:rPr>
        <w:t>制定灭火和应急疏散预案，明确各岗位职责</w:t>
      </w:r>
      <w:r>
        <w:rPr>
          <w:rFonts w:hint="eastAsia" w:ascii="仿宋_GB2312" w:hAnsi="仿宋_GB2312" w:eastAsia="仿宋_GB2312" w:cs="仿宋_GB2312"/>
          <w:i w:val="0"/>
          <w:iCs w:val="0"/>
          <w:caps w:val="0"/>
          <w:spacing w:val="0"/>
          <w:sz w:val="32"/>
          <w:szCs w:val="32"/>
          <w:highlight w:val="none"/>
          <w:shd w:val="clear"/>
          <w:lang w:eastAsia="zh-CN"/>
        </w:rPr>
        <w:t>，定期开展</w:t>
      </w:r>
      <w:r>
        <w:rPr>
          <w:rFonts w:hint="eastAsia" w:ascii="仿宋_GB2312" w:hAnsi="仿宋_GB2312" w:eastAsia="仿宋_GB2312" w:cs="仿宋_GB2312"/>
          <w:i w:val="0"/>
          <w:iCs w:val="0"/>
          <w:caps w:val="0"/>
          <w:spacing w:val="0"/>
          <w:sz w:val="32"/>
          <w:szCs w:val="32"/>
          <w:highlight w:val="none"/>
          <w:shd w:val="clear"/>
        </w:rPr>
        <w:t>消防安全培训和应急疏散演练。</w:t>
      </w:r>
    </w:p>
    <w:p>
      <w:pPr>
        <w:widowControl w:val="0"/>
        <w:numPr>
          <w:ilvl w:val="0"/>
          <w:numId w:val="0"/>
        </w:numPr>
        <w:spacing w:line="560" w:lineRule="exact"/>
        <w:ind w:firstLine="640" w:firstLineChars="200"/>
        <w:outlineLvl w:val="9"/>
        <w:rPr>
          <w:rFonts w:hint="eastAsia" w:ascii="仿宋_GB2312" w:hAnsi="仿宋_GB2312" w:eastAsia="仿宋_GB2312" w:cs="仿宋_GB2312"/>
          <w:i w:val="0"/>
          <w:iCs w:val="0"/>
          <w:caps w:val="0"/>
          <w:spacing w:val="0"/>
          <w:sz w:val="32"/>
          <w:szCs w:val="32"/>
          <w:highlight w:val="none"/>
        </w:rPr>
      </w:pPr>
      <w:r>
        <w:rPr>
          <w:rFonts w:hint="eastAsia" w:ascii="仿宋_GB2312" w:hAnsi="仿宋_GB2312" w:eastAsia="仿宋_GB2312" w:cs="仿宋_GB2312"/>
          <w:b w:val="0"/>
          <w:bCs w:val="0"/>
          <w:i w:val="0"/>
          <w:iCs w:val="0"/>
          <w:caps w:val="0"/>
          <w:spacing w:val="0"/>
          <w:sz w:val="32"/>
          <w:szCs w:val="32"/>
          <w:highlight w:val="none"/>
          <w:shd w:val="clear"/>
          <w:lang w:eastAsia="zh-CN"/>
        </w:rPr>
        <w:t>（</w:t>
      </w:r>
      <w:r>
        <w:rPr>
          <w:rFonts w:hint="eastAsia" w:ascii="仿宋_GB2312" w:hAnsi="仿宋_GB2312" w:eastAsia="仿宋_GB2312" w:cs="仿宋_GB2312"/>
          <w:b w:val="0"/>
          <w:bCs w:val="0"/>
          <w:i w:val="0"/>
          <w:iCs w:val="0"/>
          <w:caps w:val="0"/>
          <w:spacing w:val="0"/>
          <w:sz w:val="32"/>
          <w:szCs w:val="32"/>
          <w:highlight w:val="none"/>
          <w:shd w:val="clear"/>
          <w:lang w:val="en-US" w:eastAsia="zh-CN"/>
        </w:rPr>
        <w:t>9</w:t>
      </w:r>
      <w:r>
        <w:rPr>
          <w:rFonts w:hint="eastAsia" w:ascii="仿宋_GB2312" w:hAnsi="仿宋_GB2312" w:eastAsia="仿宋_GB2312" w:cs="仿宋_GB2312"/>
          <w:b w:val="0"/>
          <w:bCs w:val="0"/>
          <w:i w:val="0"/>
          <w:iCs w:val="0"/>
          <w:caps w:val="0"/>
          <w:spacing w:val="0"/>
          <w:sz w:val="32"/>
          <w:szCs w:val="32"/>
          <w:highlight w:val="none"/>
          <w:shd w:val="clear"/>
          <w:lang w:eastAsia="zh-CN"/>
        </w:rPr>
        <w:t>）法律法规明令禁止的情形。</w:t>
      </w:r>
    </w:p>
    <w:p>
      <w:pPr>
        <w:widowControl w:val="0"/>
        <w:numPr>
          <w:ilvl w:val="0"/>
          <w:numId w:val="0"/>
        </w:numPr>
        <w:spacing w:line="560" w:lineRule="exact"/>
        <w:ind w:firstLine="640" w:firstLineChars="200"/>
        <w:outlineLvl w:val="9"/>
        <w:rPr>
          <w:rFonts w:hint="eastAsia" w:ascii="仿宋_GB2312" w:hAnsi="仿宋_GB2312" w:eastAsia="仿宋_GB2312" w:cs="仿宋_GB2312"/>
          <w:i w:val="0"/>
          <w:iCs w:val="0"/>
          <w:caps w:val="0"/>
          <w:spacing w:val="0"/>
          <w:sz w:val="32"/>
          <w:szCs w:val="32"/>
          <w:highlight w:val="none"/>
        </w:rPr>
      </w:pPr>
      <w:r>
        <w:rPr>
          <w:rFonts w:hint="eastAsia" w:ascii="仿宋_GB2312" w:hAnsi="仿宋_GB2312" w:eastAsia="仿宋_GB2312" w:cs="仿宋_GB2312"/>
          <w:i w:val="0"/>
          <w:iCs w:val="0"/>
          <w:caps w:val="0"/>
          <w:spacing w:val="0"/>
          <w:sz w:val="32"/>
          <w:szCs w:val="32"/>
          <w:highlight w:val="none"/>
          <w:shd w:val="clear"/>
        </w:rPr>
        <w:t>①</w:t>
      </w:r>
      <w:r>
        <w:rPr>
          <w:rFonts w:hint="eastAsia" w:ascii="仿宋_GB2312" w:hAnsi="仿宋_GB2312" w:eastAsia="仿宋_GB2312" w:cs="仿宋_GB2312"/>
          <w:i w:val="0"/>
          <w:iCs w:val="0"/>
          <w:caps w:val="0"/>
          <w:spacing w:val="0"/>
          <w:sz w:val="32"/>
          <w:szCs w:val="32"/>
          <w:highlight w:val="none"/>
          <w:shd w:val="clear"/>
          <w:lang w:val="en-US" w:eastAsia="zh-CN"/>
        </w:rPr>
        <w:t xml:space="preserve"> </w:t>
      </w:r>
      <w:r>
        <w:rPr>
          <w:rFonts w:hint="eastAsia" w:ascii="仿宋_GB2312" w:hAnsi="仿宋_GB2312" w:eastAsia="仿宋_GB2312" w:cs="仿宋_GB2312"/>
          <w:i w:val="0"/>
          <w:iCs w:val="0"/>
          <w:caps w:val="0"/>
          <w:spacing w:val="0"/>
          <w:sz w:val="32"/>
          <w:szCs w:val="32"/>
          <w:highlight w:val="none"/>
          <w:shd w:val="clear"/>
        </w:rPr>
        <w:t>严禁使用彩钢板建筑，以及在投入使用后擅自搭建、改建、扩建。</w:t>
      </w:r>
    </w:p>
    <w:p>
      <w:pPr>
        <w:widowControl w:val="0"/>
        <w:numPr>
          <w:ilvl w:val="0"/>
          <w:numId w:val="0"/>
        </w:numPr>
        <w:spacing w:line="560" w:lineRule="exact"/>
        <w:ind w:firstLine="640" w:firstLineChars="200"/>
        <w:outlineLvl w:val="9"/>
        <w:rPr>
          <w:rFonts w:hint="eastAsia" w:ascii="仿宋_GB2312" w:hAnsi="仿宋_GB2312" w:eastAsia="仿宋_GB2312" w:cs="仿宋_GB2312"/>
          <w:i w:val="0"/>
          <w:iCs w:val="0"/>
          <w:caps w:val="0"/>
          <w:spacing w:val="0"/>
          <w:sz w:val="32"/>
          <w:szCs w:val="32"/>
          <w:highlight w:val="none"/>
        </w:rPr>
      </w:pPr>
      <w:r>
        <w:rPr>
          <w:rFonts w:hint="eastAsia" w:ascii="仿宋_GB2312" w:hAnsi="仿宋_GB2312" w:eastAsia="仿宋_GB2312" w:cs="仿宋_GB2312"/>
          <w:i w:val="0"/>
          <w:iCs w:val="0"/>
          <w:caps w:val="0"/>
          <w:spacing w:val="0"/>
          <w:sz w:val="32"/>
          <w:szCs w:val="32"/>
          <w:highlight w:val="none"/>
          <w:shd w:val="clear"/>
        </w:rPr>
        <w:t>②</w:t>
      </w:r>
      <w:r>
        <w:rPr>
          <w:rFonts w:hint="eastAsia" w:ascii="仿宋_GB2312" w:hAnsi="仿宋_GB2312" w:eastAsia="仿宋_GB2312" w:cs="仿宋_GB2312"/>
          <w:i w:val="0"/>
          <w:iCs w:val="0"/>
          <w:caps w:val="0"/>
          <w:spacing w:val="0"/>
          <w:sz w:val="32"/>
          <w:szCs w:val="32"/>
          <w:highlight w:val="none"/>
          <w:shd w:val="clear"/>
          <w:lang w:val="en-US" w:eastAsia="zh-CN"/>
        </w:rPr>
        <w:t xml:space="preserve"> </w:t>
      </w:r>
      <w:r>
        <w:rPr>
          <w:rFonts w:hint="eastAsia" w:ascii="仿宋_GB2312" w:hAnsi="仿宋_GB2312" w:eastAsia="仿宋_GB2312" w:cs="仿宋_GB2312"/>
          <w:i w:val="0"/>
          <w:iCs w:val="0"/>
          <w:caps w:val="0"/>
          <w:spacing w:val="0"/>
          <w:sz w:val="32"/>
          <w:szCs w:val="32"/>
          <w:highlight w:val="none"/>
          <w:shd w:val="clear"/>
        </w:rPr>
        <w:t>严禁在外窗、阳台、安全出口等部位设置影响逃生、灭火救援的铁栅栏、广告牌或门禁等障碍物。</w:t>
      </w:r>
    </w:p>
    <w:p>
      <w:pPr>
        <w:widowControl w:val="0"/>
        <w:numPr>
          <w:ilvl w:val="0"/>
          <w:numId w:val="0"/>
        </w:numPr>
        <w:spacing w:line="560" w:lineRule="exact"/>
        <w:ind w:firstLine="640" w:firstLineChars="200"/>
        <w:outlineLvl w:val="9"/>
        <w:rPr>
          <w:rFonts w:hint="eastAsia" w:ascii="仿宋_GB2312" w:hAnsi="仿宋_GB2312" w:eastAsia="仿宋_GB2312" w:cs="仿宋_GB2312"/>
          <w:i w:val="0"/>
          <w:iCs w:val="0"/>
          <w:caps w:val="0"/>
          <w:spacing w:val="0"/>
          <w:sz w:val="32"/>
          <w:szCs w:val="32"/>
          <w:highlight w:val="none"/>
        </w:rPr>
      </w:pPr>
      <w:r>
        <w:rPr>
          <w:rFonts w:hint="eastAsia" w:ascii="仿宋_GB2312" w:hAnsi="仿宋_GB2312" w:eastAsia="仿宋_GB2312" w:cs="仿宋_GB2312"/>
          <w:i w:val="0"/>
          <w:iCs w:val="0"/>
          <w:caps w:val="0"/>
          <w:spacing w:val="0"/>
          <w:sz w:val="32"/>
          <w:szCs w:val="32"/>
          <w:highlight w:val="none"/>
          <w:shd w:val="clear"/>
        </w:rPr>
        <w:t>③</w:t>
      </w:r>
      <w:r>
        <w:rPr>
          <w:rFonts w:hint="eastAsia" w:ascii="仿宋_GB2312" w:hAnsi="仿宋_GB2312" w:eastAsia="仿宋_GB2312" w:cs="仿宋_GB2312"/>
          <w:i w:val="0"/>
          <w:iCs w:val="0"/>
          <w:caps w:val="0"/>
          <w:spacing w:val="0"/>
          <w:sz w:val="32"/>
          <w:szCs w:val="32"/>
          <w:highlight w:val="none"/>
          <w:shd w:val="clear"/>
          <w:lang w:val="en-US" w:eastAsia="zh-CN"/>
        </w:rPr>
        <w:t xml:space="preserve"> </w:t>
      </w:r>
      <w:r>
        <w:rPr>
          <w:rFonts w:hint="eastAsia" w:ascii="仿宋_GB2312" w:hAnsi="仿宋_GB2312" w:eastAsia="仿宋_GB2312" w:cs="仿宋_GB2312"/>
          <w:i w:val="0"/>
          <w:iCs w:val="0"/>
          <w:caps w:val="0"/>
          <w:spacing w:val="0"/>
          <w:sz w:val="32"/>
          <w:szCs w:val="32"/>
          <w:highlight w:val="none"/>
          <w:shd w:val="clear"/>
        </w:rPr>
        <w:t>严禁擅自停用、关闭、遮挡消防设施设备，埋压、圈占消火栓，破坏防火分隔，锁闭、堵塞、占用安全出口和消防通道。</w:t>
      </w:r>
    </w:p>
    <w:p>
      <w:pPr>
        <w:widowControl w:val="0"/>
        <w:numPr>
          <w:ilvl w:val="0"/>
          <w:numId w:val="0"/>
        </w:numPr>
        <w:spacing w:line="560" w:lineRule="exact"/>
        <w:ind w:firstLine="640" w:firstLineChars="200"/>
        <w:outlineLvl w:val="9"/>
        <w:rPr>
          <w:rFonts w:hint="eastAsia" w:ascii="仿宋_GB2312" w:hAnsi="仿宋_GB2312" w:eastAsia="仿宋_GB2312" w:cs="仿宋_GB2312"/>
          <w:i w:val="0"/>
          <w:iCs w:val="0"/>
          <w:caps w:val="0"/>
          <w:spacing w:val="0"/>
          <w:sz w:val="32"/>
          <w:szCs w:val="32"/>
          <w:highlight w:val="none"/>
        </w:rPr>
      </w:pPr>
      <w:r>
        <w:rPr>
          <w:rFonts w:hint="eastAsia" w:ascii="仿宋_GB2312" w:hAnsi="仿宋_GB2312" w:eastAsia="仿宋_GB2312" w:cs="仿宋_GB2312"/>
          <w:i w:val="0"/>
          <w:iCs w:val="0"/>
          <w:caps w:val="0"/>
          <w:spacing w:val="0"/>
          <w:sz w:val="32"/>
          <w:szCs w:val="32"/>
          <w:highlight w:val="none"/>
          <w:shd w:val="clear"/>
        </w:rPr>
        <w:t>④</w:t>
      </w:r>
      <w:r>
        <w:rPr>
          <w:rFonts w:hint="eastAsia" w:ascii="仿宋_GB2312" w:hAnsi="仿宋_GB2312" w:eastAsia="仿宋_GB2312" w:cs="仿宋_GB2312"/>
          <w:i w:val="0"/>
          <w:iCs w:val="0"/>
          <w:caps w:val="0"/>
          <w:spacing w:val="0"/>
          <w:sz w:val="32"/>
          <w:szCs w:val="32"/>
          <w:highlight w:val="none"/>
          <w:shd w:val="clear"/>
          <w:lang w:val="en-US" w:eastAsia="zh-CN"/>
        </w:rPr>
        <w:t xml:space="preserve"> </w:t>
      </w:r>
      <w:r>
        <w:rPr>
          <w:rFonts w:hint="eastAsia" w:ascii="仿宋_GB2312" w:hAnsi="仿宋_GB2312" w:eastAsia="仿宋_GB2312" w:cs="仿宋_GB2312"/>
          <w:i w:val="0"/>
          <w:iCs w:val="0"/>
          <w:caps w:val="0"/>
          <w:spacing w:val="0"/>
          <w:sz w:val="32"/>
          <w:szCs w:val="32"/>
          <w:highlight w:val="none"/>
          <w:shd w:val="clear"/>
        </w:rPr>
        <w:t>严禁私拉乱接电线，在电气线路上搭、挂物品，超负荷用电或者改变保险装置，空调等大功率用电设备外部电源线采用移动式插座连接，使用电烤炉、红外辐射取暖器、电热毯等电热器具。</w:t>
      </w:r>
    </w:p>
    <w:p>
      <w:pPr>
        <w:widowControl w:val="0"/>
        <w:numPr>
          <w:ilvl w:val="0"/>
          <w:numId w:val="0"/>
        </w:numPr>
        <w:spacing w:line="560" w:lineRule="exact"/>
        <w:ind w:firstLine="640" w:firstLineChars="200"/>
        <w:outlineLvl w:val="9"/>
        <w:rPr>
          <w:rFonts w:hint="eastAsia" w:ascii="仿宋_GB2312" w:hAnsi="仿宋_GB2312" w:eastAsia="仿宋_GB2312" w:cs="仿宋_GB2312"/>
          <w:i w:val="0"/>
          <w:iCs w:val="0"/>
          <w:caps w:val="0"/>
          <w:spacing w:val="0"/>
          <w:sz w:val="32"/>
          <w:szCs w:val="32"/>
          <w:highlight w:val="none"/>
        </w:rPr>
      </w:pPr>
      <w:r>
        <w:rPr>
          <w:rFonts w:hint="eastAsia" w:ascii="仿宋_GB2312" w:hAnsi="仿宋_GB2312" w:eastAsia="仿宋_GB2312" w:cs="仿宋_GB2312"/>
          <w:i w:val="0"/>
          <w:iCs w:val="0"/>
          <w:caps w:val="0"/>
          <w:spacing w:val="0"/>
          <w:sz w:val="32"/>
          <w:szCs w:val="32"/>
          <w:highlight w:val="none"/>
          <w:shd w:val="clear"/>
        </w:rPr>
        <w:t>⑤</w:t>
      </w:r>
      <w:r>
        <w:rPr>
          <w:rFonts w:hint="eastAsia" w:ascii="仿宋_GB2312" w:hAnsi="仿宋_GB2312" w:eastAsia="仿宋_GB2312" w:cs="仿宋_GB2312"/>
          <w:i w:val="0"/>
          <w:iCs w:val="0"/>
          <w:caps w:val="0"/>
          <w:spacing w:val="0"/>
          <w:sz w:val="32"/>
          <w:szCs w:val="32"/>
          <w:highlight w:val="none"/>
          <w:shd w:val="clear"/>
          <w:lang w:val="en-US" w:eastAsia="zh-CN"/>
        </w:rPr>
        <w:t xml:space="preserve"> </w:t>
      </w:r>
      <w:r>
        <w:rPr>
          <w:rFonts w:hint="eastAsia" w:ascii="仿宋_GB2312" w:hAnsi="仿宋_GB2312" w:eastAsia="仿宋_GB2312" w:cs="仿宋_GB2312"/>
          <w:i w:val="0"/>
          <w:iCs w:val="0"/>
          <w:caps w:val="0"/>
          <w:spacing w:val="0"/>
          <w:sz w:val="32"/>
          <w:szCs w:val="32"/>
          <w:highlight w:val="none"/>
          <w:shd w:val="clear"/>
        </w:rPr>
        <w:t>严禁在培训场所内及公共门厅、疏散走道、楼梯间、安全出口处违规停放电动自行车或充电。</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i w:val="0"/>
          <w:iCs w:val="0"/>
          <w:caps w:val="0"/>
          <w:spacing w:val="0"/>
          <w:kern w:val="2"/>
          <w:sz w:val="32"/>
          <w:szCs w:val="32"/>
          <w:highlight w:val="none"/>
          <w:shd w:val="clear"/>
          <w:lang w:bidi="ar"/>
        </w:rPr>
        <w:t>⑥</w:t>
      </w:r>
      <w:r>
        <w:rPr>
          <w:rFonts w:hint="eastAsia" w:ascii="仿宋_GB2312" w:hAnsi="仿宋_GB2312" w:eastAsia="仿宋_GB2312" w:cs="仿宋_GB2312"/>
          <w:i w:val="0"/>
          <w:iCs w:val="0"/>
          <w:caps w:val="0"/>
          <w:spacing w:val="0"/>
          <w:kern w:val="2"/>
          <w:sz w:val="32"/>
          <w:szCs w:val="32"/>
          <w:highlight w:val="none"/>
          <w:shd w:val="clear"/>
          <w:lang w:val="en-US" w:eastAsia="zh-CN" w:bidi="ar"/>
        </w:rPr>
        <w:t xml:space="preserve"> </w:t>
      </w:r>
      <w:r>
        <w:rPr>
          <w:rFonts w:hint="eastAsia" w:ascii="仿宋_GB2312" w:hAnsi="仿宋_GB2312" w:eastAsia="仿宋_GB2312" w:cs="仿宋_GB2312"/>
          <w:i w:val="0"/>
          <w:iCs w:val="0"/>
          <w:caps w:val="0"/>
          <w:spacing w:val="0"/>
          <w:kern w:val="2"/>
          <w:sz w:val="32"/>
          <w:szCs w:val="32"/>
          <w:highlight w:val="none"/>
          <w:shd w:val="clear"/>
          <w:lang w:bidi="ar"/>
        </w:rPr>
        <w:t>严禁在培训场所内吸烟，使用明火取暖、照明、驱蚊，违规存放、使用易燃易爆危险品。</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2、安全专项培训。</w:t>
      </w:r>
      <w:r>
        <w:rPr>
          <w:rFonts w:hint="eastAsia" w:ascii="仿宋_GB2312" w:hAnsi="仿宋_GB2312" w:eastAsia="仿宋_GB2312" w:cs="仿宋_GB2312"/>
          <w:sz w:val="32"/>
          <w:szCs w:val="32"/>
          <w:highlight w:val="none"/>
          <w:lang w:val="en-US" w:eastAsia="zh-CN"/>
        </w:rPr>
        <w:t>组织开展1场校外培训机构负责人参加的安全专题培训，每场培训时长不少于3个课时；培训内容包括安全消防法律法规、消防安全实务及案例分析等。</w:t>
      </w:r>
    </w:p>
    <w:p>
      <w:pPr>
        <w:numPr>
          <w:ilvl w:val="-1"/>
          <w:numId w:val="0"/>
        </w:numPr>
        <w:spacing w:line="560" w:lineRule="exact"/>
        <w:ind w:left="0" w:leftChars="0" w:firstLine="643" w:firstLineChars="200"/>
        <w:jc w:val="left"/>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b/>
          <w:bCs/>
          <w:sz w:val="32"/>
          <w:szCs w:val="32"/>
          <w:highlight w:val="none"/>
          <w:lang w:val="en-US" w:eastAsia="zh-CN"/>
        </w:rPr>
        <w:t>3、应急演练。</w:t>
      </w:r>
      <w:r>
        <w:rPr>
          <w:rFonts w:hint="eastAsia" w:ascii="仿宋_GB2312" w:hAnsi="仿宋_GB2312" w:eastAsia="仿宋_GB2312" w:cs="仿宋_GB2312"/>
          <w:sz w:val="32"/>
          <w:szCs w:val="32"/>
          <w:highlight w:val="none"/>
          <w:vertAlign w:val="baseline"/>
          <w:lang w:val="en-US" w:eastAsia="zh-CN"/>
        </w:rPr>
        <w:t>组织开展1场校外培训机构突发事件应急演练现场会。</w:t>
      </w:r>
    </w:p>
    <w:p>
      <w:pPr>
        <w:numPr>
          <w:ilvl w:val="-1"/>
          <w:numId w:val="0"/>
        </w:numPr>
        <w:spacing w:line="560" w:lineRule="exact"/>
        <w:ind w:left="0" w:leftChars="0" w:firstLine="643" w:firstLineChars="200"/>
        <w:jc w:val="left"/>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4、编制消防技术指引。</w:t>
      </w:r>
      <w:r>
        <w:rPr>
          <w:rFonts w:hint="eastAsia" w:ascii="仿宋_GB2312" w:hAnsi="仿宋_GB2312" w:eastAsia="仿宋_GB2312" w:cs="仿宋_GB2312"/>
          <w:sz w:val="32"/>
          <w:szCs w:val="32"/>
          <w:highlight w:val="none"/>
          <w:vertAlign w:val="baseline"/>
          <w:lang w:val="en-US" w:eastAsia="zh-CN"/>
        </w:rPr>
        <w:t>针对校外培训机构消防安全风险隐患特点，依据法律法规和技术规范编制培训机构设置场所消防技术指引。</w:t>
      </w:r>
    </w:p>
    <w:p>
      <w:pPr>
        <w:numPr>
          <w:ilvl w:val="-1"/>
          <w:numId w:val="0"/>
        </w:numPr>
        <w:spacing w:line="560" w:lineRule="exact"/>
        <w:ind w:left="0" w:leftChars="0" w:firstLine="643" w:firstLineChars="200"/>
        <w:jc w:val="left"/>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5、一企一档编制。</w:t>
      </w:r>
      <w:r>
        <w:rPr>
          <w:rFonts w:hint="eastAsia" w:ascii="仿宋_GB2312" w:hAnsi="仿宋_GB2312" w:eastAsia="仿宋_GB2312" w:cs="仿宋_GB2312"/>
          <w:sz w:val="32"/>
          <w:szCs w:val="32"/>
          <w:highlight w:val="none"/>
          <w:vertAlign w:val="baseline"/>
          <w:lang w:val="en-US" w:eastAsia="zh-CN"/>
        </w:rPr>
        <w:t>针对现场检查、复查情况，编制专项整治“一企一档”。</w:t>
      </w:r>
    </w:p>
    <w:p>
      <w:pPr>
        <w:numPr>
          <w:ilvl w:val="-1"/>
          <w:numId w:val="0"/>
        </w:numPr>
        <w:spacing w:line="560" w:lineRule="exact"/>
        <w:ind w:left="0" w:leftChars="0" w:firstLine="643" w:firstLineChars="200"/>
        <w:jc w:val="left"/>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6、形势分析。</w:t>
      </w:r>
      <w:r>
        <w:rPr>
          <w:rFonts w:hint="eastAsia" w:ascii="仿宋_GB2312" w:hAnsi="仿宋_GB2312" w:eastAsia="仿宋_GB2312" w:cs="仿宋_GB2312"/>
          <w:sz w:val="32"/>
          <w:szCs w:val="32"/>
          <w:highlight w:val="none"/>
          <w:vertAlign w:val="baseline"/>
          <w:lang w:val="en-US" w:eastAsia="zh-CN"/>
        </w:rPr>
        <w:t>根据现场检查的情况，对全区校外培训机构的安全形势进行分析并提出建议措施。</w:t>
      </w:r>
    </w:p>
    <w:p>
      <w:pPr>
        <w:numPr>
          <w:ilvl w:val="0"/>
          <w:numId w:val="0"/>
        </w:numPr>
        <w:spacing w:line="560" w:lineRule="exact"/>
        <w:ind w:firstLine="643" w:firstLineChars="200"/>
        <w:jc w:val="left"/>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（二）商务需求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1、服务期限：自合同签订之日起至</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2025年12月15日</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2、服务费用：本项目业务服务费用实行包干制，包含服务实施费、差旅费、培训费、税费等所有与本次业务有关费用，中标单位在中标后不得以任何理由增加其他费用。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3、项目人员需求一览表</w:t>
      </w:r>
    </w:p>
    <w:p>
      <w:pPr>
        <w:pStyle w:val="14"/>
        <w:rPr>
          <w:rFonts w:hint="eastAsia"/>
          <w:highlight w:val="none"/>
          <w:lang w:val="en-US" w:eastAsia="zh-CN"/>
        </w:rPr>
      </w:pPr>
    </w:p>
    <w:tbl>
      <w:tblPr>
        <w:tblStyle w:val="11"/>
        <w:tblW w:w="8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611"/>
        <w:gridCol w:w="918"/>
        <w:gridCol w:w="3600"/>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highlight w:val="none"/>
                <w:u w:val="none"/>
                <w:lang w:val="en-US" w:eastAsia="zh-CN" w:bidi="ar"/>
              </w:rPr>
            </w:pPr>
            <w:r>
              <w:rPr>
                <w:rFonts w:hint="eastAsia" w:ascii="宋体" w:hAnsi="宋体" w:eastAsia="宋体" w:cs="宋体"/>
                <w:b/>
                <w:bCs/>
                <w:i w:val="0"/>
                <w:color w:val="000000"/>
                <w:kern w:val="0"/>
                <w:sz w:val="21"/>
                <w:szCs w:val="21"/>
                <w:highlight w:val="none"/>
                <w:u w:val="none"/>
                <w:lang w:val="en-US" w:eastAsia="zh-CN" w:bidi="ar"/>
              </w:rPr>
              <w:t>序号</w:t>
            </w:r>
          </w:p>
        </w:tc>
        <w:tc>
          <w:tcPr>
            <w:tcW w:w="1611" w:type="dxa"/>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highlight w:val="none"/>
                <w:u w:val="none"/>
                <w:lang w:val="en-US" w:eastAsia="zh-CN" w:bidi="ar"/>
              </w:rPr>
            </w:pPr>
            <w:r>
              <w:rPr>
                <w:rFonts w:hint="eastAsia" w:ascii="宋体" w:hAnsi="宋体" w:eastAsia="宋体" w:cs="宋体"/>
                <w:b/>
                <w:bCs/>
                <w:i w:val="0"/>
                <w:color w:val="000000"/>
                <w:kern w:val="0"/>
                <w:sz w:val="21"/>
                <w:szCs w:val="21"/>
                <w:highlight w:val="none"/>
                <w:u w:val="none"/>
                <w:lang w:val="en-US" w:eastAsia="zh-CN" w:bidi="ar"/>
              </w:rPr>
              <w:t>人员类别</w:t>
            </w:r>
          </w:p>
        </w:tc>
        <w:tc>
          <w:tcPr>
            <w:tcW w:w="918" w:type="dxa"/>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highlight w:val="none"/>
                <w:u w:val="none"/>
                <w:lang w:val="en-US" w:eastAsia="zh-CN" w:bidi="ar"/>
              </w:rPr>
            </w:pPr>
            <w:r>
              <w:rPr>
                <w:rFonts w:hint="eastAsia" w:ascii="宋体" w:hAnsi="宋体" w:eastAsia="宋体" w:cs="宋体"/>
                <w:b/>
                <w:bCs/>
                <w:i w:val="0"/>
                <w:color w:val="000000"/>
                <w:kern w:val="0"/>
                <w:sz w:val="21"/>
                <w:szCs w:val="21"/>
                <w:highlight w:val="none"/>
                <w:u w:val="none"/>
                <w:lang w:val="en-US" w:eastAsia="zh-CN" w:bidi="ar"/>
              </w:rPr>
              <w:t>★数量</w:t>
            </w:r>
          </w:p>
        </w:tc>
        <w:tc>
          <w:tcPr>
            <w:tcW w:w="3600" w:type="dxa"/>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highlight w:val="none"/>
                <w:u w:val="none"/>
                <w:lang w:val="en-US" w:eastAsia="zh-CN" w:bidi="ar"/>
              </w:rPr>
            </w:pPr>
            <w:r>
              <w:rPr>
                <w:rFonts w:hint="eastAsia" w:ascii="宋体" w:hAnsi="宋体" w:eastAsia="宋体" w:cs="宋体"/>
                <w:b/>
                <w:bCs/>
                <w:i w:val="0"/>
                <w:color w:val="000000"/>
                <w:kern w:val="0"/>
                <w:sz w:val="21"/>
                <w:szCs w:val="21"/>
                <w:highlight w:val="none"/>
                <w:u w:val="none"/>
                <w:lang w:val="en-US" w:eastAsia="zh-CN" w:bidi="ar"/>
              </w:rPr>
              <w:t>★人员必须具备条件</w:t>
            </w:r>
          </w:p>
        </w:tc>
        <w:tc>
          <w:tcPr>
            <w:tcW w:w="2091" w:type="dxa"/>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highlight w:val="none"/>
                <w:u w:val="none"/>
                <w:lang w:val="en-US" w:eastAsia="zh-CN" w:bidi="ar"/>
              </w:rPr>
            </w:pPr>
            <w:r>
              <w:rPr>
                <w:rFonts w:hint="eastAsia" w:ascii="宋体" w:hAnsi="宋体" w:eastAsia="宋体" w:cs="宋体"/>
                <w:b/>
                <w:bCs/>
                <w:i w:val="0"/>
                <w:color w:val="000000"/>
                <w:kern w:val="0"/>
                <w:sz w:val="21"/>
                <w:szCs w:val="21"/>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161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项目负责人</w:t>
            </w:r>
          </w:p>
        </w:tc>
        <w:tc>
          <w:tcPr>
            <w:tcW w:w="91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3600" w:type="dxa"/>
            <w:vAlign w:val="center"/>
          </w:tcPr>
          <w:p>
            <w:pPr>
              <w:keepNext w:val="0"/>
              <w:keepLines w:val="0"/>
              <w:widowControl/>
              <w:numPr>
                <w:ilvl w:val="0"/>
                <w:numId w:val="3"/>
              </w:numPr>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注册安全工程师；</w:t>
            </w:r>
          </w:p>
          <w:p>
            <w:pPr>
              <w:keepNext w:val="0"/>
              <w:keepLines w:val="0"/>
              <w:widowControl/>
              <w:numPr>
                <w:ilvl w:val="0"/>
                <w:numId w:val="3"/>
              </w:numPr>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themeColor="text1"/>
                <w:sz w:val="21"/>
                <w:szCs w:val="21"/>
                <w:lang w:eastAsia="zh-CN"/>
                <w14:textFill>
                  <w14:solidFill>
                    <w14:schemeClr w14:val="tx1"/>
                  </w14:solidFill>
                </w14:textFill>
              </w:rPr>
              <w:t>工作经验</w:t>
            </w:r>
            <w:r>
              <w:rPr>
                <w:rFonts w:hint="eastAsia" w:ascii="宋体" w:hAnsi="宋体" w:eastAsia="宋体" w:cs="宋体"/>
                <w:color w:val="000000" w:themeColor="text1"/>
                <w:sz w:val="21"/>
                <w:szCs w:val="21"/>
                <w:lang w:val="en-US" w:eastAsia="zh-CN"/>
                <w14:textFill>
                  <w14:solidFill>
                    <w14:schemeClr w14:val="tx1"/>
                  </w14:solidFill>
                </w14:textFill>
              </w:rPr>
              <w:t>15年以上</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（工作经验以证书签发日期开始计算）</w:t>
            </w:r>
            <w:r>
              <w:rPr>
                <w:rFonts w:hint="eastAsia" w:ascii="宋体" w:hAnsi="宋体" w:eastAsia="宋体" w:cs="宋体"/>
                <w:color w:val="000000" w:themeColor="text1"/>
                <w:sz w:val="21"/>
                <w:szCs w:val="21"/>
                <w:lang w:eastAsia="zh-CN"/>
                <w14:textFill>
                  <w14:solidFill>
                    <w14:schemeClr w14:val="tx1"/>
                  </w14:solidFill>
                </w14:textFill>
              </w:rPr>
              <w:t>。</w:t>
            </w:r>
          </w:p>
        </w:tc>
        <w:tc>
          <w:tcPr>
            <w:tcW w:w="209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投标单位自有人员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w:t>
            </w:r>
          </w:p>
        </w:tc>
        <w:tc>
          <w:tcPr>
            <w:tcW w:w="161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技术负责人</w:t>
            </w:r>
          </w:p>
        </w:tc>
        <w:tc>
          <w:tcPr>
            <w:tcW w:w="91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3600"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320" w:lineRule="exact"/>
              <w:ind w:left="40" w:leftChars="19" w:right="107" w:rightChars="51" w:firstLine="48" w:firstLineChars="23"/>
              <w:textAlignment w:val="baseline"/>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1、具有注册安全工程师证书；</w:t>
            </w:r>
          </w:p>
          <w:p>
            <w:pPr>
              <w:pStyle w:val="15"/>
              <w:kinsoku w:val="0"/>
              <w:autoSpaceDE w:val="0"/>
              <w:autoSpaceDN w:val="0"/>
              <w:adjustRightInd w:val="0"/>
              <w:snapToGrid w:val="0"/>
              <w:spacing w:line="320" w:lineRule="exact"/>
              <w:ind w:left="40" w:leftChars="19" w:right="107" w:rightChars="51" w:firstLine="48" w:firstLineChars="23"/>
              <w:textAlignment w:val="baseline"/>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color w:val="000000" w:themeColor="text1"/>
                <w:sz w:val="21"/>
                <w:szCs w:val="21"/>
                <w:lang w:val="en-US" w:eastAsia="zh-CN"/>
                <w14:textFill>
                  <w14:solidFill>
                    <w14:schemeClr w14:val="tx1"/>
                  </w14:solidFill>
                </w14:textFill>
              </w:rPr>
              <w:t>2、具有一级注册消防工程师证书；</w:t>
            </w:r>
          </w:p>
        </w:tc>
        <w:tc>
          <w:tcPr>
            <w:tcW w:w="209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投标单位自有人员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w:t>
            </w:r>
          </w:p>
        </w:tc>
        <w:tc>
          <w:tcPr>
            <w:tcW w:w="161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检查小组长</w:t>
            </w:r>
          </w:p>
        </w:tc>
        <w:tc>
          <w:tcPr>
            <w:tcW w:w="91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w:t>
            </w:r>
          </w:p>
        </w:tc>
        <w:tc>
          <w:tcPr>
            <w:tcW w:w="360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注册安全工程师</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或一级消防工程师</w:t>
            </w:r>
          </w:p>
        </w:tc>
        <w:tc>
          <w:tcPr>
            <w:tcW w:w="209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投标单位自有人员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5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w:t>
            </w:r>
          </w:p>
        </w:tc>
        <w:tc>
          <w:tcPr>
            <w:tcW w:w="161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检查人员</w:t>
            </w:r>
          </w:p>
        </w:tc>
        <w:tc>
          <w:tcPr>
            <w:tcW w:w="91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w:t>
            </w:r>
          </w:p>
        </w:tc>
        <w:tc>
          <w:tcPr>
            <w:tcW w:w="360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中级（或以上）消防设施操作员或电工操作证</w:t>
            </w:r>
          </w:p>
        </w:tc>
        <w:tc>
          <w:tcPr>
            <w:tcW w:w="209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投标单位自有人员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119"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合计</w:t>
            </w:r>
          </w:p>
        </w:tc>
        <w:tc>
          <w:tcPr>
            <w:tcW w:w="91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7</w:t>
            </w:r>
          </w:p>
        </w:tc>
        <w:tc>
          <w:tcPr>
            <w:tcW w:w="360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w:t>
            </w:r>
          </w:p>
        </w:tc>
        <w:tc>
          <w:tcPr>
            <w:tcW w:w="209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exact"/>
        <w:ind w:left="0" w:leftChars="0" w:right="0" w:rightChars="0" w:firstLine="562" w:firstLineChars="200"/>
        <w:jc w:val="left"/>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特别说明：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562" w:firstLineChars="200"/>
        <w:jc w:val="left"/>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 ”号为实质性要求，投标人必须满足。投标人应提供相关证明材料（相关证书），否则按无效标处理。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4.项目验收要求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中标方完成规定的校外培训机构安全检查项目服务工作，按照龙岗区教育局的要求编制校外培训机构安全形势分析报告，及专项检查“一企一档”。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1、中标单位需服从工作安排，在规定的时间到指定的工作地点开展工作；整个检查工作过程，中标单位要保持同龙岗区教育局负责该项目的工作人员联系、沟通。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检查人员对其在开展检查过程中知悉的被检查单位的商业秘密负有保密责任，不得利用其为自己或他人谋取利益；检查人员不得滥用职权、徇私舞弊、玩忽职守，不得接收被检查单位的财物及宴请，做到客观公正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3、能够严格按照龙岗区教育局的工作规范、程序和要求开展工作，对相关检查人员进行事前培训，并接受相关的业务指导。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4、按照独立、客观、公正的原则，对被检查单位进行检查，出具检查意见。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5、根据要求编制、整理、移交工作底稿，并制成档案。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6、针对检查过程中发现的问题提出整改指导意见，协助龙岗区教育局完善修订校外培训机构安全管理制度。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bCs/>
          <w:kern w:val="0"/>
          <w:sz w:val="32"/>
          <w:szCs w:val="32"/>
          <w:highlight w:val="none"/>
          <w:lang w:val="en-US" w:eastAsia="zh-CN"/>
        </w:rPr>
      </w:pPr>
      <w:r>
        <w:rPr>
          <w:rFonts w:hint="eastAsia" w:ascii="黑体" w:hAnsi="黑体" w:eastAsia="黑体" w:cs="黑体"/>
          <w:b w:val="0"/>
          <w:bCs/>
          <w:sz w:val="32"/>
          <w:szCs w:val="32"/>
          <w:highlight w:val="none"/>
        </w:rPr>
        <w:t>双方的权利和义务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（一）采购人的权利和义务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1、督促各校外培训机构及时为中标单位现场检查工作提供相关的安全资料和其他有关资料。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2、为中标单位委派的检查工作人员提供必要的工作条件和协助。</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3、有权要求中标单位在规定的时间内提供检查工作计划、工作方案、检查报告和检查档案资料等。</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4、有权要求中标供应商适当调整委派人员。</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5、如中标方未经采购人允许对外泄露相关检查资料，造成不良影响，采购方有权向中标单位追索经济赔偿并追究相关法律责任。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6、提供纳入本次检查范围的校外培训机构名单及被检查单位相关负责人联系方式。</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7、项目跟进付款工作。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（二）中标供应商的权利和义务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1、按照《中华人民共和国民办教育促进法》、</w:t>
      </w:r>
      <w:r>
        <w:rPr>
          <w:rFonts w:hint="eastAsia" w:ascii="仿宋_GB2312" w:hAnsi="仿宋_GB2312" w:eastAsia="仿宋_GB2312" w:cs="仿宋_GB2312"/>
          <w:i w:val="0"/>
          <w:iCs w:val="0"/>
          <w:caps w:val="0"/>
          <w:color w:val="auto"/>
          <w:spacing w:val="0"/>
          <w:sz w:val="32"/>
          <w:szCs w:val="32"/>
          <w:highlight w:val="none"/>
          <w:shd w:val="clear"/>
        </w:rPr>
        <w:t>《校外培训机构消防安全管理九项规定》</w:t>
      </w:r>
      <w:r>
        <w:rPr>
          <w:rFonts w:hint="eastAsia" w:ascii="仿宋_GB2312" w:hAnsi="仿宋_GB2312" w:eastAsia="仿宋_GB2312" w:cs="仿宋_GB2312"/>
          <w:kern w:val="2"/>
          <w:sz w:val="32"/>
          <w:szCs w:val="32"/>
          <w:highlight w:val="none"/>
          <w:lang w:val="en-US" w:eastAsia="zh-CN" w:bidi="ar-SA"/>
        </w:rPr>
        <w:t>等相关法律法规及采购方的要求进行检查，并按时出具检查记录。检查记录格式总体保持一致，因检查记录中出现法规引用不当、表达错误等原因导致多次反复修改，第一次口头警告，第二次发书面整改，第三次将书面报区应急管理局处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2、检查过程中恪守实事求是、客观公正。</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3、中标供应商项目负责人要定期与采购单位项目负责人进行沟通交流，同时中标供应商做好阶段性（初期、中期及后期）的计划总结，计划总结内容包含但不限于以下内容：检查进度情况、下一步工作计划等。</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4、该项目检查人员必须是中标方供职人员，中标方如实告知检查人员专业水平状况，并保证检查人员的检查工作水准，若检查人员无法胜任工作，须按采购方要求更换人员。</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5、该项目检查人员在服务期间不得以采购方名义从事与检查工作无关的活动；对检查过程中知悉的商业秘密负有保密责任，除法律另有规定外，未经采购方或被检查单位书面同意，中标方及检查人员不得将被检查单位提供的资料对外泄露。否则，中标方承担由此产生的一切责任与后果，若因此给采购方造成损失的，中标方应予以全部赔偿。</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6、检查项目结束后，中标方及时整理检查资料，装订检查档案并移交采购方。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7、中标方不得将检查项目非法分包或转包给任何单位和个人。否则，采购方有权即刻终止合同，并要求中标供应商赔偿相应损失。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left"/>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中标供应商必须严格按照招标文件项目要求，按时安排检查人员开展检查服务工作。如中标供应商未按要求安排足够数量并符合“人员相关要求”的技术人员开展检查服务工作任务，导致采购方无法正常完成检查服务工作任务，采购方严格按《深圳市政府采购供应商诚信管理暂行办法》第六条，书面报请财政部门记入供应商诚信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项目履约期间，如有检查人员离职等情况，中标供应商及时安排符合条件的技术人员接替其相关工作。一经出现缺岗情况，限3个日历日整改完毕，未按要求整改或者履约期间出现二次缺岗导致采购无法完成检查服务工作，采购单位直接书面报告财政部门记入供应商诚信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3、中标供应商在履约期间，如果因在岗的技术人员疏忽造成采购人的损失（包括经济与名誉等方面的损失），应当由中标供应商赔偿采购人的所有损失。</w:t>
      </w:r>
    </w:p>
    <w:p>
      <w:pPr>
        <w:pStyle w:val="2"/>
        <w:rPr>
          <w:rFonts w:hint="eastAsia"/>
          <w:lang w:val="en-US" w:eastAsia="zh-CN"/>
        </w:rPr>
      </w:pPr>
      <w:r>
        <w:rPr>
          <w:rFonts w:hint="eastAsia" w:ascii="仿宋_GB2312" w:hAnsi="仿宋_GB2312" w:eastAsia="仿宋_GB2312" w:cs="仿宋_GB2312"/>
          <w:kern w:val="2"/>
          <w:sz w:val="32"/>
          <w:szCs w:val="32"/>
          <w:highlight w:val="none"/>
          <w:lang w:val="en-US" w:eastAsia="zh-CN" w:bidi="ar-SA"/>
        </w:rPr>
        <w:t>4、中标供应商若未全部完成服务内容，采购单位将根据中标供应商实际完成的工作量按比例支付服务款。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left"/>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（四）投标响应承诺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 w:firstLineChars="50"/>
        <w:jc w:val="both"/>
        <w:textAlignment w:val="auto"/>
        <w:rPr>
          <w:rFonts w:hint="eastAsia" w:ascii="仿宋_GB2312" w:hAnsi="仿宋_GB2312" w:eastAsia="仿宋_GB2312" w:cs="仿宋_GB2312"/>
          <w:b/>
          <w:bCs/>
          <w:color w:val="FF0000"/>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 xml:space="preserve"> </w:t>
      </w:r>
      <w:r>
        <w:rPr>
          <w:rFonts w:hint="eastAsia" w:ascii="仿宋_GB2312" w:hAnsi="仿宋_GB2312" w:eastAsia="仿宋_GB2312" w:cs="仿宋_GB2312"/>
          <w:kern w:val="2"/>
          <w:sz w:val="32"/>
          <w:szCs w:val="32"/>
          <w:highlight w:val="none"/>
          <w:lang w:val="en-US" w:eastAsia="zh-CN" w:bidi="ar-SA"/>
        </w:rPr>
        <w:t xml:space="preserve"> </w:t>
      </w:r>
      <w:r>
        <w:rPr>
          <w:rFonts w:hint="eastAsia" w:ascii="仿宋_GB2312" w:hAnsi="仿宋_GB2312" w:eastAsia="仿宋_GB2312" w:cs="仿宋_GB2312"/>
          <w:b/>
          <w:bCs/>
          <w:color w:val="FF0000"/>
          <w:kern w:val="2"/>
          <w:sz w:val="32"/>
          <w:szCs w:val="32"/>
          <w:highlight w:val="none"/>
          <w:lang w:val="en-US" w:eastAsia="zh-CN" w:bidi="ar-SA"/>
        </w:rPr>
        <w:t xml:space="preserve"> </w:t>
      </w:r>
      <w:r>
        <w:rPr>
          <w:rFonts w:hint="eastAsia" w:ascii="仿宋_GB2312" w:hAnsi="仿宋_GB2312" w:eastAsia="仿宋_GB2312" w:cs="仿宋_GB2312"/>
          <w:b/>
          <w:bCs/>
          <w:color w:val="auto"/>
          <w:kern w:val="2"/>
          <w:sz w:val="32"/>
          <w:szCs w:val="32"/>
          <w:highlight w:val="none"/>
          <w:lang w:val="en-US" w:eastAsia="zh-CN" w:bidi="ar-SA"/>
        </w:rPr>
        <w:t>供应商参与投标的，视为已完全理解和接受项目需求的所有要求，并能做出实质性响应承诺。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bCs/>
          <w:kern w:val="0"/>
          <w:sz w:val="32"/>
          <w:szCs w:val="32"/>
          <w:highlight w:val="none"/>
          <w:lang w:val="en-US" w:eastAsia="zh-CN"/>
        </w:rPr>
      </w:pPr>
      <w:r>
        <w:rPr>
          <w:rFonts w:hint="eastAsia" w:ascii="黑体" w:hAnsi="黑体" w:eastAsia="黑体" w:cs="黑体"/>
          <w:bCs/>
          <w:kern w:val="0"/>
          <w:sz w:val="32"/>
          <w:szCs w:val="32"/>
          <w:highlight w:val="none"/>
          <w:lang w:val="en-US" w:eastAsia="zh-CN"/>
        </w:rPr>
        <w:t>投标人资质要求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（一）具有独立法人资格；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（二）本项目不接受联合体投标，不允许分包；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（三）投标人为具备营业执照和</w:t>
      </w:r>
      <w:r>
        <w:rPr>
          <w:rFonts w:hint="eastAsia" w:ascii="仿宋_GB2312" w:hAnsi="仿宋_GB2312" w:eastAsia="仿宋_GB2312" w:cs="仿宋_GB2312"/>
          <w:kern w:val="2"/>
          <w:sz w:val="32"/>
          <w:szCs w:val="32"/>
          <w:u w:val="none"/>
          <w:lang w:val="en-US" w:eastAsia="zh-CN" w:bidi="ar-SA"/>
        </w:rPr>
        <w:t>必要的技术支撑条件</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（四）参与本项目投标前三年内，在经营活动中没有重大违法记录（由供应商在《政府采购投标及履约承诺函》中作出声明）；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（五）参与本项目政府采购活动时不存在被有关部门禁止参与政府采购活动且在有效期内的情况（由供应商在《政府采购投标及履约承诺函》中作出声明）；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（六）具备《中华人民共和国政府采购法》第二十二条第一款的条件（由供应商在《政府采购投标及履约承诺函》中作出声明）；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（七）未被列入失信被执行人、重大税收违法案件当事人名单、政府采购严重违法失信行为记录名单（由供应商在《政府采购投标及履约承诺函》中作出声明）。</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注：“信用中国”、“中国政府采购网”以及“深圳市政府采购监管网”为供应商信用信息的查询渠道，相关信息以开标当日的查询结果为准。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bCs/>
          <w:kern w:val="0"/>
          <w:sz w:val="32"/>
          <w:szCs w:val="32"/>
          <w:highlight w:val="none"/>
          <w:lang w:val="en-US" w:eastAsia="zh-CN"/>
        </w:rPr>
      </w:pPr>
      <w:r>
        <w:rPr>
          <w:rFonts w:hint="eastAsia" w:ascii="黑体" w:hAnsi="黑体" w:eastAsia="黑体" w:cs="黑体"/>
          <w:bCs/>
          <w:kern w:val="0"/>
          <w:sz w:val="32"/>
          <w:szCs w:val="32"/>
          <w:highlight w:val="none"/>
          <w:lang w:val="en-US" w:eastAsia="zh-CN"/>
        </w:rPr>
        <w:t>付款方式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按深圳市龙岗区财政局有关规定付款。在实际工作检查过程中，因政策调整或出现个别场所未能组织开展检查工作的情况，不分场所类型，均以中标价格为基准直接核减费用，据实结算。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0" w:firstLineChars="100"/>
        <w:textAlignment w:val="auto"/>
        <w:rPr>
          <w:rFonts w:hint="eastAsia" w:ascii="黑体" w:hAnsi="黑体" w:eastAsia="黑体" w:cs="黑体"/>
          <w:bCs/>
          <w:kern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0" w:firstLineChars="100"/>
        <w:textAlignment w:val="auto"/>
        <w:rPr>
          <w:rFonts w:hint="eastAsia" w:ascii="黑体" w:hAnsi="黑体" w:eastAsia="黑体" w:cs="黑体"/>
          <w:bCs/>
          <w:kern w:val="0"/>
          <w:sz w:val="32"/>
          <w:szCs w:val="32"/>
          <w:highlight w:val="none"/>
          <w:lang w:val="en-US" w:eastAsia="zh-CN"/>
        </w:rPr>
      </w:pPr>
      <w:r>
        <w:rPr>
          <w:rFonts w:hint="eastAsia" w:ascii="黑体" w:hAnsi="黑体" w:eastAsia="黑体" w:cs="黑体"/>
          <w:bCs/>
          <w:kern w:val="0"/>
          <w:sz w:val="32"/>
          <w:szCs w:val="32"/>
          <w:highlight w:val="none"/>
          <w:lang w:val="en-US" w:eastAsia="zh-CN"/>
        </w:rPr>
        <w:t>八、投标要求和评标时间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color w:val="C00000"/>
          <w:sz w:val="32"/>
          <w:szCs w:val="32"/>
          <w:highlight w:val="none"/>
          <w:lang w:val="en-US" w:eastAsia="zh-CN"/>
        </w:rPr>
        <w:t>2025年</w:t>
      </w:r>
      <w:r>
        <w:rPr>
          <w:rFonts w:hint="eastAsia" w:ascii="仿宋_GB2312" w:hAnsi="仿宋_GB2312" w:eastAsia="仿宋_GB2312" w:cs="仿宋_GB2312"/>
          <w:b w:val="0"/>
          <w:bCs w:val="0"/>
          <w:color w:val="C00000"/>
          <w:sz w:val="32"/>
          <w:szCs w:val="32"/>
          <w:highlight w:val="none"/>
          <w:lang w:val="en-US" w:eastAsia="zh-CN"/>
        </w:rPr>
        <w:t>7月18日</w:t>
      </w:r>
      <w:bookmarkStart w:id="1" w:name="_GoBack"/>
      <w:bookmarkEnd w:id="1"/>
      <w:r>
        <w:rPr>
          <w:rFonts w:hint="eastAsia" w:ascii="仿宋_GB2312" w:hAnsi="仿宋_GB2312" w:eastAsia="仿宋_GB2312" w:cs="仿宋_GB2312"/>
          <w:color w:val="C00000"/>
          <w:sz w:val="32"/>
          <w:szCs w:val="32"/>
          <w:highlight w:val="none"/>
          <w:lang w:val="en-US" w:eastAsia="zh-CN"/>
        </w:rPr>
        <w:t>12:00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前</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sz w:val="32"/>
          <w:szCs w:val="32"/>
          <w:highlight w:val="none"/>
          <w:lang w:val="en-US" w:eastAsia="zh-CN"/>
        </w:rPr>
        <w:t>应标公司到</w:t>
      </w:r>
      <w:r>
        <w:rPr>
          <w:rFonts w:hint="eastAsia" w:ascii="仿宋_GB2312" w:hAnsi="仿宋_GB2312" w:eastAsia="仿宋_GB2312" w:cs="仿宋_GB2312"/>
          <w:bCs/>
          <w:sz w:val="32"/>
          <w:szCs w:val="32"/>
          <w:highlight w:val="none"/>
        </w:rPr>
        <w:t>深圳市龙岗区教育局</w:t>
      </w:r>
      <w:r>
        <w:rPr>
          <w:rFonts w:hint="eastAsia" w:ascii="仿宋_GB2312" w:hAnsi="仿宋_GB2312" w:eastAsia="仿宋_GB2312" w:cs="仿宋_GB2312"/>
          <w:bCs/>
          <w:color w:val="C00000"/>
          <w:sz w:val="32"/>
          <w:szCs w:val="32"/>
          <w:highlight w:val="none"/>
          <w:lang w:val="en-US" w:eastAsia="zh-CN"/>
        </w:rPr>
        <w:t>309</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办公室</w:t>
      </w:r>
      <w:r>
        <w:rPr>
          <w:rFonts w:hint="eastAsia" w:ascii="仿宋_GB2312" w:hAnsi="仿宋_GB2312" w:eastAsia="仿宋_GB2312" w:cs="仿宋_GB2312"/>
          <w:sz w:val="32"/>
          <w:szCs w:val="32"/>
          <w:highlight w:val="none"/>
          <w:lang w:val="en-US" w:eastAsia="zh-CN"/>
        </w:rPr>
        <w:t>提交投标文件</w:t>
      </w:r>
      <w:r>
        <w:rPr>
          <w:rFonts w:hint="eastAsia" w:ascii="仿宋_GB2312" w:hAnsi="仿宋_GB2312" w:eastAsia="仿宋_GB2312" w:cs="仿宋_GB2312"/>
          <w:b/>
          <w:bCs/>
          <w:sz w:val="32"/>
          <w:szCs w:val="32"/>
          <w:highlight w:val="none"/>
          <w:lang w:val="en-US" w:eastAsia="zh-CN"/>
        </w:rPr>
        <w:t>（一式五份，正本一份，副本4份）</w:t>
      </w:r>
      <w:r>
        <w:rPr>
          <w:rFonts w:hint="eastAsia" w:ascii="仿宋_GB2312" w:hAnsi="仿宋_GB2312" w:eastAsia="仿宋_GB2312" w:cs="仿宋_GB2312"/>
          <w:sz w:val="32"/>
          <w:szCs w:val="32"/>
          <w:highlight w:val="none"/>
          <w:lang w:val="en-US" w:eastAsia="zh-CN"/>
        </w:rPr>
        <w:t>，逾期提交将不予受理。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特别提醒：（1）由公司法人代表参加应标的须提供身份证复印件（现场验原件）；（2）由公司授权委托代理人参加应标的须交身份证复印件（现场验原件）和法人代表签署的授权委托书原件；（3）提交标书时请现场签到确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2.评标时间：</w:t>
      </w:r>
      <w:r>
        <w:rPr>
          <w:rFonts w:hint="eastAsia" w:ascii="仿宋_GB2312" w:hAnsi="仿宋_GB2312" w:eastAsia="仿宋_GB2312" w:cs="仿宋_GB2312"/>
          <w:color w:val="auto"/>
          <w:sz w:val="32"/>
          <w:szCs w:val="32"/>
          <w:highlight w:val="none"/>
          <w:lang w:val="en-US" w:eastAsia="zh-CN"/>
        </w:rPr>
        <w:t>2025年</w:t>
      </w:r>
      <w:r>
        <w:rPr>
          <w:rFonts w:hint="eastAsia" w:ascii="仿宋_GB2312" w:hAnsi="仿宋_GB2312" w:eastAsia="仿宋_GB2312" w:cs="仿宋_GB2312"/>
          <w:b w:val="0"/>
          <w:bCs w:val="0"/>
          <w:color w:val="auto"/>
          <w:sz w:val="32"/>
          <w:szCs w:val="32"/>
          <w:highlight w:val="none"/>
          <w:lang w:val="en-US" w:eastAsia="zh-CN"/>
        </w:rPr>
        <w:t>7月18日下午</w:t>
      </w:r>
      <w:r>
        <w:rPr>
          <w:rFonts w:hint="eastAsia" w:ascii="仿宋_GB2312" w:hAnsi="仿宋_GB2312" w:eastAsia="仿宋_GB2312" w:cs="仿宋_GB2312"/>
          <w:color w:val="auto"/>
          <w:sz w:val="32"/>
          <w:szCs w:val="32"/>
          <w:highlight w:val="none"/>
          <w:lang w:val="en-US" w:eastAsia="zh-CN"/>
        </w:rPr>
        <w:t>3:00。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3.本项目由</w:t>
      </w:r>
      <w:r>
        <w:rPr>
          <w:rFonts w:hint="eastAsia" w:ascii="仿宋_GB2312" w:hAnsi="仿宋_GB2312" w:eastAsia="仿宋_GB2312" w:cs="仿宋_GB2312"/>
          <w:sz w:val="32"/>
          <w:szCs w:val="32"/>
          <w:highlight w:val="none"/>
          <w:lang w:val="en-US" w:eastAsia="zh-CN"/>
        </w:rPr>
        <w:t>龙岗区教育局评标小组评审，确认预中标公司及中标价格。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w:t>
      </w:r>
      <w:r>
        <w:rPr>
          <w:rFonts w:hint="eastAsia" w:ascii="仿宋_GB2312" w:hAnsi="仿宋_GB2312" w:eastAsia="仿宋_GB2312" w:cs="仿宋_GB2312"/>
          <w:sz w:val="32"/>
          <w:szCs w:val="32"/>
          <w:highlight w:val="none"/>
          <w:lang w:val="en-US" w:eastAsia="zh-CN"/>
        </w:rPr>
        <w:t>最终中标公司及中标价格通过龙岗政府在线的龙岗区教育局“阳光采购”栏目对结果进行公示，并发出中标通知书。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bCs/>
          <w:kern w:val="0"/>
          <w:sz w:val="32"/>
          <w:szCs w:val="32"/>
          <w:highlight w:val="none"/>
          <w:lang w:val="en-US" w:eastAsia="zh-CN"/>
        </w:rPr>
      </w:pPr>
      <w:r>
        <w:rPr>
          <w:rFonts w:hint="eastAsia" w:ascii="黑体" w:hAnsi="黑体" w:eastAsia="黑体" w:cs="黑体"/>
          <w:bCs/>
          <w:kern w:val="0"/>
          <w:sz w:val="32"/>
          <w:szCs w:val="32"/>
          <w:highlight w:val="none"/>
          <w:lang w:val="en-US" w:eastAsia="zh-CN"/>
        </w:rPr>
        <w:t>业务咨询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业务联系人：余老师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联系电话：  0755-89551975</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地址：龙岗区中心城清林中路213号教育综合大厦309办公室。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lang w:val="en-US" w:eastAsia="zh-CN"/>
        </w:rPr>
      </w:pPr>
    </w:p>
    <w:p>
      <w:pPr>
        <w:numPr>
          <w:ilvl w:val="0"/>
          <w:numId w:val="0"/>
        </w:numPr>
        <w:spacing w:line="600" w:lineRule="exact"/>
        <w:ind w:leftChars="0"/>
        <w:jc w:val="center"/>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w:t>
      </w:r>
    </w:p>
    <w:p>
      <w:pPr>
        <w:numPr>
          <w:ilvl w:val="0"/>
          <w:numId w:val="0"/>
        </w:numPr>
        <w:spacing w:line="600" w:lineRule="exact"/>
        <w:ind w:leftChars="0"/>
        <w:jc w:val="center"/>
        <w:rPr>
          <w:rFonts w:hint="eastAsia" w:ascii="仿宋" w:hAnsi="仿宋" w:eastAsia="仿宋" w:cs="仿宋"/>
          <w:bCs/>
          <w:kern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龙岗区教育局</w:t>
      </w:r>
    </w:p>
    <w:p>
      <w:pPr>
        <w:numPr>
          <w:ilvl w:val="0"/>
          <w:numId w:val="0"/>
        </w:numPr>
        <w:spacing w:line="600" w:lineRule="exact"/>
        <w:ind w:leftChars="0"/>
        <w:jc w:val="right"/>
        <w:rPr>
          <w:rFonts w:hint="eastAsia" w:ascii="仿宋" w:hAnsi="仿宋" w:eastAsia="仿宋" w:cs="仿宋"/>
          <w:bCs/>
          <w:kern w:val="0"/>
          <w:sz w:val="32"/>
          <w:szCs w:val="32"/>
          <w:highlight w:val="none"/>
          <w:lang w:val="en-US" w:eastAsia="zh-CN"/>
        </w:rPr>
      </w:pPr>
      <w:r>
        <w:rPr>
          <w:rFonts w:hint="eastAsia" w:ascii="仿宋" w:hAnsi="仿宋" w:eastAsia="仿宋" w:cs="仿宋"/>
          <w:bCs/>
          <w:kern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val="en-US" w:eastAsia="zh-CN"/>
        </w:rPr>
        <w:t>2025年7月14日</w:t>
      </w:r>
    </w:p>
    <w:p>
      <w:pPr>
        <w:jc w:val="left"/>
        <w:rPr>
          <w:rFonts w:hint="eastAsia" w:ascii="宋体" w:hAnsi="宋体" w:eastAsia="宋体" w:cs="宋体"/>
          <w:b/>
          <w:bCs/>
          <w:sz w:val="28"/>
          <w:szCs w:val="28"/>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长城仿宋">
    <w:altName w:val="黑体"/>
    <w:panose1 w:val="00000000000000000000"/>
    <w:charset w:val="86"/>
    <w:family w:val="modern"/>
    <w:pitch w:val="default"/>
    <w:sig w:usb0="00000000" w:usb1="00000000" w:usb2="00000010"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9DB4B"/>
    <w:multiLevelType w:val="singleLevel"/>
    <w:tmpl w:val="A119DB4B"/>
    <w:lvl w:ilvl="0" w:tentative="0">
      <w:start w:val="2"/>
      <w:numFmt w:val="chineseCounting"/>
      <w:suff w:val="nothing"/>
      <w:lvlText w:val="（%1）"/>
      <w:lvlJc w:val="left"/>
      <w:rPr>
        <w:rFonts w:hint="eastAsia"/>
      </w:rPr>
    </w:lvl>
  </w:abstractNum>
  <w:abstractNum w:abstractNumId="1">
    <w:nsid w:val="A43DCA20"/>
    <w:multiLevelType w:val="singleLevel"/>
    <w:tmpl w:val="A43DCA20"/>
    <w:lvl w:ilvl="0" w:tentative="0">
      <w:start w:val="1"/>
      <w:numFmt w:val="chineseCounting"/>
      <w:suff w:val="nothing"/>
      <w:lvlText w:val="%1、"/>
      <w:lvlJc w:val="left"/>
      <w:rPr>
        <w:rFonts w:hint="eastAsia"/>
        <w:sz w:val="32"/>
        <w:szCs w:val="32"/>
      </w:rPr>
    </w:lvl>
  </w:abstractNum>
  <w:abstractNum w:abstractNumId="2">
    <w:nsid w:val="4C6C3F94"/>
    <w:multiLevelType w:val="singleLevel"/>
    <w:tmpl w:val="4C6C3F9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20E05"/>
    <w:rsid w:val="01922277"/>
    <w:rsid w:val="024969D8"/>
    <w:rsid w:val="02C66D61"/>
    <w:rsid w:val="02D72D01"/>
    <w:rsid w:val="02DA4CED"/>
    <w:rsid w:val="036D1000"/>
    <w:rsid w:val="042C28C0"/>
    <w:rsid w:val="065B5A88"/>
    <w:rsid w:val="06F23CF7"/>
    <w:rsid w:val="08050524"/>
    <w:rsid w:val="095313C2"/>
    <w:rsid w:val="0A94125F"/>
    <w:rsid w:val="0CB462EB"/>
    <w:rsid w:val="0E044922"/>
    <w:rsid w:val="10636C3B"/>
    <w:rsid w:val="11955A3F"/>
    <w:rsid w:val="13600912"/>
    <w:rsid w:val="15815AD7"/>
    <w:rsid w:val="163C4F8E"/>
    <w:rsid w:val="16ED6288"/>
    <w:rsid w:val="17B44769"/>
    <w:rsid w:val="186825AE"/>
    <w:rsid w:val="197D61A0"/>
    <w:rsid w:val="19880107"/>
    <w:rsid w:val="1A4D304A"/>
    <w:rsid w:val="1ACB7819"/>
    <w:rsid w:val="1B71796D"/>
    <w:rsid w:val="1E820E05"/>
    <w:rsid w:val="239E16D9"/>
    <w:rsid w:val="23EE646C"/>
    <w:rsid w:val="2A1B6F7E"/>
    <w:rsid w:val="2AE1684B"/>
    <w:rsid w:val="2BE47E69"/>
    <w:rsid w:val="2C9F554F"/>
    <w:rsid w:val="2D453739"/>
    <w:rsid w:val="2DF8590E"/>
    <w:rsid w:val="2E6C7C0B"/>
    <w:rsid w:val="2EA213A0"/>
    <w:rsid w:val="30B71ED4"/>
    <w:rsid w:val="311B27B2"/>
    <w:rsid w:val="34877E03"/>
    <w:rsid w:val="35D24DFD"/>
    <w:rsid w:val="3604028D"/>
    <w:rsid w:val="39C34D75"/>
    <w:rsid w:val="3AC557D1"/>
    <w:rsid w:val="3B121B3D"/>
    <w:rsid w:val="3CE84C78"/>
    <w:rsid w:val="3D182F82"/>
    <w:rsid w:val="3D915310"/>
    <w:rsid w:val="3DDB6676"/>
    <w:rsid w:val="3EEC4865"/>
    <w:rsid w:val="3F6C2DF4"/>
    <w:rsid w:val="3F9E48B5"/>
    <w:rsid w:val="424714E0"/>
    <w:rsid w:val="43F74D81"/>
    <w:rsid w:val="444D17C3"/>
    <w:rsid w:val="445F326D"/>
    <w:rsid w:val="45C81AEB"/>
    <w:rsid w:val="471374A2"/>
    <w:rsid w:val="47AC3472"/>
    <w:rsid w:val="47BD3AC1"/>
    <w:rsid w:val="491D214E"/>
    <w:rsid w:val="4A27193A"/>
    <w:rsid w:val="4A2B5B43"/>
    <w:rsid w:val="4BE6200A"/>
    <w:rsid w:val="4E9E09AC"/>
    <w:rsid w:val="502768E7"/>
    <w:rsid w:val="51215764"/>
    <w:rsid w:val="51FD2B1C"/>
    <w:rsid w:val="5268443A"/>
    <w:rsid w:val="545A0359"/>
    <w:rsid w:val="5809221B"/>
    <w:rsid w:val="59BD6FD0"/>
    <w:rsid w:val="59E327BA"/>
    <w:rsid w:val="5A041D8D"/>
    <w:rsid w:val="61823F79"/>
    <w:rsid w:val="62E24294"/>
    <w:rsid w:val="63172842"/>
    <w:rsid w:val="63EF5599"/>
    <w:rsid w:val="64B30C27"/>
    <w:rsid w:val="655125D3"/>
    <w:rsid w:val="65536795"/>
    <w:rsid w:val="656B0071"/>
    <w:rsid w:val="664353C9"/>
    <w:rsid w:val="69DC5A89"/>
    <w:rsid w:val="6AC737B4"/>
    <w:rsid w:val="6AD0101C"/>
    <w:rsid w:val="6BB64F1A"/>
    <w:rsid w:val="6D537B3F"/>
    <w:rsid w:val="6F2B2E7D"/>
    <w:rsid w:val="71264BC1"/>
    <w:rsid w:val="72820B90"/>
    <w:rsid w:val="72DA4A88"/>
    <w:rsid w:val="73D95F4D"/>
    <w:rsid w:val="747861FC"/>
    <w:rsid w:val="74B151E7"/>
    <w:rsid w:val="74BA1537"/>
    <w:rsid w:val="76DB7075"/>
    <w:rsid w:val="785525EF"/>
    <w:rsid w:val="7EF70A41"/>
    <w:rsid w:val="7F5D7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4"/>
    <w:next w:val="1"/>
    <w:unhideWhenUsed/>
    <w:qFormat/>
    <w:uiPriority w:val="0"/>
    <w:pPr>
      <w:spacing w:before="260" w:after="260" w:line="240" w:lineRule="auto"/>
      <w:outlineLvl w:val="2"/>
    </w:pPr>
    <w:rPr>
      <w:rFonts w:ascii="宋体" w:hAnsi="宋体" w:eastAsia="宋体" w:cs="Times New Roman"/>
      <w:szCs w:val="32"/>
    </w:rPr>
  </w:style>
  <w:style w:type="paragraph" w:styleId="4">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next w:val="7"/>
    <w:qFormat/>
    <w:uiPriority w:val="0"/>
    <w:pPr>
      <w:spacing w:line="360" w:lineRule="auto"/>
    </w:pPr>
    <w:rPr>
      <w:b/>
      <w:bCs/>
      <w:sz w:val="24"/>
    </w:rPr>
  </w:style>
  <w:style w:type="paragraph" w:styleId="7">
    <w:name w:val="Body Text 2"/>
    <w:basedOn w:val="1"/>
    <w:qFormat/>
    <w:uiPriority w:val="0"/>
    <w:pPr>
      <w:spacing w:line="360" w:lineRule="auto"/>
    </w:pPr>
    <w:rPr>
      <w:sz w:val="24"/>
    </w:rPr>
  </w:style>
  <w:style w:type="paragraph" w:styleId="8">
    <w:name w:val="Body Text Indent"/>
    <w:basedOn w:val="1"/>
    <w:next w:val="1"/>
    <w:qFormat/>
    <w:uiPriority w:val="0"/>
    <w:pPr>
      <w:ind w:left="2098"/>
    </w:pPr>
    <w:rPr>
      <w:color w:val="000000"/>
      <w:sz w:val="24"/>
    </w:rPr>
  </w:style>
  <w:style w:type="paragraph" w:styleId="9">
    <w:name w:val="footer"/>
    <w:basedOn w:val="1"/>
    <w:next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14">
    <w:name w:val="Default"/>
    <w:next w:val="8"/>
    <w:qFormat/>
    <w:uiPriority w:val="99"/>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
    <w:name w:val="Table Text"/>
    <w:basedOn w:val="1"/>
    <w:semiHidden/>
    <w:qFormat/>
    <w:uiPriority w:val="0"/>
    <w:rPr>
      <w:rFonts w:ascii="宋体" w:hAnsi="宋体" w:eastAsia="宋体" w:cs="宋体"/>
      <w:sz w:val="24"/>
      <w:szCs w:val="24"/>
      <w:lang w:val="en-US" w:eastAsia="en-US" w:bidi="ar-SA"/>
    </w:rPr>
  </w:style>
  <w:style w:type="table" w:customStyle="1" w:styleId="1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8329</Words>
  <Characters>8589</Characters>
  <Lines>0</Lines>
  <Paragraphs>0</Paragraphs>
  <TotalTime>30</TotalTime>
  <ScaleCrop>false</ScaleCrop>
  <LinksUpToDate>false</LinksUpToDate>
  <CharactersWithSpaces>8826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2022-02-09T01:37:00Z</dcterms:created>
  <dc:creator>admin</dc:creator>
  <cp:lastModifiedBy>赖洪源</cp:lastModifiedBy>
  <cp:lastPrinted>2025-07-07T03:19:00Z</cp:lastPrinted>
  <dcterms:modified xsi:type="dcterms:W3CDTF">2025-07-14T01:13:06Z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7ADD84D3DD0E449BABDFBEBF1A822194</vt:lpwstr>
  </property>
  <property fmtid="{D5CDD505-2E9C-101B-9397-08002B2CF9AE}" pid="4" name="KSOTemplateDocerSaveRecord">
    <vt:lpwstr>eyJoZGlkIjoiMTQ5OWU3ZGU2ZDIzNzUzYTZhMTUwOWJjMGM5NWFlYjYifQ==</vt:lpwstr>
  </property>
</Properties>
</file>