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D777D">
      <w:pPr>
        <w:rPr>
          <w:highlight w:val="none"/>
        </w:rPr>
      </w:pPr>
    </w:p>
    <w:p w14:paraId="0A999790">
      <w:pPr>
        <w:spacing w:line="360" w:lineRule="auto"/>
        <w:jc w:val="center"/>
        <w:rPr>
          <w:rFonts w:ascii="宋体" w:hAnsi="宋体"/>
          <w:b/>
          <w:sz w:val="48"/>
          <w:szCs w:val="48"/>
          <w:highlight w:val="none"/>
        </w:rPr>
      </w:pPr>
    </w:p>
    <w:p w14:paraId="6772BA8F">
      <w:pPr>
        <w:spacing w:beforeLines="50" w:afterLines="100" w:line="360" w:lineRule="auto"/>
        <w:jc w:val="center"/>
        <w:rPr>
          <w:rFonts w:hint="eastAsia" w:ascii="宋体" w:hAnsi="宋体"/>
          <w:b/>
          <w:sz w:val="44"/>
          <w:szCs w:val="44"/>
          <w:highlight w:val="none"/>
        </w:rPr>
      </w:pPr>
      <w:r>
        <w:rPr>
          <w:rFonts w:hint="eastAsia" w:ascii="宋体" w:hAnsi="宋体"/>
          <w:b/>
          <w:sz w:val="44"/>
          <w:szCs w:val="44"/>
          <w:highlight w:val="none"/>
          <w:lang w:val="en-US" w:eastAsia="zh-CN"/>
        </w:rPr>
        <w:t>深圳市龙岗区人民医院“光储充”项目监理</w:t>
      </w:r>
    </w:p>
    <w:p w14:paraId="3857E045">
      <w:pPr>
        <w:spacing w:beforeLines="50" w:afterLines="100" w:line="360" w:lineRule="auto"/>
        <w:jc w:val="center"/>
        <w:rPr>
          <w:rFonts w:ascii="宋体" w:hAnsi="宋体"/>
          <w:b/>
          <w:sz w:val="72"/>
          <w:szCs w:val="72"/>
          <w:highlight w:val="none"/>
        </w:rPr>
      </w:pPr>
      <w:r>
        <w:rPr>
          <w:rFonts w:hint="eastAsia" w:ascii="宋体" w:hAnsi="宋体"/>
          <w:b/>
          <w:sz w:val="72"/>
          <w:szCs w:val="72"/>
          <w:highlight w:val="none"/>
        </w:rPr>
        <w:t>公开招标（自主）文件</w:t>
      </w:r>
    </w:p>
    <w:p w14:paraId="11A2FD1B">
      <w:pPr>
        <w:spacing w:line="360" w:lineRule="auto"/>
        <w:jc w:val="center"/>
        <w:rPr>
          <w:rFonts w:ascii="宋体" w:hAnsi="宋体"/>
          <w:b/>
          <w:sz w:val="32"/>
          <w:szCs w:val="32"/>
          <w:highlight w:val="none"/>
        </w:rPr>
      </w:pPr>
    </w:p>
    <w:p w14:paraId="02634F40">
      <w:pPr>
        <w:spacing w:line="360" w:lineRule="auto"/>
        <w:jc w:val="center"/>
        <w:rPr>
          <w:rFonts w:ascii="宋体" w:hAnsi="宋体"/>
          <w:b/>
          <w:sz w:val="32"/>
          <w:szCs w:val="32"/>
          <w:highlight w:val="none"/>
        </w:rPr>
      </w:pPr>
    </w:p>
    <w:p w14:paraId="5ABB6286">
      <w:pPr>
        <w:spacing w:line="360" w:lineRule="auto"/>
        <w:jc w:val="center"/>
        <w:rPr>
          <w:rFonts w:ascii="宋体" w:hAnsi="宋体"/>
          <w:b/>
          <w:sz w:val="32"/>
          <w:szCs w:val="32"/>
          <w:highlight w:val="none"/>
        </w:rPr>
      </w:pPr>
    </w:p>
    <w:p w14:paraId="7C49BE55">
      <w:pPr>
        <w:spacing w:line="360" w:lineRule="auto"/>
        <w:jc w:val="center"/>
        <w:rPr>
          <w:rFonts w:ascii="宋体" w:hAnsi="宋体"/>
          <w:b/>
          <w:sz w:val="32"/>
          <w:szCs w:val="32"/>
          <w:highlight w:val="none"/>
        </w:rPr>
      </w:pPr>
    </w:p>
    <w:p w14:paraId="6395BA2E">
      <w:pPr>
        <w:spacing w:line="360" w:lineRule="auto"/>
        <w:jc w:val="center"/>
        <w:rPr>
          <w:rFonts w:ascii="宋体" w:hAnsi="宋体"/>
          <w:b/>
          <w:sz w:val="32"/>
          <w:szCs w:val="32"/>
          <w:highlight w:val="none"/>
        </w:rPr>
      </w:pPr>
    </w:p>
    <w:p w14:paraId="0D109972">
      <w:pPr>
        <w:spacing w:line="360" w:lineRule="auto"/>
        <w:jc w:val="center"/>
        <w:rPr>
          <w:rFonts w:ascii="宋体" w:hAnsi="宋体"/>
          <w:b/>
          <w:sz w:val="32"/>
          <w:szCs w:val="32"/>
          <w:highlight w:val="none"/>
        </w:rPr>
      </w:pPr>
    </w:p>
    <w:p w14:paraId="0E0C5C48">
      <w:pPr>
        <w:spacing w:line="360" w:lineRule="auto"/>
        <w:jc w:val="center"/>
        <w:rPr>
          <w:rFonts w:ascii="宋体" w:hAnsi="宋体"/>
          <w:b/>
          <w:sz w:val="32"/>
          <w:szCs w:val="32"/>
          <w:highlight w:val="none"/>
        </w:rPr>
      </w:pPr>
    </w:p>
    <w:p w14:paraId="034AA6B2">
      <w:pPr>
        <w:adjustRightInd w:val="0"/>
        <w:snapToGrid w:val="0"/>
        <w:spacing w:line="560" w:lineRule="atLeast"/>
        <w:ind w:firstLine="602" w:firstLineChars="200"/>
        <w:jc w:val="center"/>
        <w:rPr>
          <w:rFonts w:hint="eastAsia" w:ascii="宋体" w:hAnsi="宋体" w:eastAsia="仿宋_GB2312" w:cs="宋体"/>
          <w:sz w:val="28"/>
          <w:szCs w:val="28"/>
          <w:highlight w:val="none"/>
          <w:lang w:eastAsia="zh-CN"/>
        </w:rPr>
      </w:pPr>
      <w:r>
        <w:rPr>
          <w:rFonts w:hint="eastAsia" w:ascii="仿宋_GB2312" w:hAnsi="宋体" w:eastAsia="仿宋_GB2312"/>
          <w:b/>
          <w:sz w:val="30"/>
          <w:szCs w:val="30"/>
          <w:highlight w:val="none"/>
        </w:rPr>
        <w:t>招标人：</w:t>
      </w:r>
      <w:r>
        <w:rPr>
          <w:rFonts w:hint="eastAsia" w:ascii="宋体" w:hAnsi="宋体" w:cs="宋体"/>
          <w:sz w:val="28"/>
          <w:szCs w:val="28"/>
          <w:highlight w:val="none"/>
          <w:lang w:eastAsia="zh-CN"/>
        </w:rPr>
        <w:t>深圳市龙岗区城投新基础设施建设管理有限公司</w:t>
      </w:r>
    </w:p>
    <w:p w14:paraId="4E9712D5">
      <w:pPr>
        <w:adjustRightInd w:val="0"/>
        <w:snapToGrid w:val="0"/>
        <w:spacing w:line="560" w:lineRule="atLeast"/>
        <w:ind w:firstLine="560" w:firstLineChars="200"/>
        <w:jc w:val="center"/>
        <w:rPr>
          <w:rFonts w:hint="eastAsia" w:ascii="宋体" w:hAnsi="宋体" w:eastAsia="宋体" w:cs="宋体"/>
          <w:sz w:val="28"/>
          <w:szCs w:val="28"/>
          <w:highlight w:val="none"/>
        </w:rPr>
      </w:pPr>
    </w:p>
    <w:p w14:paraId="3C3B8157">
      <w:pPr>
        <w:spacing w:line="540" w:lineRule="exact"/>
        <w:jc w:val="right"/>
        <w:rPr>
          <w:rFonts w:ascii="仿宋_GB2312" w:hAnsi="仿宋_GB2312" w:eastAsia="仿宋_GB2312" w:cs="仿宋_GB2312"/>
          <w:b/>
          <w:color w:val="000000"/>
          <w:sz w:val="30"/>
          <w:szCs w:val="30"/>
          <w:highlight w:val="none"/>
        </w:rPr>
      </w:pPr>
    </w:p>
    <w:p w14:paraId="52D19EE8">
      <w:pPr>
        <w:spacing w:line="360" w:lineRule="auto"/>
        <w:jc w:val="center"/>
        <w:rPr>
          <w:rFonts w:ascii="仿宋_GB2312" w:hAnsi="宋体" w:eastAsia="仿宋_GB2312"/>
          <w:b/>
          <w:sz w:val="30"/>
          <w:szCs w:val="30"/>
          <w:highlight w:val="none"/>
        </w:rPr>
      </w:pPr>
    </w:p>
    <w:p w14:paraId="09CEF965">
      <w:pPr>
        <w:spacing w:line="360" w:lineRule="auto"/>
        <w:jc w:val="center"/>
        <w:rPr>
          <w:rFonts w:ascii="宋体" w:hAnsi="宋体"/>
          <w:sz w:val="30"/>
          <w:szCs w:val="30"/>
          <w:highlight w:val="none"/>
        </w:rPr>
      </w:pPr>
      <w:r>
        <w:rPr>
          <w:rFonts w:hint="eastAsia" w:ascii="宋体" w:hAnsi="宋体"/>
          <w:sz w:val="30"/>
          <w:szCs w:val="30"/>
          <w:highlight w:val="none"/>
        </w:rPr>
        <w:t xml:space="preserve">   二〇二</w:t>
      </w:r>
      <w:r>
        <w:rPr>
          <w:rFonts w:hint="eastAsia" w:ascii="宋体" w:hAnsi="宋体"/>
          <w:sz w:val="30"/>
          <w:szCs w:val="30"/>
          <w:highlight w:val="none"/>
          <w:lang w:val="en-US" w:eastAsia="zh-CN"/>
        </w:rPr>
        <w:t>五</w:t>
      </w:r>
      <w:r>
        <w:rPr>
          <w:rFonts w:hint="eastAsia" w:ascii="宋体" w:hAnsi="宋体"/>
          <w:sz w:val="30"/>
          <w:szCs w:val="30"/>
          <w:highlight w:val="none"/>
        </w:rPr>
        <w:t>年</w:t>
      </w:r>
      <w:r>
        <w:rPr>
          <w:rFonts w:hint="eastAsia" w:ascii="宋体" w:hAnsi="宋体"/>
          <w:sz w:val="30"/>
          <w:szCs w:val="30"/>
          <w:highlight w:val="none"/>
          <w:lang w:val="en-US" w:eastAsia="zh-CN"/>
        </w:rPr>
        <w:t>七</w:t>
      </w:r>
      <w:r>
        <w:rPr>
          <w:rFonts w:hint="eastAsia" w:ascii="宋体" w:hAnsi="宋体"/>
          <w:sz w:val="30"/>
          <w:szCs w:val="30"/>
          <w:highlight w:val="none"/>
        </w:rPr>
        <w:t>月</w:t>
      </w:r>
    </w:p>
    <w:p w14:paraId="11A557AE">
      <w:pPr>
        <w:widowControl/>
        <w:spacing w:beforeLines="25" w:afterLines="25" w:line="360" w:lineRule="auto"/>
        <w:jc w:val="center"/>
        <w:rPr>
          <w:rFonts w:ascii="宋体" w:hAnsi="宋体"/>
          <w:b/>
          <w:sz w:val="32"/>
          <w:szCs w:val="32"/>
          <w:highlight w:val="none"/>
          <w:lang w:val="zh-CN"/>
        </w:rPr>
        <w:sectPr>
          <w:headerReference r:id="rId3" w:type="default"/>
          <w:footerReference r:id="rId4" w:type="default"/>
          <w:pgSz w:w="11906" w:h="16838"/>
          <w:pgMar w:top="1440" w:right="1800" w:bottom="1440" w:left="1800" w:header="850"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14:paraId="3E868309">
      <w:pPr>
        <w:widowControl/>
        <w:spacing w:beforeLines="25" w:afterLines="25" w:line="360" w:lineRule="auto"/>
        <w:jc w:val="center"/>
        <w:rPr>
          <w:rFonts w:ascii="宋体" w:hAnsi="宋体"/>
          <w:b/>
          <w:sz w:val="32"/>
          <w:szCs w:val="32"/>
          <w:highlight w:val="none"/>
          <w:lang w:val="zh-CN"/>
        </w:rPr>
      </w:pPr>
      <w:r>
        <w:rPr>
          <w:rFonts w:ascii="宋体" w:hAnsi="宋体"/>
          <w:b/>
          <w:sz w:val="32"/>
          <w:szCs w:val="32"/>
          <w:highlight w:val="none"/>
          <w:lang w:val="zh-CN"/>
        </w:rPr>
        <w:t>目</w:t>
      </w:r>
      <w:r>
        <w:rPr>
          <w:rFonts w:hint="eastAsia" w:ascii="宋体" w:hAnsi="宋体"/>
          <w:b/>
          <w:sz w:val="32"/>
          <w:szCs w:val="32"/>
          <w:highlight w:val="none"/>
          <w:lang w:val="zh-CN"/>
        </w:rPr>
        <w:t>　</w:t>
      </w:r>
      <w:r>
        <w:rPr>
          <w:rFonts w:ascii="宋体" w:hAnsi="宋体"/>
          <w:b/>
          <w:sz w:val="32"/>
          <w:szCs w:val="32"/>
          <w:highlight w:val="none"/>
          <w:lang w:val="zh-CN"/>
        </w:rPr>
        <w:t>录</w:t>
      </w:r>
    </w:p>
    <w:p w14:paraId="56D54505">
      <w:pPr>
        <w:spacing w:line="480" w:lineRule="auto"/>
        <w:jc w:val="left"/>
        <w:rPr>
          <w:rFonts w:hint="eastAsia" w:ascii="宋体" w:hAnsi="宋体" w:eastAsia="宋体"/>
          <w:sz w:val="24"/>
          <w:szCs w:val="24"/>
          <w:highlight w:val="none"/>
          <w:lang w:val="en-US" w:eastAsia="zh-CN"/>
        </w:rPr>
      </w:pPr>
      <w:r>
        <w:rPr>
          <w:rFonts w:hint="eastAsia" w:ascii="宋体" w:hAnsi="宋体"/>
          <w:sz w:val="24"/>
          <w:szCs w:val="24"/>
          <w:highlight w:val="none"/>
          <w:lang w:val="zh-CN"/>
        </w:rPr>
        <w:t>第一章</w:t>
      </w:r>
      <w:r>
        <w:rPr>
          <w:rFonts w:ascii="宋体" w:hAnsi="宋体"/>
          <w:sz w:val="24"/>
          <w:szCs w:val="24"/>
          <w:highlight w:val="none"/>
          <w:lang w:val="zh-CN"/>
        </w:rPr>
        <w:tab/>
      </w:r>
      <w:r>
        <w:rPr>
          <w:rFonts w:hint="eastAsia" w:ascii="宋体" w:hAnsi="宋体"/>
          <w:sz w:val="24"/>
          <w:szCs w:val="24"/>
          <w:highlight w:val="none"/>
          <w:lang w:val="zh-CN"/>
        </w:rPr>
        <w:t xml:space="preserve"> 公开招标（自主）公</w:t>
      </w:r>
      <w:r>
        <w:rPr>
          <w:rFonts w:hint="eastAsia" w:ascii="宋体" w:hAnsi="宋体"/>
          <w:sz w:val="24"/>
          <w:szCs w:val="24"/>
          <w:highlight w:val="none"/>
          <w:lang w:val="en-US" w:eastAsia="zh-CN"/>
        </w:rPr>
        <w:t>告</w:t>
      </w:r>
      <w:r>
        <w:rPr>
          <w:rFonts w:ascii="宋体" w:hAnsi="宋体"/>
          <w:sz w:val="24"/>
          <w:szCs w:val="24"/>
          <w:highlight w:val="none"/>
          <w:lang w:val="zh-CN"/>
        </w:rPr>
        <w:t>…………………………………………………</w:t>
      </w:r>
      <w:r>
        <w:rPr>
          <w:rFonts w:hint="eastAsia" w:ascii="宋体" w:hAnsi="宋体"/>
          <w:sz w:val="24"/>
          <w:szCs w:val="24"/>
          <w:highlight w:val="none"/>
          <w:lang w:val="en-US" w:eastAsia="zh-CN"/>
        </w:rPr>
        <w:t>3</w:t>
      </w:r>
    </w:p>
    <w:p w14:paraId="54F4A4C1">
      <w:pPr>
        <w:spacing w:line="480" w:lineRule="auto"/>
        <w:rPr>
          <w:rFonts w:hint="eastAsia" w:ascii="宋体" w:hAnsi="宋体" w:eastAsia="宋体"/>
          <w:sz w:val="24"/>
          <w:szCs w:val="24"/>
          <w:highlight w:val="none"/>
          <w:lang w:val="en-US" w:eastAsia="zh-CN"/>
        </w:rPr>
      </w:pPr>
      <w:r>
        <w:rPr>
          <w:rFonts w:hint="eastAsia" w:ascii="宋体" w:hAnsi="宋体"/>
          <w:sz w:val="24"/>
          <w:szCs w:val="24"/>
          <w:highlight w:val="none"/>
          <w:lang w:val="zh-CN"/>
        </w:rPr>
        <w:t>第二章  投标须知</w:t>
      </w:r>
      <w:r>
        <w:rPr>
          <w:rFonts w:ascii="宋体" w:hAnsi="宋体"/>
          <w:sz w:val="24"/>
          <w:szCs w:val="24"/>
          <w:highlight w:val="none"/>
          <w:lang w:val="zh-CN"/>
        </w:rPr>
        <w:t>…………………………………………………………………</w:t>
      </w:r>
      <w:r>
        <w:rPr>
          <w:rFonts w:hint="eastAsia" w:ascii="宋体" w:hAnsi="宋体"/>
          <w:sz w:val="24"/>
          <w:szCs w:val="24"/>
          <w:highlight w:val="none"/>
          <w:lang w:val="en-US" w:eastAsia="zh-CN"/>
        </w:rPr>
        <w:t>6</w:t>
      </w:r>
    </w:p>
    <w:p w14:paraId="6D69E925">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一、总</w:t>
      </w:r>
      <w:r>
        <w:rPr>
          <w:rFonts w:ascii="宋体" w:hAnsi="宋体"/>
          <w:sz w:val="24"/>
          <w:szCs w:val="24"/>
          <w:highlight w:val="none"/>
          <w:lang w:val="zh-CN"/>
        </w:rPr>
        <w:t xml:space="preserve">  </w:t>
      </w:r>
      <w:r>
        <w:rPr>
          <w:rFonts w:hint="eastAsia" w:ascii="宋体" w:hAnsi="宋体"/>
          <w:sz w:val="24"/>
          <w:szCs w:val="24"/>
          <w:highlight w:val="none"/>
          <w:lang w:val="zh-CN"/>
        </w:rPr>
        <w:t>则</w:t>
      </w:r>
      <w:r>
        <w:rPr>
          <w:rFonts w:ascii="宋体" w:hAnsi="宋体"/>
          <w:sz w:val="24"/>
          <w:szCs w:val="24"/>
          <w:highlight w:val="none"/>
          <w:lang w:val="zh-CN"/>
        </w:rPr>
        <w:t>………………………………………………………………………</w:t>
      </w:r>
      <w:r>
        <w:rPr>
          <w:rFonts w:hint="eastAsia" w:ascii="宋体" w:hAnsi="宋体"/>
          <w:sz w:val="24"/>
          <w:szCs w:val="24"/>
          <w:highlight w:val="none"/>
          <w:lang w:val="en-US" w:eastAsia="zh-CN"/>
        </w:rPr>
        <w:t>7</w:t>
      </w:r>
    </w:p>
    <w:p w14:paraId="11E4A53B">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二、文件的编制</w:t>
      </w:r>
      <w:r>
        <w:rPr>
          <w:rFonts w:ascii="宋体" w:hAnsi="宋体"/>
          <w:sz w:val="24"/>
          <w:szCs w:val="24"/>
          <w:highlight w:val="none"/>
          <w:lang w:val="zh-CN"/>
        </w:rPr>
        <w:t>…………………………………………………………………</w:t>
      </w:r>
      <w:r>
        <w:rPr>
          <w:rFonts w:hint="eastAsia" w:ascii="宋体" w:hAnsi="宋体"/>
          <w:sz w:val="24"/>
          <w:szCs w:val="24"/>
          <w:highlight w:val="none"/>
          <w:lang w:val="en-US" w:eastAsia="zh-CN"/>
        </w:rPr>
        <w:t>8</w:t>
      </w:r>
    </w:p>
    <w:p w14:paraId="1483983D">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三、投标文件的</w:t>
      </w:r>
      <w:r>
        <w:rPr>
          <w:rFonts w:hint="eastAsia" w:ascii="宋体" w:hAnsi="宋体"/>
          <w:sz w:val="24"/>
          <w:szCs w:val="24"/>
          <w:highlight w:val="none"/>
          <w:lang w:val="en-US" w:eastAsia="zh-CN"/>
        </w:rPr>
        <w:t>递</w:t>
      </w:r>
      <w:r>
        <w:rPr>
          <w:rFonts w:hint="eastAsia" w:ascii="宋体" w:hAnsi="宋体"/>
          <w:sz w:val="24"/>
          <w:szCs w:val="24"/>
          <w:highlight w:val="none"/>
          <w:lang w:val="zh-CN"/>
        </w:rPr>
        <w:t>交</w:t>
      </w:r>
      <w:r>
        <w:rPr>
          <w:rFonts w:ascii="宋体" w:hAnsi="宋体"/>
          <w:sz w:val="24"/>
          <w:szCs w:val="24"/>
          <w:highlight w:val="none"/>
          <w:lang w:val="zh-CN"/>
        </w:rPr>
        <w:t>……………………………………………………………</w:t>
      </w:r>
      <w:r>
        <w:rPr>
          <w:rFonts w:hint="eastAsia" w:ascii="宋体" w:hAnsi="宋体"/>
          <w:sz w:val="24"/>
          <w:szCs w:val="24"/>
          <w:highlight w:val="none"/>
          <w:lang w:val="en-US" w:eastAsia="zh-CN"/>
        </w:rPr>
        <w:t>8</w:t>
      </w:r>
    </w:p>
    <w:p w14:paraId="111E5A9D">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四、开</w:t>
      </w:r>
      <w:r>
        <w:rPr>
          <w:rFonts w:ascii="宋体" w:hAnsi="宋体"/>
          <w:sz w:val="24"/>
          <w:szCs w:val="24"/>
          <w:highlight w:val="none"/>
          <w:lang w:val="zh-CN"/>
        </w:rPr>
        <w:t xml:space="preserve">  </w:t>
      </w:r>
      <w:r>
        <w:rPr>
          <w:rFonts w:hint="eastAsia" w:ascii="宋体" w:hAnsi="宋体"/>
          <w:sz w:val="24"/>
          <w:szCs w:val="24"/>
          <w:highlight w:val="none"/>
          <w:lang w:val="zh-CN"/>
        </w:rPr>
        <w:t>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16410A1F">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五、资格审查</w:t>
      </w:r>
      <w:r>
        <w:rPr>
          <w:rFonts w:ascii="宋体" w:hAnsi="宋体"/>
          <w:sz w:val="24"/>
          <w:szCs w:val="24"/>
          <w:highlight w:val="none"/>
          <w:lang w:val="zh-CN"/>
        </w:rPr>
        <w:t>……………………………………………………………………</w:t>
      </w:r>
      <w:r>
        <w:rPr>
          <w:rFonts w:hint="eastAsia" w:ascii="宋体" w:hAnsi="宋体"/>
          <w:sz w:val="24"/>
          <w:szCs w:val="24"/>
          <w:highlight w:val="none"/>
          <w:lang w:val="en-US" w:eastAsia="zh-CN"/>
        </w:rPr>
        <w:t>9</w:t>
      </w:r>
    </w:p>
    <w:p w14:paraId="7D35AD42">
      <w:pPr>
        <w:spacing w:line="480" w:lineRule="auto"/>
        <w:ind w:firstLine="240" w:firstLineChars="100"/>
        <w:rPr>
          <w:rFonts w:hint="eastAsia" w:ascii="宋体" w:hAnsi="宋体" w:eastAsia="宋体"/>
          <w:sz w:val="24"/>
          <w:szCs w:val="24"/>
          <w:highlight w:val="none"/>
          <w:lang w:val="en-US" w:eastAsia="zh-CN"/>
        </w:rPr>
      </w:pPr>
      <w:r>
        <w:rPr>
          <w:rFonts w:hint="eastAsia" w:ascii="宋体" w:hAnsi="宋体"/>
          <w:sz w:val="24"/>
          <w:szCs w:val="24"/>
          <w:highlight w:val="none"/>
          <w:lang w:val="zh-CN"/>
        </w:rPr>
        <w:t>六、评标</w:t>
      </w:r>
      <w:r>
        <w:rPr>
          <w:rFonts w:ascii="宋体" w:hAnsi="宋体"/>
          <w:sz w:val="24"/>
          <w:szCs w:val="24"/>
          <w:highlight w:val="none"/>
          <w:lang w:val="zh-CN"/>
        </w:rPr>
        <w:t>…………………………………………………………………………</w:t>
      </w:r>
      <w:r>
        <w:rPr>
          <w:rFonts w:hint="eastAsia" w:ascii="宋体" w:hAnsi="宋体"/>
          <w:sz w:val="24"/>
          <w:szCs w:val="24"/>
          <w:highlight w:val="none"/>
          <w:lang w:val="en-US" w:eastAsia="zh-CN"/>
        </w:rPr>
        <w:t>9</w:t>
      </w:r>
    </w:p>
    <w:p w14:paraId="50C39FC1">
      <w:pPr>
        <w:spacing w:line="480" w:lineRule="auto"/>
        <w:ind w:firstLine="240" w:firstLineChars="100"/>
        <w:rPr>
          <w:rFonts w:hint="default" w:ascii="宋体" w:hAnsi="宋体" w:eastAsia="宋体"/>
          <w:sz w:val="24"/>
          <w:szCs w:val="24"/>
          <w:highlight w:val="none"/>
          <w:lang w:val="en-US" w:eastAsia="zh-CN"/>
        </w:rPr>
      </w:pPr>
      <w:r>
        <w:rPr>
          <w:rFonts w:hint="eastAsia" w:ascii="宋体" w:hAnsi="宋体"/>
          <w:sz w:val="24"/>
          <w:szCs w:val="24"/>
          <w:highlight w:val="none"/>
          <w:lang w:val="zh-CN"/>
        </w:rPr>
        <w:t>七、签订合同</w:t>
      </w:r>
      <w:r>
        <w:rPr>
          <w:rFonts w:ascii="宋体" w:hAnsi="宋体"/>
          <w:sz w:val="24"/>
          <w:szCs w:val="24"/>
          <w:highlight w:val="none"/>
          <w:lang w:val="zh-CN"/>
        </w:rPr>
        <w:t>……………………………………………………………………</w:t>
      </w:r>
      <w:r>
        <w:rPr>
          <w:rFonts w:hint="eastAsia" w:ascii="宋体" w:hAnsi="宋体"/>
          <w:sz w:val="24"/>
          <w:szCs w:val="24"/>
          <w:highlight w:val="none"/>
          <w:lang w:val="en-US" w:eastAsia="zh-CN"/>
        </w:rPr>
        <w:t>10</w:t>
      </w:r>
    </w:p>
    <w:p w14:paraId="0003DB38">
      <w:pPr>
        <w:spacing w:line="480" w:lineRule="auto"/>
        <w:rPr>
          <w:rFonts w:hint="default" w:ascii="宋体" w:hAnsi="宋体" w:eastAsia="宋体"/>
          <w:sz w:val="24"/>
          <w:szCs w:val="24"/>
          <w:highlight w:val="none"/>
          <w:lang w:val="en-US" w:eastAsia="zh-CN"/>
        </w:rPr>
      </w:pPr>
      <w:r>
        <w:rPr>
          <w:rFonts w:hint="eastAsia" w:ascii="宋体" w:hAnsi="宋体"/>
          <w:sz w:val="24"/>
          <w:szCs w:val="24"/>
          <w:highlight w:val="none"/>
        </w:rPr>
        <w:t>第</w:t>
      </w:r>
      <w:r>
        <w:rPr>
          <w:rFonts w:hint="eastAsia" w:ascii="宋体" w:hAnsi="宋体"/>
          <w:sz w:val="24"/>
          <w:szCs w:val="24"/>
          <w:highlight w:val="none"/>
          <w:lang w:val="en-US" w:eastAsia="zh-CN"/>
        </w:rPr>
        <w:t>三</w:t>
      </w:r>
      <w:r>
        <w:rPr>
          <w:rFonts w:hint="eastAsia" w:ascii="宋体" w:hAnsi="宋体"/>
          <w:sz w:val="24"/>
          <w:szCs w:val="24"/>
          <w:highlight w:val="none"/>
        </w:rPr>
        <w:t>章  投标文件格式</w:t>
      </w:r>
      <w:r>
        <w:rPr>
          <w:rFonts w:ascii="宋体" w:hAnsi="宋体"/>
          <w:sz w:val="24"/>
          <w:szCs w:val="24"/>
          <w:highlight w:val="none"/>
          <w:lang w:val="zh-CN"/>
        </w:rPr>
        <w:t>……………………………………………………………</w:t>
      </w:r>
      <w:r>
        <w:rPr>
          <w:rFonts w:hint="eastAsia" w:ascii="宋体" w:hAnsi="宋体"/>
          <w:sz w:val="24"/>
          <w:szCs w:val="24"/>
          <w:highlight w:val="none"/>
          <w:lang w:val="en-US" w:eastAsia="zh-CN"/>
        </w:rPr>
        <w:t>15</w:t>
      </w:r>
    </w:p>
    <w:p w14:paraId="5D47290F">
      <w:pPr>
        <w:rPr>
          <w:rFonts w:ascii="宋体" w:hAnsi="宋体"/>
          <w:sz w:val="24"/>
          <w:szCs w:val="24"/>
          <w:highlight w:val="none"/>
          <w:lang w:val="zh-CN"/>
        </w:rPr>
      </w:pPr>
      <w:r>
        <w:rPr>
          <w:rFonts w:ascii="宋体" w:hAnsi="宋体"/>
          <w:sz w:val="24"/>
          <w:szCs w:val="24"/>
          <w:highlight w:val="none"/>
        </w:rPr>
        <w:t xml:space="preserve"> </w:t>
      </w:r>
      <w:r>
        <w:rPr>
          <w:rFonts w:hint="eastAsia" w:ascii="宋体" w:hAnsi="宋体"/>
          <w:sz w:val="24"/>
          <w:szCs w:val="24"/>
          <w:highlight w:val="none"/>
        </w:rPr>
        <w:t xml:space="preserve"> </w:t>
      </w:r>
    </w:p>
    <w:p w14:paraId="4B862AD4">
      <w:pPr>
        <w:pStyle w:val="38"/>
        <w:tabs>
          <w:tab w:val="left" w:pos="840"/>
          <w:tab w:val="right" w:leader="dot" w:pos="8948"/>
        </w:tabs>
        <w:rPr>
          <w:highlight w:val="none"/>
        </w:rPr>
      </w:pPr>
      <w:r>
        <w:rPr>
          <w:rFonts w:hint="eastAsia" w:ascii="宋体" w:hAnsi="宋体"/>
          <w:highlight w:val="none"/>
        </w:rPr>
        <w:fldChar w:fldCharType="begin"/>
      </w:r>
      <w:r>
        <w:rPr>
          <w:highlight w:val="none"/>
        </w:rPr>
        <w:instrText xml:space="preserve">TOC \o "1-3" \t "" \h \z \u </w:instrText>
      </w:r>
      <w:r>
        <w:rPr>
          <w:rFonts w:hint="eastAsia" w:ascii="宋体" w:hAnsi="宋体"/>
          <w:highlight w:val="none"/>
        </w:rPr>
        <w:fldChar w:fldCharType="separate"/>
      </w:r>
    </w:p>
    <w:p w14:paraId="47F5D4B0">
      <w:pPr>
        <w:widowControl/>
        <w:spacing w:beforeLines="25" w:afterLines="25" w:line="360" w:lineRule="auto"/>
        <w:jc w:val="center"/>
        <w:rPr>
          <w:rFonts w:ascii="宋体" w:hAnsi="宋体"/>
          <w:b/>
          <w:sz w:val="36"/>
          <w:szCs w:val="36"/>
          <w:highlight w:val="none"/>
        </w:rPr>
      </w:pPr>
      <w:r>
        <w:rPr>
          <w:rFonts w:hint="eastAsia"/>
          <w:highlight w:val="none"/>
        </w:rPr>
        <w:fldChar w:fldCharType="end"/>
      </w:r>
      <w:r>
        <w:rPr>
          <w:rFonts w:ascii="宋体" w:hAnsi="宋体"/>
          <w:highlight w:val="none"/>
        </w:rPr>
        <w:br w:type="page"/>
      </w:r>
      <w:bookmarkStart w:id="0" w:name="_Toc509669684"/>
      <w:r>
        <w:rPr>
          <w:rFonts w:ascii="宋体" w:hAnsi="宋体"/>
          <w:b/>
          <w:sz w:val="36"/>
          <w:szCs w:val="36"/>
          <w:highlight w:val="none"/>
        </w:rPr>
        <w:t>第一章</w:t>
      </w:r>
      <w:r>
        <w:rPr>
          <w:rFonts w:hint="eastAsia" w:ascii="宋体" w:hAnsi="宋体"/>
          <w:b/>
          <w:sz w:val="36"/>
          <w:szCs w:val="36"/>
          <w:highlight w:val="none"/>
        </w:rPr>
        <w:t xml:space="preserve">  </w:t>
      </w:r>
      <w:bookmarkEnd w:id="0"/>
      <w:r>
        <w:rPr>
          <w:rFonts w:hint="eastAsia" w:ascii="宋体" w:hAnsi="宋体"/>
          <w:b/>
          <w:sz w:val="36"/>
          <w:szCs w:val="36"/>
          <w:highlight w:val="none"/>
          <w:lang w:eastAsia="zh-CN"/>
        </w:rPr>
        <w:t>公开招标（自主）</w:t>
      </w:r>
      <w:r>
        <w:rPr>
          <w:rFonts w:hint="eastAsia" w:ascii="宋体" w:hAnsi="宋体"/>
          <w:b/>
          <w:sz w:val="36"/>
          <w:szCs w:val="36"/>
          <w:highlight w:val="none"/>
        </w:rPr>
        <w:t>公告</w:t>
      </w:r>
    </w:p>
    <w:p w14:paraId="25C513B8">
      <w:pPr>
        <w:spacing w:line="540" w:lineRule="exact"/>
        <w:rPr>
          <w:rFonts w:hint="eastAsia" w:ascii="仿宋_GB2312" w:hAnsi="仿宋_GB2312" w:eastAsia="仿宋_GB2312" w:cs="仿宋_GB2312"/>
          <w:sz w:val="28"/>
          <w:szCs w:val="28"/>
          <w:highlight w:val="none"/>
          <w:lang w:val="en-US" w:eastAsia="zh-CN"/>
        </w:rPr>
      </w:pPr>
      <w:bookmarkStart w:id="1" w:name="_Toc509669685"/>
      <w:r>
        <w:rPr>
          <w:rFonts w:hint="eastAsia" w:ascii="仿宋_GB2312" w:hAnsi="仿宋_GB2312" w:eastAsia="仿宋_GB2312" w:cs="仿宋_GB2312"/>
          <w:b/>
          <w:bCs/>
          <w:sz w:val="28"/>
          <w:szCs w:val="28"/>
          <w:highlight w:val="none"/>
        </w:rPr>
        <w:t>一、项目名称：</w:t>
      </w:r>
      <w:r>
        <w:rPr>
          <w:rFonts w:hint="eastAsia" w:ascii="仿宋_GB2312" w:hAnsi="仿宋_GB2312" w:eastAsia="仿宋_GB2312" w:cs="仿宋_GB2312"/>
          <w:b w:val="0"/>
          <w:bCs w:val="0"/>
          <w:sz w:val="28"/>
          <w:szCs w:val="28"/>
          <w:highlight w:val="none"/>
        </w:rPr>
        <w:t>深圳市龙岗区人民医院“光储充”项目</w:t>
      </w:r>
      <w:r>
        <w:rPr>
          <w:rFonts w:hint="eastAsia" w:ascii="仿宋_GB2312" w:hAnsi="仿宋_GB2312" w:eastAsia="仿宋_GB2312" w:cs="仿宋_GB2312"/>
          <w:sz w:val="28"/>
          <w:szCs w:val="28"/>
          <w:highlight w:val="none"/>
          <w:lang w:val="en-US" w:eastAsia="zh-CN"/>
        </w:rPr>
        <w:t>监理。</w:t>
      </w:r>
    </w:p>
    <w:p w14:paraId="50A1A4E9">
      <w:pPr>
        <w:spacing w:line="540" w:lineRule="exact"/>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bCs/>
          <w:sz w:val="28"/>
          <w:szCs w:val="28"/>
          <w:highlight w:val="none"/>
        </w:rPr>
        <w:t>二、项目概况：</w:t>
      </w:r>
      <w:r>
        <w:rPr>
          <w:rFonts w:hint="eastAsia" w:ascii="仿宋_GB2312" w:hAnsi="仿宋_GB2312" w:eastAsia="仿宋_GB2312" w:cs="仿宋_GB2312"/>
          <w:b w:val="0"/>
          <w:bCs w:val="0"/>
          <w:sz w:val="28"/>
          <w:szCs w:val="28"/>
          <w:highlight w:val="none"/>
        </w:rPr>
        <w:t>深圳市龙岗区人民医院“光储充”项目建设内容由屋顶光伏、分布式储能、地面快充和地下慢充四个部分组成。</w:t>
      </w:r>
    </w:p>
    <w:p w14:paraId="45CE7BA1">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eastAsia="仿宋_GB2312" w:cs="Times New Roman"/>
          <w:sz w:val="28"/>
          <w:szCs w:val="28"/>
          <w:highlight w:val="none"/>
          <w:lang w:eastAsia="zh-CN"/>
        </w:rPr>
        <w:t>（1）</w:t>
      </w:r>
      <w:r>
        <w:rPr>
          <w:rFonts w:hint="eastAsia" w:ascii="仿宋_GB2312" w:hAnsi="仿宋_GB2312" w:eastAsia="仿宋_GB2312" w:cs="仿宋_GB2312"/>
          <w:b w:val="0"/>
          <w:bCs w:val="0"/>
          <w:sz w:val="28"/>
          <w:szCs w:val="28"/>
          <w:highlight w:val="none"/>
        </w:rPr>
        <w:t>地面快充：项目在卫健局右侧出入口附近占用11个车位，配置一套600KW充电堆</w:t>
      </w:r>
      <w:r>
        <w:rPr>
          <w:rFonts w:hint="eastAsia" w:ascii="仿宋_GB2312" w:hAnsi="仿宋_GB2312" w:eastAsia="仿宋_GB2312" w:cs="仿宋_GB2312"/>
          <w:b w:val="0"/>
          <w:bCs w:val="0"/>
          <w:sz w:val="28"/>
          <w:szCs w:val="28"/>
          <w:highlight w:val="none"/>
          <w:lang w:val="en-US" w:eastAsia="zh-CN"/>
        </w:rPr>
        <w:t>14</w:t>
      </w:r>
      <w:r>
        <w:rPr>
          <w:rFonts w:hint="eastAsia" w:ascii="仿宋_GB2312" w:hAnsi="仿宋_GB2312" w:eastAsia="仿宋_GB2312" w:cs="仿宋_GB2312"/>
          <w:b w:val="0"/>
          <w:bCs w:val="0"/>
          <w:sz w:val="28"/>
          <w:szCs w:val="28"/>
          <w:highlight w:val="none"/>
        </w:rPr>
        <w:t>（1拖11枪，其中1个液冷超充枪）及一座800KVA箱变；</w:t>
      </w:r>
    </w:p>
    <w:p w14:paraId="17DE0D59">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地下慢充：将健康大楼负二层的125台现有的慢充设施更换成带4G无线功能的新设备，并改造线路接入新建800KVA箱变；</w:t>
      </w:r>
    </w:p>
    <w:p w14:paraId="52FCC6AF">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分布式储能：在卫健局右侧车库出入口附近配置5套100kW/215kwh的户外储能电池柜，总装机容量500kW/1075kWh；</w:t>
      </w:r>
    </w:p>
    <w:p w14:paraId="26769DE2">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屋顶光伏：在门诊楼和住院楼的空余屋顶安装分布式太阳能光伏板，光伏装机容量315kWp。</w:t>
      </w:r>
    </w:p>
    <w:p w14:paraId="7038C555">
      <w:pPr>
        <w:spacing w:line="540" w:lineRule="exact"/>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t>项目总投资约379万元。</w:t>
      </w:r>
    </w:p>
    <w:p w14:paraId="0EDD7415">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工作范围：</w:t>
      </w:r>
      <w:r>
        <w:rPr>
          <w:rFonts w:hint="eastAsia" w:ascii="仿宋_GB2312" w:hAnsi="仿宋_GB2312" w:eastAsia="仿宋_GB2312" w:cs="仿宋_GB2312"/>
          <w:b w:val="0"/>
          <w:bCs w:val="0"/>
          <w:sz w:val="28"/>
          <w:szCs w:val="28"/>
          <w:highlight w:val="none"/>
          <w:lang w:val="en-US" w:eastAsia="zh-CN"/>
        </w:rPr>
        <w:t>施工阶段、保修阶段（2年）的监理及相关服务。</w:t>
      </w:r>
    </w:p>
    <w:p w14:paraId="485644D7">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rPr>
        <w:t>四、</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价款</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sz w:val="28"/>
          <w:szCs w:val="28"/>
          <w:highlight w:val="none"/>
          <w:lang w:val="en-US" w:eastAsia="zh-CN"/>
        </w:rPr>
        <w:t>投</w:t>
      </w:r>
      <w:r>
        <w:rPr>
          <w:rFonts w:hint="eastAsia" w:ascii="仿宋_GB2312" w:hAnsi="仿宋_GB2312" w:eastAsia="仿宋_GB2312" w:cs="仿宋_GB2312"/>
          <w:b w:val="0"/>
          <w:bCs w:val="0"/>
          <w:sz w:val="28"/>
          <w:szCs w:val="28"/>
          <w:highlight w:val="none"/>
          <w:lang w:val="en-US" w:eastAsia="zh-CN"/>
        </w:rPr>
        <w:t>标上限价3</w:t>
      </w:r>
      <w:r>
        <w:rPr>
          <w:rFonts w:hint="default" w:ascii="仿宋_GB2312" w:hAnsi="仿宋_GB2312" w:eastAsia="仿宋_GB2312" w:cs="仿宋_GB2312"/>
          <w:b w:val="0"/>
          <w:bCs w:val="0"/>
          <w:sz w:val="28"/>
          <w:szCs w:val="28"/>
          <w:highlight w:val="none"/>
          <w:lang w:val="en-US" w:eastAsia="zh-CN"/>
        </w:rPr>
        <w:t>.</w:t>
      </w:r>
      <w:r>
        <w:rPr>
          <w:rFonts w:hint="eastAsia" w:ascii="仿宋_GB2312" w:hAnsi="仿宋_GB2312" w:eastAsia="仿宋_GB2312" w:cs="仿宋_GB2312"/>
          <w:b w:val="0"/>
          <w:bCs w:val="0"/>
          <w:sz w:val="28"/>
          <w:szCs w:val="28"/>
          <w:highlight w:val="none"/>
          <w:lang w:val="en-US" w:eastAsia="zh-CN"/>
        </w:rPr>
        <w:t>7699万元。</w:t>
      </w:r>
    </w:p>
    <w:p w14:paraId="03E2E5BB">
      <w:pPr>
        <w:spacing w:line="540" w:lineRule="exact"/>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kern w:val="2"/>
          <w:sz w:val="28"/>
          <w:szCs w:val="28"/>
          <w:highlight w:val="none"/>
          <w:lang w:val="en-US" w:eastAsia="zh-CN" w:bidi="ar-SA"/>
        </w:rPr>
        <w:t>五、报价要求：</w:t>
      </w:r>
      <w:r>
        <w:rPr>
          <w:rFonts w:hint="eastAsia" w:ascii="仿宋_GB2312" w:hAnsi="仿宋_GB2312" w:eastAsia="仿宋_GB2312" w:cs="仿宋_GB2312"/>
          <w:kern w:val="2"/>
          <w:sz w:val="28"/>
          <w:szCs w:val="28"/>
          <w:highlight w:val="none"/>
          <w:lang w:val="en-US" w:eastAsia="zh-CN" w:bidi="ar-SA"/>
        </w:rPr>
        <w:t>投标人在限价范围内，自主报价。</w:t>
      </w:r>
      <w:r>
        <w:rPr>
          <w:rFonts w:hint="eastAsia" w:ascii="仿宋_GB2312" w:hAnsi="仿宋_GB2312" w:eastAsia="仿宋_GB2312" w:cs="仿宋_GB2312"/>
          <w:b w:val="0"/>
          <w:bCs w:val="0"/>
          <w:sz w:val="28"/>
          <w:szCs w:val="28"/>
          <w:highlight w:val="none"/>
          <w:lang w:val="en-US" w:eastAsia="zh-CN"/>
        </w:rPr>
        <w:t>本次响应报价以下浮率填报为准，报价含所需所有税金和费用。</w:t>
      </w:r>
    </w:p>
    <w:p w14:paraId="7E895B39">
      <w:pPr>
        <w:spacing w:line="540" w:lineRule="exact"/>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六、响应单位资格要求：</w:t>
      </w:r>
      <w:r>
        <w:rPr>
          <w:rFonts w:hint="eastAsia" w:ascii="仿宋_GB2312" w:hAnsi="仿宋_GB2312" w:eastAsia="仿宋_GB2312" w:cs="仿宋_GB2312"/>
          <w:kern w:val="2"/>
          <w:sz w:val="28"/>
          <w:szCs w:val="28"/>
          <w:highlight w:val="none"/>
          <w:lang w:val="en-US" w:eastAsia="zh-CN" w:bidi="ar-SA"/>
        </w:rPr>
        <w:t>拥有电力工程监理乙级及以上资质。</w:t>
      </w:r>
    </w:p>
    <w:p w14:paraId="110BB57F">
      <w:pPr>
        <w:spacing w:line="540" w:lineRule="exact"/>
        <w:rPr>
          <w:rFonts w:hint="eastAsia" w:ascii="仿宋_GB2312" w:eastAsia="仿宋_GB2312"/>
          <w:sz w:val="28"/>
          <w:szCs w:val="28"/>
          <w:highlight w:val="none"/>
          <w:lang w:eastAsia="zh-CN"/>
        </w:rPr>
      </w:pPr>
      <w:r>
        <w:rPr>
          <w:rFonts w:hint="eastAsia" w:ascii="仿宋_GB2312" w:hAnsi="仿宋_GB2312" w:eastAsia="仿宋_GB2312" w:cs="仿宋_GB2312"/>
          <w:b/>
          <w:bCs/>
          <w:sz w:val="28"/>
          <w:szCs w:val="28"/>
          <w:highlight w:val="none"/>
        </w:rPr>
        <w:t>七、评审方法：</w:t>
      </w:r>
      <w:r>
        <w:rPr>
          <w:rFonts w:hint="eastAsia" w:ascii="仿宋_GB2312" w:eastAsia="仿宋_GB2312"/>
          <w:sz w:val="28"/>
          <w:szCs w:val="28"/>
          <w:highlight w:val="none"/>
        </w:rPr>
        <w:t>定性评审，票决定标</w:t>
      </w:r>
      <w:r>
        <w:rPr>
          <w:rFonts w:hint="eastAsia" w:ascii="仿宋_GB2312" w:eastAsia="仿宋_GB2312"/>
          <w:sz w:val="28"/>
          <w:szCs w:val="28"/>
          <w:highlight w:val="none"/>
          <w:lang w:eastAsia="zh-CN"/>
        </w:rPr>
        <w:t>。</w:t>
      </w:r>
    </w:p>
    <w:p w14:paraId="4A94ADF4">
      <w:pPr>
        <w:pStyle w:val="116"/>
        <w:numPr>
          <w:ilvl w:val="255"/>
          <w:numId w:val="0"/>
        </w:numPr>
        <w:spacing w:before="0" w:line="540" w:lineRule="exact"/>
        <w:rPr>
          <w:rFonts w:hint="eastAsia" w:ascii="仿宋_GB2312" w:hAnsi="Calibri" w:eastAsia="仿宋_GB2312"/>
          <w:sz w:val="28"/>
          <w:szCs w:val="28"/>
          <w:highlight w:val="none"/>
        </w:rPr>
      </w:pPr>
      <w:r>
        <w:rPr>
          <w:rFonts w:hint="eastAsia" w:ascii="仿宋_GB2312" w:hAnsi="仿宋_GB2312" w:eastAsia="仿宋_GB2312" w:cs="仿宋_GB2312"/>
          <w:b/>
          <w:bCs/>
          <w:sz w:val="28"/>
          <w:szCs w:val="28"/>
          <w:highlight w:val="none"/>
        </w:rPr>
        <w:t>八、</w:t>
      </w:r>
      <w:r>
        <w:rPr>
          <w:rFonts w:hint="eastAsia" w:ascii="仿宋_GB2312" w:hAnsi="仿宋_GB2312" w:eastAsia="仿宋_GB2312" w:cs="仿宋_GB2312"/>
          <w:b/>
          <w:bCs/>
          <w:sz w:val="28"/>
          <w:szCs w:val="28"/>
          <w:highlight w:val="none"/>
          <w:lang w:val="en-US" w:eastAsia="zh-CN"/>
        </w:rPr>
        <w:t>合同模式</w:t>
      </w:r>
      <w:r>
        <w:rPr>
          <w:rFonts w:hint="eastAsia" w:ascii="仿宋_GB2312" w:hAnsi="仿宋_GB2312" w:eastAsia="仿宋_GB2312" w:cs="仿宋_GB2312"/>
          <w:b/>
          <w:bCs/>
          <w:sz w:val="28"/>
          <w:szCs w:val="28"/>
          <w:highlight w:val="none"/>
        </w:rPr>
        <w:t>：</w:t>
      </w:r>
      <w:r>
        <w:rPr>
          <w:rFonts w:hint="eastAsia" w:ascii="仿宋_GB2312" w:hAnsi="Calibri" w:eastAsia="仿宋_GB2312"/>
          <w:sz w:val="28"/>
          <w:szCs w:val="28"/>
          <w:highlight w:val="none"/>
          <w:lang w:val="en-US" w:eastAsia="zh-CN"/>
        </w:rPr>
        <w:t>费率</w:t>
      </w:r>
      <w:r>
        <w:rPr>
          <w:rFonts w:hint="eastAsia" w:ascii="仿宋_GB2312" w:hAnsi="Calibri" w:eastAsia="仿宋_GB2312"/>
          <w:sz w:val="28"/>
          <w:szCs w:val="28"/>
          <w:highlight w:val="none"/>
        </w:rPr>
        <w:t>合同。</w:t>
      </w:r>
    </w:p>
    <w:p w14:paraId="57FE7F6D">
      <w:pPr>
        <w:pStyle w:val="116"/>
        <w:numPr>
          <w:ilvl w:val="255"/>
          <w:numId w:val="0"/>
        </w:numPr>
        <w:spacing w:before="0" w:line="560" w:lineRule="exac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九</w:t>
      </w:r>
      <w:r>
        <w:rPr>
          <w:rFonts w:hint="eastAsia" w:ascii="仿宋_GB2312" w:hAnsi="仿宋_GB2312" w:eastAsia="仿宋_GB2312" w:cs="仿宋_GB2312"/>
          <w:b/>
          <w:bCs/>
          <w:sz w:val="28"/>
          <w:szCs w:val="28"/>
          <w:highlight w:val="none"/>
        </w:rPr>
        <w:t>、支付方式：</w:t>
      </w:r>
    </w:p>
    <w:p w14:paraId="7318C060">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付款方式：工程开工15天后，支付监理合同费的30%，完成全部施工内容并通过竣工验收后，并将所有工程过程资料（包含但不限于工程设计变更资料及其审批表等）归档完毕，支付至监理合同费的60%，待监理合同结算审核完成后，支付至监理合同费的100%。</w:t>
      </w:r>
    </w:p>
    <w:p w14:paraId="09BBF607">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（2）结算原则：以施工标段招标控制价的40%为取费基数，依据计价格[2007]670号文收费标准及成交承包商所报下浮率结算。</w:t>
      </w:r>
    </w:p>
    <w:p w14:paraId="51B8809F">
      <w:pPr>
        <w:spacing w:line="54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十、履约评价：</w:t>
      </w:r>
    </w:p>
    <w:p w14:paraId="045F3ACD">
      <w:pPr>
        <w:spacing w:line="540" w:lineRule="exact"/>
        <w:ind w:firstLine="560" w:firstLineChars="200"/>
        <w:rPr>
          <w:rFonts w:hint="default"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按照《深圳市龙岗区城市建设投资集团有限公司工程建设项目合同履约评价管理办法》及《深圳市龙岗区城投新基础设施建设管理有限公司工程建设项目合同履约考核实施细则》执行，采用一次性履约评价方式。</w:t>
      </w:r>
    </w:p>
    <w:p w14:paraId="4F40EA00">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一</w:t>
      </w:r>
      <w:r>
        <w:rPr>
          <w:rFonts w:hint="eastAsia" w:ascii="仿宋_GB2312" w:hAnsi="仿宋_GB2312" w:eastAsia="仿宋_GB2312" w:cs="仿宋_GB2312"/>
          <w:b/>
          <w:bCs/>
          <w:sz w:val="28"/>
          <w:szCs w:val="28"/>
          <w:highlight w:val="none"/>
        </w:rPr>
        <w:t>、响应文件要求：</w:t>
      </w:r>
    </w:p>
    <w:p w14:paraId="1F9012A9">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本次公告时间从202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11</w:t>
      </w:r>
      <w:r>
        <w:rPr>
          <w:rFonts w:hint="eastAsia" w:ascii="仿宋_GB2312" w:hAnsi="仿宋_GB2312" w:eastAsia="仿宋_GB2312" w:cs="仿宋_GB2312"/>
          <w:sz w:val="28"/>
          <w:szCs w:val="28"/>
          <w:highlight w:val="yellow"/>
        </w:rPr>
        <w:t>日止，</w:t>
      </w:r>
      <w:r>
        <w:rPr>
          <w:rFonts w:hint="eastAsia" w:ascii="仿宋_GB2312" w:hAnsi="仿宋_GB2312" w:eastAsia="仿宋_GB2312" w:cs="仿宋_GB2312"/>
          <w:sz w:val="28"/>
          <w:szCs w:val="28"/>
          <w:highlight w:val="none"/>
        </w:rPr>
        <w:t>响应承包商应于</w:t>
      </w:r>
      <w:r>
        <w:rPr>
          <w:rFonts w:hint="eastAsia" w:ascii="仿宋_GB2312" w:hAnsi="仿宋_GB2312" w:eastAsia="仿宋_GB2312" w:cs="仿宋_GB2312"/>
          <w:sz w:val="28"/>
          <w:szCs w:val="28"/>
          <w:highlight w:val="yellow"/>
          <w:lang w:val="en-US" w:eastAsia="zh-CN"/>
        </w:rPr>
        <w:t>7</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lang w:val="en-US" w:eastAsia="zh-CN"/>
        </w:rPr>
        <w:t>11</w:t>
      </w:r>
      <w:r>
        <w:rPr>
          <w:rFonts w:hint="eastAsia" w:ascii="仿宋_GB2312" w:hAnsi="仿宋_GB2312" w:eastAsia="仿宋_GB2312" w:cs="仿宋_GB2312"/>
          <w:sz w:val="28"/>
          <w:szCs w:val="28"/>
          <w:highlight w:val="yellow"/>
        </w:rPr>
        <w:t>日1</w:t>
      </w:r>
      <w:r>
        <w:rPr>
          <w:rFonts w:hint="eastAsia" w:ascii="仿宋_GB2312" w:hAnsi="仿宋_GB2312" w:eastAsia="仿宋_GB2312" w:cs="仿宋_GB2312"/>
          <w:sz w:val="28"/>
          <w:szCs w:val="28"/>
          <w:highlight w:val="yellow"/>
          <w:lang w:val="en-US" w:eastAsia="zh-CN"/>
        </w:rPr>
        <w:t>5</w:t>
      </w:r>
      <w:r>
        <w:rPr>
          <w:rFonts w:hint="eastAsia" w:ascii="仿宋_GB2312" w:hAnsi="仿宋_GB2312" w:eastAsia="仿宋_GB2312" w:cs="仿宋_GB2312"/>
          <w:sz w:val="28"/>
          <w:szCs w:val="28"/>
          <w:highlight w:val="yellow"/>
        </w:rPr>
        <w:t>:00前</w:t>
      </w:r>
      <w:r>
        <w:rPr>
          <w:rFonts w:hint="eastAsia" w:ascii="仿宋_GB2312" w:hAnsi="仿宋_GB2312" w:eastAsia="仿宋_GB2312" w:cs="仿宋_GB2312"/>
          <w:sz w:val="28"/>
          <w:szCs w:val="28"/>
          <w:highlight w:val="none"/>
        </w:rPr>
        <w:t>将响应文件1正4副密封（统一密封，密封处加盖公章）交到龙岗区中心城腾飞路创投大厦</w:t>
      </w:r>
      <w:r>
        <w:rPr>
          <w:rFonts w:hint="eastAsia" w:ascii="仿宋_GB2312" w:hAnsi="仿宋_GB2312" w:eastAsia="仿宋_GB2312" w:cs="仿宋_GB2312"/>
          <w:sz w:val="28"/>
          <w:szCs w:val="28"/>
          <w:highlight w:val="none"/>
          <w:lang w:eastAsia="zh-CN"/>
        </w:rPr>
        <w:t>22</w:t>
      </w:r>
      <w:r>
        <w:rPr>
          <w:rFonts w:hint="eastAsia" w:ascii="仿宋_GB2312" w:hAnsi="仿宋_GB2312" w:eastAsia="仿宋_GB2312" w:cs="仿宋_GB2312"/>
          <w:sz w:val="28"/>
          <w:szCs w:val="28"/>
          <w:highlight w:val="none"/>
          <w:lang w:val="en-US" w:eastAsia="zh-CN"/>
        </w:rPr>
        <w:t>09</w:t>
      </w:r>
      <w:r>
        <w:rPr>
          <w:rFonts w:hint="eastAsia" w:ascii="仿宋_GB2312" w:hAnsi="仿宋_GB2312" w:eastAsia="仿宋_GB2312" w:cs="仿宋_GB2312"/>
          <w:sz w:val="28"/>
          <w:szCs w:val="28"/>
          <w:highlight w:val="none"/>
          <w:lang w:eastAsia="zh-CN"/>
        </w:rPr>
        <w:t>室</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新能源事业部</w:t>
      </w:r>
      <w:r>
        <w:rPr>
          <w:rFonts w:hint="eastAsia" w:ascii="仿宋_GB2312" w:hAnsi="仿宋_GB2312" w:eastAsia="仿宋_GB2312" w:cs="仿宋_GB2312"/>
          <w:sz w:val="28"/>
          <w:szCs w:val="28"/>
          <w:highlight w:val="none"/>
        </w:rPr>
        <w:t>，联系人：</w:t>
      </w:r>
      <w:r>
        <w:rPr>
          <w:rFonts w:hint="eastAsia" w:ascii="仿宋_GB2312" w:hAnsi="仿宋_GB2312" w:eastAsia="仿宋_GB2312" w:cs="仿宋_GB2312"/>
          <w:sz w:val="28"/>
          <w:szCs w:val="28"/>
          <w:highlight w:val="none"/>
          <w:lang w:val="en-US" w:eastAsia="zh-CN"/>
        </w:rPr>
        <w:t>陈</w:t>
      </w:r>
      <w:r>
        <w:rPr>
          <w:rFonts w:hint="eastAsia" w:ascii="仿宋_GB2312" w:hAnsi="仿宋_GB2312" w:eastAsia="仿宋_GB2312" w:cs="仿宋_GB2312"/>
          <w:sz w:val="28"/>
          <w:szCs w:val="28"/>
          <w:highlight w:val="none"/>
        </w:rPr>
        <w:t>工，0755-28507950），逾期送达或未按要求密封将予以拒收或原封退回给报价人。</w:t>
      </w:r>
    </w:p>
    <w:p w14:paraId="4689ABC8">
      <w:pPr>
        <w:numPr>
          <w:ilvl w:val="-1"/>
          <w:numId w:val="0"/>
        </w:numPr>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响应文件包含承诺函、委托人要求提供的资料等，详见</w:t>
      </w:r>
      <w:r>
        <w:rPr>
          <w:rFonts w:hint="eastAsia" w:ascii="仿宋_GB2312" w:hAnsi="仿宋_GB2312" w:eastAsia="仿宋_GB2312" w:cs="仿宋_GB2312"/>
          <w:sz w:val="28"/>
          <w:szCs w:val="28"/>
          <w:highlight w:val="none"/>
          <w:lang w:eastAsia="zh-CN"/>
        </w:rPr>
        <w:t>公开招标（自主）</w:t>
      </w:r>
      <w:r>
        <w:rPr>
          <w:rFonts w:hint="eastAsia" w:ascii="仿宋_GB2312" w:hAnsi="仿宋_GB2312" w:eastAsia="仿宋_GB2312" w:cs="仿宋_GB2312"/>
          <w:sz w:val="28"/>
          <w:szCs w:val="28"/>
          <w:highlight w:val="none"/>
        </w:rPr>
        <w:t>文件。</w:t>
      </w:r>
    </w:p>
    <w:p w14:paraId="544383F6">
      <w:pPr>
        <w:numPr>
          <w:ilvl w:val="-1"/>
          <w:numId w:val="0"/>
        </w:num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14:paraId="05854E85">
      <w:pPr>
        <w:spacing w:line="540" w:lineRule="exac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w:t>
      </w: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结果公示</w:t>
      </w:r>
    </w:p>
    <w:p w14:paraId="67A44BB1">
      <w:pPr>
        <w:spacing w:line="5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递交响应文件截止后，委托人将自行组织响应文件开启、评审等工作，确定承包单位后将在龙岗区城投集团官方网站进行公示。</w:t>
      </w:r>
    </w:p>
    <w:p w14:paraId="46F01C80">
      <w:pPr>
        <w:spacing w:line="540" w:lineRule="exact"/>
        <w:ind w:left="1687" w:hanging="1687" w:hangingChars="600"/>
        <w:rPr>
          <w:rFonts w:ascii="仿宋_GB2312" w:hAnsi="仿宋_GB2312" w:eastAsia="仿宋_GB2312" w:cs="仿宋_GB2312"/>
          <w:b/>
          <w:bCs/>
          <w:sz w:val="28"/>
          <w:szCs w:val="28"/>
          <w:highlight w:val="none"/>
        </w:rPr>
      </w:pPr>
    </w:p>
    <w:p w14:paraId="6882E065">
      <w:pPr>
        <w:spacing w:line="540" w:lineRule="exact"/>
        <w:ind w:left="1687" w:hanging="1687" w:hangingChars="600"/>
        <w:rPr>
          <w:rFonts w:ascii="仿宋_GB2312" w:hAnsi="仿宋_GB2312" w:eastAsia="仿宋_GB2312" w:cs="仿宋_GB2312"/>
          <w:b/>
          <w:bCs/>
          <w:sz w:val="28"/>
          <w:szCs w:val="28"/>
          <w:highlight w:val="none"/>
        </w:rPr>
      </w:pPr>
    </w:p>
    <w:p w14:paraId="13ED0453">
      <w:pPr>
        <w:rPr>
          <w:highlight w:val="none"/>
        </w:rPr>
      </w:pPr>
    </w:p>
    <w:p w14:paraId="34F41023">
      <w:pPr>
        <w:rPr>
          <w:highlight w:val="none"/>
        </w:rPr>
      </w:pPr>
    </w:p>
    <w:p w14:paraId="0C25FBA3">
      <w:pPr>
        <w:rPr>
          <w:highlight w:val="none"/>
        </w:rPr>
      </w:pPr>
    </w:p>
    <w:p w14:paraId="353326E4">
      <w:pPr>
        <w:spacing w:line="540" w:lineRule="exact"/>
        <w:ind w:left="1687" w:hanging="1687" w:hangingChars="6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特别说明：1.资格不符合要求的投标人不能进入比选程序。</w:t>
      </w:r>
    </w:p>
    <w:p w14:paraId="49A39F1C">
      <w:pPr>
        <w:numPr>
          <w:ilvl w:val="0"/>
          <w:numId w:val="0"/>
        </w:numPr>
        <w:spacing w:line="540" w:lineRule="exact"/>
        <w:ind w:left="1396" w:leftChars="665"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所有响应单位视为同意上述公告内容，确定为承包单位后按公告约定与委托人签署合同。</w:t>
      </w:r>
    </w:p>
    <w:p w14:paraId="043EB30F">
      <w:pPr>
        <w:numPr>
          <w:ilvl w:val="0"/>
          <w:numId w:val="0"/>
        </w:numPr>
        <w:spacing w:line="540" w:lineRule="exact"/>
        <w:ind w:left="1396" w:leftChars="665"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lang w:eastAsia="zh-CN"/>
        </w:rPr>
        <w:t>公开招标（自主）</w:t>
      </w:r>
      <w:r>
        <w:rPr>
          <w:rFonts w:hint="eastAsia" w:ascii="仿宋_GB2312" w:hAnsi="仿宋_GB2312" w:eastAsia="仿宋_GB2312" w:cs="仿宋_GB2312"/>
          <w:b/>
          <w:bCs/>
          <w:sz w:val="28"/>
          <w:szCs w:val="28"/>
          <w:highlight w:val="none"/>
        </w:rPr>
        <w:t>评审后，如承包单位放弃中选资格或者拒不签订合同的，委托人可以从资格审查合格的其他投标单位中采用原评审方法，由原评审小组确定承包单位。</w:t>
      </w:r>
    </w:p>
    <w:p w14:paraId="261E00AC">
      <w:pPr>
        <w:pStyle w:val="29"/>
        <w:spacing w:line="540" w:lineRule="exact"/>
        <w:rPr>
          <w:sz w:val="28"/>
          <w:szCs w:val="28"/>
          <w:highlight w:val="none"/>
        </w:rPr>
      </w:pPr>
    </w:p>
    <w:p w14:paraId="3D5CEAA6">
      <w:pPr>
        <w:adjustRightInd w:val="0"/>
        <w:snapToGrid w:val="0"/>
        <w:spacing w:line="560" w:lineRule="atLeast"/>
        <w:ind w:firstLine="560" w:firstLineChars="200"/>
        <w:jc w:val="center"/>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深圳市龙岗区城投新基础设施建设管理有限公司</w:t>
      </w:r>
    </w:p>
    <w:p w14:paraId="20490CD2">
      <w:pPr>
        <w:spacing w:line="540" w:lineRule="exact"/>
        <w:rPr>
          <w:rFonts w:ascii="仿宋_GB2312" w:hAnsi="仿宋_GB2312" w:eastAsia="仿宋_GB2312" w:cs="仿宋_GB2312"/>
          <w:sz w:val="28"/>
          <w:szCs w:val="28"/>
          <w:highlight w:val="none"/>
        </w:rPr>
      </w:pPr>
    </w:p>
    <w:p w14:paraId="664AB57F">
      <w:pPr>
        <w:spacing w:line="540" w:lineRule="exact"/>
        <w:ind w:firstLine="480"/>
        <w:rPr>
          <w:rFonts w:ascii="仿宋_GB2312" w:hAnsi="仿宋_GB2312" w:eastAsia="仿宋_GB2312" w:cs="仿宋_GB2312"/>
          <w:b/>
          <w:bCs/>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5</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7</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7</w:t>
      </w:r>
      <w:r>
        <w:rPr>
          <w:rFonts w:hint="eastAsia" w:ascii="仿宋_GB2312" w:hAnsi="仿宋_GB2312" w:eastAsia="仿宋_GB2312" w:cs="仿宋_GB2312"/>
          <w:b/>
          <w:bCs/>
          <w:sz w:val="28"/>
          <w:szCs w:val="28"/>
          <w:highlight w:val="none"/>
        </w:rPr>
        <w:t>日</w:t>
      </w:r>
    </w:p>
    <w:p w14:paraId="28040FAA">
      <w:pPr>
        <w:spacing w:line="540" w:lineRule="exact"/>
        <w:ind w:firstLine="480"/>
        <w:rPr>
          <w:rFonts w:ascii="仿宋_GB2312" w:hAnsi="仿宋_GB2312" w:eastAsia="仿宋_GB2312" w:cs="仿宋_GB2312"/>
          <w:b/>
          <w:bCs/>
          <w:sz w:val="28"/>
          <w:szCs w:val="28"/>
          <w:highlight w:val="none"/>
        </w:rPr>
      </w:pPr>
    </w:p>
    <w:p w14:paraId="2CA9EA6B">
      <w:pPr>
        <w:rPr>
          <w:highlight w:val="none"/>
        </w:rPr>
      </w:pPr>
      <w:r>
        <w:rPr>
          <w:highlight w:val="none"/>
        </w:rPr>
        <w:br w:type="page"/>
      </w:r>
    </w:p>
    <w:p w14:paraId="7857AAC1">
      <w:pPr>
        <w:pStyle w:val="24"/>
        <w:jc w:val="center"/>
        <w:rPr>
          <w:b/>
          <w:sz w:val="36"/>
          <w:szCs w:val="36"/>
          <w:highlight w:val="none"/>
        </w:rPr>
      </w:pPr>
      <w:r>
        <w:rPr>
          <w:rFonts w:hint="eastAsia"/>
          <w:b/>
          <w:sz w:val="36"/>
          <w:szCs w:val="36"/>
          <w:highlight w:val="none"/>
        </w:rPr>
        <w:t>第二章　</w:t>
      </w:r>
      <w:bookmarkStart w:id="2" w:name="_Toc306716052"/>
      <w:r>
        <w:rPr>
          <w:rFonts w:hint="eastAsia"/>
          <w:b/>
          <w:sz w:val="36"/>
          <w:szCs w:val="36"/>
          <w:highlight w:val="none"/>
        </w:rPr>
        <w:t>投标须知</w:t>
      </w:r>
      <w:bookmarkEnd w:id="1"/>
      <w:bookmarkEnd w:id="2"/>
    </w:p>
    <w:p w14:paraId="783B180E">
      <w:pPr>
        <w:pStyle w:val="24"/>
        <w:jc w:val="center"/>
        <w:rPr>
          <w:b/>
          <w:sz w:val="32"/>
          <w:szCs w:val="32"/>
          <w:highlight w:val="none"/>
        </w:rPr>
      </w:pPr>
      <w:r>
        <w:rPr>
          <w:rFonts w:hint="eastAsia"/>
          <w:b/>
          <w:sz w:val="32"/>
          <w:szCs w:val="32"/>
          <w:highlight w:val="none"/>
        </w:rPr>
        <w:t>投标须知前附表</w:t>
      </w:r>
    </w:p>
    <w:tbl>
      <w:tblPr>
        <w:tblStyle w:val="53"/>
        <w:tblpPr w:leftFromText="180" w:rightFromText="180" w:vertAnchor="text" w:horzAnchor="margin" w:tblpY="91"/>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34"/>
        <w:gridCol w:w="3151"/>
        <w:gridCol w:w="3108"/>
      </w:tblGrid>
      <w:tr w14:paraId="243A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14:paraId="23E30561">
            <w:pPr>
              <w:pStyle w:val="29"/>
              <w:rPr>
                <w:rFonts w:hint="eastAsia" w:hAnsi="宋体"/>
                <w:highlight w:val="none"/>
              </w:rPr>
            </w:pPr>
            <w:r>
              <w:rPr>
                <w:rFonts w:hint="eastAsia" w:hAnsi="宋体"/>
                <w:highlight w:val="none"/>
              </w:rPr>
              <w:t>序号</w:t>
            </w:r>
          </w:p>
        </w:tc>
        <w:tc>
          <w:tcPr>
            <w:tcW w:w="1534" w:type="dxa"/>
            <w:vAlign w:val="center"/>
          </w:tcPr>
          <w:p w14:paraId="4955C371">
            <w:pPr>
              <w:pStyle w:val="29"/>
              <w:rPr>
                <w:rFonts w:hint="eastAsia" w:hAnsi="宋体"/>
                <w:highlight w:val="none"/>
              </w:rPr>
            </w:pPr>
            <w:r>
              <w:rPr>
                <w:rFonts w:hint="eastAsia" w:hAnsi="宋体"/>
                <w:highlight w:val="none"/>
              </w:rPr>
              <w:t>项目明细内容</w:t>
            </w:r>
          </w:p>
        </w:tc>
        <w:tc>
          <w:tcPr>
            <w:tcW w:w="3151" w:type="dxa"/>
            <w:vAlign w:val="center"/>
          </w:tcPr>
          <w:p w14:paraId="24E6789D">
            <w:pPr>
              <w:pStyle w:val="29"/>
              <w:rPr>
                <w:rFonts w:hint="eastAsia" w:hAnsi="宋体"/>
                <w:highlight w:val="none"/>
              </w:rPr>
            </w:pPr>
            <w:r>
              <w:rPr>
                <w:rFonts w:hint="eastAsia" w:hAnsi="宋体"/>
                <w:highlight w:val="none"/>
              </w:rPr>
              <w:t>要求</w:t>
            </w:r>
          </w:p>
        </w:tc>
        <w:tc>
          <w:tcPr>
            <w:tcW w:w="3108" w:type="dxa"/>
            <w:vAlign w:val="center"/>
          </w:tcPr>
          <w:p w14:paraId="29AFE4EB">
            <w:pPr>
              <w:pStyle w:val="29"/>
              <w:rPr>
                <w:rFonts w:hint="eastAsia" w:hAnsi="宋体"/>
                <w:highlight w:val="none"/>
              </w:rPr>
            </w:pPr>
            <w:r>
              <w:rPr>
                <w:rFonts w:hint="eastAsia" w:hAnsi="宋体"/>
                <w:highlight w:val="none"/>
              </w:rPr>
              <w:t>备注</w:t>
            </w:r>
          </w:p>
        </w:tc>
      </w:tr>
      <w:tr w14:paraId="5E40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14:paraId="20F6011E">
            <w:pPr>
              <w:pStyle w:val="29"/>
              <w:rPr>
                <w:rFonts w:hint="eastAsia" w:hAnsi="宋体"/>
                <w:highlight w:val="none"/>
              </w:rPr>
            </w:pPr>
            <w:r>
              <w:rPr>
                <w:rFonts w:hint="eastAsia" w:hAnsi="宋体"/>
                <w:highlight w:val="none"/>
              </w:rPr>
              <w:t>1</w:t>
            </w:r>
          </w:p>
        </w:tc>
        <w:tc>
          <w:tcPr>
            <w:tcW w:w="1534" w:type="dxa"/>
            <w:vAlign w:val="center"/>
          </w:tcPr>
          <w:p w14:paraId="05C49E5E">
            <w:pPr>
              <w:pStyle w:val="29"/>
              <w:rPr>
                <w:rFonts w:hint="eastAsia" w:hAnsi="宋体"/>
                <w:highlight w:val="none"/>
              </w:rPr>
            </w:pPr>
            <w:r>
              <w:rPr>
                <w:rFonts w:hint="eastAsia" w:hAnsi="宋体"/>
                <w:highlight w:val="none"/>
                <w:lang w:eastAsia="zh-CN"/>
              </w:rPr>
              <w:t>公开招标（自主）</w:t>
            </w:r>
            <w:r>
              <w:rPr>
                <w:rFonts w:hint="eastAsia" w:hAnsi="宋体"/>
                <w:highlight w:val="none"/>
              </w:rPr>
              <w:t>文件</w:t>
            </w:r>
          </w:p>
        </w:tc>
        <w:tc>
          <w:tcPr>
            <w:tcW w:w="3151" w:type="dxa"/>
            <w:vAlign w:val="center"/>
          </w:tcPr>
          <w:p w14:paraId="4F4019B0">
            <w:pPr>
              <w:pStyle w:val="29"/>
              <w:rPr>
                <w:rFonts w:hint="eastAsia" w:hAnsi="宋体"/>
                <w:highlight w:val="none"/>
              </w:rPr>
            </w:pPr>
            <w:r>
              <w:rPr>
                <w:rFonts w:hint="eastAsia" w:hAnsi="宋体"/>
                <w:highlight w:val="yellow"/>
              </w:rPr>
              <w:t>公告时间从202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7</w:t>
            </w:r>
            <w:r>
              <w:rPr>
                <w:rFonts w:hint="eastAsia" w:hAnsi="宋体"/>
                <w:highlight w:val="yellow"/>
              </w:rPr>
              <w:t>月</w:t>
            </w:r>
            <w:r>
              <w:rPr>
                <w:rFonts w:hint="eastAsia" w:hAnsi="宋体"/>
                <w:highlight w:val="yellow"/>
                <w:lang w:val="en-US" w:eastAsia="zh-CN"/>
              </w:rPr>
              <w:t>7</w:t>
            </w:r>
            <w:r>
              <w:rPr>
                <w:rFonts w:hint="eastAsia" w:hAnsi="宋体"/>
                <w:highlight w:val="yellow"/>
              </w:rPr>
              <w:t>日—</w:t>
            </w:r>
            <w:r>
              <w:rPr>
                <w:rFonts w:hint="eastAsia" w:hAnsi="宋体"/>
                <w:highlight w:val="yellow"/>
                <w:lang w:val="en-US" w:eastAsia="zh-CN"/>
              </w:rPr>
              <w:t>7</w:t>
            </w:r>
            <w:r>
              <w:rPr>
                <w:rFonts w:hint="eastAsia" w:hAnsi="宋体"/>
                <w:highlight w:val="yellow"/>
              </w:rPr>
              <w:t>月</w:t>
            </w:r>
            <w:r>
              <w:rPr>
                <w:rFonts w:hint="eastAsia" w:hAnsi="宋体"/>
                <w:highlight w:val="yellow"/>
                <w:lang w:val="en-US" w:eastAsia="zh-CN"/>
              </w:rPr>
              <w:t>11</w:t>
            </w:r>
            <w:r>
              <w:rPr>
                <w:rFonts w:hint="eastAsia" w:hAnsi="宋体"/>
                <w:highlight w:val="yellow"/>
              </w:rPr>
              <w:t>日止</w:t>
            </w:r>
          </w:p>
        </w:tc>
        <w:tc>
          <w:tcPr>
            <w:tcW w:w="3108" w:type="dxa"/>
            <w:vAlign w:val="center"/>
          </w:tcPr>
          <w:p w14:paraId="6D75A96A">
            <w:pPr>
              <w:pStyle w:val="29"/>
              <w:rPr>
                <w:rFonts w:hint="eastAsia" w:hAnsi="宋体"/>
                <w:highlight w:val="none"/>
              </w:rPr>
            </w:pPr>
            <w:r>
              <w:rPr>
                <w:rFonts w:hint="eastAsia" w:hAnsi="宋体"/>
                <w:highlight w:val="none"/>
              </w:rPr>
              <w:t>龙岗区城投集团官方网站</w:t>
            </w:r>
          </w:p>
        </w:tc>
      </w:tr>
      <w:tr w14:paraId="14CA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15B6A96E">
            <w:pPr>
              <w:pStyle w:val="29"/>
              <w:rPr>
                <w:rFonts w:hint="eastAsia" w:hAnsi="宋体"/>
                <w:highlight w:val="none"/>
              </w:rPr>
            </w:pPr>
            <w:r>
              <w:rPr>
                <w:rFonts w:hint="eastAsia" w:hAnsi="宋体"/>
                <w:highlight w:val="none"/>
              </w:rPr>
              <w:t>2</w:t>
            </w:r>
          </w:p>
        </w:tc>
        <w:tc>
          <w:tcPr>
            <w:tcW w:w="1534" w:type="dxa"/>
            <w:vAlign w:val="center"/>
          </w:tcPr>
          <w:p w14:paraId="1D987BC5">
            <w:pPr>
              <w:pStyle w:val="29"/>
              <w:rPr>
                <w:rFonts w:hint="eastAsia" w:hAnsi="宋体"/>
                <w:highlight w:val="none"/>
              </w:rPr>
            </w:pPr>
            <w:r>
              <w:rPr>
                <w:rFonts w:hint="eastAsia" w:hAnsi="宋体"/>
                <w:highlight w:val="none"/>
                <w:lang w:eastAsia="zh-CN"/>
              </w:rPr>
              <w:t>公开招标（自主）</w:t>
            </w:r>
            <w:r>
              <w:rPr>
                <w:rFonts w:hint="eastAsia" w:hAnsi="宋体"/>
                <w:highlight w:val="none"/>
              </w:rPr>
              <w:t>上限价</w:t>
            </w:r>
          </w:p>
        </w:tc>
        <w:tc>
          <w:tcPr>
            <w:tcW w:w="3151" w:type="dxa"/>
            <w:vAlign w:val="center"/>
          </w:tcPr>
          <w:p w14:paraId="136C16CF">
            <w:pPr>
              <w:pStyle w:val="29"/>
              <w:rPr>
                <w:rFonts w:hint="eastAsia" w:hAnsi="宋体"/>
                <w:highlight w:val="yellow"/>
              </w:rPr>
            </w:pPr>
            <w:r>
              <w:rPr>
                <w:rFonts w:hint="eastAsia" w:hAnsi="宋体"/>
                <w:highlight w:val="yellow"/>
              </w:rPr>
              <w:t>3.7699万元</w:t>
            </w:r>
          </w:p>
        </w:tc>
        <w:tc>
          <w:tcPr>
            <w:tcW w:w="3108" w:type="dxa"/>
            <w:vMerge w:val="restart"/>
            <w:vAlign w:val="center"/>
          </w:tcPr>
          <w:p w14:paraId="5FFC1EF4">
            <w:pPr>
              <w:pStyle w:val="29"/>
              <w:rPr>
                <w:rFonts w:hint="eastAsia" w:hAnsi="宋体"/>
                <w:highlight w:val="none"/>
                <w:lang w:val="en-US" w:eastAsia="zh-CN"/>
              </w:rPr>
            </w:pPr>
          </w:p>
        </w:tc>
      </w:tr>
      <w:tr w14:paraId="3C7E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14:paraId="5B2D3C47">
            <w:pPr>
              <w:pStyle w:val="29"/>
              <w:rPr>
                <w:rFonts w:hint="eastAsia" w:hAnsi="宋体"/>
                <w:highlight w:val="none"/>
              </w:rPr>
            </w:pPr>
            <w:r>
              <w:rPr>
                <w:rFonts w:hint="eastAsia" w:hAnsi="宋体"/>
                <w:highlight w:val="none"/>
              </w:rPr>
              <w:t>3</w:t>
            </w:r>
          </w:p>
        </w:tc>
        <w:tc>
          <w:tcPr>
            <w:tcW w:w="1534" w:type="dxa"/>
            <w:vAlign w:val="center"/>
          </w:tcPr>
          <w:p w14:paraId="25007755">
            <w:pPr>
              <w:pStyle w:val="29"/>
              <w:rPr>
                <w:rFonts w:hint="eastAsia" w:hAnsi="宋体"/>
                <w:highlight w:val="none"/>
              </w:rPr>
            </w:pPr>
            <w:r>
              <w:rPr>
                <w:rFonts w:hint="eastAsia" w:hAnsi="宋体"/>
                <w:highlight w:val="none"/>
              </w:rPr>
              <w:t>投标报价要求</w:t>
            </w:r>
          </w:p>
        </w:tc>
        <w:tc>
          <w:tcPr>
            <w:tcW w:w="3151" w:type="dxa"/>
            <w:vAlign w:val="center"/>
          </w:tcPr>
          <w:p w14:paraId="05AEE0E4">
            <w:pPr>
              <w:pStyle w:val="29"/>
              <w:rPr>
                <w:rFonts w:hint="eastAsia" w:hAnsi="宋体"/>
                <w:highlight w:val="none"/>
              </w:rPr>
            </w:pPr>
            <w:r>
              <w:rPr>
                <w:rFonts w:hint="eastAsia" w:hAnsi="宋体"/>
                <w:highlight w:val="none"/>
                <w:lang w:val="en-US" w:eastAsia="zh-CN"/>
              </w:rPr>
              <w:t>自主报价</w:t>
            </w:r>
          </w:p>
        </w:tc>
        <w:tc>
          <w:tcPr>
            <w:tcW w:w="3108" w:type="dxa"/>
            <w:vMerge w:val="continue"/>
            <w:vAlign w:val="center"/>
          </w:tcPr>
          <w:p w14:paraId="1462CA6F">
            <w:pPr>
              <w:pStyle w:val="29"/>
              <w:rPr>
                <w:rFonts w:hint="eastAsia" w:hAnsi="宋体"/>
                <w:highlight w:val="none"/>
              </w:rPr>
            </w:pPr>
          </w:p>
        </w:tc>
      </w:tr>
      <w:tr w14:paraId="5400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26" w:type="dxa"/>
            <w:vAlign w:val="center"/>
          </w:tcPr>
          <w:p w14:paraId="02748695">
            <w:pPr>
              <w:pStyle w:val="29"/>
              <w:rPr>
                <w:rFonts w:hint="eastAsia" w:hAnsi="宋体"/>
                <w:highlight w:val="none"/>
              </w:rPr>
            </w:pPr>
            <w:r>
              <w:rPr>
                <w:rFonts w:hint="eastAsia" w:hAnsi="宋体"/>
                <w:highlight w:val="none"/>
              </w:rPr>
              <w:t>4</w:t>
            </w:r>
          </w:p>
        </w:tc>
        <w:tc>
          <w:tcPr>
            <w:tcW w:w="1534" w:type="dxa"/>
            <w:vAlign w:val="center"/>
          </w:tcPr>
          <w:p w14:paraId="72FBB208">
            <w:pPr>
              <w:pStyle w:val="29"/>
              <w:rPr>
                <w:rFonts w:hint="eastAsia" w:hAnsi="宋体"/>
                <w:highlight w:val="none"/>
              </w:rPr>
            </w:pPr>
            <w:r>
              <w:rPr>
                <w:rFonts w:hint="eastAsia" w:hAnsi="宋体"/>
                <w:highlight w:val="none"/>
              </w:rPr>
              <w:t>工期要求</w:t>
            </w:r>
          </w:p>
        </w:tc>
        <w:tc>
          <w:tcPr>
            <w:tcW w:w="3151" w:type="dxa"/>
            <w:vAlign w:val="center"/>
          </w:tcPr>
          <w:p w14:paraId="5CA3B8F6">
            <w:pPr>
              <w:pStyle w:val="29"/>
              <w:rPr>
                <w:rFonts w:hint="default" w:hAnsi="宋体"/>
                <w:highlight w:val="none"/>
              </w:rPr>
            </w:pPr>
          </w:p>
        </w:tc>
        <w:tc>
          <w:tcPr>
            <w:tcW w:w="3108" w:type="dxa"/>
            <w:vAlign w:val="center"/>
          </w:tcPr>
          <w:p w14:paraId="3A7C8058">
            <w:pPr>
              <w:pStyle w:val="29"/>
              <w:rPr>
                <w:rFonts w:hint="default" w:hAnsi="宋体"/>
                <w:highlight w:val="none"/>
                <w:lang w:val="en-US"/>
              </w:rPr>
            </w:pPr>
          </w:p>
        </w:tc>
      </w:tr>
      <w:tr w14:paraId="5EB6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05CA68E5">
            <w:pPr>
              <w:pStyle w:val="29"/>
              <w:rPr>
                <w:rFonts w:hint="eastAsia" w:hAnsi="宋体"/>
                <w:highlight w:val="none"/>
              </w:rPr>
            </w:pPr>
            <w:r>
              <w:rPr>
                <w:rFonts w:hint="eastAsia" w:hAnsi="宋体"/>
                <w:highlight w:val="none"/>
              </w:rPr>
              <w:t>5</w:t>
            </w:r>
          </w:p>
        </w:tc>
        <w:tc>
          <w:tcPr>
            <w:tcW w:w="1534" w:type="dxa"/>
            <w:vAlign w:val="center"/>
          </w:tcPr>
          <w:p w14:paraId="5F654118">
            <w:pPr>
              <w:pStyle w:val="29"/>
              <w:rPr>
                <w:rFonts w:hint="eastAsia" w:hAnsi="宋体"/>
                <w:highlight w:val="none"/>
              </w:rPr>
            </w:pPr>
            <w:r>
              <w:rPr>
                <w:rFonts w:hint="eastAsia" w:hAnsi="宋体"/>
                <w:highlight w:val="none"/>
              </w:rPr>
              <w:t>递交投标文件截止时间</w:t>
            </w:r>
          </w:p>
        </w:tc>
        <w:tc>
          <w:tcPr>
            <w:tcW w:w="3151" w:type="dxa"/>
            <w:vAlign w:val="center"/>
          </w:tcPr>
          <w:p w14:paraId="42EF6079">
            <w:pPr>
              <w:pStyle w:val="29"/>
              <w:rPr>
                <w:rFonts w:hint="eastAsia" w:hAnsi="宋体"/>
                <w:highlight w:val="none"/>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7</w:t>
            </w:r>
            <w:r>
              <w:rPr>
                <w:rFonts w:hint="eastAsia" w:hAnsi="宋体"/>
                <w:highlight w:val="yellow"/>
              </w:rPr>
              <w:t>月</w:t>
            </w:r>
            <w:r>
              <w:rPr>
                <w:rFonts w:hint="eastAsia" w:hAnsi="宋体"/>
                <w:highlight w:val="yellow"/>
                <w:lang w:val="en-US" w:eastAsia="zh-CN"/>
              </w:rPr>
              <w:t>11</w:t>
            </w:r>
            <w:r>
              <w:rPr>
                <w:rFonts w:hint="eastAsia" w:hAnsi="宋体"/>
                <w:highlight w:val="yellow"/>
              </w:rPr>
              <w:t>日15：00</w:t>
            </w:r>
          </w:p>
        </w:tc>
        <w:tc>
          <w:tcPr>
            <w:tcW w:w="3108" w:type="dxa"/>
            <w:vAlign w:val="center"/>
          </w:tcPr>
          <w:p w14:paraId="31CC179E">
            <w:pPr>
              <w:pStyle w:val="29"/>
              <w:rPr>
                <w:rFonts w:hint="eastAsia" w:hAnsi="宋体"/>
                <w:highlight w:val="none"/>
              </w:rPr>
            </w:pPr>
            <w:r>
              <w:rPr>
                <w:rFonts w:hint="eastAsia" w:hAnsi="宋体"/>
                <w:highlight w:val="none"/>
              </w:rPr>
              <w:t>地点：龙岗区中心城腾飞路创投大厦22楼</w:t>
            </w:r>
            <w:r>
              <w:rPr>
                <w:rFonts w:hint="eastAsia" w:hAnsi="宋体"/>
                <w:highlight w:val="none"/>
                <w:lang w:eastAsia="zh-CN"/>
              </w:rPr>
              <w:t>22</w:t>
            </w:r>
            <w:r>
              <w:rPr>
                <w:rFonts w:hint="eastAsia" w:hAnsi="宋体"/>
                <w:highlight w:val="none"/>
                <w:lang w:val="en-US" w:eastAsia="zh-CN"/>
              </w:rPr>
              <w:t>09</w:t>
            </w:r>
            <w:r>
              <w:rPr>
                <w:rFonts w:hint="eastAsia" w:hAnsi="宋体"/>
                <w:highlight w:val="none"/>
                <w:lang w:eastAsia="zh-CN"/>
              </w:rPr>
              <w:t>室</w:t>
            </w:r>
          </w:p>
        </w:tc>
      </w:tr>
      <w:tr w14:paraId="1AC1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14:paraId="780400A5">
            <w:pPr>
              <w:pStyle w:val="29"/>
              <w:rPr>
                <w:rFonts w:hint="eastAsia" w:hAnsi="宋体"/>
                <w:highlight w:val="none"/>
              </w:rPr>
            </w:pPr>
            <w:r>
              <w:rPr>
                <w:rFonts w:hint="eastAsia" w:hAnsi="宋体"/>
                <w:highlight w:val="none"/>
              </w:rPr>
              <w:t>6</w:t>
            </w:r>
          </w:p>
        </w:tc>
        <w:tc>
          <w:tcPr>
            <w:tcW w:w="1534" w:type="dxa"/>
            <w:vAlign w:val="center"/>
          </w:tcPr>
          <w:p w14:paraId="537231CA">
            <w:pPr>
              <w:pStyle w:val="29"/>
              <w:rPr>
                <w:rFonts w:hint="eastAsia" w:hAnsi="宋体"/>
                <w:highlight w:val="none"/>
              </w:rPr>
            </w:pPr>
            <w:r>
              <w:rPr>
                <w:rFonts w:hint="eastAsia" w:hAnsi="宋体"/>
                <w:highlight w:val="none"/>
              </w:rPr>
              <w:t>开标时间</w:t>
            </w:r>
          </w:p>
        </w:tc>
        <w:tc>
          <w:tcPr>
            <w:tcW w:w="3151" w:type="dxa"/>
            <w:vAlign w:val="center"/>
          </w:tcPr>
          <w:p w14:paraId="438CE066">
            <w:pPr>
              <w:pStyle w:val="29"/>
              <w:rPr>
                <w:rFonts w:hint="eastAsia" w:hAnsi="宋体"/>
                <w:highlight w:val="yellow"/>
              </w:rPr>
            </w:pPr>
            <w:r>
              <w:rPr>
                <w:rFonts w:hint="eastAsia" w:hAnsi="宋体"/>
                <w:highlight w:val="yellow"/>
              </w:rPr>
              <w:t>202</w:t>
            </w:r>
            <w:r>
              <w:rPr>
                <w:rFonts w:hint="eastAsia" w:hAnsi="宋体"/>
                <w:highlight w:val="yellow"/>
                <w:lang w:val="en-US" w:eastAsia="zh-CN"/>
              </w:rPr>
              <w:t>5</w:t>
            </w:r>
            <w:r>
              <w:rPr>
                <w:rFonts w:hint="eastAsia" w:hAnsi="宋体"/>
                <w:highlight w:val="yellow"/>
              </w:rPr>
              <w:t>年</w:t>
            </w:r>
            <w:r>
              <w:rPr>
                <w:rFonts w:hint="eastAsia" w:hAnsi="宋体"/>
                <w:highlight w:val="yellow"/>
                <w:lang w:val="en-US" w:eastAsia="zh-CN"/>
              </w:rPr>
              <w:t>7</w:t>
            </w:r>
            <w:r>
              <w:rPr>
                <w:rFonts w:hint="eastAsia" w:hAnsi="宋体"/>
                <w:highlight w:val="yellow"/>
              </w:rPr>
              <w:t>月</w:t>
            </w:r>
            <w:r>
              <w:rPr>
                <w:rFonts w:hint="eastAsia" w:hAnsi="宋体"/>
                <w:highlight w:val="yellow"/>
                <w:lang w:val="en-US" w:eastAsia="zh-CN"/>
              </w:rPr>
              <w:t>11</w:t>
            </w:r>
            <w:r>
              <w:rPr>
                <w:rFonts w:hint="eastAsia" w:hAnsi="宋体"/>
                <w:highlight w:val="yellow"/>
              </w:rPr>
              <w:t>日15：00</w:t>
            </w:r>
            <w:r>
              <w:rPr>
                <w:rFonts w:hint="eastAsia" w:hAnsi="宋体"/>
                <w:highlight w:val="yellow"/>
                <w:lang w:eastAsia="zh-CN"/>
              </w:rPr>
              <w:t>（</w:t>
            </w:r>
            <w:r>
              <w:rPr>
                <w:rFonts w:hint="eastAsia" w:hAnsi="宋体"/>
                <w:highlight w:val="yellow"/>
                <w:lang w:val="en-US" w:eastAsia="zh-CN"/>
              </w:rPr>
              <w:t>具体以招标人时间安排为准</w:t>
            </w:r>
            <w:r>
              <w:rPr>
                <w:rFonts w:hint="eastAsia" w:hAnsi="宋体"/>
                <w:highlight w:val="yellow"/>
                <w:lang w:eastAsia="zh-CN"/>
              </w:rPr>
              <w:t>）</w:t>
            </w:r>
          </w:p>
        </w:tc>
        <w:tc>
          <w:tcPr>
            <w:tcW w:w="3108" w:type="dxa"/>
            <w:vAlign w:val="center"/>
          </w:tcPr>
          <w:p w14:paraId="08BE50B4">
            <w:pPr>
              <w:pStyle w:val="29"/>
              <w:rPr>
                <w:rFonts w:hint="eastAsia" w:hAnsi="宋体"/>
                <w:highlight w:val="none"/>
              </w:rPr>
            </w:pPr>
            <w:r>
              <w:rPr>
                <w:rFonts w:hint="eastAsia" w:hAnsi="宋体"/>
                <w:highlight w:val="none"/>
              </w:rPr>
              <w:t>地点：深圳市龙岗区城市建设投资集团有限公司会议室</w:t>
            </w:r>
          </w:p>
        </w:tc>
      </w:tr>
      <w:tr w14:paraId="52BD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14:paraId="444FC1DB">
            <w:pPr>
              <w:pStyle w:val="29"/>
              <w:rPr>
                <w:rFonts w:hint="eastAsia" w:hAnsi="宋体"/>
                <w:highlight w:val="none"/>
              </w:rPr>
            </w:pPr>
            <w:r>
              <w:rPr>
                <w:rFonts w:hint="eastAsia" w:hAnsi="宋体"/>
                <w:highlight w:val="none"/>
              </w:rPr>
              <w:t>7</w:t>
            </w:r>
          </w:p>
        </w:tc>
        <w:tc>
          <w:tcPr>
            <w:tcW w:w="1534" w:type="dxa"/>
            <w:vAlign w:val="center"/>
          </w:tcPr>
          <w:p w14:paraId="1F7BDCD1">
            <w:pPr>
              <w:pStyle w:val="29"/>
              <w:rPr>
                <w:rFonts w:hint="eastAsia" w:hAnsi="宋体"/>
                <w:highlight w:val="none"/>
              </w:rPr>
            </w:pPr>
            <w:r>
              <w:rPr>
                <w:rFonts w:hint="eastAsia" w:hAnsi="宋体"/>
                <w:highlight w:val="none"/>
              </w:rPr>
              <w:t>投标文件</w:t>
            </w:r>
          </w:p>
        </w:tc>
        <w:tc>
          <w:tcPr>
            <w:tcW w:w="3151" w:type="dxa"/>
            <w:vAlign w:val="center"/>
          </w:tcPr>
          <w:p w14:paraId="31F3EFC7">
            <w:pPr>
              <w:pStyle w:val="29"/>
              <w:rPr>
                <w:rFonts w:hint="eastAsia" w:hAnsi="宋体"/>
                <w:highlight w:val="none"/>
              </w:rPr>
            </w:pPr>
            <w:r>
              <w:rPr>
                <w:rFonts w:hint="eastAsia" w:hAnsi="宋体"/>
                <w:highlight w:val="none"/>
              </w:rPr>
              <w:t>一正</w:t>
            </w:r>
            <w:r>
              <w:rPr>
                <w:rFonts w:hint="eastAsia" w:hAnsi="宋体"/>
                <w:highlight w:val="none"/>
                <w:lang w:val="en-US" w:eastAsia="zh-CN"/>
              </w:rPr>
              <w:t>四</w:t>
            </w:r>
            <w:r>
              <w:rPr>
                <w:rFonts w:hint="eastAsia" w:hAnsi="宋体"/>
                <w:highlight w:val="none"/>
              </w:rPr>
              <w:t>副</w:t>
            </w:r>
          </w:p>
        </w:tc>
        <w:tc>
          <w:tcPr>
            <w:tcW w:w="3108" w:type="dxa"/>
            <w:vAlign w:val="center"/>
          </w:tcPr>
          <w:p w14:paraId="07DFB095">
            <w:pPr>
              <w:pStyle w:val="29"/>
              <w:rPr>
                <w:rFonts w:hint="eastAsia" w:hAnsi="宋体"/>
                <w:highlight w:val="none"/>
              </w:rPr>
            </w:pPr>
          </w:p>
        </w:tc>
      </w:tr>
      <w:tr w14:paraId="0AC4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14:paraId="68147582">
            <w:pPr>
              <w:pStyle w:val="29"/>
              <w:rPr>
                <w:rFonts w:hint="eastAsia" w:hAnsi="宋体"/>
                <w:highlight w:val="none"/>
              </w:rPr>
            </w:pPr>
            <w:r>
              <w:rPr>
                <w:rFonts w:hint="eastAsia" w:hAnsi="宋体"/>
                <w:highlight w:val="none"/>
              </w:rPr>
              <w:t>8</w:t>
            </w:r>
          </w:p>
        </w:tc>
        <w:tc>
          <w:tcPr>
            <w:tcW w:w="1534" w:type="dxa"/>
            <w:vAlign w:val="center"/>
          </w:tcPr>
          <w:p w14:paraId="54457C6D">
            <w:pPr>
              <w:pStyle w:val="29"/>
              <w:rPr>
                <w:rFonts w:hint="eastAsia" w:hAnsi="宋体"/>
                <w:highlight w:val="none"/>
              </w:rPr>
            </w:pPr>
            <w:r>
              <w:rPr>
                <w:rFonts w:hint="eastAsia" w:hAnsi="宋体"/>
                <w:highlight w:val="none"/>
              </w:rPr>
              <w:t>投标担保</w:t>
            </w:r>
          </w:p>
        </w:tc>
        <w:tc>
          <w:tcPr>
            <w:tcW w:w="3151" w:type="dxa"/>
            <w:vAlign w:val="center"/>
          </w:tcPr>
          <w:p w14:paraId="257CE765">
            <w:pPr>
              <w:pStyle w:val="29"/>
              <w:rPr>
                <w:rFonts w:hint="eastAsia" w:hAnsi="宋体"/>
                <w:highlight w:val="none"/>
              </w:rPr>
            </w:pPr>
            <w:r>
              <w:rPr>
                <w:rFonts w:hint="eastAsia" w:hAnsi="宋体"/>
                <w:highlight w:val="none"/>
              </w:rPr>
              <w:t>不提供</w:t>
            </w:r>
          </w:p>
        </w:tc>
        <w:tc>
          <w:tcPr>
            <w:tcW w:w="3108" w:type="dxa"/>
            <w:vAlign w:val="center"/>
          </w:tcPr>
          <w:p w14:paraId="555A0B0D">
            <w:pPr>
              <w:pStyle w:val="29"/>
              <w:rPr>
                <w:rFonts w:hint="eastAsia" w:hAnsi="宋体"/>
                <w:highlight w:val="none"/>
              </w:rPr>
            </w:pPr>
          </w:p>
        </w:tc>
      </w:tr>
      <w:tr w14:paraId="4561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14:paraId="5E4DEFAA">
            <w:pPr>
              <w:pStyle w:val="29"/>
              <w:rPr>
                <w:rFonts w:hint="eastAsia" w:hAnsi="宋体"/>
                <w:highlight w:val="none"/>
              </w:rPr>
            </w:pPr>
            <w:r>
              <w:rPr>
                <w:rFonts w:hint="eastAsia" w:hAnsi="宋体"/>
                <w:highlight w:val="none"/>
              </w:rPr>
              <w:t>9</w:t>
            </w:r>
          </w:p>
        </w:tc>
        <w:tc>
          <w:tcPr>
            <w:tcW w:w="1534" w:type="dxa"/>
            <w:vAlign w:val="center"/>
          </w:tcPr>
          <w:p w14:paraId="41C97F15">
            <w:pPr>
              <w:pStyle w:val="29"/>
              <w:rPr>
                <w:rFonts w:hint="eastAsia" w:hAnsi="宋体"/>
                <w:highlight w:val="none"/>
              </w:rPr>
            </w:pPr>
            <w:r>
              <w:rPr>
                <w:rFonts w:hint="eastAsia" w:hAnsi="宋体"/>
                <w:highlight w:val="none"/>
              </w:rPr>
              <w:t>投标有效期</w:t>
            </w:r>
          </w:p>
        </w:tc>
        <w:tc>
          <w:tcPr>
            <w:tcW w:w="3151" w:type="dxa"/>
            <w:vAlign w:val="center"/>
          </w:tcPr>
          <w:p w14:paraId="54BD1C53">
            <w:pPr>
              <w:pStyle w:val="29"/>
              <w:rPr>
                <w:rFonts w:hint="eastAsia" w:hAnsi="宋体"/>
                <w:highlight w:val="none"/>
              </w:rPr>
            </w:pPr>
            <w:r>
              <w:rPr>
                <w:rFonts w:hint="eastAsia" w:hAnsi="宋体"/>
                <w:highlight w:val="none"/>
              </w:rPr>
              <w:t>60天</w:t>
            </w:r>
          </w:p>
        </w:tc>
        <w:tc>
          <w:tcPr>
            <w:tcW w:w="3108" w:type="dxa"/>
            <w:vAlign w:val="center"/>
          </w:tcPr>
          <w:p w14:paraId="35E7CEFB">
            <w:pPr>
              <w:pStyle w:val="29"/>
              <w:rPr>
                <w:rFonts w:hint="eastAsia" w:hAnsi="宋体"/>
                <w:highlight w:val="none"/>
              </w:rPr>
            </w:pPr>
          </w:p>
        </w:tc>
      </w:tr>
      <w:tr w14:paraId="1415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14:paraId="67794B31">
            <w:pPr>
              <w:pStyle w:val="29"/>
              <w:rPr>
                <w:rFonts w:hint="eastAsia" w:hAnsi="宋体"/>
                <w:highlight w:val="none"/>
              </w:rPr>
            </w:pPr>
            <w:r>
              <w:rPr>
                <w:rFonts w:hint="eastAsia" w:hAnsi="宋体"/>
                <w:highlight w:val="none"/>
              </w:rPr>
              <w:t>10</w:t>
            </w:r>
          </w:p>
        </w:tc>
        <w:tc>
          <w:tcPr>
            <w:tcW w:w="1534" w:type="dxa"/>
            <w:vAlign w:val="center"/>
          </w:tcPr>
          <w:p w14:paraId="5AAF6CCC">
            <w:pPr>
              <w:pStyle w:val="29"/>
              <w:rPr>
                <w:rFonts w:hint="eastAsia" w:hAnsi="宋体"/>
                <w:highlight w:val="none"/>
              </w:rPr>
            </w:pPr>
            <w:r>
              <w:rPr>
                <w:rFonts w:hint="eastAsia" w:hAnsi="宋体"/>
                <w:highlight w:val="none"/>
              </w:rPr>
              <w:t>招标人</w:t>
            </w:r>
          </w:p>
          <w:p w14:paraId="203F53DC">
            <w:pPr>
              <w:pStyle w:val="29"/>
              <w:rPr>
                <w:rFonts w:hint="eastAsia" w:hAnsi="宋体"/>
                <w:highlight w:val="none"/>
              </w:rPr>
            </w:pPr>
          </w:p>
        </w:tc>
        <w:tc>
          <w:tcPr>
            <w:tcW w:w="3151" w:type="dxa"/>
            <w:vAlign w:val="center"/>
          </w:tcPr>
          <w:p w14:paraId="0F034696">
            <w:pPr>
              <w:pStyle w:val="29"/>
              <w:rPr>
                <w:rFonts w:hint="eastAsia" w:hAnsi="宋体" w:eastAsia="宋体"/>
                <w:highlight w:val="none"/>
                <w:lang w:eastAsia="zh-CN"/>
              </w:rPr>
            </w:pPr>
            <w:r>
              <w:rPr>
                <w:rFonts w:hint="eastAsia" w:hAnsi="宋体"/>
                <w:highlight w:val="none"/>
              </w:rPr>
              <w:t>联系单位：深圳市龙岗区城投新基础设施建设管理有限公司</w:t>
            </w:r>
          </w:p>
          <w:p w14:paraId="532CE21A">
            <w:pPr>
              <w:pStyle w:val="29"/>
              <w:rPr>
                <w:rFonts w:hint="eastAsia" w:hAnsi="宋体"/>
                <w:highlight w:val="none"/>
              </w:rPr>
            </w:pPr>
            <w:r>
              <w:rPr>
                <w:rFonts w:hint="eastAsia" w:hAnsi="宋体"/>
                <w:highlight w:val="none"/>
              </w:rPr>
              <w:t>联系地址：龙岗区中心城腾飞路创投大厦2209室</w:t>
            </w:r>
          </w:p>
          <w:p w14:paraId="0629ECA4">
            <w:pPr>
              <w:pStyle w:val="29"/>
              <w:rPr>
                <w:rFonts w:hint="eastAsia" w:hAnsi="宋体"/>
                <w:highlight w:val="none"/>
              </w:rPr>
            </w:pPr>
            <w:r>
              <w:rPr>
                <w:rFonts w:hint="eastAsia" w:hAnsi="宋体"/>
                <w:highlight w:val="none"/>
              </w:rPr>
              <w:t>联 系 人：</w:t>
            </w:r>
            <w:r>
              <w:rPr>
                <w:rFonts w:hint="eastAsia" w:hAnsi="宋体"/>
                <w:highlight w:val="none"/>
                <w:lang w:val="en-US" w:eastAsia="zh-CN"/>
              </w:rPr>
              <w:t>陈</w:t>
            </w:r>
            <w:r>
              <w:rPr>
                <w:rFonts w:hint="eastAsia" w:hAnsi="宋体"/>
                <w:highlight w:val="none"/>
              </w:rPr>
              <w:t>工</w:t>
            </w:r>
          </w:p>
          <w:p w14:paraId="0AE98234">
            <w:pPr>
              <w:pStyle w:val="29"/>
              <w:rPr>
                <w:rFonts w:hint="default" w:hAnsi="宋体" w:eastAsia="宋体"/>
                <w:highlight w:val="none"/>
                <w:lang w:val="en-US" w:eastAsia="zh-CN"/>
              </w:rPr>
            </w:pPr>
            <w:r>
              <w:rPr>
                <w:rFonts w:hint="eastAsia" w:hAnsi="宋体"/>
                <w:highlight w:val="none"/>
              </w:rPr>
              <w:t>联系电话：0755-28507950</w:t>
            </w:r>
          </w:p>
        </w:tc>
        <w:tc>
          <w:tcPr>
            <w:tcW w:w="3108" w:type="dxa"/>
            <w:vAlign w:val="center"/>
          </w:tcPr>
          <w:p w14:paraId="1273BBDB">
            <w:pPr>
              <w:pStyle w:val="29"/>
              <w:rPr>
                <w:rFonts w:hint="eastAsia" w:hAnsi="宋体"/>
                <w:highlight w:val="none"/>
              </w:rPr>
            </w:pPr>
          </w:p>
        </w:tc>
      </w:tr>
    </w:tbl>
    <w:p w14:paraId="6C1B9620">
      <w:pPr>
        <w:rPr>
          <w:highlight w:val="none"/>
        </w:rPr>
      </w:pPr>
      <w:r>
        <w:rPr>
          <w:highlight w:val="none"/>
        </w:rPr>
        <w:br w:type="page"/>
      </w:r>
    </w:p>
    <w:p w14:paraId="6DD9EAAE">
      <w:pPr>
        <w:spacing w:line="360" w:lineRule="auto"/>
        <w:jc w:val="center"/>
        <w:outlineLvl w:val="2"/>
        <w:rPr>
          <w:rFonts w:ascii="宋体" w:hAnsi="宋体"/>
          <w:b/>
          <w:snapToGrid w:val="0"/>
          <w:kern w:val="0"/>
          <w:sz w:val="32"/>
          <w:szCs w:val="32"/>
          <w:highlight w:val="none"/>
        </w:rPr>
      </w:pPr>
      <w:bookmarkStart w:id="3" w:name="_Toc509669686"/>
      <w:r>
        <w:rPr>
          <w:rFonts w:hint="eastAsia" w:ascii="宋体" w:hAnsi="宋体"/>
          <w:b/>
          <w:snapToGrid w:val="0"/>
          <w:kern w:val="0"/>
          <w:sz w:val="32"/>
          <w:szCs w:val="32"/>
          <w:highlight w:val="none"/>
        </w:rPr>
        <w:t>一、总  则</w:t>
      </w:r>
      <w:bookmarkEnd w:id="3"/>
    </w:p>
    <w:p w14:paraId="3A6D575A">
      <w:pPr>
        <w:spacing w:line="520" w:lineRule="exact"/>
        <w:ind w:firstLine="422" w:firstLineChars="200"/>
        <w:rPr>
          <w:rFonts w:ascii="宋体" w:hAnsi="宋体"/>
          <w:b/>
          <w:snapToGrid w:val="0"/>
          <w:kern w:val="0"/>
          <w:szCs w:val="21"/>
          <w:highlight w:val="none"/>
        </w:rPr>
      </w:pPr>
      <w:r>
        <w:rPr>
          <w:rFonts w:hint="eastAsia" w:ascii="宋体" w:hAnsi="宋体"/>
          <w:b/>
          <w:snapToGrid w:val="0"/>
          <w:kern w:val="0"/>
          <w:szCs w:val="21"/>
          <w:highlight w:val="none"/>
        </w:rPr>
        <w:t>1.项目概况</w:t>
      </w:r>
    </w:p>
    <w:p w14:paraId="7E6AB2C5">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根据《中华人民共和国招标投标法》等有关</w:t>
      </w:r>
      <w:r>
        <w:rPr>
          <w:rFonts w:hint="eastAsia" w:ascii="宋体" w:hAnsi="宋体" w:cs="Times New Roman"/>
          <w:snapToGrid w:val="0"/>
          <w:kern w:val="0"/>
          <w:szCs w:val="21"/>
          <w:highlight w:val="none"/>
          <w:lang w:eastAsia="zh-CN"/>
        </w:rPr>
        <w:t>法律法规</w:t>
      </w:r>
      <w:r>
        <w:rPr>
          <w:rFonts w:hint="eastAsia" w:ascii="宋体" w:hAnsi="宋体" w:eastAsia="宋体" w:cs="Times New Roman"/>
          <w:snapToGrid w:val="0"/>
          <w:kern w:val="0"/>
          <w:szCs w:val="21"/>
          <w:highlight w:val="none"/>
        </w:rPr>
        <w:t>、规章和规范性文件的规定，本</w:t>
      </w:r>
      <w:r>
        <w:rPr>
          <w:rFonts w:hint="eastAsia" w:ascii="宋体" w:hAnsi="宋体" w:cs="Times New Roman"/>
          <w:snapToGrid w:val="0"/>
          <w:kern w:val="0"/>
          <w:szCs w:val="21"/>
          <w:highlight w:val="none"/>
          <w:lang w:eastAsia="zh-CN"/>
        </w:rPr>
        <w:t>公开招标</w:t>
      </w:r>
      <w:r>
        <w:rPr>
          <w:rFonts w:hint="eastAsia" w:ascii="宋体" w:hAnsi="宋体" w:eastAsia="宋体" w:cs="Times New Roman"/>
          <w:snapToGrid w:val="0"/>
          <w:kern w:val="0"/>
          <w:sz w:val="21"/>
          <w:szCs w:val="21"/>
          <w:highlight w:val="none"/>
          <w:lang w:eastAsia="zh-CN"/>
        </w:rPr>
        <w:t>（自主）</w:t>
      </w:r>
      <w:r>
        <w:rPr>
          <w:rFonts w:hint="eastAsia" w:ascii="宋体" w:hAnsi="宋体" w:eastAsia="宋体" w:cs="Times New Roman"/>
          <w:snapToGrid w:val="0"/>
          <w:kern w:val="0"/>
          <w:sz w:val="21"/>
          <w:szCs w:val="21"/>
          <w:highlight w:val="none"/>
        </w:rPr>
        <w:t>项目已具备</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条件，现进行</w:t>
      </w:r>
      <w:r>
        <w:rPr>
          <w:rFonts w:hint="eastAsia" w:ascii="宋体" w:hAnsi="宋体" w:eastAsia="宋体" w:cs="Times New Roman"/>
          <w:snapToGrid w:val="0"/>
          <w:kern w:val="0"/>
          <w:sz w:val="21"/>
          <w:szCs w:val="21"/>
          <w:highlight w:val="none"/>
          <w:lang w:eastAsia="zh-CN"/>
        </w:rPr>
        <w:t>公开招标（自主）</w:t>
      </w:r>
      <w:r>
        <w:rPr>
          <w:rFonts w:hint="eastAsia" w:ascii="宋体" w:hAnsi="宋体" w:eastAsia="宋体" w:cs="Times New Roman"/>
          <w:snapToGrid w:val="0"/>
          <w:kern w:val="0"/>
          <w:sz w:val="21"/>
          <w:szCs w:val="21"/>
          <w:highlight w:val="none"/>
        </w:rPr>
        <w:t>。</w:t>
      </w:r>
    </w:p>
    <w:p w14:paraId="18FD7E6A">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1.1招标人：</w:t>
      </w:r>
      <w:r>
        <w:rPr>
          <w:rFonts w:hint="eastAsia" w:hAnsi="宋体"/>
          <w:highlight w:val="none"/>
        </w:rPr>
        <w:t>深圳市龙岗区城投新基础设施建设管理有限公司</w:t>
      </w:r>
      <w:r>
        <w:rPr>
          <w:rFonts w:hint="eastAsia" w:ascii="宋体" w:hAnsi="宋体" w:eastAsia="宋体" w:cs="Times New Roman"/>
          <w:snapToGrid w:val="0"/>
          <w:kern w:val="0"/>
          <w:sz w:val="21"/>
          <w:szCs w:val="21"/>
          <w:highlight w:val="none"/>
        </w:rPr>
        <w:t>。</w:t>
      </w:r>
    </w:p>
    <w:p w14:paraId="341D2F62">
      <w:pPr>
        <w:spacing w:line="360" w:lineRule="auto"/>
        <w:ind w:firstLine="420" w:firstLineChars="200"/>
        <w:jc w:val="left"/>
        <w:rPr>
          <w:rFonts w:hint="eastAsia" w:ascii="宋体" w:hAnsi="宋体" w:eastAsia="宋体" w:cs="Times New Roman"/>
          <w:snapToGrid w:val="0"/>
          <w:kern w:val="0"/>
          <w:sz w:val="21"/>
          <w:szCs w:val="21"/>
          <w:highlight w:val="none"/>
          <w:lang w:val="en-US" w:eastAsia="zh-CN"/>
        </w:rPr>
      </w:pPr>
      <w:r>
        <w:rPr>
          <w:rFonts w:hint="eastAsia" w:ascii="宋体" w:hAnsi="宋体" w:eastAsia="宋体" w:cs="Times New Roman"/>
          <w:snapToGrid w:val="0"/>
          <w:kern w:val="0"/>
          <w:sz w:val="21"/>
          <w:szCs w:val="21"/>
          <w:highlight w:val="none"/>
        </w:rPr>
        <w:t>1.2</w:t>
      </w:r>
      <w:r>
        <w:rPr>
          <w:rFonts w:hint="eastAsia" w:ascii="宋体" w:hAnsi="宋体" w:eastAsia="宋体" w:cs="Times New Roman"/>
          <w:snapToGrid w:val="0"/>
          <w:color w:val="FF0000"/>
          <w:kern w:val="0"/>
          <w:sz w:val="21"/>
          <w:szCs w:val="21"/>
          <w:highlight w:val="none"/>
        </w:rPr>
        <w:t>工程名称：</w:t>
      </w:r>
      <w:r>
        <w:rPr>
          <w:rFonts w:hint="eastAsia" w:ascii="宋体" w:hAnsi="宋体" w:eastAsia="宋体" w:cs="Times New Roman"/>
          <w:snapToGrid w:val="0"/>
          <w:kern w:val="0"/>
          <w:sz w:val="21"/>
          <w:szCs w:val="21"/>
          <w:highlight w:val="none"/>
        </w:rPr>
        <w:t>深圳市龙岗区人民医院“光储充”项目</w:t>
      </w:r>
      <w:r>
        <w:rPr>
          <w:rFonts w:hint="eastAsia" w:ascii="宋体" w:hAnsi="宋体" w:eastAsia="宋体" w:cs="Times New Roman"/>
          <w:snapToGrid w:val="0"/>
          <w:kern w:val="0"/>
          <w:sz w:val="21"/>
          <w:szCs w:val="21"/>
          <w:highlight w:val="none"/>
          <w:lang w:eastAsia="zh-CN"/>
        </w:rPr>
        <w:t>监理</w:t>
      </w:r>
      <w:r>
        <w:rPr>
          <w:rFonts w:hint="eastAsia" w:ascii="宋体" w:hAnsi="宋体" w:eastAsia="宋体" w:cs="Times New Roman"/>
          <w:snapToGrid w:val="0"/>
          <w:kern w:val="0"/>
          <w:sz w:val="21"/>
          <w:szCs w:val="21"/>
          <w:highlight w:val="none"/>
          <w:lang w:val="en-US" w:eastAsia="zh-CN"/>
        </w:rPr>
        <w:t>。</w:t>
      </w:r>
    </w:p>
    <w:p w14:paraId="407C385D">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1.3</w:t>
      </w:r>
      <w:r>
        <w:rPr>
          <w:rFonts w:hint="eastAsia" w:ascii="宋体" w:hAnsi="宋体" w:eastAsia="宋体" w:cs="Times New Roman"/>
          <w:snapToGrid w:val="0"/>
          <w:color w:val="FF0000"/>
          <w:kern w:val="0"/>
          <w:sz w:val="21"/>
          <w:szCs w:val="21"/>
          <w:highlight w:val="none"/>
        </w:rPr>
        <w:t>工程地点：</w:t>
      </w:r>
      <w:r>
        <w:rPr>
          <w:rFonts w:hint="eastAsia" w:ascii="宋体" w:hAnsi="宋体" w:eastAsia="宋体" w:cs="Times New Roman"/>
          <w:snapToGrid w:val="0"/>
          <w:kern w:val="0"/>
          <w:sz w:val="21"/>
          <w:szCs w:val="21"/>
          <w:highlight w:val="none"/>
        </w:rPr>
        <w:t>深圳市龙岗区</w:t>
      </w:r>
      <w:r>
        <w:rPr>
          <w:rFonts w:hint="eastAsia" w:ascii="宋体" w:hAnsi="宋体" w:cs="Times New Roman"/>
          <w:snapToGrid w:val="0"/>
          <w:kern w:val="0"/>
          <w:sz w:val="21"/>
          <w:szCs w:val="21"/>
          <w:highlight w:val="none"/>
          <w:lang w:eastAsia="zh-CN"/>
        </w:rPr>
        <w:t>人民医院</w:t>
      </w:r>
      <w:r>
        <w:rPr>
          <w:rFonts w:hint="eastAsia" w:ascii="宋体" w:hAnsi="宋体" w:eastAsia="宋体" w:cs="Times New Roman"/>
          <w:snapToGrid w:val="0"/>
          <w:kern w:val="0"/>
          <w:sz w:val="21"/>
          <w:szCs w:val="21"/>
          <w:highlight w:val="none"/>
        </w:rPr>
        <w:t>。</w:t>
      </w:r>
    </w:p>
    <w:p w14:paraId="25D40D2F">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1.4</w:t>
      </w:r>
      <w:r>
        <w:rPr>
          <w:rFonts w:hint="eastAsia" w:ascii="宋体" w:hAnsi="宋体" w:eastAsia="宋体" w:cs="Times New Roman"/>
          <w:snapToGrid w:val="0"/>
          <w:color w:val="FF0000"/>
          <w:kern w:val="0"/>
          <w:sz w:val="21"/>
          <w:szCs w:val="21"/>
          <w:highlight w:val="none"/>
        </w:rPr>
        <w:t>工程规模：</w:t>
      </w:r>
      <w:r>
        <w:rPr>
          <w:rFonts w:hint="eastAsia" w:ascii="宋体" w:hAnsi="宋体" w:eastAsia="宋体" w:cs="Times New Roman"/>
          <w:snapToGrid w:val="0"/>
          <w:kern w:val="0"/>
          <w:sz w:val="21"/>
          <w:szCs w:val="21"/>
          <w:highlight w:val="none"/>
        </w:rPr>
        <w:t>深圳市龙岗区人民医院“光储充”项目建设内容由屋顶光伏、分布式储能、地面快充和地下慢充四个部分组成。项目在卫健局右侧出入口附近占用11个车位，配置一套600KW充电堆14（1拖11枪，其中1个液冷超充枪）及一座800KVA箱变；将健康大楼负二层的125台现有的慢充设施更换成带4G无线功能的新设备，并改造线路接入新建800KVA箱变；在卫健局右侧车库出入口附近配置5套100kW/215kwh的户外储能电池柜，总装机容量500kW/1075kWh；在门诊楼和住院楼的空余屋顶安装分布式太阳能光伏板，光伏装机容量315kWp。</w:t>
      </w:r>
    </w:p>
    <w:p w14:paraId="1961FAC6">
      <w:pPr>
        <w:spacing w:line="360" w:lineRule="auto"/>
        <w:ind w:firstLine="420" w:firstLineChars="200"/>
        <w:jc w:val="left"/>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 w:val="21"/>
          <w:szCs w:val="21"/>
          <w:highlight w:val="none"/>
        </w:rPr>
        <w:t>项目总投资约379万元。</w:t>
      </w:r>
    </w:p>
    <w:p w14:paraId="4C5CB83E">
      <w:pPr>
        <w:spacing w:line="540" w:lineRule="exact"/>
        <w:ind w:firstLine="420" w:firstLineChars="200"/>
        <w:rPr>
          <w:rFonts w:hint="eastAsia" w:ascii="宋体" w:hAnsi="宋体" w:eastAsia="宋体" w:cs="Times New Roman"/>
          <w:snapToGrid w:val="0"/>
          <w:kern w:val="0"/>
          <w:sz w:val="21"/>
          <w:szCs w:val="21"/>
          <w:highlight w:val="none"/>
        </w:rPr>
      </w:pPr>
      <w:r>
        <w:rPr>
          <w:rFonts w:hint="eastAsia" w:ascii="宋体" w:hAnsi="宋体" w:eastAsia="宋体" w:cs="Times New Roman"/>
          <w:snapToGrid w:val="0"/>
          <w:kern w:val="0"/>
          <w:szCs w:val="21"/>
          <w:highlight w:val="none"/>
        </w:rPr>
        <w:t>1.5</w:t>
      </w:r>
      <w:r>
        <w:rPr>
          <w:rFonts w:hint="eastAsia" w:ascii="宋体" w:hAnsi="宋体" w:eastAsia="宋体" w:cs="Times New Roman"/>
          <w:snapToGrid w:val="0"/>
          <w:color w:val="FF0000"/>
          <w:kern w:val="0"/>
          <w:szCs w:val="21"/>
          <w:highlight w:val="none"/>
        </w:rPr>
        <w:t>工作范围</w:t>
      </w:r>
      <w:r>
        <w:rPr>
          <w:rFonts w:hint="eastAsia" w:ascii="宋体" w:hAnsi="宋体" w:eastAsia="宋体" w:cs="Times New Roman"/>
          <w:snapToGrid w:val="0"/>
          <w:kern w:val="0"/>
          <w:szCs w:val="21"/>
          <w:highlight w:val="none"/>
        </w:rPr>
        <w:t>：</w:t>
      </w:r>
      <w:r>
        <w:rPr>
          <w:rFonts w:hint="eastAsia" w:ascii="宋体" w:hAnsi="宋体"/>
          <w:snapToGrid w:val="0"/>
          <w:kern w:val="0"/>
          <w:szCs w:val="21"/>
          <w:highlight w:val="none"/>
        </w:rPr>
        <w:t>施工阶段、保修阶段（2年）的监理及相关服务。</w:t>
      </w:r>
    </w:p>
    <w:p w14:paraId="5B32D156">
      <w:pPr>
        <w:numPr>
          <w:ilvl w:val="0"/>
          <w:numId w:val="0"/>
        </w:numPr>
        <w:spacing w:line="520" w:lineRule="exact"/>
        <w:ind w:firstLine="422" w:firstLineChars="200"/>
        <w:jc w:val="left"/>
        <w:rPr>
          <w:rFonts w:hint="default" w:ascii="宋体" w:hAnsi="宋体" w:eastAsia="宋体" w:cs="Times New Roman"/>
          <w:snapToGrid w:val="0"/>
          <w:kern w:val="0"/>
          <w:sz w:val="21"/>
          <w:szCs w:val="21"/>
          <w:highlight w:val="none"/>
          <w:lang w:val="en-US" w:eastAsia="zh-CN"/>
        </w:rPr>
      </w:pPr>
      <w:r>
        <w:rPr>
          <w:rFonts w:hint="eastAsia" w:ascii="宋体" w:hAnsi="宋体" w:cs="Times New Roman"/>
          <w:b/>
          <w:snapToGrid w:val="0"/>
          <w:color w:val="auto"/>
          <w:kern w:val="0"/>
          <w:szCs w:val="21"/>
          <w:highlight w:val="none"/>
          <w:lang w:val="en-US" w:eastAsia="zh-CN"/>
        </w:rPr>
        <w:t>2.</w:t>
      </w:r>
      <w:r>
        <w:rPr>
          <w:rFonts w:hint="eastAsia" w:ascii="宋体" w:hAnsi="宋体" w:eastAsia="宋体" w:cs="Times New Roman"/>
          <w:b/>
          <w:snapToGrid w:val="0"/>
          <w:color w:val="FF0000"/>
          <w:kern w:val="0"/>
          <w:szCs w:val="21"/>
          <w:highlight w:val="none"/>
        </w:rPr>
        <w:t>投标人资格要求</w:t>
      </w:r>
      <w:r>
        <w:rPr>
          <w:rFonts w:hint="eastAsia" w:ascii="宋体" w:hAnsi="宋体" w:cs="Times New Roman"/>
          <w:b/>
          <w:snapToGrid w:val="0"/>
          <w:color w:val="FF0000"/>
          <w:kern w:val="0"/>
          <w:szCs w:val="21"/>
          <w:highlight w:val="none"/>
          <w:lang w:eastAsia="zh-CN"/>
        </w:rPr>
        <w:t>：</w:t>
      </w:r>
      <w:r>
        <w:rPr>
          <w:rFonts w:hint="default" w:ascii="宋体" w:hAnsi="宋体" w:eastAsia="宋体" w:cs="Times New Roman"/>
          <w:snapToGrid w:val="0"/>
          <w:kern w:val="0"/>
          <w:sz w:val="21"/>
          <w:szCs w:val="21"/>
          <w:highlight w:val="none"/>
          <w:lang w:val="en-US" w:eastAsia="zh-CN"/>
        </w:rPr>
        <w:t>响应单位具有拥有电力工程监理乙级及以上资质。</w:t>
      </w:r>
    </w:p>
    <w:p w14:paraId="41B4A96D">
      <w:pPr>
        <w:numPr>
          <w:ilvl w:val="0"/>
          <w:numId w:val="0"/>
        </w:numPr>
        <w:spacing w:line="520" w:lineRule="exact"/>
        <w:ind w:firstLine="420" w:firstLineChars="200"/>
        <w:jc w:val="left"/>
        <w:rPr>
          <w:rFonts w:ascii="宋体" w:hAnsi="宋体"/>
          <w:b w:val="0"/>
          <w:bCs/>
          <w:snapToGrid w:val="0"/>
          <w:kern w:val="0"/>
          <w:szCs w:val="21"/>
          <w:highlight w:val="none"/>
        </w:rPr>
      </w:pPr>
      <w:r>
        <w:rPr>
          <w:rFonts w:hint="eastAsia" w:ascii="宋体" w:hAnsi="宋体"/>
          <w:b w:val="0"/>
          <w:bCs/>
          <w:snapToGrid w:val="0"/>
          <w:kern w:val="0"/>
          <w:szCs w:val="21"/>
          <w:highlight w:val="none"/>
        </w:rPr>
        <w:t>3.投标费用</w:t>
      </w:r>
    </w:p>
    <w:p w14:paraId="5276CA03">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投标人应自行承担所有准备及参加投标相关的费用。不论投标的结果如何，招标人均</w:t>
      </w:r>
      <w:r>
        <w:rPr>
          <w:rFonts w:hint="eastAsia" w:ascii="宋体" w:hAnsi="宋体"/>
          <w:snapToGrid w:val="0"/>
          <w:kern w:val="0"/>
          <w:szCs w:val="21"/>
          <w:highlight w:val="none"/>
          <w:lang w:val="en-US" w:eastAsia="zh-CN"/>
        </w:rPr>
        <w:t>无</w:t>
      </w:r>
      <w:r>
        <w:rPr>
          <w:rFonts w:hint="eastAsia" w:ascii="宋体" w:hAnsi="宋体"/>
          <w:snapToGrid w:val="0"/>
          <w:kern w:val="0"/>
          <w:szCs w:val="21"/>
          <w:highlight w:val="none"/>
        </w:rPr>
        <w:t>承担</w:t>
      </w:r>
      <w:r>
        <w:rPr>
          <w:rFonts w:hint="eastAsia" w:ascii="宋体" w:hAnsi="宋体"/>
          <w:snapToGrid w:val="0"/>
          <w:kern w:val="0"/>
          <w:szCs w:val="21"/>
          <w:highlight w:val="none"/>
          <w:lang w:val="en-US" w:eastAsia="zh-CN"/>
        </w:rPr>
        <w:t>相应</w:t>
      </w:r>
      <w:r>
        <w:rPr>
          <w:rFonts w:hint="eastAsia" w:ascii="宋体" w:hAnsi="宋体"/>
          <w:snapToGrid w:val="0"/>
          <w:kern w:val="0"/>
          <w:szCs w:val="21"/>
          <w:highlight w:val="none"/>
        </w:rPr>
        <w:t>的义务和责任。</w:t>
      </w:r>
    </w:p>
    <w:p w14:paraId="312F6E6E">
      <w:pPr>
        <w:spacing w:line="520" w:lineRule="exact"/>
        <w:ind w:firstLine="420" w:firstLineChars="200"/>
        <w:jc w:val="left"/>
        <w:rPr>
          <w:rFonts w:ascii="宋体" w:hAnsi="宋体"/>
          <w:b w:val="0"/>
          <w:bCs/>
          <w:snapToGrid w:val="0"/>
          <w:kern w:val="0"/>
          <w:szCs w:val="21"/>
          <w:highlight w:val="none"/>
        </w:rPr>
      </w:pPr>
      <w:r>
        <w:rPr>
          <w:rFonts w:hint="eastAsia" w:ascii="宋体" w:hAnsi="宋体"/>
          <w:b w:val="0"/>
          <w:bCs/>
          <w:snapToGrid w:val="0"/>
          <w:kern w:val="0"/>
          <w:szCs w:val="21"/>
          <w:highlight w:val="none"/>
        </w:rPr>
        <w:t>4.踏勘现场</w:t>
      </w:r>
    </w:p>
    <w:p w14:paraId="22CEB7E6">
      <w:pPr>
        <w:spacing w:line="360" w:lineRule="auto"/>
        <w:ind w:firstLine="420" w:firstLineChars="200"/>
        <w:jc w:val="left"/>
        <w:rPr>
          <w:rFonts w:hint="eastAsia" w:ascii="宋体" w:hAnsi="宋体"/>
          <w:snapToGrid w:val="0"/>
          <w:kern w:val="0"/>
          <w:szCs w:val="21"/>
          <w:highlight w:val="none"/>
        </w:rPr>
      </w:pPr>
      <w:r>
        <w:rPr>
          <w:rFonts w:ascii="宋体" w:hAnsi="宋体"/>
          <w:snapToGrid w:val="0"/>
          <w:kern w:val="0"/>
          <w:szCs w:val="21"/>
          <w:highlight w:val="none"/>
        </w:rPr>
        <w:t>本项目不组织现场踏</w:t>
      </w:r>
      <w:r>
        <w:rPr>
          <w:rFonts w:hint="eastAsia" w:ascii="宋体" w:hAnsi="宋体"/>
          <w:snapToGrid w:val="0"/>
          <w:kern w:val="0"/>
          <w:szCs w:val="21"/>
          <w:highlight w:val="none"/>
        </w:rPr>
        <w:t>勘。</w:t>
      </w:r>
    </w:p>
    <w:p w14:paraId="66C24A3A">
      <w:pPr>
        <w:spacing w:line="240" w:lineRule="auto"/>
        <w:ind w:firstLine="0" w:firstLineChars="0"/>
        <w:jc w:val="left"/>
        <w:rPr>
          <w:rFonts w:hint="eastAsia" w:ascii="宋体" w:hAnsi="宋体"/>
          <w:snapToGrid w:val="0"/>
          <w:kern w:val="0"/>
          <w:szCs w:val="21"/>
          <w:highlight w:val="none"/>
        </w:rPr>
      </w:pPr>
      <w:r>
        <w:rPr>
          <w:rFonts w:hint="eastAsia" w:ascii="宋体" w:hAnsi="宋体"/>
          <w:snapToGrid w:val="0"/>
          <w:kern w:val="0"/>
          <w:szCs w:val="21"/>
          <w:highlight w:val="none"/>
        </w:rPr>
        <w:br w:type="page"/>
      </w:r>
    </w:p>
    <w:p w14:paraId="1E3666E8">
      <w:pPr>
        <w:spacing w:line="360" w:lineRule="auto"/>
        <w:jc w:val="center"/>
        <w:outlineLvl w:val="2"/>
        <w:rPr>
          <w:rFonts w:hint="eastAsia" w:ascii="宋体" w:hAnsi="宋体"/>
          <w:b/>
          <w:snapToGrid w:val="0"/>
          <w:kern w:val="0"/>
          <w:sz w:val="32"/>
          <w:szCs w:val="32"/>
          <w:highlight w:val="none"/>
        </w:rPr>
      </w:pPr>
      <w:bookmarkStart w:id="4" w:name="_Toc509669687"/>
      <w:r>
        <w:rPr>
          <w:rFonts w:hint="eastAsia" w:ascii="宋体" w:hAnsi="宋体"/>
          <w:b/>
          <w:snapToGrid w:val="0"/>
          <w:kern w:val="0"/>
          <w:sz w:val="32"/>
          <w:szCs w:val="32"/>
          <w:highlight w:val="none"/>
        </w:rPr>
        <w:t>二、投标文件的编制</w:t>
      </w:r>
      <w:bookmarkEnd w:id="4"/>
    </w:p>
    <w:p w14:paraId="7DD1A204">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5.投标文件的语言及度量单位</w:t>
      </w:r>
    </w:p>
    <w:p w14:paraId="08AE76D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5.1投标人与招标人之间与投标有关的所有往来通知、函件和投标文件均应用中文。投标人随投标文件提供的证明文件和资料可以为</w:t>
      </w:r>
      <w:r>
        <w:rPr>
          <w:rFonts w:hint="eastAsia" w:ascii="宋体" w:hAnsi="宋体"/>
          <w:snapToGrid w:val="0"/>
          <w:kern w:val="0"/>
          <w:szCs w:val="21"/>
          <w:highlight w:val="none"/>
          <w:lang w:eastAsia="zh-CN"/>
        </w:rPr>
        <w:t>其他</w:t>
      </w:r>
      <w:r>
        <w:rPr>
          <w:rFonts w:hint="eastAsia" w:ascii="宋体" w:hAnsi="宋体"/>
          <w:snapToGrid w:val="0"/>
          <w:kern w:val="0"/>
          <w:szCs w:val="21"/>
          <w:highlight w:val="none"/>
        </w:rPr>
        <w:t>语言，但必须附中文译文。在此，为了解释投标文件，应以中文为准。</w:t>
      </w:r>
    </w:p>
    <w:p w14:paraId="79B4DF5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5.2 除技术规范另有规定外，投标文件使用的度量单位，均采用中华人民共和国法定计量单位。</w:t>
      </w:r>
    </w:p>
    <w:p w14:paraId="578D546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5.3</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文件中所出现的日期为自然日，货币单位为人民币。</w:t>
      </w:r>
    </w:p>
    <w:p w14:paraId="45D521A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6.投标有效期</w:t>
      </w:r>
    </w:p>
    <w:p w14:paraId="6CF5014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6.1投标有效期60天。在此期间，所有投标均保持有效。</w:t>
      </w:r>
    </w:p>
    <w:p w14:paraId="65B3AF51">
      <w:pPr>
        <w:spacing w:line="360" w:lineRule="auto"/>
        <w:ind w:firstLine="420" w:firstLineChars="200"/>
        <w:jc w:val="left"/>
        <w:rPr>
          <w:rFonts w:ascii="宋体" w:hAnsi="宋体"/>
          <w:snapToGrid w:val="0"/>
          <w:kern w:val="0"/>
          <w:szCs w:val="21"/>
          <w:highlight w:val="none"/>
        </w:rPr>
      </w:pPr>
    </w:p>
    <w:p w14:paraId="352328AB">
      <w:pPr>
        <w:spacing w:line="360" w:lineRule="auto"/>
        <w:jc w:val="center"/>
        <w:outlineLvl w:val="2"/>
        <w:rPr>
          <w:rFonts w:hint="eastAsia" w:ascii="宋体" w:hAnsi="宋体" w:eastAsia="宋体"/>
          <w:b/>
          <w:snapToGrid w:val="0"/>
          <w:kern w:val="0"/>
          <w:sz w:val="32"/>
          <w:szCs w:val="32"/>
          <w:highlight w:val="none"/>
        </w:rPr>
      </w:pPr>
      <w:bookmarkStart w:id="5" w:name="_Toc509669688"/>
      <w:r>
        <w:rPr>
          <w:rFonts w:hint="eastAsia" w:ascii="宋体" w:hAnsi="宋体" w:eastAsia="宋体"/>
          <w:b/>
          <w:snapToGrid w:val="0"/>
          <w:kern w:val="0"/>
          <w:sz w:val="32"/>
          <w:szCs w:val="32"/>
          <w:highlight w:val="none"/>
        </w:rPr>
        <w:t>三、投标文件的</w:t>
      </w:r>
      <w:r>
        <w:rPr>
          <w:rFonts w:hint="eastAsia" w:ascii="宋体" w:hAnsi="宋体"/>
          <w:b/>
          <w:snapToGrid w:val="0"/>
          <w:kern w:val="0"/>
          <w:sz w:val="32"/>
          <w:szCs w:val="32"/>
          <w:highlight w:val="none"/>
          <w:lang w:val="en-US" w:eastAsia="zh-CN"/>
        </w:rPr>
        <w:t>递</w:t>
      </w:r>
      <w:r>
        <w:rPr>
          <w:rFonts w:hint="eastAsia" w:ascii="宋体" w:hAnsi="宋体" w:eastAsia="宋体"/>
          <w:b/>
          <w:snapToGrid w:val="0"/>
          <w:kern w:val="0"/>
          <w:sz w:val="32"/>
          <w:szCs w:val="32"/>
          <w:highlight w:val="none"/>
        </w:rPr>
        <w:t>交</w:t>
      </w:r>
      <w:bookmarkEnd w:id="5"/>
    </w:p>
    <w:p w14:paraId="0E576862">
      <w:pPr>
        <w:spacing w:line="540" w:lineRule="exact"/>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8.投标文件的</w:t>
      </w:r>
      <w:r>
        <w:rPr>
          <w:rFonts w:hint="eastAsia" w:ascii="宋体" w:hAnsi="宋体"/>
          <w:b/>
          <w:snapToGrid w:val="0"/>
          <w:kern w:val="0"/>
          <w:szCs w:val="21"/>
          <w:highlight w:val="none"/>
          <w:lang w:val="en-US" w:eastAsia="zh-CN"/>
        </w:rPr>
        <w:t>递交</w:t>
      </w:r>
      <w:r>
        <w:rPr>
          <w:rFonts w:hint="eastAsia" w:ascii="宋体" w:hAnsi="宋体"/>
          <w:b/>
          <w:snapToGrid w:val="0"/>
          <w:kern w:val="0"/>
          <w:szCs w:val="21"/>
          <w:highlight w:val="none"/>
        </w:rPr>
        <w:t>和截标时投标文件的数量要求</w:t>
      </w:r>
    </w:p>
    <w:p w14:paraId="294479FF">
      <w:pPr>
        <w:spacing w:line="360" w:lineRule="auto"/>
        <w:ind w:firstLine="420" w:firstLineChars="200"/>
        <w:jc w:val="left"/>
        <w:rPr>
          <w:rFonts w:hint="eastAsia" w:ascii="宋体" w:hAnsi="宋体"/>
          <w:b w:val="0"/>
          <w:snapToGrid w:val="0"/>
          <w:kern w:val="0"/>
          <w:szCs w:val="21"/>
          <w:highlight w:val="none"/>
        </w:rPr>
      </w:pPr>
      <w:r>
        <w:rPr>
          <w:rFonts w:hint="eastAsia" w:ascii="宋体" w:hAnsi="宋体"/>
          <w:snapToGrid w:val="0"/>
          <w:kern w:val="0"/>
          <w:szCs w:val="21"/>
          <w:highlight w:val="none"/>
        </w:rPr>
        <w:t>8.1投标截止时间和地点。</w:t>
      </w:r>
      <w:r>
        <w:rPr>
          <w:rFonts w:hint="eastAsia" w:ascii="宋体" w:hAnsi="宋体"/>
          <w:b w:val="0"/>
          <w:snapToGrid w:val="0"/>
          <w:kern w:val="0"/>
          <w:szCs w:val="21"/>
          <w:highlight w:val="none"/>
        </w:rPr>
        <w:t>投标人应在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要求时间 </w:t>
      </w:r>
      <w:r>
        <w:rPr>
          <w:rFonts w:hint="eastAsia" w:ascii="宋体" w:hAnsi="宋体"/>
          <w:b w:val="0"/>
          <w:snapToGrid w:val="0"/>
          <w:kern w:val="0"/>
          <w:szCs w:val="21"/>
          <w:highlight w:val="none"/>
        </w:rPr>
        <w:t>之前将投标文件送达</w:t>
      </w:r>
      <w:r>
        <w:rPr>
          <w:rFonts w:hint="eastAsia" w:ascii="宋体" w:hAnsi="宋体" w:cs="Times New Roman"/>
          <w:snapToGrid w:val="0"/>
          <w:kern w:val="0"/>
          <w:szCs w:val="21"/>
          <w:highlight w:val="none"/>
        </w:rPr>
        <w:t>龙岗区中心城腾飞路创投大厦22楼</w:t>
      </w:r>
      <w:r>
        <w:rPr>
          <w:rFonts w:hint="eastAsia" w:ascii="宋体" w:hAnsi="宋体" w:cs="Times New Roman"/>
          <w:snapToGrid w:val="0"/>
          <w:kern w:val="0"/>
          <w:szCs w:val="21"/>
          <w:highlight w:val="none"/>
          <w:lang w:eastAsia="zh-CN"/>
        </w:rPr>
        <w:t>22</w:t>
      </w:r>
      <w:r>
        <w:rPr>
          <w:rFonts w:hint="eastAsia" w:ascii="宋体" w:hAnsi="宋体" w:cs="Times New Roman"/>
          <w:snapToGrid w:val="0"/>
          <w:kern w:val="0"/>
          <w:szCs w:val="21"/>
          <w:highlight w:val="none"/>
          <w:lang w:val="en-US" w:eastAsia="zh-CN"/>
        </w:rPr>
        <w:t>09</w:t>
      </w:r>
      <w:r>
        <w:rPr>
          <w:rFonts w:hint="eastAsia" w:ascii="宋体" w:hAnsi="宋体" w:cs="Times New Roman"/>
          <w:snapToGrid w:val="0"/>
          <w:kern w:val="0"/>
          <w:szCs w:val="21"/>
          <w:highlight w:val="none"/>
          <w:lang w:eastAsia="zh-CN"/>
        </w:rPr>
        <w:t>室</w:t>
      </w:r>
      <w:r>
        <w:rPr>
          <w:rFonts w:hint="eastAsia" w:ascii="宋体" w:hAnsi="宋体"/>
          <w:b w:val="0"/>
          <w:snapToGrid w:val="0"/>
          <w:kern w:val="0"/>
          <w:szCs w:val="21"/>
          <w:highlight w:val="none"/>
        </w:rPr>
        <w:t>。</w:t>
      </w:r>
    </w:p>
    <w:p w14:paraId="02EB7C8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8.2投标文件的密封和标记</w:t>
      </w:r>
    </w:p>
    <w:p w14:paraId="57BDB06E">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8.2.1投标文件1正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副，1个密封袋密封。将密封包装好的投标文件密封袋上注明工程名称、招标人、投标人名称、开封时间等，并在密封袋的封口处和标签上应加盖投标人公章，同时1正</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副投标文件封面加盖公章及骑缝章。</w:t>
      </w:r>
    </w:p>
    <w:p w14:paraId="13FA9BB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8.2.2投标文件若未按规定进行密封及标志，招标人不承担投标文件错放或提前开封的责任。</w:t>
      </w:r>
    </w:p>
    <w:p w14:paraId="1AF2ABE1">
      <w:pPr>
        <w:spacing w:line="360" w:lineRule="auto"/>
        <w:ind w:firstLine="420" w:firstLineChars="200"/>
        <w:jc w:val="left"/>
        <w:rPr>
          <w:rFonts w:hint="eastAsia" w:ascii="宋体" w:hAnsi="宋体"/>
          <w:b/>
          <w:bCs/>
          <w:snapToGrid w:val="0"/>
          <w:kern w:val="0"/>
          <w:szCs w:val="21"/>
          <w:highlight w:val="none"/>
        </w:rPr>
      </w:pPr>
      <w:r>
        <w:rPr>
          <w:rFonts w:hint="eastAsia" w:ascii="宋体" w:hAnsi="宋体"/>
          <w:snapToGrid w:val="0"/>
          <w:kern w:val="0"/>
          <w:szCs w:val="21"/>
          <w:highlight w:val="none"/>
        </w:rPr>
        <w:t>8.3</w:t>
      </w:r>
      <w:r>
        <w:rPr>
          <w:rFonts w:hint="eastAsia" w:ascii="宋体" w:hAnsi="宋体"/>
          <w:b/>
          <w:bCs/>
          <w:snapToGrid w:val="0"/>
          <w:kern w:val="0"/>
          <w:szCs w:val="21"/>
          <w:highlight w:val="none"/>
        </w:rPr>
        <w:t>一次</w:t>
      </w:r>
      <w:r>
        <w:rPr>
          <w:rFonts w:hint="eastAsia" w:ascii="宋体" w:hAnsi="宋体"/>
          <w:b/>
          <w:bCs/>
          <w:snapToGrid w:val="0"/>
          <w:color w:val="auto"/>
          <w:kern w:val="0"/>
          <w:szCs w:val="21"/>
          <w:highlight w:val="none"/>
        </w:rPr>
        <w:t>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交资审文件或资格审查合格投标人少于3家的，重新发布</w:t>
      </w:r>
      <w:r>
        <w:rPr>
          <w:rFonts w:hint="eastAsia" w:ascii="宋体" w:hAnsi="宋体"/>
          <w:b/>
          <w:bCs/>
          <w:snapToGrid w:val="0"/>
          <w:color w:val="auto"/>
          <w:kern w:val="0"/>
          <w:szCs w:val="21"/>
          <w:highlight w:val="none"/>
          <w:lang w:eastAsia="zh-CN"/>
        </w:rPr>
        <w:t>公开招标（自主）</w:t>
      </w:r>
      <w:r>
        <w:rPr>
          <w:rFonts w:hint="eastAsia" w:ascii="宋体" w:hAnsi="宋体"/>
          <w:b/>
          <w:bCs/>
          <w:snapToGrid w:val="0"/>
          <w:color w:val="auto"/>
          <w:kern w:val="0"/>
          <w:szCs w:val="21"/>
          <w:highlight w:val="none"/>
        </w:rPr>
        <w:t>公告（原则不少于一次公告发布时间的50%）。二次公告后，</w:t>
      </w:r>
      <w:r>
        <w:rPr>
          <w:rFonts w:hint="eastAsia" w:ascii="宋体" w:hAnsi="宋体"/>
          <w:b/>
          <w:bCs/>
          <w:snapToGrid w:val="0"/>
          <w:color w:val="auto"/>
          <w:kern w:val="0"/>
          <w:szCs w:val="21"/>
          <w:highlight w:val="none"/>
          <w:lang w:val="en-US" w:eastAsia="zh-CN"/>
        </w:rPr>
        <w:t>递</w:t>
      </w:r>
      <w:r>
        <w:rPr>
          <w:rFonts w:hint="eastAsia" w:ascii="宋体" w:hAnsi="宋体"/>
          <w:b/>
          <w:bCs/>
          <w:snapToGrid w:val="0"/>
          <w:color w:val="auto"/>
          <w:kern w:val="0"/>
          <w:szCs w:val="21"/>
          <w:highlight w:val="none"/>
        </w:rPr>
        <w:t>交资审文件或资格审查合格投标人数量不足3家的，将按定标规则横向对比后</w:t>
      </w:r>
      <w:r>
        <w:rPr>
          <w:rFonts w:hint="eastAsia" w:ascii="宋体" w:hAnsi="宋体"/>
          <w:b/>
          <w:bCs/>
          <w:snapToGrid w:val="0"/>
          <w:kern w:val="0"/>
          <w:szCs w:val="21"/>
          <w:highlight w:val="none"/>
        </w:rPr>
        <w:t>选取1家；</w:t>
      </w:r>
      <w:r>
        <w:rPr>
          <w:rFonts w:hint="eastAsia" w:ascii="宋体" w:hAnsi="宋体"/>
          <w:b/>
          <w:bCs/>
          <w:snapToGrid w:val="0"/>
          <w:kern w:val="0"/>
          <w:szCs w:val="21"/>
          <w:highlight w:val="none"/>
          <w:lang w:val="en-US" w:eastAsia="zh-CN"/>
        </w:rPr>
        <w:t>递</w:t>
      </w:r>
      <w:r>
        <w:rPr>
          <w:rFonts w:hint="eastAsia" w:ascii="宋体" w:hAnsi="宋体"/>
          <w:b/>
          <w:bCs/>
          <w:snapToGrid w:val="0"/>
          <w:kern w:val="0"/>
          <w:szCs w:val="21"/>
          <w:highlight w:val="none"/>
        </w:rPr>
        <w:t>交资审文件或资格审查合格投标人数量不足2家的，将进入直接委托程序。</w:t>
      </w:r>
    </w:p>
    <w:p w14:paraId="53FFEF7C">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8.4迟交的投标文件</w:t>
      </w:r>
    </w:p>
    <w:p w14:paraId="359F82D8">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招标人在本须知第8.1条规定的投标截止日期以后收到的投标文件，将被拒绝或原封退回给投标人。</w:t>
      </w:r>
    </w:p>
    <w:p w14:paraId="523FF252">
      <w:pPr>
        <w:spacing w:line="360" w:lineRule="auto"/>
        <w:jc w:val="both"/>
        <w:outlineLvl w:val="2"/>
        <w:rPr>
          <w:rFonts w:hint="eastAsia" w:ascii="宋体" w:hAnsi="宋体"/>
          <w:b/>
          <w:snapToGrid w:val="0"/>
          <w:kern w:val="0"/>
          <w:sz w:val="32"/>
          <w:szCs w:val="32"/>
          <w:highlight w:val="none"/>
        </w:rPr>
      </w:pPr>
      <w:bookmarkStart w:id="6" w:name="_Toc509669689"/>
    </w:p>
    <w:p w14:paraId="445A6A85">
      <w:pPr>
        <w:spacing w:line="360" w:lineRule="auto"/>
        <w:jc w:val="center"/>
        <w:outlineLvl w:val="2"/>
        <w:rPr>
          <w:rFonts w:hint="eastAsia" w:ascii="宋体" w:hAnsi="宋体"/>
          <w:b/>
          <w:snapToGrid w:val="0"/>
          <w:kern w:val="0"/>
          <w:sz w:val="32"/>
          <w:szCs w:val="32"/>
          <w:highlight w:val="none"/>
        </w:rPr>
      </w:pPr>
    </w:p>
    <w:p w14:paraId="4947FEC8">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四、开  标</w:t>
      </w:r>
      <w:bookmarkEnd w:id="6"/>
    </w:p>
    <w:p w14:paraId="37B00C92">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9.开标</w:t>
      </w:r>
    </w:p>
    <w:p w14:paraId="0D9A0400">
      <w:pPr>
        <w:pStyle w:val="98"/>
        <w:tabs>
          <w:tab w:val="left" w:pos="14"/>
          <w:tab w:val="left" w:pos="1232"/>
        </w:tabs>
        <w:spacing w:line="360" w:lineRule="auto"/>
        <w:rPr>
          <w:rFonts w:ascii="宋体" w:hAnsi="宋体"/>
          <w:snapToGrid w:val="0"/>
          <w:kern w:val="0"/>
          <w:szCs w:val="21"/>
          <w:highlight w:val="none"/>
        </w:rPr>
      </w:pPr>
      <w:r>
        <w:rPr>
          <w:rFonts w:hint="eastAsia" w:ascii="宋体" w:hAnsi="宋体"/>
          <w:snapToGrid w:val="0"/>
          <w:kern w:val="0"/>
          <w:szCs w:val="21"/>
          <w:highlight w:val="none"/>
        </w:rPr>
        <w:t>9.1招标人</w:t>
      </w:r>
      <w:r>
        <w:rPr>
          <w:rFonts w:hint="eastAsia" w:ascii="宋体" w:hAnsi="宋体"/>
          <w:snapToGrid w:val="0"/>
          <w:kern w:val="0"/>
          <w:szCs w:val="21"/>
          <w:highlight w:val="none"/>
          <w:lang w:val="en-US" w:eastAsia="zh-CN"/>
        </w:rPr>
        <w:t>计划</w:t>
      </w:r>
      <w:r>
        <w:rPr>
          <w:rFonts w:hint="eastAsia" w:ascii="宋体" w:hAnsi="宋体"/>
          <w:snapToGrid w:val="0"/>
          <w:kern w:val="0"/>
          <w:szCs w:val="21"/>
          <w:highlight w:val="none"/>
        </w:rPr>
        <w:t>在</w:t>
      </w:r>
      <w:r>
        <w:rPr>
          <w:rFonts w:hint="eastAsia" w:ascii="宋体" w:hAnsi="宋体"/>
          <w:b w:val="0"/>
          <w:snapToGrid w:val="0"/>
          <w:kern w:val="0"/>
          <w:szCs w:val="21"/>
          <w:highlight w:val="none"/>
          <w:u w:val="single"/>
          <w:lang w:val="en-US" w:eastAsia="zh-CN"/>
        </w:rPr>
        <w:t xml:space="preserve"> </w:t>
      </w:r>
      <w:r>
        <w:rPr>
          <w:rFonts w:hint="eastAsia" w:ascii="宋体" w:hAnsi="宋体"/>
          <w:b w:val="0"/>
          <w:snapToGrid w:val="0"/>
          <w:kern w:val="0"/>
          <w:szCs w:val="21"/>
          <w:highlight w:val="none"/>
          <w:u w:val="single"/>
        </w:rPr>
        <w:t>投标须知前附表</w:t>
      </w:r>
      <w:r>
        <w:rPr>
          <w:rFonts w:hint="eastAsia" w:ascii="宋体" w:hAnsi="宋体"/>
          <w:b w:val="0"/>
          <w:snapToGrid w:val="0"/>
          <w:kern w:val="0"/>
          <w:szCs w:val="21"/>
          <w:highlight w:val="none"/>
          <w:u w:val="single"/>
          <w:lang w:val="en-US" w:eastAsia="zh-CN"/>
        </w:rPr>
        <w:t xml:space="preserve">规定时间 </w:t>
      </w:r>
      <w:r>
        <w:rPr>
          <w:rFonts w:hint="eastAsia" w:ascii="宋体" w:hAnsi="宋体"/>
          <w:b/>
          <w:snapToGrid w:val="0"/>
          <w:color w:val="000000"/>
          <w:kern w:val="0"/>
          <w:szCs w:val="21"/>
          <w:highlight w:val="none"/>
          <w:lang w:val="en-US" w:eastAsia="zh-CN"/>
        </w:rPr>
        <w:t>，</w:t>
      </w:r>
      <w:r>
        <w:rPr>
          <w:rFonts w:hint="eastAsia" w:ascii="宋体" w:hAnsi="宋体" w:cs="宋体"/>
          <w:kern w:val="0"/>
          <w:szCs w:val="21"/>
          <w:highlight w:val="none"/>
          <w:lang w:val="en-US" w:eastAsia="zh-CN"/>
        </w:rPr>
        <w:t>于</w:t>
      </w:r>
      <w:r>
        <w:rPr>
          <w:rFonts w:ascii="宋体" w:hAnsi="宋体" w:cs="宋体"/>
          <w:kern w:val="0"/>
          <w:szCs w:val="21"/>
          <w:highlight w:val="none"/>
        </w:rPr>
        <w:t>龙岗区中心城腾飞路创投大厦</w:t>
      </w:r>
      <w:r>
        <w:rPr>
          <w:rFonts w:hint="eastAsia" w:ascii="宋体" w:hAnsi="宋体"/>
          <w:szCs w:val="21"/>
          <w:highlight w:val="none"/>
        </w:rPr>
        <w:t>深圳市龙岗区城市建设投资集团有限公司会议室开标</w:t>
      </w:r>
      <w:r>
        <w:rPr>
          <w:rFonts w:hint="eastAsia" w:ascii="宋体" w:hAnsi="宋体"/>
          <w:snapToGrid w:val="0"/>
          <w:kern w:val="0"/>
          <w:szCs w:val="21"/>
          <w:highlight w:val="none"/>
        </w:rPr>
        <w:t>，并邀请</w:t>
      </w:r>
      <w:r>
        <w:rPr>
          <w:rFonts w:hint="eastAsia" w:ascii="宋体" w:hAnsi="宋体"/>
          <w:szCs w:val="21"/>
          <w:highlight w:val="none"/>
        </w:rPr>
        <w:t>评标委员会委员和监督小组成员</w:t>
      </w:r>
      <w:r>
        <w:rPr>
          <w:rFonts w:hint="eastAsia" w:ascii="宋体" w:hAnsi="宋体"/>
          <w:snapToGrid w:val="0"/>
          <w:kern w:val="0"/>
          <w:szCs w:val="21"/>
          <w:highlight w:val="none"/>
        </w:rPr>
        <w:t>参加。</w:t>
      </w:r>
    </w:p>
    <w:p w14:paraId="74C352B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9.2开标会由招标人主持。</w:t>
      </w:r>
    </w:p>
    <w:p w14:paraId="63898DCA">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9.3</w:t>
      </w:r>
      <w:r>
        <w:rPr>
          <w:rFonts w:hint="eastAsia" w:ascii="宋体" w:hAnsi="宋体"/>
          <w:szCs w:val="21"/>
          <w:highlight w:val="none"/>
        </w:rPr>
        <w:t>开标会结束，相关资料送交评标委员会。</w:t>
      </w:r>
    </w:p>
    <w:p w14:paraId="267BA61D">
      <w:pPr>
        <w:spacing w:line="360" w:lineRule="auto"/>
        <w:jc w:val="center"/>
        <w:outlineLvl w:val="2"/>
        <w:rPr>
          <w:rFonts w:hint="eastAsia" w:ascii="宋体" w:hAnsi="宋体"/>
          <w:b/>
          <w:snapToGrid w:val="0"/>
          <w:kern w:val="0"/>
          <w:sz w:val="32"/>
          <w:szCs w:val="32"/>
          <w:highlight w:val="none"/>
        </w:rPr>
      </w:pPr>
      <w:bookmarkStart w:id="7" w:name="_Toc509669690"/>
    </w:p>
    <w:p w14:paraId="49394347">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五、资格审查</w:t>
      </w:r>
      <w:bookmarkEnd w:id="7"/>
    </w:p>
    <w:p w14:paraId="3C385349">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10.资格审查按以下规定进行</w:t>
      </w:r>
    </w:p>
    <w:p w14:paraId="16E0FC92">
      <w:pPr>
        <w:spacing w:line="360" w:lineRule="auto"/>
        <w:ind w:firstLine="420" w:firstLineChars="200"/>
        <w:jc w:val="left"/>
        <w:rPr>
          <w:rFonts w:ascii="宋体" w:hAnsi="宋体"/>
          <w:snapToGrid w:val="0"/>
          <w:color w:val="000000"/>
          <w:kern w:val="0"/>
          <w:szCs w:val="21"/>
          <w:highlight w:val="none"/>
        </w:rPr>
      </w:pPr>
      <w:r>
        <w:rPr>
          <w:rFonts w:hint="eastAsia" w:ascii="宋体" w:hAnsi="宋体"/>
          <w:snapToGrid w:val="0"/>
          <w:color w:val="000000"/>
          <w:kern w:val="0"/>
          <w:szCs w:val="21"/>
          <w:highlight w:val="none"/>
        </w:rPr>
        <w:t>10.1资格审查由评标委员会负责。</w:t>
      </w:r>
    </w:p>
    <w:p w14:paraId="009BDFA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10.2评标委员严格对照</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要求的投标人资格条件，逐个审查投标人递交的资格审查文件，审核判断投标人是否满足该资格条件。</w:t>
      </w:r>
    </w:p>
    <w:p w14:paraId="059CA2F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10.3全部投标人的资格审查材料审查完毕后，</w:t>
      </w:r>
      <w:r>
        <w:rPr>
          <w:rFonts w:hint="eastAsia" w:ascii="宋体" w:hAnsi="宋体"/>
          <w:b/>
          <w:snapToGrid w:val="0"/>
          <w:color w:val="000000"/>
          <w:kern w:val="0"/>
          <w:szCs w:val="21"/>
          <w:highlight w:val="none"/>
        </w:rPr>
        <w:t>评标委员会出具资格审查报告</w:t>
      </w:r>
      <w:r>
        <w:rPr>
          <w:rFonts w:hint="eastAsia" w:ascii="宋体" w:hAnsi="宋体"/>
          <w:snapToGrid w:val="0"/>
          <w:kern w:val="0"/>
          <w:szCs w:val="21"/>
          <w:highlight w:val="none"/>
        </w:rPr>
        <w:t>。资格审查合格投标人少于3家的，不再进行后续</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投标程序。</w:t>
      </w:r>
    </w:p>
    <w:p w14:paraId="7CCC53FC">
      <w:pPr>
        <w:spacing w:line="360" w:lineRule="auto"/>
        <w:jc w:val="center"/>
        <w:outlineLvl w:val="2"/>
        <w:rPr>
          <w:rFonts w:hint="eastAsia" w:ascii="宋体" w:hAnsi="宋体"/>
          <w:b/>
          <w:snapToGrid w:val="0"/>
          <w:kern w:val="0"/>
          <w:sz w:val="32"/>
          <w:szCs w:val="32"/>
          <w:highlight w:val="none"/>
        </w:rPr>
      </w:pPr>
      <w:bookmarkStart w:id="8" w:name="_Toc509669691"/>
    </w:p>
    <w:p w14:paraId="5CFCC4BE">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六、评标</w:t>
      </w:r>
      <w:bookmarkEnd w:id="8"/>
    </w:p>
    <w:p w14:paraId="339B15FF">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11.评标委员会和评标</w:t>
      </w:r>
    </w:p>
    <w:p w14:paraId="34CBE52C">
      <w:pPr>
        <w:spacing w:line="360" w:lineRule="auto"/>
        <w:ind w:firstLine="420" w:firstLineChars="200"/>
        <w:jc w:val="left"/>
        <w:rPr>
          <w:rFonts w:hAnsi="宋体"/>
          <w:highlight w:val="none"/>
        </w:rPr>
      </w:pPr>
      <w:r>
        <w:rPr>
          <w:rFonts w:hint="eastAsia" w:ascii="宋体" w:hAnsi="宋体"/>
          <w:snapToGrid w:val="0"/>
          <w:kern w:val="0"/>
          <w:szCs w:val="21"/>
          <w:highlight w:val="none"/>
        </w:rPr>
        <w:t>11.1评标委员会的组建：招标人依法组建评标委员会，负责该</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项目的评标活动。</w:t>
      </w:r>
    </w:p>
    <w:p w14:paraId="7A396C8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11.2评标委员会的职责：评标委员会应根据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文件规定的评标方法和标准，对投标文件进行系统地评审。评标委员会根据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文件的规定直接确定中标人。</w:t>
      </w:r>
    </w:p>
    <w:p w14:paraId="3806EEB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11.3评标委员会的原则：</w:t>
      </w:r>
      <w:r>
        <w:rPr>
          <w:rFonts w:ascii="宋体" w:hAnsi="宋体"/>
          <w:snapToGrid w:val="0"/>
          <w:kern w:val="0"/>
          <w:szCs w:val="21"/>
          <w:highlight w:val="none"/>
        </w:rPr>
        <w:t>评标活动</w:t>
      </w:r>
      <w:r>
        <w:rPr>
          <w:rFonts w:hint="eastAsia" w:ascii="宋体" w:hAnsi="宋体"/>
          <w:snapToGrid w:val="0"/>
          <w:kern w:val="0"/>
          <w:szCs w:val="21"/>
          <w:highlight w:val="none"/>
        </w:rPr>
        <w:t>应</w:t>
      </w:r>
      <w:r>
        <w:rPr>
          <w:rFonts w:ascii="宋体" w:hAnsi="宋体"/>
          <w:snapToGrid w:val="0"/>
          <w:kern w:val="0"/>
          <w:szCs w:val="21"/>
          <w:highlight w:val="none"/>
        </w:rPr>
        <w:t>遵循公开、公正、公平、科学、择优的原则。</w:t>
      </w:r>
      <w:r>
        <w:rPr>
          <w:rFonts w:hint="eastAsia" w:ascii="宋体" w:hAnsi="宋体"/>
          <w:snapToGrid w:val="0"/>
          <w:kern w:val="0"/>
          <w:szCs w:val="21"/>
          <w:highlight w:val="none"/>
        </w:rPr>
        <w:t>评标委员会的评审应实行少数服从多数的原则，经评标委员会成员</w:t>
      </w:r>
      <w:r>
        <w:rPr>
          <w:rFonts w:hint="eastAsia" w:ascii="宋体" w:hAnsi="宋体"/>
          <w:snapToGrid w:val="0"/>
          <w:kern w:val="0"/>
          <w:szCs w:val="21"/>
          <w:highlight w:val="none"/>
          <w:lang w:val="en-US" w:eastAsia="zh-CN"/>
        </w:rPr>
        <w:t>实</w:t>
      </w:r>
      <w:r>
        <w:rPr>
          <w:rFonts w:hint="eastAsia" w:ascii="宋体" w:hAnsi="宋体"/>
          <w:snapToGrid w:val="0"/>
          <w:kern w:val="0"/>
          <w:szCs w:val="21"/>
          <w:highlight w:val="none"/>
        </w:rPr>
        <w:t>名表决半数以上通过的评标结果有效。</w:t>
      </w:r>
    </w:p>
    <w:p w14:paraId="71866D6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11.4招标人应向评标委员会提供以下资料，供评标使用：</w:t>
      </w:r>
    </w:p>
    <w:p w14:paraId="0E0C188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文件，包括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文件的补充、修改或澄清文件；</w:t>
      </w:r>
    </w:p>
    <w:p w14:paraId="37327A0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(2)其他评标必</w:t>
      </w:r>
      <w:r>
        <w:rPr>
          <w:rFonts w:hint="eastAsia" w:ascii="宋体" w:hAnsi="宋体"/>
          <w:snapToGrid w:val="0"/>
          <w:kern w:val="0"/>
          <w:szCs w:val="21"/>
          <w:highlight w:val="none"/>
          <w:lang w:val="en-US" w:eastAsia="zh-CN"/>
        </w:rPr>
        <w:t>需</w:t>
      </w:r>
      <w:r>
        <w:rPr>
          <w:rFonts w:hint="eastAsia" w:ascii="宋体" w:hAnsi="宋体"/>
          <w:snapToGrid w:val="0"/>
          <w:kern w:val="0"/>
          <w:szCs w:val="21"/>
          <w:highlight w:val="none"/>
        </w:rPr>
        <w:t>的资料。</w:t>
      </w:r>
    </w:p>
    <w:p w14:paraId="02EA323C">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12.投标文件的澄清和对答辩人的要求（此次不要求）</w:t>
      </w:r>
    </w:p>
    <w:p w14:paraId="3CF1C2E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12.1可以要求投标人对投标文件含义不明确的内容作必要的澄清、说明。澄清、说明应以书面方式进行并不得超出投标文件的范围或改变投标文件的实质性内容。</w:t>
      </w:r>
    </w:p>
    <w:p w14:paraId="30A8033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w:t>
      </w:r>
      <w:r>
        <w:rPr>
          <w:rFonts w:ascii="宋体" w:hAnsi="宋体"/>
          <w:snapToGrid w:val="0"/>
          <w:kern w:val="0"/>
          <w:szCs w:val="21"/>
          <w:highlight w:val="none"/>
        </w:rPr>
        <w:t>投标</w:t>
      </w:r>
      <w:r>
        <w:rPr>
          <w:rFonts w:hint="eastAsia" w:ascii="宋体" w:hAnsi="宋体"/>
          <w:snapToGrid w:val="0"/>
          <w:kern w:val="0"/>
          <w:szCs w:val="21"/>
          <w:highlight w:val="none"/>
        </w:rPr>
        <w:t>人委派</w:t>
      </w:r>
      <w:r>
        <w:rPr>
          <w:rFonts w:ascii="宋体" w:hAnsi="宋体"/>
          <w:snapToGrid w:val="0"/>
          <w:kern w:val="0"/>
          <w:szCs w:val="21"/>
          <w:highlight w:val="none"/>
        </w:rPr>
        <w:t>的答辩人</w:t>
      </w:r>
      <w:r>
        <w:rPr>
          <w:rFonts w:hint="eastAsia" w:ascii="宋体" w:hAnsi="宋体"/>
          <w:snapToGrid w:val="0"/>
          <w:kern w:val="0"/>
          <w:szCs w:val="21"/>
          <w:highlight w:val="none"/>
        </w:rPr>
        <w:t>应符合以</w:t>
      </w:r>
      <w:r>
        <w:rPr>
          <w:rFonts w:ascii="宋体" w:hAnsi="宋体"/>
          <w:snapToGrid w:val="0"/>
          <w:kern w:val="0"/>
          <w:szCs w:val="21"/>
          <w:highlight w:val="none"/>
        </w:rPr>
        <w:t>下</w:t>
      </w:r>
      <w:r>
        <w:rPr>
          <w:rFonts w:hint="eastAsia" w:ascii="宋体" w:hAnsi="宋体"/>
          <w:snapToGrid w:val="0"/>
          <w:kern w:val="0"/>
          <w:szCs w:val="21"/>
          <w:highlight w:val="none"/>
        </w:rPr>
        <w:t>条件</w:t>
      </w:r>
      <w:r>
        <w:rPr>
          <w:rFonts w:ascii="宋体" w:hAnsi="宋体"/>
          <w:snapToGrid w:val="0"/>
          <w:kern w:val="0"/>
          <w:szCs w:val="21"/>
          <w:highlight w:val="none"/>
        </w:rPr>
        <w:t>：</w:t>
      </w:r>
    </w:p>
    <w:p w14:paraId="1770310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12.2.1拟进行投标</w:t>
      </w:r>
      <w:r>
        <w:rPr>
          <w:rFonts w:ascii="宋体" w:hAnsi="宋体"/>
          <w:snapToGrid w:val="0"/>
          <w:kern w:val="0"/>
          <w:szCs w:val="21"/>
          <w:highlight w:val="none"/>
        </w:rPr>
        <w:t>答辩</w:t>
      </w:r>
      <w:r>
        <w:rPr>
          <w:rFonts w:hint="eastAsia" w:ascii="宋体" w:hAnsi="宋体"/>
          <w:snapToGrid w:val="0"/>
          <w:kern w:val="0"/>
          <w:szCs w:val="21"/>
          <w:highlight w:val="none"/>
        </w:rPr>
        <w:t>的，答辩人必须是投标人拟派往本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项目的项目负责人、其法定代表人或者法定代表人委托代理人。</w:t>
      </w:r>
    </w:p>
    <w:p w14:paraId="1549621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12.3要求投标人进行答辩，但投标人在规定时间内未派出答辩人的，将根据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文件规定作出不利于投标人的判定，且投标人不得因此提出任何异议。</w:t>
      </w:r>
    </w:p>
    <w:p w14:paraId="092339AE">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w:t>
      </w:r>
      <w:r>
        <w:rPr>
          <w:rFonts w:ascii="宋体" w:hAnsi="宋体"/>
          <w:b/>
          <w:snapToGrid w:val="0"/>
          <w:kern w:val="0"/>
          <w:szCs w:val="21"/>
          <w:highlight w:val="none"/>
        </w:rPr>
        <w:t>3</w:t>
      </w:r>
      <w:r>
        <w:rPr>
          <w:rFonts w:hint="eastAsia" w:ascii="宋体" w:hAnsi="宋体"/>
          <w:b/>
          <w:snapToGrid w:val="0"/>
          <w:kern w:val="0"/>
          <w:szCs w:val="21"/>
          <w:highlight w:val="none"/>
        </w:rPr>
        <w:t>.评标方法</w:t>
      </w:r>
    </w:p>
    <w:p w14:paraId="39C47EA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评标委员会对进入评标环节的全部投标文件进行评审，给出评审意见，评委采用投票方式推荐综合评价最优的1名投标单位为中标候选人。</w:t>
      </w:r>
    </w:p>
    <w:p w14:paraId="4B017CDE">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14．投标人的推荐</w:t>
      </w:r>
    </w:p>
    <w:p w14:paraId="349AD10C">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14:paraId="4D13251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14.2本次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如果评标委员会已推荐投标人，无论随后出现何种情形，招标人在本次</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中不再接受另外的投标人，除非重新组织</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投标。</w:t>
      </w:r>
    </w:p>
    <w:p w14:paraId="14289350">
      <w:pPr>
        <w:spacing w:line="360" w:lineRule="auto"/>
        <w:jc w:val="center"/>
        <w:outlineLvl w:val="2"/>
        <w:rPr>
          <w:rFonts w:hint="eastAsia" w:ascii="宋体" w:hAnsi="宋体"/>
          <w:b/>
          <w:snapToGrid w:val="0"/>
          <w:kern w:val="0"/>
          <w:sz w:val="32"/>
          <w:szCs w:val="32"/>
          <w:highlight w:val="none"/>
        </w:rPr>
      </w:pPr>
      <w:bookmarkStart w:id="9" w:name="_Toc509669692"/>
    </w:p>
    <w:p w14:paraId="57156ABA">
      <w:pPr>
        <w:spacing w:line="360" w:lineRule="auto"/>
        <w:jc w:val="center"/>
        <w:outlineLvl w:val="2"/>
        <w:rPr>
          <w:rFonts w:ascii="宋体" w:hAnsi="宋体"/>
          <w:b/>
          <w:snapToGrid w:val="0"/>
          <w:kern w:val="0"/>
          <w:sz w:val="32"/>
          <w:szCs w:val="32"/>
          <w:highlight w:val="none"/>
        </w:rPr>
      </w:pPr>
      <w:r>
        <w:rPr>
          <w:rFonts w:hint="eastAsia" w:ascii="宋体" w:hAnsi="宋体"/>
          <w:b/>
          <w:snapToGrid w:val="0"/>
          <w:kern w:val="0"/>
          <w:sz w:val="32"/>
          <w:szCs w:val="32"/>
          <w:highlight w:val="none"/>
        </w:rPr>
        <w:t>七、签订合同</w:t>
      </w:r>
      <w:bookmarkEnd w:id="9"/>
    </w:p>
    <w:p w14:paraId="3DD889AC">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15.中标通知</w:t>
      </w:r>
    </w:p>
    <w:p w14:paraId="04F16CE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15</w:t>
      </w:r>
      <w:r>
        <w:rPr>
          <w:rFonts w:ascii="宋体" w:hAnsi="宋体"/>
          <w:snapToGrid w:val="0"/>
          <w:kern w:val="0"/>
          <w:szCs w:val="21"/>
          <w:highlight w:val="none"/>
        </w:rPr>
        <w:t>.</w:t>
      </w:r>
      <w:r>
        <w:rPr>
          <w:rFonts w:hint="eastAsia" w:ascii="宋体" w:hAnsi="宋体"/>
          <w:snapToGrid w:val="0"/>
          <w:kern w:val="0"/>
          <w:szCs w:val="21"/>
          <w:highlight w:val="none"/>
        </w:rPr>
        <w:t>1招标人应在确定中标人后，发出委托函。委托函是本</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项目合同的组成部分。如接到有关投诉的，招标人将可能暂停发出委托函。</w:t>
      </w:r>
    </w:p>
    <w:p w14:paraId="132B1E25">
      <w:pPr>
        <w:spacing w:line="360" w:lineRule="auto"/>
        <w:ind w:firstLine="422" w:firstLineChars="200"/>
        <w:jc w:val="left"/>
        <w:rPr>
          <w:rFonts w:ascii="宋体" w:hAnsi="宋体"/>
          <w:b/>
          <w:snapToGrid w:val="0"/>
          <w:kern w:val="0"/>
          <w:szCs w:val="21"/>
          <w:highlight w:val="none"/>
        </w:rPr>
      </w:pPr>
      <w:r>
        <w:rPr>
          <w:rFonts w:hint="eastAsia" w:ascii="宋体" w:hAnsi="宋体"/>
          <w:b/>
          <w:snapToGrid w:val="0"/>
          <w:kern w:val="0"/>
          <w:szCs w:val="21"/>
          <w:highlight w:val="none"/>
        </w:rPr>
        <w:t>16.签订合同</w:t>
      </w:r>
    </w:p>
    <w:p w14:paraId="5F51BD6C">
      <w:pPr>
        <w:spacing w:line="360" w:lineRule="auto"/>
        <w:ind w:firstLine="420" w:firstLineChars="200"/>
        <w:jc w:val="left"/>
        <w:rPr>
          <w:rFonts w:hint="eastAsia" w:ascii="宋体" w:hAnsi="宋体"/>
          <w:snapToGrid w:val="0"/>
          <w:kern w:val="0"/>
          <w:szCs w:val="21"/>
          <w:highlight w:val="none"/>
        </w:rPr>
      </w:pPr>
      <w:r>
        <w:rPr>
          <w:rFonts w:hint="eastAsia" w:ascii="宋体" w:hAnsi="宋体"/>
          <w:snapToGrid w:val="0"/>
          <w:kern w:val="0"/>
          <w:szCs w:val="21"/>
          <w:highlight w:val="none"/>
        </w:rPr>
        <w:t>16.1招标人和中标人应当按在委托函</w:t>
      </w:r>
      <w:r>
        <w:rPr>
          <w:rFonts w:hint="eastAsia" w:ascii="宋体" w:hAnsi="宋体"/>
          <w:snapToGrid w:val="0"/>
          <w:color w:val="auto"/>
          <w:kern w:val="0"/>
          <w:szCs w:val="21"/>
          <w:highlight w:val="none"/>
        </w:rPr>
        <w:t>发出</w:t>
      </w:r>
      <w:r>
        <w:rPr>
          <w:rFonts w:hint="eastAsia" w:ascii="宋体" w:hAnsi="宋体"/>
          <w:snapToGrid w:val="0"/>
          <w:color w:val="auto"/>
          <w:kern w:val="0"/>
          <w:szCs w:val="21"/>
          <w:highlight w:val="none"/>
          <w:lang w:val="en-US" w:eastAsia="zh-CN"/>
        </w:rPr>
        <w:t>30</w:t>
      </w:r>
      <w:r>
        <w:rPr>
          <w:rFonts w:hint="eastAsia" w:ascii="宋体" w:hAnsi="宋体"/>
          <w:snapToGrid w:val="0"/>
          <w:color w:val="auto"/>
          <w:kern w:val="0"/>
          <w:szCs w:val="21"/>
          <w:highlight w:val="none"/>
        </w:rPr>
        <w:t>日内</w:t>
      </w:r>
      <w:r>
        <w:rPr>
          <w:rFonts w:hint="eastAsia" w:ascii="宋体" w:hAnsi="宋体"/>
          <w:snapToGrid w:val="0"/>
          <w:kern w:val="0"/>
          <w:szCs w:val="21"/>
          <w:highlight w:val="none"/>
        </w:rPr>
        <w:t>，依据</w:t>
      </w:r>
      <w:r>
        <w:rPr>
          <w:rFonts w:hint="eastAsia" w:ascii="宋体" w:hAnsi="宋体"/>
          <w:snapToGrid w:val="0"/>
          <w:kern w:val="0"/>
          <w:szCs w:val="21"/>
          <w:highlight w:val="none"/>
          <w:lang w:eastAsia="zh-CN"/>
        </w:rPr>
        <w:t>公开招标（自主）</w:t>
      </w:r>
      <w:r>
        <w:rPr>
          <w:rFonts w:hint="eastAsia" w:ascii="宋体" w:hAnsi="宋体"/>
          <w:snapToGrid w:val="0"/>
          <w:kern w:val="0"/>
          <w:szCs w:val="21"/>
          <w:highlight w:val="none"/>
        </w:rPr>
        <w:t>文件和中标人的投标文件订立书面合同。</w:t>
      </w:r>
    </w:p>
    <w:p w14:paraId="56E033E2">
      <w:pPr>
        <w:spacing w:line="360" w:lineRule="auto"/>
        <w:ind w:firstLine="422" w:firstLineChars="200"/>
        <w:jc w:val="left"/>
        <w:rPr>
          <w:rFonts w:ascii="宋体" w:hAnsi="宋体"/>
          <w:sz w:val="24"/>
          <w:szCs w:val="24"/>
          <w:highlight w:val="none"/>
        </w:rPr>
      </w:pPr>
      <w:r>
        <w:rPr>
          <w:rFonts w:hAnsi="宋体"/>
          <w:b/>
          <w:szCs w:val="21"/>
          <w:highlight w:val="none"/>
        </w:rPr>
        <w:br w:type="page"/>
      </w:r>
    </w:p>
    <w:p w14:paraId="67042DB2">
      <w:pPr>
        <w:pStyle w:val="101"/>
        <w:widowControl/>
        <w:spacing w:line="560" w:lineRule="exact"/>
        <w:rPr>
          <w:rFonts w:hint="default" w:ascii="仿宋" w:hAnsi="仿宋" w:eastAsia="仿宋"/>
          <w:sz w:val="30"/>
          <w:szCs w:val="30"/>
          <w:highlight w:val="none"/>
        </w:rPr>
      </w:pPr>
      <w:r>
        <w:rPr>
          <w:rFonts w:ascii="仿宋" w:hAnsi="仿宋" w:eastAsia="仿宋"/>
          <w:b/>
          <w:sz w:val="30"/>
          <w:szCs w:val="30"/>
          <w:highlight w:val="none"/>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14:paraId="35CF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20723384">
            <w:pPr>
              <w:pStyle w:val="98"/>
              <w:spacing w:line="360" w:lineRule="exact"/>
              <w:ind w:firstLine="0" w:firstLineChars="0"/>
              <w:jc w:val="center"/>
              <w:rPr>
                <w:rFonts w:ascii="宋体" w:hAnsi="宋体"/>
                <w:b/>
                <w:bCs/>
                <w:sz w:val="24"/>
                <w:szCs w:val="24"/>
                <w:highlight w:val="none"/>
              </w:rPr>
            </w:pPr>
            <w:r>
              <w:rPr>
                <w:rFonts w:hint="eastAsia" w:ascii="宋体" w:hAnsi="宋体"/>
                <w:b/>
                <w:bCs/>
                <w:sz w:val="24"/>
                <w:szCs w:val="24"/>
                <w:highlight w:val="none"/>
              </w:rPr>
              <w:t>序号</w:t>
            </w:r>
          </w:p>
        </w:tc>
        <w:tc>
          <w:tcPr>
            <w:tcW w:w="3234" w:type="dxa"/>
            <w:vAlign w:val="center"/>
          </w:tcPr>
          <w:p w14:paraId="4825B52D">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文件名称</w:t>
            </w:r>
          </w:p>
        </w:tc>
        <w:tc>
          <w:tcPr>
            <w:tcW w:w="5095" w:type="dxa"/>
            <w:vAlign w:val="center"/>
          </w:tcPr>
          <w:p w14:paraId="6D800674">
            <w:pPr>
              <w:pStyle w:val="98"/>
              <w:spacing w:line="360" w:lineRule="exact"/>
              <w:ind w:firstLine="0" w:firstLineChars="0"/>
              <w:jc w:val="center"/>
              <w:rPr>
                <w:rFonts w:hint="eastAsia" w:ascii="宋体" w:hAnsi="宋体"/>
                <w:b/>
                <w:bCs/>
                <w:sz w:val="24"/>
                <w:szCs w:val="24"/>
                <w:highlight w:val="none"/>
              </w:rPr>
            </w:pPr>
            <w:r>
              <w:rPr>
                <w:rFonts w:hint="eastAsia" w:ascii="宋体" w:hAnsi="宋体"/>
                <w:b/>
                <w:bCs/>
                <w:sz w:val="24"/>
                <w:szCs w:val="24"/>
                <w:highlight w:val="none"/>
              </w:rPr>
              <w:t>要求说明</w:t>
            </w:r>
          </w:p>
        </w:tc>
      </w:tr>
      <w:tr w14:paraId="5789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14:paraId="00DFDFC0">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1</w:t>
            </w:r>
          </w:p>
        </w:tc>
        <w:tc>
          <w:tcPr>
            <w:tcW w:w="3234" w:type="dxa"/>
            <w:vAlign w:val="center"/>
          </w:tcPr>
          <w:p w14:paraId="7778B92D">
            <w:pPr>
              <w:adjustRightInd w:val="0"/>
              <w:snapToGrid w:val="0"/>
              <w:spacing w:line="580" w:lineRule="exact"/>
              <w:jc w:val="left"/>
              <w:rPr>
                <w:rFonts w:ascii="宋体" w:hAnsi="宋体"/>
                <w:sz w:val="24"/>
                <w:szCs w:val="24"/>
                <w:highlight w:val="none"/>
              </w:rPr>
            </w:pPr>
            <w:r>
              <w:rPr>
                <w:rFonts w:hint="eastAsia" w:ascii="宋体" w:hAnsi="宋体"/>
                <w:sz w:val="24"/>
                <w:szCs w:val="24"/>
                <w:highlight w:val="none"/>
              </w:rPr>
              <w:t>基本情况资料</w:t>
            </w:r>
          </w:p>
        </w:tc>
        <w:tc>
          <w:tcPr>
            <w:tcW w:w="5095" w:type="dxa"/>
            <w:vAlign w:val="center"/>
          </w:tcPr>
          <w:p w14:paraId="65FC972D">
            <w:pPr>
              <w:pStyle w:val="29"/>
              <w:rPr>
                <w:rFonts w:hint="eastAsia" w:hAnsi="宋体" w:eastAsia="宋体"/>
                <w:sz w:val="24"/>
                <w:szCs w:val="24"/>
                <w:highlight w:val="none"/>
                <w:lang w:eastAsia="zh-CN"/>
              </w:rPr>
            </w:pPr>
            <w:r>
              <w:rPr>
                <w:rFonts w:hint="eastAsia" w:hAnsi="宋体"/>
                <w:sz w:val="24"/>
                <w:szCs w:val="24"/>
                <w:highlight w:val="none"/>
              </w:rPr>
              <w:t>提供营业执照复印件、资质证书复印件、法定代表人证明书及身份证复印件、法定代表人授权委托书及身份证复印件</w:t>
            </w:r>
            <w:r>
              <w:rPr>
                <w:rFonts w:hint="eastAsia" w:hAnsi="宋体"/>
                <w:sz w:val="24"/>
                <w:szCs w:val="24"/>
                <w:highlight w:val="none"/>
                <w:lang w:eastAsia="zh-CN"/>
              </w:rPr>
              <w:t>（</w:t>
            </w:r>
            <w:r>
              <w:rPr>
                <w:rFonts w:hint="eastAsia" w:hAnsi="宋体"/>
                <w:sz w:val="24"/>
                <w:szCs w:val="24"/>
                <w:highlight w:val="none"/>
                <w:lang w:val="en-US" w:eastAsia="zh-CN"/>
              </w:rPr>
              <w:t>如有</w:t>
            </w:r>
            <w:r>
              <w:rPr>
                <w:rFonts w:hint="eastAsia" w:hAnsi="宋体"/>
                <w:sz w:val="24"/>
                <w:szCs w:val="24"/>
                <w:highlight w:val="none"/>
                <w:lang w:eastAsia="zh-CN"/>
              </w:rPr>
              <w:t>）</w:t>
            </w:r>
          </w:p>
        </w:tc>
      </w:tr>
      <w:tr w14:paraId="268F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14:paraId="1A74EC67">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2</w:t>
            </w:r>
          </w:p>
        </w:tc>
        <w:tc>
          <w:tcPr>
            <w:tcW w:w="3234" w:type="dxa"/>
            <w:vAlign w:val="center"/>
          </w:tcPr>
          <w:p w14:paraId="1D8786E7">
            <w:pPr>
              <w:adjustRightInd w:val="0"/>
              <w:snapToGrid w:val="0"/>
              <w:spacing w:line="580" w:lineRule="exact"/>
              <w:jc w:val="left"/>
              <w:rPr>
                <w:rFonts w:hint="default" w:ascii="宋体" w:hAnsi="宋体" w:eastAsia="宋体"/>
                <w:sz w:val="24"/>
                <w:szCs w:val="24"/>
                <w:highlight w:val="none"/>
                <w:lang w:val="en-US" w:eastAsia="zh-CN"/>
              </w:rPr>
            </w:pPr>
            <w:r>
              <w:rPr>
                <w:rFonts w:hint="eastAsia" w:ascii="宋体" w:hAnsi="宋体"/>
                <w:sz w:val="24"/>
                <w:szCs w:val="24"/>
                <w:highlight w:val="none"/>
              </w:rPr>
              <w:t>承诺函</w:t>
            </w:r>
            <w:r>
              <w:rPr>
                <w:rFonts w:hint="eastAsia" w:ascii="宋体" w:hAnsi="宋体"/>
                <w:sz w:val="24"/>
                <w:szCs w:val="24"/>
                <w:highlight w:val="none"/>
                <w:lang w:val="en-US" w:eastAsia="zh-CN"/>
              </w:rPr>
              <w:t>/报价表</w:t>
            </w:r>
          </w:p>
        </w:tc>
        <w:tc>
          <w:tcPr>
            <w:tcW w:w="5095" w:type="dxa"/>
            <w:vAlign w:val="center"/>
          </w:tcPr>
          <w:p w14:paraId="6FEFCD22">
            <w:pPr>
              <w:pStyle w:val="98"/>
              <w:spacing w:line="360" w:lineRule="exact"/>
              <w:ind w:firstLine="0" w:firstLineChars="0"/>
              <w:jc w:val="left"/>
              <w:rPr>
                <w:rFonts w:hint="eastAsia" w:ascii="宋体" w:hAnsi="宋体" w:eastAsia="宋体"/>
                <w:sz w:val="24"/>
                <w:szCs w:val="24"/>
                <w:highlight w:val="none"/>
                <w:lang w:val="en-US" w:eastAsia="zh-CN"/>
              </w:rPr>
            </w:pPr>
            <w:r>
              <w:rPr>
                <w:rFonts w:hint="eastAsia" w:ascii="宋体" w:hAnsi="宋体"/>
                <w:sz w:val="24"/>
                <w:szCs w:val="24"/>
                <w:highlight w:val="none"/>
              </w:rPr>
              <w:t>格式</w:t>
            </w:r>
            <w:r>
              <w:rPr>
                <w:rFonts w:hint="eastAsia" w:ascii="宋体" w:hAnsi="宋体"/>
                <w:sz w:val="24"/>
                <w:szCs w:val="24"/>
                <w:highlight w:val="none"/>
                <w:lang w:val="en-US" w:eastAsia="zh-CN"/>
              </w:rPr>
              <w:t>附后</w:t>
            </w:r>
          </w:p>
        </w:tc>
      </w:tr>
      <w:tr w14:paraId="1B1B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1A5811AD">
            <w:pPr>
              <w:pStyle w:val="98"/>
              <w:spacing w:line="360" w:lineRule="exact"/>
              <w:ind w:firstLine="0" w:firstLineChars="0"/>
              <w:jc w:val="center"/>
              <w:rPr>
                <w:rFonts w:ascii="宋体" w:hAnsi="宋体"/>
                <w:sz w:val="24"/>
                <w:szCs w:val="24"/>
                <w:highlight w:val="none"/>
              </w:rPr>
            </w:pPr>
            <w:r>
              <w:rPr>
                <w:rFonts w:hint="eastAsia" w:ascii="宋体" w:hAnsi="宋体"/>
                <w:sz w:val="24"/>
                <w:szCs w:val="24"/>
                <w:highlight w:val="none"/>
              </w:rPr>
              <w:t>3</w:t>
            </w:r>
          </w:p>
        </w:tc>
        <w:tc>
          <w:tcPr>
            <w:tcW w:w="3234" w:type="dxa"/>
            <w:vAlign w:val="center"/>
          </w:tcPr>
          <w:p w14:paraId="2A6338B4">
            <w:pPr>
              <w:pStyle w:val="98"/>
              <w:spacing w:line="360" w:lineRule="exact"/>
              <w:ind w:firstLine="0" w:firstLineChars="0"/>
              <w:jc w:val="left"/>
              <w:rPr>
                <w:rFonts w:ascii="宋体" w:hAnsi="宋体" w:cs="宋体"/>
                <w:kern w:val="0"/>
                <w:sz w:val="24"/>
                <w:szCs w:val="24"/>
                <w:highlight w:val="none"/>
              </w:rPr>
            </w:pPr>
            <w:r>
              <w:rPr>
                <w:rFonts w:hint="eastAsia" w:ascii="宋体" w:hAnsi="宋体" w:cs="宋体"/>
                <w:kern w:val="0"/>
                <w:sz w:val="24"/>
                <w:szCs w:val="24"/>
                <w:highlight w:val="none"/>
              </w:rPr>
              <w:t>龙岗区进一步规范政商交往行为告知书</w:t>
            </w:r>
          </w:p>
        </w:tc>
        <w:tc>
          <w:tcPr>
            <w:tcW w:w="5095" w:type="dxa"/>
            <w:vAlign w:val="center"/>
          </w:tcPr>
          <w:p w14:paraId="22FF1119">
            <w:pPr>
              <w:pStyle w:val="98"/>
              <w:spacing w:line="360" w:lineRule="exact"/>
              <w:ind w:firstLine="0" w:firstLineChars="0"/>
              <w:jc w:val="left"/>
              <w:rPr>
                <w:rFonts w:hint="eastAsia" w:ascii="宋体" w:hAnsi="宋体"/>
                <w:sz w:val="24"/>
                <w:szCs w:val="24"/>
                <w:highlight w:val="none"/>
              </w:rPr>
            </w:pPr>
            <w:r>
              <w:rPr>
                <w:rFonts w:hint="eastAsia" w:ascii="宋体" w:hAnsi="宋体"/>
                <w:sz w:val="24"/>
                <w:szCs w:val="24"/>
                <w:highlight w:val="none"/>
              </w:rPr>
              <w:t>提供法定代表人或者法定代表人授权人签字版</w:t>
            </w:r>
          </w:p>
          <w:p w14:paraId="3155A0EA">
            <w:pPr>
              <w:pStyle w:val="98"/>
              <w:spacing w:line="360" w:lineRule="exact"/>
              <w:ind w:firstLine="0" w:firstLineChars="0"/>
              <w:jc w:val="left"/>
              <w:rPr>
                <w:rFonts w:hint="default" w:ascii="宋体" w:hAnsi="宋体"/>
                <w:sz w:val="24"/>
                <w:szCs w:val="24"/>
                <w:highlight w:val="none"/>
                <w:lang w:val="en-US"/>
              </w:rPr>
            </w:pPr>
            <w:r>
              <w:rPr>
                <w:rFonts w:hint="eastAsia" w:ascii="宋体" w:hAnsi="宋体"/>
                <w:sz w:val="24"/>
                <w:szCs w:val="24"/>
                <w:highlight w:val="none"/>
              </w:rPr>
              <w:t>格式</w:t>
            </w:r>
            <w:r>
              <w:rPr>
                <w:rFonts w:hint="eastAsia" w:ascii="宋体" w:hAnsi="宋体"/>
                <w:sz w:val="24"/>
                <w:szCs w:val="24"/>
                <w:highlight w:val="none"/>
                <w:lang w:val="en-US" w:eastAsia="zh-CN"/>
              </w:rPr>
              <w:t>见后附件</w:t>
            </w:r>
          </w:p>
        </w:tc>
      </w:tr>
      <w:tr w14:paraId="7817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14:paraId="5CF25C40">
            <w:pPr>
              <w:pStyle w:val="98"/>
              <w:spacing w:line="360" w:lineRule="exact"/>
              <w:ind w:firstLine="0" w:firstLineChars="0"/>
              <w:jc w:val="center"/>
              <w:rPr>
                <w:rFonts w:ascii="宋体" w:hAnsi="宋体"/>
                <w:sz w:val="24"/>
                <w:szCs w:val="24"/>
                <w:highlight w:val="none"/>
              </w:rPr>
            </w:pPr>
            <w:r>
              <w:rPr>
                <w:rFonts w:ascii="宋体" w:hAnsi="宋体"/>
                <w:sz w:val="24"/>
                <w:szCs w:val="24"/>
                <w:highlight w:val="none"/>
              </w:rPr>
              <w:t>4</w:t>
            </w:r>
          </w:p>
        </w:tc>
        <w:tc>
          <w:tcPr>
            <w:tcW w:w="3234" w:type="dxa"/>
            <w:vAlign w:val="center"/>
          </w:tcPr>
          <w:p w14:paraId="0AB3F5B8">
            <w:pPr>
              <w:pStyle w:val="98"/>
              <w:spacing w:line="360" w:lineRule="exact"/>
              <w:ind w:firstLine="0" w:firstLineChars="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资信</w:t>
            </w:r>
            <w:r>
              <w:rPr>
                <w:rFonts w:hint="eastAsia" w:ascii="宋体" w:hAnsi="宋体" w:cs="宋体"/>
                <w:kern w:val="0"/>
                <w:sz w:val="24"/>
                <w:szCs w:val="24"/>
                <w:highlight w:val="none"/>
                <w:lang w:val="en-US" w:eastAsia="zh-CN"/>
              </w:rPr>
              <w:t>与方案</w:t>
            </w:r>
            <w:r>
              <w:rPr>
                <w:rFonts w:hint="eastAsia" w:ascii="宋体" w:hAnsi="宋体" w:eastAsia="宋体" w:cs="宋体"/>
                <w:kern w:val="0"/>
                <w:sz w:val="24"/>
                <w:szCs w:val="24"/>
                <w:highlight w:val="none"/>
              </w:rPr>
              <w:t>要求</w:t>
            </w:r>
          </w:p>
        </w:tc>
        <w:tc>
          <w:tcPr>
            <w:tcW w:w="5095" w:type="dxa"/>
            <w:vAlign w:val="center"/>
          </w:tcPr>
          <w:p w14:paraId="0AEA0E33">
            <w:pPr>
              <w:pStyle w:val="98"/>
              <w:spacing w:line="360" w:lineRule="exact"/>
              <w:ind w:firstLine="0" w:firstLine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按</w:t>
            </w:r>
            <w:r>
              <w:rPr>
                <w:rFonts w:hint="default" w:ascii="宋体" w:hAnsi="宋体"/>
                <w:sz w:val="24"/>
                <w:szCs w:val="24"/>
                <w:highlight w:val="none"/>
                <w:lang w:val="en-US" w:eastAsia="zh-CN"/>
              </w:rPr>
              <w:t>“</w:t>
            </w:r>
            <w:r>
              <w:rPr>
                <w:rFonts w:hint="eastAsia" w:ascii="宋体" w:hAnsi="宋体"/>
                <w:sz w:val="24"/>
                <w:szCs w:val="24"/>
                <w:highlight w:val="none"/>
              </w:rPr>
              <w:t>资信</w:t>
            </w:r>
            <w:r>
              <w:rPr>
                <w:rFonts w:hint="eastAsia" w:ascii="宋体" w:hAnsi="宋体"/>
                <w:sz w:val="24"/>
                <w:szCs w:val="24"/>
                <w:highlight w:val="none"/>
                <w:lang w:val="en-US" w:eastAsia="zh-CN"/>
              </w:rPr>
              <w:t>与方案</w:t>
            </w:r>
            <w:r>
              <w:rPr>
                <w:rFonts w:hint="eastAsia" w:ascii="宋体" w:hAnsi="宋体"/>
                <w:sz w:val="24"/>
                <w:szCs w:val="24"/>
                <w:highlight w:val="none"/>
              </w:rPr>
              <w:t>要求</w:t>
            </w:r>
            <w:r>
              <w:rPr>
                <w:rFonts w:hint="default" w:ascii="宋体" w:hAnsi="宋体"/>
                <w:sz w:val="24"/>
                <w:szCs w:val="24"/>
                <w:highlight w:val="none"/>
                <w:lang w:val="en-US" w:eastAsia="zh-CN"/>
              </w:rPr>
              <w:t>”</w:t>
            </w:r>
            <w:r>
              <w:rPr>
                <w:rFonts w:hint="eastAsia" w:ascii="宋体" w:hAnsi="宋体"/>
                <w:sz w:val="24"/>
                <w:szCs w:val="24"/>
                <w:highlight w:val="none"/>
                <w:lang w:val="en-US" w:eastAsia="zh-CN"/>
              </w:rPr>
              <w:t>提供</w:t>
            </w:r>
          </w:p>
        </w:tc>
      </w:tr>
      <w:tr w14:paraId="6EC4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14:paraId="76E8D445">
            <w:pPr>
              <w:pStyle w:val="98"/>
              <w:spacing w:line="360" w:lineRule="exact"/>
              <w:ind w:firstLine="0" w:firstLineChars="0"/>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5</w:t>
            </w:r>
          </w:p>
        </w:tc>
        <w:tc>
          <w:tcPr>
            <w:tcW w:w="3234" w:type="dxa"/>
            <w:vAlign w:val="center"/>
          </w:tcPr>
          <w:p w14:paraId="10D04DAD">
            <w:pPr>
              <w:pStyle w:val="98"/>
              <w:spacing w:line="360" w:lineRule="exact"/>
              <w:ind w:firstLine="0" w:firstLineChars="0"/>
              <w:jc w:val="left"/>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报价人认为需要加以说明的其他内容</w:t>
            </w:r>
          </w:p>
        </w:tc>
        <w:tc>
          <w:tcPr>
            <w:tcW w:w="5095" w:type="dxa"/>
            <w:vAlign w:val="center"/>
          </w:tcPr>
          <w:p w14:paraId="3217187D">
            <w:pPr>
              <w:pStyle w:val="29"/>
              <w:rPr>
                <w:rFonts w:hAnsi="宋体"/>
                <w:sz w:val="24"/>
                <w:szCs w:val="24"/>
                <w:highlight w:val="none"/>
              </w:rPr>
            </w:pPr>
            <w:r>
              <w:rPr>
                <w:rFonts w:hint="eastAsia" w:hAnsi="宋体"/>
                <w:sz w:val="24"/>
                <w:szCs w:val="24"/>
                <w:highlight w:val="none"/>
              </w:rPr>
              <w:t>如有</w:t>
            </w:r>
          </w:p>
        </w:tc>
      </w:tr>
    </w:tbl>
    <w:p w14:paraId="0BDA7C38">
      <w:pPr>
        <w:pStyle w:val="98"/>
        <w:tabs>
          <w:tab w:val="left" w:pos="426"/>
          <w:tab w:val="left" w:pos="567"/>
        </w:tabs>
        <w:spacing w:line="560" w:lineRule="exact"/>
        <w:ind w:left="622" w:firstLine="0" w:firstLineChars="0"/>
        <w:outlineLvl w:val="0"/>
        <w:rPr>
          <w:rFonts w:ascii="仿宋" w:hAnsi="仿宋" w:eastAsia="仿宋"/>
          <w:b/>
          <w:sz w:val="30"/>
          <w:szCs w:val="30"/>
          <w:highlight w:val="none"/>
        </w:rPr>
      </w:pPr>
    </w:p>
    <w:p w14:paraId="25E77F45">
      <w:pPr>
        <w:widowControl/>
        <w:spacing w:beforeLines="-2147483648" w:afterLines="-2147483648"/>
        <w:jc w:val="left"/>
        <w:rPr>
          <w:rFonts w:hint="eastAsia" w:ascii="黑体" w:eastAsia="黑体"/>
          <w:snapToGrid w:val="0"/>
          <w:kern w:val="0"/>
          <w:sz w:val="32"/>
          <w:szCs w:val="32"/>
          <w:highlight w:val="none"/>
        </w:rPr>
      </w:pPr>
    </w:p>
    <w:p w14:paraId="5ABD3D31">
      <w:pPr>
        <w:pStyle w:val="101"/>
        <w:widowControl/>
        <w:spacing w:line="560" w:lineRule="exact"/>
        <w:rPr>
          <w:rFonts w:ascii="仿宋" w:hAnsi="仿宋" w:eastAsia="仿宋"/>
          <w:b/>
          <w:sz w:val="30"/>
          <w:szCs w:val="30"/>
          <w:highlight w:val="none"/>
        </w:rPr>
      </w:pPr>
    </w:p>
    <w:p w14:paraId="6BC8261E">
      <w:pPr>
        <w:rPr>
          <w:rFonts w:ascii="仿宋" w:hAnsi="仿宋" w:eastAsia="仿宋"/>
          <w:b/>
          <w:sz w:val="30"/>
          <w:szCs w:val="30"/>
          <w:highlight w:val="none"/>
        </w:rPr>
      </w:pPr>
      <w:r>
        <w:rPr>
          <w:rFonts w:ascii="仿宋" w:hAnsi="仿宋" w:eastAsia="仿宋"/>
          <w:b/>
          <w:sz w:val="30"/>
          <w:szCs w:val="30"/>
          <w:highlight w:val="none"/>
        </w:rPr>
        <w:br w:type="page"/>
      </w:r>
    </w:p>
    <w:p w14:paraId="7B50011A">
      <w:pPr>
        <w:pStyle w:val="101"/>
        <w:widowControl/>
        <w:spacing w:line="560" w:lineRule="exact"/>
        <w:rPr>
          <w:rFonts w:hint="eastAsia" w:ascii="仿宋" w:hAnsi="仿宋" w:eastAsia="仿宋"/>
          <w:b/>
          <w:sz w:val="30"/>
          <w:szCs w:val="30"/>
          <w:highlight w:val="none"/>
        </w:rPr>
      </w:pPr>
      <w:r>
        <w:rPr>
          <w:rFonts w:hint="eastAsia" w:ascii="仿宋" w:hAnsi="仿宋" w:eastAsia="仿宋"/>
          <w:b/>
          <w:sz w:val="30"/>
          <w:szCs w:val="30"/>
          <w:highlight w:val="none"/>
        </w:rPr>
        <w:t>资信</w:t>
      </w:r>
      <w:r>
        <w:rPr>
          <w:rFonts w:hint="eastAsia" w:ascii="仿宋" w:hAnsi="仿宋" w:eastAsia="仿宋"/>
          <w:b/>
          <w:sz w:val="30"/>
          <w:szCs w:val="30"/>
          <w:highlight w:val="none"/>
          <w:lang w:val="en-US" w:eastAsia="zh-CN"/>
        </w:rPr>
        <w:t>与方案</w:t>
      </w:r>
      <w:r>
        <w:rPr>
          <w:rFonts w:hint="eastAsia" w:ascii="仿宋" w:hAnsi="仿宋" w:eastAsia="仿宋"/>
          <w:b/>
          <w:sz w:val="30"/>
          <w:szCs w:val="30"/>
          <w:highlight w:val="none"/>
        </w:rPr>
        <w:t>要求</w:t>
      </w:r>
      <w:bookmarkStart w:id="10" w:name="_Toc306716037"/>
      <w:bookmarkStart w:id="11" w:name="_Toc509669694"/>
      <w:bookmarkStart w:id="12" w:name="_Toc151020524"/>
    </w:p>
    <w:tbl>
      <w:tblPr>
        <w:tblStyle w:val="5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563"/>
        <w:gridCol w:w="6012"/>
      </w:tblGrid>
      <w:tr w14:paraId="1E1C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944" w:type="dxa"/>
            <w:vAlign w:val="center"/>
          </w:tcPr>
          <w:p w14:paraId="5DF33F80">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序号</w:t>
            </w:r>
          </w:p>
        </w:tc>
        <w:tc>
          <w:tcPr>
            <w:tcW w:w="1563" w:type="dxa"/>
            <w:vAlign w:val="center"/>
          </w:tcPr>
          <w:p w14:paraId="0507D363">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要素名称</w:t>
            </w:r>
          </w:p>
        </w:tc>
        <w:tc>
          <w:tcPr>
            <w:tcW w:w="6012" w:type="dxa"/>
            <w:vAlign w:val="center"/>
          </w:tcPr>
          <w:p w14:paraId="7BBBFFF3">
            <w:pPr>
              <w:keepNext w:val="0"/>
              <w:keepLines w:val="0"/>
              <w:suppressLineNumbers w:val="0"/>
              <w:spacing w:before="0" w:beforeAutospacing="0" w:after="0" w:afterAutospacing="0"/>
              <w:ind w:left="0" w:right="0"/>
              <w:jc w:val="center"/>
              <w:rPr>
                <w:rFonts w:hint="default" w:ascii="仿宋_GB2312" w:hAnsi="仿宋_GB2312" w:eastAsia="仿宋_GB2312" w:cs="仿宋_GB2312"/>
                <w:b w:val="0"/>
                <w:bCs w:val="0"/>
                <w:color w:val="auto"/>
                <w:kern w:val="0"/>
                <w:sz w:val="28"/>
                <w:szCs w:val="28"/>
                <w:highlight w:val="none"/>
                <w:lang w:bidi="ar"/>
              </w:rPr>
            </w:pPr>
            <w:r>
              <w:rPr>
                <w:rFonts w:hint="eastAsia" w:ascii="仿宋" w:hAnsi="仿宋" w:eastAsia="仿宋" w:cs="仿宋"/>
                <w:b/>
                <w:color w:val="auto"/>
                <w:sz w:val="28"/>
                <w:szCs w:val="28"/>
                <w:highlight w:val="none"/>
              </w:rPr>
              <w:t>有关要求或说明</w:t>
            </w:r>
          </w:p>
        </w:tc>
      </w:tr>
      <w:tr w14:paraId="3EC3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944" w:type="dxa"/>
            <w:vAlign w:val="center"/>
          </w:tcPr>
          <w:p w14:paraId="7929926C">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1</w:t>
            </w:r>
          </w:p>
        </w:tc>
        <w:tc>
          <w:tcPr>
            <w:tcW w:w="1563" w:type="dxa"/>
            <w:vAlign w:val="center"/>
          </w:tcPr>
          <w:p w14:paraId="6C33800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投标人类似</w:t>
            </w:r>
            <w:r>
              <w:rPr>
                <w:rFonts w:ascii="仿宋_GB2312" w:hAnsi="仿宋_GB2312" w:eastAsia="仿宋_GB2312" w:cs="仿宋_GB2312"/>
                <w:color w:val="auto"/>
                <w:kern w:val="0"/>
                <w:sz w:val="28"/>
                <w:szCs w:val="28"/>
              </w:rPr>
              <w:t>工程业绩</w:t>
            </w:r>
          </w:p>
        </w:tc>
        <w:tc>
          <w:tcPr>
            <w:tcW w:w="6012" w:type="dxa"/>
            <w:vAlign w:val="center"/>
          </w:tcPr>
          <w:p w14:paraId="6B44671B">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6538C88C">
            <w:pPr>
              <w:widowControl/>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年1月1日至今，投标人类似工程业绩（不超过3项，若超过3项，招标人仅对前3项业绩进行复核及统计，以合同签订时间为准，合同未体现签订时间的，则不予统计此项业绩）</w:t>
            </w:r>
          </w:p>
          <w:p w14:paraId="39663A58">
            <w:pPr>
              <w:spacing w:line="0" w:lineRule="atLeast"/>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（证明资料为相关合同，应包含工程名称、委托单位名称、受托单位名称、合同金额等信息，可提供合同关键页扫描件，若未体现以上信息，可提供其他相关证明材料。）</w:t>
            </w:r>
          </w:p>
        </w:tc>
      </w:tr>
      <w:tr w14:paraId="44A8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5C1B8C81">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2</w:t>
            </w:r>
          </w:p>
        </w:tc>
        <w:tc>
          <w:tcPr>
            <w:tcW w:w="1563" w:type="dxa"/>
            <w:vAlign w:val="center"/>
          </w:tcPr>
          <w:p w14:paraId="5985A189">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rPr>
              <w:t>项目负责人类似工程业绩</w:t>
            </w:r>
          </w:p>
        </w:tc>
        <w:tc>
          <w:tcPr>
            <w:tcW w:w="6012" w:type="dxa"/>
            <w:vAlign w:val="center"/>
          </w:tcPr>
          <w:p w14:paraId="45070941">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w:t>
            </w:r>
          </w:p>
          <w:p w14:paraId="27EB681D">
            <w:pPr>
              <w:spacing w:line="0" w:lineRule="atLeas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年1月1日至今，项目负责人类似工程业绩（不超过3项，若超过3项，招标人仅对前3项业绩进行复核及统计，以合同签订时间为准，合同未体现签订时间的，则不予统计此项业绩。）</w:t>
            </w:r>
          </w:p>
          <w:p w14:paraId="05470830">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（证明资料为合同关键页等证明文件扫描件，须体现合同签订时间、合同签订金额和项目负责人任职信息等，如无法体现任职信息，需提供业主证明等证明材料。）</w:t>
            </w:r>
          </w:p>
        </w:tc>
      </w:tr>
      <w:tr w14:paraId="3F55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4" w:type="dxa"/>
            <w:vAlign w:val="center"/>
          </w:tcPr>
          <w:p w14:paraId="1579A5E9">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3</w:t>
            </w:r>
          </w:p>
        </w:tc>
        <w:tc>
          <w:tcPr>
            <w:tcW w:w="1563" w:type="dxa"/>
            <w:vAlign w:val="center"/>
          </w:tcPr>
          <w:p w14:paraId="456830D8">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履约评价</w:t>
            </w:r>
          </w:p>
        </w:tc>
        <w:tc>
          <w:tcPr>
            <w:tcW w:w="6012" w:type="dxa"/>
            <w:vAlign w:val="center"/>
          </w:tcPr>
          <w:p w14:paraId="04DB1133">
            <w:pPr>
              <w:widowControl/>
              <w:adjustRightInd w:val="0"/>
              <w:snapToGrid w:val="0"/>
              <w:spacing w:before="80" w:after="80"/>
              <w:jc w:val="left"/>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投标人提供：</w:t>
            </w:r>
          </w:p>
          <w:p w14:paraId="7336D4E9">
            <w:pPr>
              <w:widowControl/>
              <w:adjustRightInd w:val="0"/>
              <w:snapToGrid w:val="0"/>
              <w:spacing w:before="80" w:after="8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年1月1日至今</w:t>
            </w:r>
            <w:r>
              <w:rPr>
                <w:rFonts w:hint="eastAsia" w:ascii="仿宋_GB2312" w:hAnsi="仿宋_GB2312" w:eastAsia="仿宋_GB2312" w:cs="仿宋_GB2312"/>
                <w:color w:val="auto"/>
                <w:kern w:val="0"/>
                <w:sz w:val="28"/>
                <w:szCs w:val="28"/>
              </w:rPr>
              <w:t>，类似</w:t>
            </w:r>
            <w:r>
              <w:rPr>
                <w:rFonts w:ascii="仿宋_GB2312" w:hAnsi="仿宋_GB2312" w:eastAsia="仿宋_GB2312" w:cs="仿宋_GB2312"/>
                <w:color w:val="auto"/>
                <w:kern w:val="0"/>
                <w:sz w:val="28"/>
                <w:szCs w:val="28"/>
              </w:rPr>
              <w:t>工程合同履约情况；（不超过3项，若超过3项，招标人仅对前3项履约进行复核及统计）。</w:t>
            </w:r>
          </w:p>
          <w:p w14:paraId="0873BD3B">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cr/>
            </w:r>
            <w:r>
              <w:rPr>
                <w:rFonts w:ascii="仿宋_GB2312" w:hAnsi="仿宋_GB2312" w:eastAsia="仿宋_GB2312" w:cs="仿宋_GB2312"/>
                <w:color w:val="auto"/>
                <w:kern w:val="0"/>
                <w:sz w:val="28"/>
                <w:szCs w:val="28"/>
              </w:rPr>
              <w:t>证明材料：履约证明等扫描件（应包含工程名称、评价单位名称、被评价单位名称、评价结论</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评价单位盖章</w:t>
            </w:r>
            <w:r>
              <w:rPr>
                <w:rFonts w:ascii="仿宋_GB2312" w:hAnsi="仿宋_GB2312" w:eastAsia="仿宋_GB2312" w:cs="仿宋_GB2312"/>
                <w:color w:val="auto"/>
                <w:kern w:val="0"/>
                <w:sz w:val="28"/>
                <w:szCs w:val="28"/>
              </w:rPr>
              <w:t>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14:paraId="24E9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4" w:type="dxa"/>
            <w:vAlign w:val="center"/>
          </w:tcPr>
          <w:p w14:paraId="5056394E">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4</w:t>
            </w:r>
          </w:p>
        </w:tc>
        <w:tc>
          <w:tcPr>
            <w:tcW w:w="1563" w:type="dxa"/>
            <w:vAlign w:val="center"/>
          </w:tcPr>
          <w:p w14:paraId="6ED4F5F5">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rPr>
              <w:t>投标人诚信</w:t>
            </w:r>
          </w:p>
        </w:tc>
        <w:tc>
          <w:tcPr>
            <w:tcW w:w="6012" w:type="dxa"/>
            <w:vAlign w:val="center"/>
          </w:tcPr>
          <w:p w14:paraId="67A4719D">
            <w:pPr>
              <w:widowControl/>
              <w:adjustRightInd w:val="0"/>
              <w:snapToGrid w:val="0"/>
              <w:spacing w:before="80" w:after="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提供通</w:t>
            </w:r>
            <w:r>
              <w:rPr>
                <w:rFonts w:hint="eastAsia" w:ascii="仿宋_GB2312" w:hAnsi="仿宋_GB2312" w:eastAsia="仿宋_GB2312" w:cs="仿宋_GB2312"/>
                <w:color w:val="auto"/>
                <w:kern w:val="0"/>
                <w:sz w:val="28"/>
                <w:szCs w:val="28"/>
              </w:rPr>
              <w:t>过“国家企业信用信息公示系统”、“</w:t>
            </w:r>
            <w:r>
              <w:rPr>
                <w:rFonts w:hint="eastAsia" w:ascii="仿宋_GB2312" w:hAnsi="仿宋_GB2312" w:eastAsia="仿宋_GB2312" w:cs="仿宋_GB2312"/>
                <w:color w:val="auto"/>
                <w:sz w:val="28"/>
                <w:szCs w:val="28"/>
              </w:rPr>
              <w:t>信用中国”、中国政府采购网（www.ccgp.gov.cn）严重违法失信行为查询截图。</w:t>
            </w:r>
          </w:p>
          <w:p w14:paraId="6C72E93C">
            <w:pPr>
              <w:widowControl/>
              <w:adjustRightInd w:val="0"/>
              <w:snapToGrid w:val="0"/>
              <w:spacing w:before="80" w:after="80"/>
              <w:jc w:val="left"/>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sz w:val="28"/>
                <w:szCs w:val="28"/>
              </w:rPr>
              <w:t>（</w:t>
            </w:r>
            <w:r>
              <w:rPr>
                <w:rFonts w:ascii="仿宋_GB2312" w:hAnsi="仿宋_GB2312" w:eastAsia="仿宋_GB2312" w:cs="仿宋_GB2312"/>
                <w:color w:val="auto"/>
                <w:kern w:val="0"/>
                <w:sz w:val="28"/>
                <w:szCs w:val="28"/>
              </w:rPr>
              <w:t>证明资料为相关查询结果截图</w:t>
            </w:r>
            <w:r>
              <w:rPr>
                <w:rFonts w:hint="eastAsia" w:ascii="仿宋_GB2312" w:hAnsi="仿宋_GB2312" w:eastAsia="仿宋_GB2312" w:cs="仿宋_GB2312"/>
                <w:color w:val="auto"/>
                <w:sz w:val="28"/>
                <w:szCs w:val="28"/>
              </w:rPr>
              <w:t>）</w:t>
            </w:r>
          </w:p>
        </w:tc>
      </w:tr>
      <w:tr w14:paraId="34E0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44" w:type="dxa"/>
            <w:vAlign w:val="center"/>
          </w:tcPr>
          <w:p w14:paraId="0FEBDF25">
            <w:pPr>
              <w:widowControl/>
              <w:adjustRightInd w:val="0"/>
              <w:snapToGrid w:val="0"/>
              <w:spacing w:before="80" w:after="80"/>
              <w:jc w:val="center"/>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5</w:t>
            </w:r>
          </w:p>
        </w:tc>
        <w:tc>
          <w:tcPr>
            <w:tcW w:w="1563" w:type="dxa"/>
            <w:vAlign w:val="center"/>
          </w:tcPr>
          <w:p w14:paraId="5BF87BDD">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rPr>
              <w:t>实施方案</w:t>
            </w:r>
          </w:p>
        </w:tc>
        <w:tc>
          <w:tcPr>
            <w:tcW w:w="6012" w:type="dxa"/>
            <w:vAlign w:val="center"/>
          </w:tcPr>
          <w:p w14:paraId="3FF3D17A">
            <w:pPr>
              <w:widowControl/>
              <w:adjustRightInd w:val="0"/>
              <w:snapToGrid w:val="0"/>
              <w:spacing w:before="80" w:after="80"/>
              <w:jc w:val="left"/>
              <w:rPr>
                <w:rFonts w:hint="eastAsia" w:ascii="仿宋_GB2312" w:hAnsi="仿宋_GB2312" w:eastAsia="仿宋_GB2312" w:cs="仿宋_GB2312"/>
                <w:color w:val="auto"/>
                <w:kern w:val="0"/>
                <w:sz w:val="28"/>
                <w:szCs w:val="28"/>
                <w:highlight w:val="none"/>
                <w:lang w:val="en-US" w:eastAsia="zh-CN" w:bidi="ar"/>
              </w:rPr>
            </w:pPr>
            <w:r>
              <w:rPr>
                <w:rFonts w:ascii="仿宋_GB2312" w:hAnsi="仿宋_GB2312" w:eastAsia="仿宋_GB2312" w:cs="仿宋_GB2312"/>
                <w:color w:val="auto"/>
                <w:kern w:val="0"/>
                <w:sz w:val="28"/>
                <w:szCs w:val="28"/>
                <w:highlight w:val="none"/>
              </w:rPr>
              <w:t>投标人</w:t>
            </w:r>
            <w:r>
              <w:rPr>
                <w:rFonts w:hint="eastAsia" w:ascii="仿宋_GB2312" w:hAnsi="仿宋_GB2312" w:eastAsia="仿宋_GB2312" w:cs="仿宋_GB2312"/>
                <w:color w:val="auto"/>
                <w:kern w:val="0"/>
                <w:sz w:val="28"/>
                <w:szCs w:val="28"/>
                <w:highlight w:val="none"/>
              </w:rPr>
              <w:t>结合自身情况，依据本招标文件要求，编写本项目</w:t>
            </w:r>
            <w:r>
              <w:rPr>
                <w:rFonts w:hint="eastAsia" w:ascii="仿宋_GB2312" w:hAnsi="仿宋_GB2312" w:eastAsia="仿宋_GB2312" w:cs="仿宋_GB2312"/>
                <w:color w:val="auto"/>
                <w:kern w:val="0"/>
                <w:sz w:val="28"/>
                <w:szCs w:val="28"/>
                <w:highlight w:val="none"/>
                <w:lang w:val="en-US" w:eastAsia="zh-CN"/>
              </w:rPr>
              <w:t>监理</w:t>
            </w:r>
            <w:r>
              <w:rPr>
                <w:rFonts w:hint="eastAsia" w:ascii="仿宋_GB2312" w:hAnsi="仿宋_GB2312" w:eastAsia="仿宋_GB2312" w:cs="仿宋_GB2312"/>
                <w:color w:val="auto"/>
                <w:kern w:val="0"/>
                <w:sz w:val="28"/>
                <w:szCs w:val="28"/>
                <w:highlight w:val="none"/>
              </w:rPr>
              <w:t>服务实施方案。</w:t>
            </w:r>
            <w:r>
              <w:rPr>
                <w:rFonts w:hint="eastAsia" w:ascii="仿宋_GB2312" w:hAnsi="仿宋_GB2312" w:eastAsia="仿宋_GB2312" w:cs="仿宋_GB2312"/>
                <w:color w:val="auto"/>
                <w:kern w:val="0"/>
                <w:sz w:val="28"/>
                <w:szCs w:val="28"/>
                <w:highlight w:val="none"/>
                <w:lang w:val="en-US" w:eastAsia="zh-CN"/>
              </w:rPr>
              <w:t>包括质量控制措施、安全文明施工管理措施、进度控制措施、</w:t>
            </w:r>
            <w:r>
              <w:rPr>
                <w:rFonts w:hint="eastAsia" w:ascii="仿宋_GB2312" w:hAnsi="仿宋_GB2312" w:eastAsia="仿宋_GB2312" w:cs="仿宋_GB2312"/>
                <w:color w:val="auto"/>
                <w:kern w:val="0"/>
                <w:sz w:val="28"/>
                <w:szCs w:val="28"/>
                <w:highlight w:val="none"/>
                <w:lang w:eastAsia="zh-CN"/>
              </w:rPr>
              <w:t>团队</w:t>
            </w:r>
            <w:r>
              <w:rPr>
                <w:rFonts w:hint="eastAsia" w:ascii="仿宋_GB2312" w:hAnsi="仿宋_GB2312" w:eastAsia="仿宋_GB2312" w:cs="仿宋_GB2312"/>
                <w:color w:val="auto"/>
                <w:kern w:val="0"/>
                <w:sz w:val="28"/>
                <w:szCs w:val="28"/>
                <w:highlight w:val="none"/>
                <w:lang w:val="en-US" w:eastAsia="zh-CN"/>
              </w:rPr>
              <w:t>人员配备</w:t>
            </w:r>
            <w:r>
              <w:rPr>
                <w:rFonts w:hint="eastAsia" w:ascii="仿宋_GB2312" w:hAnsi="仿宋_GB2312" w:eastAsia="仿宋_GB2312" w:cs="仿宋_GB2312"/>
                <w:color w:val="auto"/>
                <w:kern w:val="0"/>
                <w:sz w:val="28"/>
                <w:szCs w:val="28"/>
                <w:highlight w:val="none"/>
                <w:lang w:eastAsia="zh-CN"/>
              </w:rPr>
              <w:t>等</w:t>
            </w:r>
            <w:r>
              <w:rPr>
                <w:rFonts w:hint="eastAsia" w:ascii="仿宋_GB2312" w:hAnsi="仿宋_GB2312" w:eastAsia="仿宋_GB2312" w:cs="仿宋_GB2312"/>
                <w:color w:val="auto"/>
                <w:kern w:val="0"/>
                <w:sz w:val="28"/>
                <w:szCs w:val="28"/>
                <w:highlight w:val="none"/>
                <w:lang w:val="en-US" w:eastAsia="zh-CN"/>
              </w:rPr>
              <w:t>。</w:t>
            </w:r>
          </w:p>
        </w:tc>
      </w:tr>
    </w:tbl>
    <w:p w14:paraId="045E6E65">
      <w:pPr>
        <w:pStyle w:val="25"/>
        <w:jc w:val="center"/>
        <w:rPr>
          <w:rFonts w:hint="eastAsia"/>
          <w:b/>
          <w:sz w:val="36"/>
          <w:szCs w:val="36"/>
          <w:highlight w:val="none"/>
        </w:rPr>
      </w:pPr>
    </w:p>
    <w:p w14:paraId="607C2B4E">
      <w:pPr>
        <w:rPr>
          <w:rFonts w:hint="eastAsia"/>
          <w:b/>
          <w:sz w:val="36"/>
          <w:szCs w:val="36"/>
          <w:highlight w:val="none"/>
        </w:rPr>
      </w:pPr>
      <w:r>
        <w:rPr>
          <w:rFonts w:hint="eastAsia"/>
          <w:b/>
          <w:sz w:val="36"/>
          <w:szCs w:val="36"/>
          <w:highlight w:val="none"/>
        </w:rPr>
        <w:br w:type="page"/>
      </w:r>
    </w:p>
    <w:bookmarkEnd w:id="10"/>
    <w:bookmarkEnd w:id="11"/>
    <w:bookmarkEnd w:id="12"/>
    <w:p w14:paraId="4E2E2578">
      <w:pPr>
        <w:wordWrap w:val="0"/>
        <w:spacing w:line="360" w:lineRule="auto"/>
        <w:ind w:right="420" w:firstLine="1470" w:firstLineChars="700"/>
        <w:jc w:val="center"/>
        <w:rPr>
          <w:rFonts w:hint="eastAsia"/>
          <w:b w:val="0"/>
          <w:bCs w:val="0"/>
          <w:color w:val="auto"/>
          <w:sz w:val="24"/>
          <w:szCs w:val="24"/>
          <w:highlight w:val="none"/>
          <w:u w:val="single"/>
        </w:rPr>
      </w:pPr>
      <w:bookmarkStart w:id="13" w:name="测试"/>
      <w:r>
        <w:rPr>
          <w:rFonts w:hint="eastAsia"/>
          <w:b w:val="0"/>
          <w:bCs w:val="0"/>
          <w:color w:val="auto"/>
          <w:szCs w:val="21"/>
          <w:highlight w:val="none"/>
        </w:rPr>
        <w:t xml:space="preserve">                 </w:t>
      </w:r>
      <w:r>
        <w:rPr>
          <w:rFonts w:hint="eastAsia"/>
          <w:b w:val="0"/>
          <w:bCs w:val="0"/>
          <w:color w:val="auto"/>
          <w:sz w:val="24"/>
          <w:szCs w:val="24"/>
          <w:highlight w:val="none"/>
        </w:rPr>
        <w:t xml:space="preserve">                     </w:t>
      </w:r>
    </w:p>
    <w:p w14:paraId="6932332F">
      <w:pPr>
        <w:wordWrap w:val="0"/>
        <w:spacing w:line="360" w:lineRule="auto"/>
        <w:ind w:right="420" w:firstLine="1960" w:firstLineChars="700"/>
        <w:jc w:val="right"/>
        <w:rPr>
          <w:rFonts w:hint="default" w:eastAsia="宋体"/>
          <w:b w:val="0"/>
          <w:bCs w:val="0"/>
          <w:color w:val="auto"/>
          <w:sz w:val="24"/>
          <w:szCs w:val="24"/>
          <w:highlight w:val="none"/>
          <w:lang w:val="en-US" w:eastAsia="zh-CN"/>
        </w:rPr>
      </w:pPr>
      <w:r>
        <w:rPr>
          <w:rFonts w:hint="eastAsia"/>
          <w:b w:val="0"/>
          <w:bCs w:val="0"/>
          <w:color w:val="auto"/>
          <w:sz w:val="28"/>
          <w:szCs w:val="28"/>
          <w:highlight w:val="none"/>
        </w:rPr>
        <w:t>合同编号</w:t>
      </w:r>
      <w:r>
        <w:rPr>
          <w:rFonts w:hint="eastAsia" w:ascii="Times New Roman" w:hAnsi="Times New Roman" w:eastAsia="宋体" w:cs="Times New Roman"/>
          <w:b w:val="0"/>
          <w:bCs w:val="0"/>
          <w:color w:val="auto"/>
          <w:sz w:val="28"/>
          <w:szCs w:val="28"/>
          <w:highlight w:val="none"/>
        </w:rPr>
        <w:t>：</w:t>
      </w:r>
      <w:r>
        <w:rPr>
          <w:rFonts w:hint="default" w:ascii="Times New Roman" w:hAnsi="Times New Roman" w:eastAsia="宋体" w:cs="Times New Roman"/>
          <w:b w:val="0"/>
          <w:bCs w:val="0"/>
          <w:color w:val="auto"/>
          <w:sz w:val="28"/>
          <w:szCs w:val="28"/>
          <w:highlight w:val="none"/>
          <w:lang w:val="en-US"/>
        </w:rPr>
        <w:t xml:space="preserve">                    </w:t>
      </w:r>
    </w:p>
    <w:p w14:paraId="5D2264DC">
      <w:pPr>
        <w:wordWrap w:val="0"/>
        <w:spacing w:line="360" w:lineRule="auto"/>
        <w:ind w:right="420" w:firstLine="1680" w:firstLineChars="700"/>
        <w:jc w:val="right"/>
        <w:rPr>
          <w:rFonts w:hint="eastAsia"/>
          <w:b w:val="0"/>
          <w:bCs w:val="0"/>
          <w:color w:val="auto"/>
          <w:sz w:val="24"/>
          <w:szCs w:val="24"/>
          <w:highlight w:val="none"/>
        </w:rPr>
      </w:pPr>
    </w:p>
    <w:p w14:paraId="2345E100">
      <w:pPr>
        <w:ind w:firstLine="2100" w:firstLineChars="700"/>
        <w:rPr>
          <w:rFonts w:hint="eastAsia"/>
          <w:b w:val="0"/>
          <w:bCs w:val="0"/>
          <w:color w:val="auto"/>
          <w:sz w:val="30"/>
          <w:szCs w:val="30"/>
          <w:highlight w:val="none"/>
        </w:rPr>
      </w:pPr>
    </w:p>
    <w:p w14:paraId="04ED10E1">
      <w:pPr>
        <w:pStyle w:val="2"/>
        <w:rPr>
          <w:rFonts w:hint="eastAsia"/>
          <w:b w:val="0"/>
          <w:bCs w:val="0"/>
          <w:color w:val="auto"/>
          <w:sz w:val="30"/>
          <w:szCs w:val="30"/>
          <w:highlight w:val="none"/>
        </w:rPr>
      </w:pPr>
    </w:p>
    <w:p w14:paraId="5C8E8201">
      <w:pPr>
        <w:rPr>
          <w:rFonts w:hint="eastAsia"/>
          <w:color w:val="auto"/>
        </w:rPr>
      </w:pPr>
    </w:p>
    <w:p w14:paraId="57C1F21E">
      <w:pPr>
        <w:pStyle w:val="29"/>
        <w:spacing w:line="360" w:lineRule="exact"/>
        <w:ind w:firstLine="420" w:firstLineChars="200"/>
        <w:rPr>
          <w:rFonts w:hAnsi="宋体"/>
          <w:b w:val="0"/>
          <w:bCs w:val="0"/>
          <w:color w:val="auto"/>
          <w:highlight w:val="none"/>
        </w:rPr>
      </w:pPr>
    </w:p>
    <w:p w14:paraId="0053E7DE">
      <w:pPr>
        <w:pStyle w:val="14"/>
      </w:pPr>
    </w:p>
    <w:p w14:paraId="1E30248A">
      <w:pPr>
        <w:pStyle w:val="29"/>
        <w:tabs>
          <w:tab w:val="left" w:pos="2083"/>
        </w:tabs>
        <w:rPr>
          <w:rFonts w:hint="eastAsia" w:hAnsi="宋体"/>
          <w:b w:val="0"/>
          <w:bCs w:val="0"/>
          <w:color w:val="auto"/>
          <w:sz w:val="48"/>
          <w:szCs w:val="48"/>
          <w:highlight w:val="none"/>
        </w:rPr>
      </w:pPr>
    </w:p>
    <w:p w14:paraId="6D7C9CED">
      <w:pPr>
        <w:pStyle w:val="29"/>
        <w:tabs>
          <w:tab w:val="left" w:pos="2083"/>
        </w:tabs>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建设</w:t>
      </w:r>
      <w:r>
        <w:rPr>
          <w:rFonts w:hint="eastAsia" w:ascii="宋体" w:hAnsi="宋体" w:eastAsia="宋体" w:cs="宋体"/>
          <w:b/>
          <w:bCs/>
          <w:color w:val="auto"/>
          <w:sz w:val="44"/>
          <w:szCs w:val="44"/>
          <w:highlight w:val="none"/>
        </w:rPr>
        <w:t>工程监理合同</w:t>
      </w:r>
    </w:p>
    <w:p w14:paraId="7017300B">
      <w:pPr>
        <w:rPr>
          <w:rFonts w:hint="eastAsia"/>
          <w:b w:val="0"/>
          <w:bCs w:val="0"/>
          <w:color w:val="auto"/>
          <w:highlight w:val="none"/>
        </w:rPr>
      </w:pPr>
    </w:p>
    <w:p w14:paraId="35A70834">
      <w:pPr>
        <w:rPr>
          <w:rFonts w:hint="eastAsia"/>
          <w:b w:val="0"/>
          <w:bCs w:val="0"/>
          <w:color w:val="auto"/>
          <w:highlight w:val="none"/>
        </w:rPr>
      </w:pPr>
    </w:p>
    <w:p w14:paraId="2FD67D26">
      <w:pPr>
        <w:ind w:firstLine="2100" w:firstLineChars="700"/>
        <w:rPr>
          <w:rFonts w:hint="eastAsia"/>
          <w:b w:val="0"/>
          <w:bCs w:val="0"/>
          <w:color w:val="auto"/>
          <w:sz w:val="30"/>
          <w:szCs w:val="30"/>
          <w:highlight w:val="none"/>
        </w:rPr>
      </w:pPr>
      <w:r>
        <w:rPr>
          <w:rFonts w:hint="eastAsia"/>
          <w:b w:val="0"/>
          <w:bCs w:val="0"/>
          <w:color w:val="auto"/>
          <w:sz w:val="30"/>
          <w:szCs w:val="30"/>
          <w:highlight w:val="none"/>
        </w:rPr>
        <w:t xml:space="preserve"> </w:t>
      </w:r>
    </w:p>
    <w:p w14:paraId="798EB6DC">
      <w:pPr>
        <w:ind w:firstLine="4350" w:firstLineChars="1450"/>
        <w:rPr>
          <w:rFonts w:hint="eastAsia"/>
          <w:b w:val="0"/>
          <w:bCs w:val="0"/>
          <w:color w:val="auto"/>
          <w:sz w:val="30"/>
          <w:szCs w:val="30"/>
          <w:highlight w:val="none"/>
        </w:rPr>
      </w:pPr>
    </w:p>
    <w:p w14:paraId="6B4340B1">
      <w:pPr>
        <w:ind w:firstLine="4350" w:firstLineChars="1450"/>
        <w:rPr>
          <w:rFonts w:hint="eastAsia"/>
          <w:b w:val="0"/>
          <w:bCs w:val="0"/>
          <w:color w:val="auto"/>
          <w:sz w:val="30"/>
          <w:szCs w:val="30"/>
          <w:highlight w:val="none"/>
        </w:rPr>
      </w:pPr>
    </w:p>
    <w:p w14:paraId="43E117E8">
      <w:pPr>
        <w:ind w:firstLine="4350" w:firstLineChars="1450"/>
        <w:rPr>
          <w:rFonts w:hint="eastAsia"/>
          <w:b w:val="0"/>
          <w:bCs w:val="0"/>
          <w:color w:val="auto"/>
          <w:sz w:val="30"/>
          <w:szCs w:val="30"/>
          <w:highlight w:val="none"/>
        </w:rPr>
      </w:pPr>
    </w:p>
    <w:p w14:paraId="09A68BB1">
      <w:pPr>
        <w:rPr>
          <w:rFonts w:hint="eastAsia"/>
          <w:b w:val="0"/>
          <w:bCs w:val="0"/>
          <w:color w:val="auto"/>
          <w:sz w:val="30"/>
          <w:szCs w:val="30"/>
          <w:highlight w:val="none"/>
        </w:rPr>
      </w:pPr>
    </w:p>
    <w:p w14:paraId="79012D55">
      <w:pPr>
        <w:ind w:firstLine="4350" w:firstLineChars="1450"/>
        <w:rPr>
          <w:rFonts w:hint="eastAsia"/>
          <w:b w:val="0"/>
          <w:bCs w:val="0"/>
          <w:color w:val="auto"/>
          <w:sz w:val="30"/>
          <w:szCs w:val="30"/>
          <w:highlight w:val="none"/>
        </w:rPr>
      </w:pPr>
    </w:p>
    <w:p w14:paraId="465C3C0C">
      <w:pPr>
        <w:rPr>
          <w:rFonts w:hint="eastAsia"/>
          <w:b w:val="0"/>
          <w:bCs w:val="0"/>
          <w:color w:val="auto"/>
          <w:sz w:val="30"/>
          <w:szCs w:val="30"/>
          <w:highlight w:val="none"/>
        </w:rPr>
      </w:pPr>
    </w:p>
    <w:p w14:paraId="37237DD8">
      <w:pPr>
        <w:ind w:firstLine="4350" w:firstLineChars="1450"/>
        <w:rPr>
          <w:rFonts w:hint="eastAsia"/>
          <w:b w:val="0"/>
          <w:bCs w:val="0"/>
          <w:color w:val="auto"/>
          <w:sz w:val="30"/>
          <w:szCs w:val="30"/>
          <w:highlight w:val="none"/>
        </w:rPr>
      </w:pPr>
    </w:p>
    <w:p w14:paraId="6AA3A846">
      <w:pPr>
        <w:spacing w:line="360" w:lineRule="auto"/>
        <w:ind w:firstLine="643" w:firstLineChars="200"/>
        <w:rPr>
          <w:rFonts w:hint="eastAsia" w:ascii="宋体" w:hAnsi="宋体" w:eastAsia="宋体" w:cs="宋体"/>
          <w:b w:val="0"/>
          <w:bCs w:val="0"/>
          <w:color w:val="auto"/>
          <w:sz w:val="30"/>
          <w:szCs w:val="30"/>
          <w:highlight w:val="none"/>
          <w:u w:val="none"/>
          <w:lang w:val="en-US" w:eastAsia="zh-CN"/>
        </w:rPr>
      </w:pPr>
      <w:r>
        <w:rPr>
          <w:rFonts w:hint="eastAsia" w:ascii="宋体" w:hAnsi="宋体" w:eastAsia="宋体" w:cs="宋体"/>
          <w:b/>
          <w:bCs/>
          <w:color w:val="auto"/>
          <w:kern w:val="0"/>
          <w:sz w:val="32"/>
          <w:szCs w:val="32"/>
          <w:highlight w:val="none"/>
        </w:rPr>
        <w:t>工程名称：</w:t>
      </w:r>
      <w:r>
        <w:rPr>
          <w:rFonts w:hint="eastAsia" w:ascii="宋体" w:hAnsi="宋体" w:eastAsia="宋体" w:cs="宋体"/>
          <w:b w:val="0"/>
          <w:bCs w:val="0"/>
          <w:color w:val="auto"/>
          <w:sz w:val="30"/>
          <w:szCs w:val="30"/>
          <w:highlight w:val="none"/>
          <w:u w:val="single"/>
          <w:lang w:val="en-US" w:eastAsia="zh-CN"/>
        </w:rPr>
        <w:t>深圳市龙岗区人民医院“光储充”项目</w:t>
      </w:r>
      <w:r>
        <w:rPr>
          <w:rFonts w:hint="eastAsia" w:ascii="宋体" w:hAnsi="宋体" w:eastAsia="宋体" w:cs="宋体"/>
          <w:b w:val="0"/>
          <w:bCs w:val="0"/>
          <w:color w:val="auto"/>
          <w:sz w:val="30"/>
          <w:szCs w:val="30"/>
          <w:highlight w:val="none"/>
          <w:u w:val="none"/>
          <w:lang w:val="en-US" w:eastAsia="zh-CN"/>
        </w:rPr>
        <w:t xml:space="preserve">                                  </w:t>
      </w:r>
    </w:p>
    <w:p w14:paraId="02CB849F">
      <w:pPr>
        <w:spacing w:line="360" w:lineRule="auto"/>
        <w:ind w:firstLine="643" w:firstLineChars="200"/>
        <w:rPr>
          <w:rFonts w:hint="eastAsia" w:ascii="宋体" w:hAnsi="宋体" w:eastAsia="宋体" w:cs="宋体"/>
          <w:b w:val="0"/>
          <w:bCs w:val="0"/>
          <w:color w:val="auto"/>
          <w:sz w:val="30"/>
          <w:szCs w:val="30"/>
          <w:highlight w:val="none"/>
          <w:u w:val="none"/>
          <w:lang w:val="en-US" w:eastAsia="zh-CN"/>
        </w:rPr>
      </w:pPr>
      <w:r>
        <w:rPr>
          <w:rFonts w:hint="eastAsia" w:ascii="宋体" w:hAnsi="宋体" w:eastAsia="宋体" w:cs="宋体"/>
          <w:b/>
          <w:bCs/>
          <w:color w:val="auto"/>
          <w:kern w:val="0"/>
          <w:sz w:val="32"/>
          <w:szCs w:val="32"/>
          <w:highlight w:val="none"/>
        </w:rPr>
        <w:t>工程地点:</w:t>
      </w:r>
      <w:r>
        <w:rPr>
          <w:rFonts w:hint="eastAsia" w:ascii="宋体" w:hAnsi="宋体" w:eastAsia="宋体" w:cs="宋体"/>
          <w:b/>
          <w:bCs/>
          <w:color w:val="auto"/>
          <w:kern w:val="0"/>
          <w:sz w:val="32"/>
          <w:szCs w:val="32"/>
          <w:highlight w:val="none"/>
          <w:lang w:val="en-US" w:eastAsia="zh-CN"/>
        </w:rPr>
        <w:t xml:space="preserve"> </w:t>
      </w:r>
      <w:r>
        <w:rPr>
          <w:rFonts w:hint="eastAsia" w:ascii="宋体" w:hAnsi="宋体" w:eastAsia="宋体" w:cs="宋体"/>
          <w:b w:val="0"/>
          <w:bCs w:val="0"/>
          <w:color w:val="auto"/>
          <w:sz w:val="30"/>
          <w:szCs w:val="30"/>
          <w:highlight w:val="none"/>
          <w:u w:val="single"/>
          <w:lang w:val="en-US" w:eastAsia="zh-CN"/>
        </w:rPr>
        <w:t xml:space="preserve">深圳市龙岗区人民医院   </w:t>
      </w:r>
      <w:r>
        <w:rPr>
          <w:rFonts w:hint="eastAsia" w:ascii="宋体" w:hAnsi="宋体" w:eastAsia="宋体" w:cs="宋体"/>
          <w:b w:val="0"/>
          <w:bCs w:val="0"/>
          <w:color w:val="auto"/>
          <w:sz w:val="30"/>
          <w:szCs w:val="30"/>
          <w:highlight w:val="none"/>
          <w:u w:val="none"/>
          <w:lang w:val="en-US" w:eastAsia="zh-CN"/>
        </w:rPr>
        <w:t xml:space="preserve">                        </w:t>
      </w:r>
    </w:p>
    <w:p w14:paraId="527E3581">
      <w:pPr>
        <w:spacing w:line="360" w:lineRule="auto"/>
        <w:ind w:firstLine="643" w:firstLineChars="200"/>
        <w:rPr>
          <w:rFonts w:hint="eastAsia" w:ascii="宋体" w:hAnsi="宋体" w:eastAsia="宋体" w:cs="宋体"/>
          <w:b w:val="0"/>
          <w:bCs w:val="0"/>
          <w:color w:val="auto"/>
          <w:sz w:val="44"/>
          <w:szCs w:val="44"/>
          <w:highlight w:val="none"/>
        </w:rPr>
      </w:pPr>
      <w:r>
        <w:rPr>
          <w:rFonts w:hint="eastAsia" w:ascii="宋体" w:hAnsi="宋体" w:eastAsia="宋体" w:cs="宋体"/>
          <w:b/>
          <w:bCs/>
          <w:color w:val="auto"/>
          <w:kern w:val="0"/>
          <w:sz w:val="32"/>
          <w:szCs w:val="32"/>
          <w:highlight w:val="none"/>
          <w:lang w:val="en-US" w:eastAsia="zh-CN"/>
        </w:rPr>
        <w:t>委 托 人</w:t>
      </w:r>
      <w:r>
        <w:rPr>
          <w:rFonts w:hint="eastAsia" w:ascii="宋体" w:hAnsi="宋体" w:eastAsia="宋体" w:cs="宋体"/>
          <w:b/>
          <w:bCs/>
          <w:color w:val="auto"/>
          <w:kern w:val="0"/>
          <w:sz w:val="32"/>
          <w:szCs w:val="32"/>
          <w:highlight w:val="none"/>
        </w:rPr>
        <w:t>：</w:t>
      </w:r>
      <w:r>
        <w:rPr>
          <w:rFonts w:hint="eastAsia" w:ascii="宋体" w:hAnsi="宋体" w:eastAsia="宋体" w:cs="宋体"/>
          <w:b w:val="0"/>
          <w:bCs w:val="0"/>
          <w:color w:val="auto"/>
          <w:sz w:val="30"/>
          <w:szCs w:val="30"/>
          <w:highlight w:val="none"/>
          <w:u w:val="single"/>
          <w:lang w:val="en-US" w:eastAsia="zh-CN"/>
        </w:rPr>
        <w:t xml:space="preserve">深圳市龙岗区投新基础设施建设管理有限公司 </w:t>
      </w:r>
      <w:r>
        <w:rPr>
          <w:rFonts w:hint="eastAsia" w:ascii="宋体" w:hAnsi="宋体" w:eastAsia="宋体" w:cs="宋体"/>
          <w:b w:val="0"/>
          <w:bCs w:val="0"/>
          <w:color w:val="auto"/>
          <w:sz w:val="30"/>
          <w:szCs w:val="30"/>
          <w:highlight w:val="none"/>
          <w:u w:val="none"/>
          <w:lang w:val="en-US" w:eastAsia="zh-CN"/>
        </w:rPr>
        <w:t xml:space="preserve">                             </w:t>
      </w:r>
      <w:r>
        <w:rPr>
          <w:rFonts w:hint="eastAsia" w:ascii="宋体" w:hAnsi="宋体" w:eastAsia="宋体" w:cs="宋体"/>
          <w:b w:val="0"/>
          <w:bCs w:val="0"/>
          <w:color w:val="auto"/>
          <w:sz w:val="30"/>
          <w:szCs w:val="30"/>
          <w:highlight w:val="none"/>
          <w:u w:val="single"/>
          <w:lang w:val="en-US" w:eastAsia="zh-CN"/>
        </w:rPr>
        <w:t xml:space="preserve">            </w:t>
      </w:r>
      <w:bookmarkStart w:id="14" w:name="_Toc429304388"/>
      <w:bookmarkStart w:id="15" w:name="_Toc327891433"/>
      <w:bookmarkStart w:id="16" w:name="_Toc429183992"/>
    </w:p>
    <w:p w14:paraId="12F946B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宋体" w:hAnsi="宋体" w:eastAsia="宋体" w:cs="宋体"/>
          <w:b/>
          <w:bCs/>
          <w:color w:val="auto"/>
          <w:sz w:val="36"/>
          <w:szCs w:val="36"/>
          <w:highlight w:val="none"/>
        </w:rPr>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b/>
          <w:bCs/>
          <w:color w:val="auto"/>
          <w:kern w:val="0"/>
          <w:sz w:val="32"/>
          <w:szCs w:val="32"/>
          <w:highlight w:val="none"/>
          <w:lang w:val="en-US" w:eastAsia="zh-CN"/>
        </w:rPr>
        <w:t>监 理 人：</w:t>
      </w:r>
      <w:r>
        <w:rPr>
          <w:rFonts w:hint="eastAsia" w:ascii="宋体" w:hAnsi="宋体" w:eastAsia="宋体" w:cs="宋体"/>
          <w:b/>
          <w:bCs/>
          <w:color w:val="auto"/>
          <w:kern w:val="0"/>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640FB078">
      <w:pPr>
        <w:keepNext/>
        <w:keepLines/>
        <w:widowControl w:val="0"/>
        <w:numPr>
          <w:ilvl w:val="1"/>
          <w:numId w:val="0"/>
        </w:numPr>
        <w:tabs>
          <w:tab w:val="left" w:pos="576"/>
        </w:tabs>
        <w:adjustRightInd w:val="0"/>
        <w:snapToGrid w:val="0"/>
        <w:spacing w:before="120" w:beforeLines="0" w:after="260" w:afterLines="0" w:line="700" w:lineRule="exact"/>
        <w:jc w:val="both"/>
        <w:outlineLvl w:val="1"/>
        <w:rPr>
          <w:rFonts w:hint="eastAsia" w:ascii="宋体" w:hAnsi="宋体" w:eastAsia="宋体" w:cs="宋体"/>
          <w:b/>
          <w:bCs/>
          <w:color w:val="auto"/>
          <w:kern w:val="0"/>
          <w:sz w:val="32"/>
          <w:szCs w:val="32"/>
          <w:highlight w:val="none"/>
          <w:lang w:val="en-US" w:eastAsia="zh-CN" w:bidi="ar-SA"/>
        </w:rPr>
      </w:pPr>
    </w:p>
    <w:p w14:paraId="6B45338E">
      <w:pPr>
        <w:keepNext/>
        <w:keepLines/>
        <w:widowControl w:val="0"/>
        <w:numPr>
          <w:ilvl w:val="1"/>
          <w:numId w:val="0"/>
        </w:numPr>
        <w:tabs>
          <w:tab w:val="left" w:pos="576"/>
        </w:tabs>
        <w:adjustRightInd w:val="0"/>
        <w:snapToGrid w:val="0"/>
        <w:spacing w:before="120" w:beforeLines="0" w:after="260" w:afterLines="0" w:line="700" w:lineRule="exact"/>
        <w:ind w:left="647" w:hanging="575" w:hangingChars="179"/>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 xml:space="preserve">                  </w:t>
      </w:r>
      <w:r>
        <w:rPr>
          <w:rFonts w:hint="eastAsia" w:ascii="宋体" w:hAnsi="宋体" w:eastAsia="宋体" w:cs="宋体"/>
          <w:b/>
          <w:bCs/>
          <w:color w:val="auto"/>
          <w:kern w:val="0"/>
          <w:sz w:val="36"/>
          <w:szCs w:val="36"/>
          <w:highlight w:val="none"/>
          <w:lang w:val="en-US" w:eastAsia="zh-CN" w:bidi="ar-SA"/>
        </w:rPr>
        <w:t xml:space="preserve"> </w:t>
      </w:r>
      <w:r>
        <w:rPr>
          <w:rFonts w:hint="eastAsia" w:ascii="宋体" w:hAnsi="宋体" w:eastAsia="黑体" w:cs="Times New Roman"/>
          <w:b/>
          <w:bCs/>
          <w:color w:val="auto"/>
          <w:kern w:val="0"/>
          <w:sz w:val="28"/>
          <w:szCs w:val="28"/>
          <w:highlight w:val="none"/>
          <w:lang w:val="en-US" w:eastAsia="zh-CN" w:bidi="ar-SA"/>
        </w:rPr>
        <w:t xml:space="preserve"> </w:t>
      </w:r>
      <w:r>
        <w:rPr>
          <w:rFonts w:hint="eastAsia" w:ascii="宋体" w:hAnsi="宋体" w:eastAsia="宋体" w:cs="宋体"/>
          <w:b/>
          <w:bCs/>
          <w:color w:val="auto"/>
          <w:kern w:val="0"/>
          <w:sz w:val="44"/>
          <w:szCs w:val="44"/>
          <w:highlight w:val="none"/>
          <w:lang w:val="en-US" w:eastAsia="zh-CN" w:bidi="ar-SA"/>
        </w:rPr>
        <w:t xml:space="preserve"> 目   录</w:t>
      </w:r>
    </w:p>
    <w:p w14:paraId="59B368F5">
      <w:pPr>
        <w:keepNext/>
        <w:keepLines/>
        <w:widowControl w:val="0"/>
        <w:tabs>
          <w:tab w:val="left" w:pos="576"/>
        </w:tabs>
        <w:adjustRightInd w:val="0"/>
        <w:snapToGrid w:val="0"/>
        <w:spacing w:before="120" w:beforeLines="0" w:after="260" w:afterLines="0" w:line="700" w:lineRule="exact"/>
        <w:ind w:firstLine="321" w:firstLineChars="10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第一部分 协议书…………………………………………</w:t>
      </w:r>
    </w:p>
    <w:p w14:paraId="729CBA76">
      <w:pPr>
        <w:keepNext/>
        <w:keepLines/>
        <w:widowControl w:val="0"/>
        <w:tabs>
          <w:tab w:val="left" w:pos="576"/>
        </w:tabs>
        <w:adjustRightInd w:val="0"/>
        <w:snapToGrid w:val="0"/>
        <w:spacing w:before="120" w:beforeLines="0" w:after="260" w:afterLines="0" w:line="700" w:lineRule="exact"/>
        <w:ind w:firstLine="321" w:firstLineChars="10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第二部分 委托文件………………………………………</w:t>
      </w:r>
    </w:p>
    <w:p w14:paraId="586F3B25">
      <w:pPr>
        <w:keepNext/>
        <w:keepLines/>
        <w:widowControl w:val="0"/>
        <w:tabs>
          <w:tab w:val="left" w:pos="576"/>
        </w:tabs>
        <w:adjustRightInd w:val="0"/>
        <w:snapToGrid w:val="0"/>
        <w:spacing w:before="120" w:beforeLines="0" w:after="260" w:afterLines="0" w:line="700" w:lineRule="exact"/>
        <w:ind w:firstLine="0" w:firstLineChars="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 xml:space="preserve">  第三部分 通用条款………………………………………</w:t>
      </w:r>
    </w:p>
    <w:p w14:paraId="0AE21673">
      <w:pPr>
        <w:keepNext/>
        <w:keepLines/>
        <w:widowControl w:val="0"/>
        <w:tabs>
          <w:tab w:val="left" w:pos="576"/>
        </w:tabs>
        <w:adjustRightInd w:val="0"/>
        <w:snapToGrid w:val="0"/>
        <w:spacing w:before="120" w:beforeLines="0" w:after="260" w:afterLines="0" w:line="700" w:lineRule="exact"/>
        <w:ind w:firstLine="321" w:firstLineChars="10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第四部分 专用条款………………………………………</w:t>
      </w:r>
    </w:p>
    <w:p w14:paraId="7AF859A7">
      <w:pPr>
        <w:keepNext/>
        <w:keepLines/>
        <w:widowControl w:val="0"/>
        <w:tabs>
          <w:tab w:val="left" w:pos="576"/>
        </w:tabs>
        <w:adjustRightInd w:val="0"/>
        <w:snapToGrid w:val="0"/>
        <w:spacing w:before="120" w:beforeLines="0" w:after="260" w:afterLines="0" w:line="700" w:lineRule="exact"/>
        <w:ind w:firstLine="321" w:firstLineChars="100"/>
        <w:jc w:val="both"/>
        <w:outlineLvl w:val="1"/>
        <w:rPr>
          <w:rFonts w:hint="eastAsia" w:ascii="宋体" w:hAnsi="宋体" w:eastAsia="宋体" w:cs="宋体"/>
          <w:b/>
          <w:bCs/>
          <w:color w:val="auto"/>
          <w:kern w:val="0"/>
          <w:sz w:val="32"/>
          <w:szCs w:val="32"/>
          <w:highlight w:val="none"/>
          <w:lang w:val="en-US" w:eastAsia="zh-CN" w:bidi="ar-SA"/>
        </w:rPr>
      </w:pPr>
      <w:r>
        <w:rPr>
          <w:rFonts w:hint="eastAsia" w:ascii="宋体" w:hAnsi="宋体" w:eastAsia="宋体" w:cs="宋体"/>
          <w:b/>
          <w:bCs/>
          <w:color w:val="auto"/>
          <w:kern w:val="0"/>
          <w:sz w:val="32"/>
          <w:szCs w:val="32"/>
          <w:highlight w:val="none"/>
          <w:lang w:val="en-US" w:eastAsia="zh-CN" w:bidi="ar-SA"/>
        </w:rPr>
        <w:t>第五部分 补充条款………………………………………</w:t>
      </w:r>
    </w:p>
    <w:p w14:paraId="11BBF538">
      <w:pPr>
        <w:rPr>
          <w:rFonts w:hint="eastAsia"/>
          <w:color w:val="auto"/>
          <w:lang w:val="en-US" w:eastAsia="zh-CN"/>
        </w:rPr>
      </w:pPr>
    </w:p>
    <w:p w14:paraId="3103B173">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58E59947">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388DC2F1">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36A2DF54">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0EB44A56">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7351CBA4">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38C26A48">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40A7BCD3">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66E22622">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556FF4F6">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p>
    <w:p w14:paraId="4A4D681C">
      <w:pPr>
        <w:pStyle w:val="49"/>
        <w:pageBreakBefore w:val="0"/>
        <w:kinsoku/>
        <w:overflowPunct/>
        <w:bidi w:val="0"/>
        <w:spacing w:line="560" w:lineRule="exact"/>
        <w:jc w:val="both"/>
        <w:textAlignment w:val="auto"/>
        <w:rPr>
          <w:rFonts w:hint="eastAsia" w:ascii="宋体" w:hAnsi="宋体" w:eastAsia="宋体" w:cs="宋体"/>
          <w:b/>
          <w:bCs/>
          <w:color w:val="auto"/>
          <w:sz w:val="36"/>
          <w:szCs w:val="36"/>
          <w:highlight w:val="none"/>
        </w:rPr>
      </w:pPr>
    </w:p>
    <w:p w14:paraId="091DC1EA">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第一部分  协议书</w:t>
      </w:r>
      <w:bookmarkEnd w:id="14"/>
      <w:bookmarkEnd w:id="15"/>
      <w:bookmarkEnd w:id="16"/>
    </w:p>
    <w:p w14:paraId="37EA12E4">
      <w:pPr>
        <w:pageBreakBefore w:val="0"/>
        <w:kinsoku/>
        <w:overflowPunct/>
        <w:bidi w:val="0"/>
        <w:spacing w:line="560" w:lineRule="exact"/>
        <w:ind w:firstLine="840" w:firstLineChars="350"/>
        <w:textAlignment w:val="auto"/>
        <w:rPr>
          <w:rFonts w:hint="eastAsia" w:ascii="宋体" w:hAnsi="宋体" w:eastAsia="宋体" w:cs="宋体"/>
          <w:b w:val="0"/>
          <w:bCs w:val="0"/>
          <w:color w:val="auto"/>
          <w:kern w:val="18"/>
          <w:sz w:val="24"/>
          <w:szCs w:val="24"/>
          <w:highlight w:val="none"/>
        </w:rPr>
      </w:pPr>
    </w:p>
    <w:p w14:paraId="47FD090B">
      <w:pPr>
        <w:pageBreakBefore w:val="0"/>
        <w:kinsoku/>
        <w:overflowPunct/>
        <w:bidi w:val="0"/>
        <w:adjustRightInd w:val="0"/>
        <w:snapToGrid w:val="0"/>
        <w:spacing w:line="560" w:lineRule="exact"/>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 xml:space="preserve">    根据《中华人民共和国</w:t>
      </w:r>
      <w:r>
        <w:rPr>
          <w:rFonts w:hint="eastAsia" w:ascii="宋体" w:hAnsi="宋体" w:eastAsia="宋体" w:cs="宋体"/>
          <w:b w:val="0"/>
          <w:bCs w:val="0"/>
          <w:color w:val="auto"/>
          <w:kern w:val="18"/>
          <w:sz w:val="24"/>
          <w:szCs w:val="24"/>
          <w:highlight w:val="none"/>
          <w:lang w:eastAsia="zh-CN"/>
        </w:rPr>
        <w:t>民法典</w:t>
      </w:r>
      <w:r>
        <w:rPr>
          <w:rFonts w:hint="eastAsia" w:ascii="宋体" w:hAnsi="宋体" w:eastAsia="宋体" w:cs="宋体"/>
          <w:b w:val="0"/>
          <w:bCs w:val="0"/>
          <w:color w:val="auto"/>
          <w:kern w:val="18"/>
          <w:sz w:val="24"/>
          <w:szCs w:val="24"/>
          <w:highlight w:val="none"/>
        </w:rPr>
        <w:t>》、《中华人民共和国建筑法》、《深圳经济特区建设工程监理条例》及其他有关法律、法规，遵循平等、自愿、公平和诚信的原则，双方就下述工程委托监理与相关服务事项协商一致，订立本合同。</w:t>
      </w:r>
    </w:p>
    <w:p w14:paraId="30E244F6">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17" w:name="_Toc327891434"/>
      <w:bookmarkStart w:id="18" w:name="_Toc429304389"/>
      <w:bookmarkStart w:id="19" w:name="_Toc429183993"/>
      <w:r>
        <w:rPr>
          <w:rFonts w:hint="eastAsia" w:ascii="宋体" w:hAnsi="宋体" w:eastAsia="宋体" w:cs="宋体"/>
          <w:b w:val="0"/>
          <w:bCs w:val="0"/>
          <w:color w:val="auto"/>
          <w:sz w:val="24"/>
          <w:szCs w:val="24"/>
          <w:highlight w:val="none"/>
        </w:rPr>
        <w:t>一、工程概况</w:t>
      </w:r>
      <w:bookmarkEnd w:id="17"/>
      <w:bookmarkEnd w:id="18"/>
      <w:bookmarkEnd w:id="19"/>
    </w:p>
    <w:p w14:paraId="733B3785">
      <w:pPr>
        <w:pStyle w:val="29"/>
        <w:pageBreakBefore w:val="0"/>
        <w:tabs>
          <w:tab w:val="left" w:pos="2083"/>
        </w:tabs>
        <w:kinsoku/>
        <w:overflowPunct/>
        <w:bidi w:val="0"/>
        <w:spacing w:line="560" w:lineRule="exact"/>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 xml:space="preserve">    1.工程名称：</w:t>
      </w:r>
      <w:r>
        <w:rPr>
          <w:rFonts w:hint="eastAsia" w:ascii="宋体" w:hAnsi="宋体" w:eastAsia="宋体" w:cs="宋体"/>
          <w:b w:val="0"/>
          <w:bCs w:val="0"/>
          <w:color w:val="auto"/>
          <w:kern w:val="18"/>
          <w:sz w:val="24"/>
          <w:szCs w:val="24"/>
          <w:highlight w:val="none"/>
          <w:u w:val="single"/>
          <w:lang w:val="en-US" w:eastAsia="zh-CN" w:bidi="ar-SA"/>
        </w:rPr>
        <w:t>深圳市龙岗区人民医院“光储充”项目</w:t>
      </w:r>
    </w:p>
    <w:p w14:paraId="191C7DC9">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u w:val="single"/>
          <w:lang w:val="en-US" w:eastAsia="zh-CN" w:bidi="ar-SA"/>
        </w:rPr>
      </w:pPr>
      <w:r>
        <w:rPr>
          <w:rFonts w:hint="eastAsia" w:ascii="宋体" w:hAnsi="宋体" w:eastAsia="宋体" w:cs="宋体"/>
          <w:b w:val="0"/>
          <w:bCs w:val="0"/>
          <w:color w:val="auto"/>
          <w:kern w:val="18"/>
          <w:sz w:val="24"/>
          <w:szCs w:val="24"/>
          <w:highlight w:val="none"/>
        </w:rPr>
        <w:t>2.工程地点：</w:t>
      </w:r>
      <w:r>
        <w:rPr>
          <w:rFonts w:hint="eastAsia" w:ascii="宋体" w:hAnsi="宋体" w:eastAsia="宋体" w:cs="宋体"/>
          <w:b w:val="0"/>
          <w:bCs w:val="0"/>
          <w:color w:val="auto"/>
          <w:kern w:val="18"/>
          <w:sz w:val="24"/>
          <w:szCs w:val="24"/>
          <w:highlight w:val="none"/>
          <w:u w:val="single"/>
          <w:lang w:val="en-US" w:eastAsia="zh-CN" w:bidi="ar-SA"/>
        </w:rPr>
        <w:t>深圳市龙岗区人民医院</w:t>
      </w:r>
    </w:p>
    <w:p w14:paraId="670BC2D0">
      <w:pPr>
        <w:pageBreakBefore w:val="0"/>
        <w:kinsoku/>
        <w:overflowPunct/>
        <w:bidi w:val="0"/>
        <w:adjustRightInd w:val="0"/>
        <w:spacing w:line="560" w:lineRule="exact"/>
        <w:ind w:firstLine="480" w:firstLineChars="200"/>
        <w:textAlignment w:val="auto"/>
        <w:rPr>
          <w:rFonts w:hint="default" w:ascii="宋体" w:hAnsi="宋体" w:eastAsia="宋体" w:cs="宋体"/>
          <w:b w:val="0"/>
          <w:bCs w:val="0"/>
          <w:color w:val="auto"/>
          <w:kern w:val="18"/>
          <w:sz w:val="24"/>
          <w:szCs w:val="24"/>
          <w:highlight w:val="none"/>
          <w:u w:val="single"/>
          <w:lang w:val="en-US" w:eastAsia="zh-CN"/>
        </w:rPr>
      </w:pPr>
      <w:r>
        <w:rPr>
          <w:rFonts w:hint="eastAsia" w:ascii="宋体" w:hAnsi="宋体" w:eastAsia="宋体" w:cs="宋体"/>
          <w:b w:val="0"/>
          <w:bCs w:val="0"/>
          <w:color w:val="auto"/>
          <w:kern w:val="18"/>
          <w:sz w:val="24"/>
          <w:szCs w:val="24"/>
          <w:highlight w:val="none"/>
        </w:rPr>
        <w:t>3.工程规模：</w:t>
      </w:r>
      <w:r>
        <w:rPr>
          <w:rFonts w:hint="eastAsia" w:ascii="宋体" w:hAnsi="宋体" w:eastAsia="宋体" w:cs="宋体"/>
          <w:b w:val="0"/>
          <w:bCs w:val="0"/>
          <w:color w:val="auto"/>
          <w:kern w:val="18"/>
          <w:sz w:val="24"/>
          <w:szCs w:val="24"/>
          <w:highlight w:val="none"/>
          <w:u w:val="single"/>
          <w:lang w:val="en-US" w:eastAsia="zh-CN"/>
        </w:rPr>
        <w:t>2200KW</w:t>
      </w:r>
    </w:p>
    <w:p w14:paraId="2B4AC944">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4.工程类别：</w:t>
      </w:r>
      <w:r>
        <w:rPr>
          <w:rFonts w:hint="eastAsia" w:ascii="宋体" w:hAnsi="宋体" w:eastAsia="宋体" w:cs="宋体"/>
          <w:b w:val="0"/>
          <w:bCs w:val="0"/>
          <w:color w:val="auto"/>
          <w:kern w:val="18"/>
          <w:sz w:val="24"/>
          <w:szCs w:val="24"/>
          <w:highlight w:val="none"/>
          <w:u w:val="single"/>
          <w:lang w:val="en-US" w:eastAsia="zh-CN"/>
        </w:rPr>
        <w:t xml:space="preserve">电力安装工程     </w:t>
      </w:r>
      <w:r>
        <w:rPr>
          <w:rFonts w:hint="eastAsia" w:ascii="宋体" w:hAnsi="宋体" w:eastAsia="宋体" w:cs="宋体"/>
          <w:b w:val="0"/>
          <w:bCs w:val="0"/>
          <w:color w:val="auto"/>
          <w:kern w:val="18"/>
          <w:sz w:val="24"/>
          <w:szCs w:val="24"/>
          <w:highlight w:val="none"/>
          <w:lang w:val="en-US" w:eastAsia="zh-CN"/>
        </w:rPr>
        <w:t xml:space="preserve">          </w:t>
      </w:r>
    </w:p>
    <w:p w14:paraId="11D6AA67">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u w:val="single"/>
        </w:rPr>
      </w:pPr>
      <w:r>
        <w:rPr>
          <w:rFonts w:hint="eastAsia" w:ascii="宋体" w:hAnsi="宋体" w:eastAsia="宋体" w:cs="宋体"/>
          <w:b w:val="0"/>
          <w:bCs w:val="0"/>
          <w:color w:val="auto"/>
          <w:kern w:val="18"/>
          <w:sz w:val="24"/>
          <w:szCs w:val="24"/>
          <w:highlight w:val="none"/>
        </w:rPr>
        <w:t>5.投资性质：</w:t>
      </w:r>
      <w:r>
        <w:rPr>
          <w:rFonts w:hint="eastAsia" w:ascii="宋体" w:hAnsi="宋体" w:eastAsia="宋体" w:cs="宋体"/>
          <w:b w:val="0"/>
          <w:bCs w:val="0"/>
          <w:color w:val="auto"/>
          <w:kern w:val="18"/>
          <w:sz w:val="24"/>
          <w:szCs w:val="24"/>
          <w:highlight w:val="none"/>
          <w:u w:val="single"/>
          <w:lang w:val="en-US" w:eastAsia="zh-CN"/>
        </w:rPr>
        <w:t>企业自有资金投资</w:t>
      </w:r>
    </w:p>
    <w:p w14:paraId="41F44143">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u w:val="single"/>
          <w:lang w:eastAsia="zh-CN"/>
        </w:rPr>
      </w:pPr>
      <w:r>
        <w:rPr>
          <w:rFonts w:hint="eastAsia" w:ascii="宋体" w:hAnsi="宋体" w:eastAsia="宋体" w:cs="宋体"/>
          <w:b w:val="0"/>
          <w:bCs w:val="0"/>
          <w:color w:val="auto"/>
          <w:kern w:val="18"/>
          <w:sz w:val="24"/>
          <w:szCs w:val="24"/>
          <w:highlight w:val="none"/>
        </w:rPr>
        <w:t>6.工程</w:t>
      </w:r>
      <w:r>
        <w:rPr>
          <w:rFonts w:hint="eastAsia" w:ascii="宋体" w:hAnsi="宋体" w:eastAsia="宋体" w:cs="宋体"/>
          <w:b w:val="0"/>
          <w:bCs w:val="0"/>
          <w:color w:val="auto"/>
          <w:kern w:val="18"/>
          <w:sz w:val="24"/>
          <w:szCs w:val="24"/>
          <w:highlight w:val="none"/>
          <w:lang w:eastAsia="zh-CN"/>
        </w:rPr>
        <w:t>估算</w:t>
      </w:r>
      <w:r>
        <w:rPr>
          <w:rFonts w:hint="eastAsia" w:ascii="宋体" w:hAnsi="宋体" w:eastAsia="宋体" w:cs="宋体"/>
          <w:b w:val="0"/>
          <w:bCs w:val="0"/>
          <w:color w:val="auto"/>
          <w:kern w:val="18"/>
          <w:sz w:val="24"/>
          <w:szCs w:val="24"/>
          <w:highlight w:val="none"/>
        </w:rPr>
        <w:t>：</w:t>
      </w:r>
      <w:r>
        <w:rPr>
          <w:rFonts w:hint="eastAsia" w:ascii="宋体" w:hAnsi="宋体" w:eastAsia="宋体" w:cs="宋体"/>
          <w:b w:val="0"/>
          <w:bCs w:val="0"/>
          <w:color w:val="auto"/>
          <w:kern w:val="18"/>
          <w:sz w:val="24"/>
          <w:szCs w:val="24"/>
          <w:highlight w:val="none"/>
          <w:u w:val="single"/>
          <w:lang w:val="en-US" w:eastAsia="zh-CN"/>
        </w:rPr>
        <w:t>336万</w:t>
      </w:r>
    </w:p>
    <w:p w14:paraId="3214DF1F">
      <w:pPr>
        <w:pageBreakBefore w:val="0"/>
        <w:kinsoku/>
        <w:overflowPunct/>
        <w:bidi w:val="0"/>
        <w:adjustRightInd w:val="0"/>
        <w:snapToGrid w:val="0"/>
        <w:spacing w:line="560" w:lineRule="exact"/>
        <w:ind w:firstLine="480" w:firstLineChars="200"/>
        <w:jc w:val="left"/>
        <w:textAlignment w:val="auto"/>
        <w:rPr>
          <w:rFonts w:hint="default" w:ascii="宋体" w:hAnsi="宋体" w:eastAsia="宋体" w:cs="宋体"/>
          <w:b w:val="0"/>
          <w:bCs w:val="0"/>
          <w:color w:val="auto"/>
          <w:kern w:val="18"/>
          <w:sz w:val="24"/>
          <w:szCs w:val="24"/>
          <w:highlight w:val="none"/>
          <w:u w:val="single"/>
          <w:lang w:val="en-US"/>
        </w:rPr>
      </w:pPr>
      <w:r>
        <w:rPr>
          <w:rFonts w:hint="eastAsia" w:ascii="宋体" w:hAnsi="宋体" w:eastAsia="宋体" w:cs="宋体"/>
          <w:b w:val="0"/>
          <w:bCs w:val="0"/>
          <w:color w:val="auto"/>
          <w:kern w:val="18"/>
          <w:sz w:val="24"/>
          <w:szCs w:val="24"/>
          <w:highlight w:val="none"/>
        </w:rPr>
        <w:t>7.其它：</w:t>
      </w:r>
      <w:r>
        <w:rPr>
          <w:rFonts w:hint="eastAsia" w:ascii="宋体" w:hAnsi="宋体" w:eastAsia="宋体" w:cs="宋体"/>
          <w:b w:val="0"/>
          <w:bCs w:val="0"/>
          <w:color w:val="auto"/>
          <w:kern w:val="18"/>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p>
    <w:p w14:paraId="3E039629">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20" w:name="_Toc429183994"/>
      <w:bookmarkStart w:id="21" w:name="_Toc429304390"/>
      <w:bookmarkStart w:id="22" w:name="_Toc327891435"/>
      <w:r>
        <w:rPr>
          <w:rFonts w:hint="eastAsia" w:ascii="宋体" w:hAnsi="宋体" w:eastAsia="宋体" w:cs="宋体"/>
          <w:b w:val="0"/>
          <w:bCs w:val="0"/>
          <w:color w:val="auto"/>
          <w:sz w:val="24"/>
          <w:szCs w:val="24"/>
          <w:highlight w:val="none"/>
        </w:rPr>
        <w:t>二、词语含义</w:t>
      </w:r>
      <w:bookmarkEnd w:id="20"/>
      <w:bookmarkEnd w:id="21"/>
      <w:bookmarkEnd w:id="22"/>
    </w:p>
    <w:p w14:paraId="1F8D1F2F">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协议书中相关词语的含义与</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中的定义与解释相同。</w:t>
      </w:r>
    </w:p>
    <w:p w14:paraId="0484899F">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23" w:name="_Toc327891436"/>
      <w:bookmarkStart w:id="24" w:name="_Toc429183995"/>
      <w:bookmarkStart w:id="25" w:name="_Toc429304391"/>
      <w:r>
        <w:rPr>
          <w:rFonts w:hint="eastAsia" w:ascii="宋体" w:hAnsi="宋体" w:eastAsia="宋体" w:cs="宋体"/>
          <w:b w:val="0"/>
          <w:bCs w:val="0"/>
          <w:color w:val="auto"/>
          <w:sz w:val="24"/>
          <w:szCs w:val="24"/>
          <w:highlight w:val="none"/>
        </w:rPr>
        <w:t>三、</w:t>
      </w:r>
      <w:r>
        <w:rPr>
          <w:rFonts w:hint="eastAsia" w:ascii="宋体" w:hAnsi="宋体" w:eastAsia="宋体" w:cs="宋体"/>
          <w:b w:val="0"/>
          <w:bCs w:val="0"/>
          <w:color w:val="auto"/>
          <w:sz w:val="24"/>
          <w:szCs w:val="24"/>
          <w:highlight w:val="none"/>
          <w:lang w:eastAsia="zh-CN"/>
        </w:rPr>
        <w:t>本合同由以下文件组成，以下文件存在不一致的，以下列排序在前的文件为准。</w:t>
      </w:r>
      <w:bookmarkEnd w:id="23"/>
      <w:bookmarkEnd w:id="24"/>
      <w:bookmarkEnd w:id="25"/>
    </w:p>
    <w:p w14:paraId="1DD411E0">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1.协议书；</w:t>
      </w:r>
    </w:p>
    <w:p w14:paraId="6EC528B2">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2.委托文件；</w:t>
      </w:r>
    </w:p>
    <w:p w14:paraId="0D20380F">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w:t>
      </w:r>
    </w:p>
    <w:p w14:paraId="37B54785">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w:t>
      </w:r>
    </w:p>
    <w:p w14:paraId="69F07CA8">
      <w:pPr>
        <w:adjustRightInd w:val="0"/>
        <w:snapToGrid w:val="0"/>
        <w:spacing w:line="560" w:lineRule="exact"/>
        <w:ind w:firstLine="480" w:firstLineChars="200"/>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本合同签订后，双方签订的补充协议</w:t>
      </w:r>
      <w:r>
        <w:rPr>
          <w:rFonts w:hint="eastAsia" w:ascii="宋体" w:hAnsi="宋体" w:eastAsia="宋体" w:cs="宋体"/>
          <w:b w:val="0"/>
          <w:bCs w:val="0"/>
          <w:color w:val="auto"/>
          <w:kern w:val="18"/>
          <w:sz w:val="24"/>
          <w:szCs w:val="24"/>
          <w:highlight w:val="none"/>
          <w:lang w:eastAsia="zh-CN"/>
        </w:rPr>
        <w:t>与本合同</w:t>
      </w:r>
      <w:r>
        <w:rPr>
          <w:rFonts w:hint="eastAsia" w:ascii="宋体" w:hAnsi="宋体" w:eastAsia="宋体" w:cs="宋体"/>
          <w:b w:val="0"/>
          <w:bCs w:val="0"/>
          <w:color w:val="auto"/>
          <w:kern w:val="18"/>
          <w:sz w:val="24"/>
          <w:szCs w:val="24"/>
          <w:highlight w:val="none"/>
        </w:rPr>
        <w:t>发生矛盾或歧义时，应以最新签署的为准。</w:t>
      </w:r>
      <w:bookmarkStart w:id="26" w:name="_Toc429183997"/>
      <w:bookmarkStart w:id="27" w:name="_Toc429304393"/>
      <w:bookmarkStart w:id="28" w:name="_Toc327891439"/>
      <w:bookmarkStart w:id="29" w:name="_Toc327891437"/>
    </w:p>
    <w:p w14:paraId="51601C4B">
      <w:pPr>
        <w:adjustRightInd w:val="0"/>
        <w:snapToGrid w:val="0"/>
        <w:spacing w:line="560" w:lineRule="exact"/>
        <w:ind w:firstLine="480" w:firstLineChars="20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四、签约酬金</w:t>
      </w:r>
      <w:bookmarkEnd w:id="26"/>
      <w:bookmarkEnd w:id="27"/>
      <w:bookmarkEnd w:id="28"/>
    </w:p>
    <w:p w14:paraId="0DC6BEC3">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按照第四部分《</w:t>
      </w:r>
      <w:r>
        <w:rPr>
          <w:rFonts w:hint="eastAsia" w:ascii="宋体" w:hAnsi="宋体" w:eastAsia="宋体" w:cs="宋体"/>
          <w:b w:val="0"/>
          <w:bCs w:val="0"/>
          <w:color w:val="auto"/>
          <w:kern w:val="18"/>
          <w:sz w:val="24"/>
          <w:szCs w:val="24"/>
          <w:highlight w:val="none"/>
          <w:lang w:eastAsia="zh-CN"/>
        </w:rPr>
        <w:t>专用条款</w:t>
      </w:r>
      <w:r>
        <w:rPr>
          <w:rFonts w:hint="eastAsia" w:ascii="宋体" w:hAnsi="宋体" w:eastAsia="宋体" w:cs="宋体"/>
          <w:b w:val="0"/>
          <w:bCs w:val="0"/>
          <w:color w:val="auto"/>
          <w:kern w:val="18"/>
          <w:sz w:val="24"/>
          <w:szCs w:val="24"/>
          <w:highlight w:val="none"/>
        </w:rPr>
        <w:t>》第5.1条《酬金计取》的计取，本工程所有工程监理与相关服务的签约酬金</w:t>
      </w:r>
      <w:r>
        <w:rPr>
          <w:rFonts w:hint="eastAsia" w:ascii="宋体" w:hAnsi="宋体" w:eastAsia="宋体" w:cs="宋体"/>
          <w:b w:val="0"/>
          <w:bCs w:val="0"/>
          <w:color w:val="auto"/>
          <w:kern w:val="18"/>
          <w:sz w:val="24"/>
          <w:szCs w:val="24"/>
          <w:highlight w:val="none"/>
          <w:lang w:eastAsia="zh-CN"/>
        </w:rPr>
        <w:t>暂定</w:t>
      </w:r>
      <w:r>
        <w:rPr>
          <w:rFonts w:hint="eastAsia" w:ascii="宋体" w:hAnsi="宋体" w:eastAsia="宋体" w:cs="宋体"/>
          <w:b w:val="0"/>
          <w:bCs w:val="0"/>
          <w:color w:val="auto"/>
          <w:kern w:val="18"/>
          <w:sz w:val="24"/>
          <w:szCs w:val="24"/>
          <w:highlight w:val="none"/>
        </w:rPr>
        <w:t>总金额为</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lang w:val="en-US" w:eastAsia="zh-CN"/>
        </w:rPr>
        <w:t xml:space="preserve">   万</w:t>
      </w:r>
      <w:r>
        <w:rPr>
          <w:rFonts w:ascii="微软雅黑" w:hAnsi="微软雅黑" w:eastAsia="微软雅黑" w:cs="微软雅黑"/>
          <w:i w:val="0"/>
          <w:iCs w:val="0"/>
          <w:caps w:val="0"/>
          <w:color w:val="666666"/>
          <w:spacing w:val="0"/>
          <w:sz w:val="24"/>
          <w:szCs w:val="24"/>
          <w:shd w:val="clear" w:color="auto" w:fill="FFFFFF"/>
        </w:rPr>
        <w:t>元</w:t>
      </w:r>
      <w:r>
        <w:rPr>
          <w:rFonts w:hint="eastAsia" w:ascii="宋体" w:hAnsi="宋体" w:eastAsia="宋体" w:cs="宋体"/>
          <w:b w:val="0"/>
          <w:bCs w:val="0"/>
          <w:color w:val="auto"/>
          <w:kern w:val="18"/>
          <w:sz w:val="24"/>
          <w:szCs w:val="24"/>
          <w:highlight w:val="none"/>
          <w:u w:val="single"/>
        </w:rPr>
        <w:t>（</w:t>
      </w:r>
      <w:r>
        <w:rPr>
          <w:rFonts w:hint="eastAsia" w:ascii="宋体" w:hAnsi="宋体" w:eastAsia="宋体" w:cs="宋体"/>
          <w:b w:val="0"/>
          <w:bCs w:val="0"/>
          <w:color w:val="auto"/>
          <w:kern w:val="18"/>
          <w:sz w:val="24"/>
          <w:szCs w:val="24"/>
          <w:highlight w:val="none"/>
          <w:u w:val="single"/>
          <w:lang w:val="en-US" w:eastAsia="zh-CN"/>
        </w:rPr>
        <w:t xml:space="preserve">   </w:t>
      </w:r>
      <w:r>
        <w:rPr>
          <w:rFonts w:hint="eastAsia" w:ascii="宋体" w:hAnsi="宋体" w:eastAsia="宋体" w:cs="宋体"/>
          <w:b w:val="0"/>
          <w:bCs w:val="0"/>
          <w:color w:val="auto"/>
          <w:kern w:val="18"/>
          <w:sz w:val="24"/>
          <w:szCs w:val="24"/>
          <w:highlight w:val="none"/>
          <w:u w:val="single"/>
        </w:rPr>
        <w:t>万元）</w:t>
      </w:r>
      <w:r>
        <w:rPr>
          <w:rFonts w:hint="eastAsia" w:ascii="宋体" w:hAnsi="宋体" w:eastAsia="宋体" w:cs="宋体"/>
          <w:b w:val="0"/>
          <w:bCs w:val="0"/>
          <w:color w:val="auto"/>
          <w:sz w:val="24"/>
          <w:szCs w:val="24"/>
          <w:highlight w:val="none"/>
        </w:rPr>
        <w:t>（含税</w:t>
      </w:r>
      <w:r>
        <w:rPr>
          <w:rFonts w:hint="eastAsia" w:ascii="宋体" w:hAnsi="宋体" w:eastAsia="宋体" w:cs="宋体"/>
          <w:b w:val="0"/>
          <w:bCs w:val="0"/>
          <w:color w:val="auto"/>
          <w:sz w:val="24"/>
          <w:szCs w:val="24"/>
          <w:highlight w:val="none"/>
          <w:lang w:eastAsia="zh-CN"/>
        </w:rPr>
        <w:t>及保修阶段费用</w:t>
      </w:r>
      <w:r>
        <w:rPr>
          <w:rFonts w:hint="eastAsia" w:ascii="宋体" w:hAnsi="宋体" w:eastAsia="宋体" w:cs="宋体"/>
          <w:b w:val="0"/>
          <w:bCs w:val="0"/>
          <w:color w:val="auto"/>
          <w:sz w:val="24"/>
          <w:szCs w:val="24"/>
          <w:highlight w:val="none"/>
        </w:rPr>
        <w:t>）。</w:t>
      </w:r>
    </w:p>
    <w:p w14:paraId="5B0BDE08">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0" w:name="_Toc429183998"/>
      <w:bookmarkStart w:id="31" w:name="_Toc429304394"/>
      <w:r>
        <w:rPr>
          <w:rFonts w:hint="eastAsia" w:ascii="宋体" w:hAnsi="宋体" w:eastAsia="宋体" w:cs="宋体"/>
          <w:b w:val="0"/>
          <w:bCs w:val="0"/>
          <w:color w:val="auto"/>
          <w:sz w:val="24"/>
          <w:szCs w:val="24"/>
          <w:highlight w:val="none"/>
        </w:rPr>
        <w:t>五、</w:t>
      </w:r>
      <w:bookmarkEnd w:id="29"/>
      <w:bookmarkStart w:id="32" w:name="_Toc327891438"/>
      <w:r>
        <w:rPr>
          <w:rFonts w:hint="eastAsia" w:ascii="宋体" w:hAnsi="宋体" w:eastAsia="宋体" w:cs="宋体"/>
          <w:b w:val="0"/>
          <w:bCs w:val="0"/>
          <w:color w:val="auto"/>
          <w:sz w:val="24"/>
          <w:szCs w:val="24"/>
          <w:highlight w:val="none"/>
        </w:rPr>
        <w:t>工作期限</w:t>
      </w:r>
      <w:bookmarkEnd w:id="30"/>
      <w:bookmarkEnd w:id="31"/>
      <w:bookmarkEnd w:id="32"/>
    </w:p>
    <w:p w14:paraId="2D9CA4FE">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18"/>
          <w:sz w:val="24"/>
          <w:szCs w:val="24"/>
          <w:highlight w:val="none"/>
        </w:rPr>
        <w:t>工程监理与相关服务期限</w:t>
      </w:r>
      <w:r>
        <w:rPr>
          <w:rFonts w:hint="eastAsia" w:ascii="宋体" w:hAnsi="宋体" w:eastAsia="宋体" w:cs="宋体"/>
          <w:b w:val="0"/>
          <w:bCs w:val="0"/>
          <w:color w:val="auto"/>
          <w:kern w:val="18"/>
          <w:sz w:val="24"/>
          <w:szCs w:val="24"/>
          <w:highlight w:val="none"/>
          <w:lang w:eastAsia="zh-CN"/>
        </w:rPr>
        <w:t>：</w:t>
      </w:r>
    </w:p>
    <w:p w14:paraId="2419F0EA">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snapToGrid w:val="0"/>
          <w:color w:val="auto"/>
          <w:kern w:val="0"/>
          <w:sz w:val="24"/>
          <w:szCs w:val="24"/>
          <w:highlight w:val="none"/>
        </w:rPr>
        <w:t>施工阶段：</w:t>
      </w:r>
      <w:r>
        <w:rPr>
          <w:rFonts w:hint="eastAsia" w:ascii="宋体" w:hAnsi="宋体" w:eastAsia="宋体" w:cs="宋体"/>
          <w:b w:val="0"/>
          <w:bCs w:val="0"/>
          <w:snapToGrid w:val="0"/>
          <w:color w:val="auto"/>
          <w:kern w:val="0"/>
          <w:sz w:val="24"/>
          <w:szCs w:val="24"/>
          <w:highlight w:val="none"/>
          <w:u w:val="none"/>
          <w:lang w:val="en-US" w:eastAsia="zh-CN"/>
        </w:rPr>
        <w:t xml:space="preserve"> </w:t>
      </w:r>
      <w:r>
        <w:rPr>
          <w:rFonts w:hint="eastAsia" w:ascii="宋体" w:hAnsi="宋体" w:eastAsia="宋体" w:cs="宋体"/>
          <w:b w:val="0"/>
          <w:bCs w:val="0"/>
          <w:snapToGrid w:val="0"/>
          <w:color w:val="auto"/>
          <w:kern w:val="0"/>
          <w:sz w:val="24"/>
          <w:szCs w:val="24"/>
          <w:highlight w:val="none"/>
          <w:u w:val="single"/>
          <w:lang w:val="en-US" w:eastAsia="zh-CN"/>
        </w:rPr>
        <w:t xml:space="preserve">  </w:t>
      </w:r>
      <w:r>
        <w:rPr>
          <w:rFonts w:hint="eastAsia" w:ascii="宋体" w:hAnsi="宋体" w:eastAsia="宋体" w:cs="宋体"/>
          <w:b w:val="0"/>
          <w:bCs w:val="0"/>
          <w:snapToGrid w:val="0"/>
          <w:color w:val="auto"/>
          <w:kern w:val="0"/>
          <w:sz w:val="24"/>
          <w:szCs w:val="24"/>
          <w:highlight w:val="none"/>
          <w:u w:val="none"/>
          <w:lang w:val="en-US" w:eastAsia="zh-CN"/>
        </w:rPr>
        <w:t>月，暂定</w:t>
      </w:r>
      <w:r>
        <w:rPr>
          <w:rFonts w:hint="eastAsia" w:ascii="宋体" w:hAnsi="宋体" w:eastAsia="宋体" w:cs="宋体"/>
          <w:b w:val="0"/>
          <w:bCs w:val="0"/>
          <w:snapToGrid w:val="0"/>
          <w:color w:val="auto"/>
          <w:kern w:val="0"/>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日-</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日</w:t>
      </w:r>
      <w:r>
        <w:rPr>
          <w:rFonts w:hint="eastAsia" w:ascii="宋体" w:hAnsi="宋体" w:eastAsia="宋体" w:cs="宋体"/>
          <w:b w:val="0"/>
          <w:bCs w:val="0"/>
          <w:color w:val="auto"/>
          <w:sz w:val="24"/>
          <w:szCs w:val="24"/>
          <w:highlight w:val="none"/>
          <w:u w:val="none"/>
          <w:lang w:val="en-US" w:eastAsia="zh-CN"/>
        </w:rPr>
        <w:t>，最终以开工通知为准。</w:t>
      </w:r>
    </w:p>
    <w:p w14:paraId="6DA3B2E4">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snapToGrid w:val="0"/>
          <w:color w:val="auto"/>
          <w:kern w:val="0"/>
          <w:sz w:val="24"/>
          <w:szCs w:val="24"/>
          <w:highlight w:val="none"/>
          <w:u w:val="single"/>
        </w:rPr>
      </w:pPr>
      <w:r>
        <w:rPr>
          <w:rFonts w:hint="eastAsia" w:ascii="宋体" w:hAnsi="宋体" w:eastAsia="宋体" w:cs="宋体"/>
          <w:b w:val="0"/>
          <w:bCs w:val="0"/>
          <w:snapToGrid w:val="0"/>
          <w:color w:val="auto"/>
          <w:kern w:val="0"/>
          <w:sz w:val="24"/>
          <w:szCs w:val="24"/>
          <w:highlight w:val="none"/>
        </w:rPr>
        <w:t xml:space="preserve">保修阶段： </w:t>
      </w:r>
      <w:r>
        <w:rPr>
          <w:rFonts w:hint="eastAsia" w:ascii="宋体" w:hAnsi="宋体" w:eastAsia="宋体" w:cs="宋体"/>
          <w:b w:val="0"/>
          <w:bCs w:val="0"/>
          <w:color w:val="auto"/>
          <w:sz w:val="24"/>
          <w:szCs w:val="24"/>
          <w:highlight w:val="none"/>
          <w:u w:val="none"/>
          <w:lang w:eastAsia="zh-CN"/>
        </w:rPr>
        <w:t>自竣工验收之日起</w:t>
      </w:r>
      <w:r>
        <w:rPr>
          <w:rFonts w:hint="eastAsia" w:ascii="宋体" w:hAnsi="宋体" w:eastAsia="宋体" w:cs="宋体"/>
          <w:b w:val="0"/>
          <w:bCs w:val="0"/>
          <w:color w:val="auto"/>
          <w:sz w:val="24"/>
          <w:szCs w:val="24"/>
          <w:highlight w:val="none"/>
          <w:u w:val="single"/>
          <w:lang w:val="en-US" w:eastAsia="zh-CN"/>
        </w:rPr>
        <w:t xml:space="preserve"> 2 </w:t>
      </w:r>
      <w:r>
        <w:rPr>
          <w:rFonts w:hint="eastAsia" w:ascii="宋体" w:hAnsi="宋体" w:eastAsia="宋体" w:cs="宋体"/>
          <w:b w:val="0"/>
          <w:bCs w:val="0"/>
          <w:color w:val="auto"/>
          <w:sz w:val="24"/>
          <w:szCs w:val="24"/>
          <w:highlight w:val="none"/>
          <w:u w:val="none"/>
          <w:lang w:eastAsia="zh-CN"/>
        </w:rPr>
        <w:t>年。</w:t>
      </w:r>
    </w:p>
    <w:p w14:paraId="54DBDF3F">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3" w:name="_Toc429304395"/>
      <w:bookmarkStart w:id="34" w:name="_Toc327891441"/>
      <w:bookmarkStart w:id="35" w:name="_Toc429183999"/>
      <w:r>
        <w:rPr>
          <w:rFonts w:hint="eastAsia" w:ascii="宋体" w:hAnsi="宋体" w:eastAsia="宋体" w:cs="宋体"/>
          <w:b w:val="0"/>
          <w:bCs w:val="0"/>
          <w:color w:val="auto"/>
          <w:sz w:val="24"/>
          <w:szCs w:val="24"/>
          <w:highlight w:val="none"/>
        </w:rPr>
        <w:t>六、双方承诺</w:t>
      </w:r>
      <w:bookmarkEnd w:id="33"/>
      <w:bookmarkEnd w:id="34"/>
      <w:bookmarkEnd w:id="35"/>
    </w:p>
    <w:p w14:paraId="712E964C">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6" w:name="_Toc327891442"/>
      <w:r>
        <w:rPr>
          <w:rFonts w:hint="eastAsia" w:ascii="宋体" w:hAnsi="宋体" w:eastAsia="宋体" w:cs="宋体"/>
          <w:b w:val="0"/>
          <w:bCs w:val="0"/>
          <w:color w:val="auto"/>
          <w:sz w:val="24"/>
          <w:szCs w:val="24"/>
          <w:highlight w:val="none"/>
        </w:rPr>
        <w:t>1.监理人向委托人承诺，按照本合同约定提供监理与相关服务。</w:t>
      </w:r>
    </w:p>
    <w:p w14:paraId="3116269F">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2.委托人向监理人承诺，按照本合同约定派遣相应的人员，提供资料，并按本合同约定支付酬金。</w:t>
      </w:r>
    </w:p>
    <w:bookmarkEnd w:id="36"/>
    <w:p w14:paraId="0DE13B0F">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7" w:name="_Toc429184000"/>
      <w:bookmarkStart w:id="38" w:name="_Toc429304396"/>
      <w:r>
        <w:rPr>
          <w:rFonts w:hint="eastAsia" w:ascii="宋体" w:hAnsi="宋体" w:eastAsia="宋体" w:cs="宋体"/>
          <w:b w:val="0"/>
          <w:bCs w:val="0"/>
          <w:color w:val="auto"/>
          <w:sz w:val="24"/>
          <w:szCs w:val="24"/>
          <w:highlight w:val="none"/>
        </w:rPr>
        <w:t>七、合同订立</w:t>
      </w:r>
      <w:bookmarkEnd w:id="37"/>
      <w:bookmarkEnd w:id="38"/>
    </w:p>
    <w:p w14:paraId="0750CF6A">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1.订立时间：</w:t>
      </w:r>
      <w:r>
        <w:rPr>
          <w:rFonts w:hint="eastAsia" w:ascii="宋体" w:hAnsi="宋体" w:eastAsia="宋体" w:cs="宋体"/>
          <w:b w:val="0"/>
          <w:bCs w:val="0"/>
          <w:color w:val="auto"/>
          <w:sz w:val="24"/>
          <w:szCs w:val="24"/>
          <w:highlight w:val="none"/>
          <w:u w:val="single"/>
          <w:lang w:val="en-US" w:eastAsia="zh-CN"/>
        </w:rPr>
        <w:t>2025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14:paraId="0BED1840">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2.订立地点：深圳市龙岗区。</w:t>
      </w:r>
    </w:p>
    <w:p w14:paraId="531C20D3">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3.合同履行地：深圳市龙岗区</w:t>
      </w:r>
    </w:p>
    <w:p w14:paraId="200697E3">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.本合同</w:t>
      </w:r>
      <w:r>
        <w:rPr>
          <w:rFonts w:hint="eastAsia" w:ascii="宋体" w:hAnsi="宋体" w:eastAsia="宋体" w:cs="宋体"/>
          <w:b w:val="0"/>
          <w:bCs w:val="0"/>
          <w:color w:val="auto"/>
          <w:sz w:val="24"/>
          <w:szCs w:val="24"/>
          <w:highlight w:val="none"/>
          <w:u w:val="single"/>
          <w:lang w:val="en-US" w:eastAsia="zh-CN"/>
        </w:rPr>
        <w:t>壹</w:t>
      </w:r>
      <w:r>
        <w:rPr>
          <w:rFonts w:hint="eastAsia" w:ascii="宋体" w:hAnsi="宋体" w:eastAsia="宋体" w:cs="宋体"/>
          <w:b w:val="0"/>
          <w:bCs w:val="0"/>
          <w:color w:val="auto"/>
          <w:sz w:val="24"/>
          <w:szCs w:val="24"/>
          <w:highlight w:val="none"/>
          <w:lang w:val="en-US" w:eastAsia="zh-CN"/>
        </w:rPr>
        <w:t>式</w:t>
      </w:r>
      <w:r>
        <w:rPr>
          <w:rFonts w:hint="eastAsia" w:ascii="宋体" w:hAnsi="宋体" w:eastAsia="宋体" w:cs="宋体"/>
          <w:b w:val="0"/>
          <w:bCs w:val="0"/>
          <w:color w:val="auto"/>
          <w:sz w:val="24"/>
          <w:szCs w:val="24"/>
          <w:highlight w:val="none"/>
          <w:u w:val="single"/>
          <w:lang w:val="en-US" w:eastAsia="zh-CN"/>
        </w:rPr>
        <w:t>柒</w:t>
      </w:r>
      <w:r>
        <w:rPr>
          <w:rFonts w:hint="eastAsia" w:ascii="宋体" w:hAnsi="宋体" w:eastAsia="宋体" w:cs="宋体"/>
          <w:b w:val="0"/>
          <w:bCs w:val="0"/>
          <w:color w:val="auto"/>
          <w:sz w:val="24"/>
          <w:szCs w:val="24"/>
          <w:highlight w:val="none"/>
          <w:u w:val="none"/>
          <w:lang w:eastAsia="zh-CN"/>
        </w:rPr>
        <w:t>份</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u w:val="single"/>
          <w:lang w:val="en-US" w:eastAsia="zh-CN"/>
        </w:rPr>
        <w:t>伍</w:t>
      </w:r>
      <w:r>
        <w:rPr>
          <w:rFonts w:hint="eastAsia" w:ascii="宋体" w:hAnsi="宋体" w:eastAsia="宋体" w:cs="宋体"/>
          <w:b w:val="0"/>
          <w:bCs w:val="0"/>
          <w:color w:val="auto"/>
          <w:sz w:val="24"/>
          <w:szCs w:val="24"/>
          <w:highlight w:val="none"/>
        </w:rPr>
        <w:t>份；</w:t>
      </w:r>
      <w:r>
        <w:rPr>
          <w:rFonts w:hint="eastAsia" w:ascii="宋体" w:hAnsi="宋体" w:eastAsia="宋体" w:cs="宋体"/>
          <w:b w:val="0"/>
          <w:bCs w:val="0"/>
          <w:color w:val="auto"/>
          <w:sz w:val="24"/>
          <w:szCs w:val="24"/>
          <w:highlight w:val="none"/>
          <w:lang w:eastAsia="zh-CN"/>
        </w:rPr>
        <w:t>监理人</w:t>
      </w:r>
      <w:r>
        <w:rPr>
          <w:rFonts w:hint="eastAsia" w:ascii="宋体" w:hAnsi="宋体" w:eastAsia="宋体" w:cs="宋体"/>
          <w:b w:val="0"/>
          <w:bCs w:val="0"/>
          <w:color w:val="auto"/>
          <w:sz w:val="24"/>
          <w:szCs w:val="24"/>
          <w:highlight w:val="none"/>
          <w:u w:val="single"/>
          <w:lang w:val="en-US" w:eastAsia="zh-CN"/>
        </w:rPr>
        <w:t>贰</w:t>
      </w:r>
      <w:r>
        <w:rPr>
          <w:rFonts w:hint="eastAsia" w:ascii="宋体" w:hAnsi="宋体" w:eastAsia="宋体" w:cs="宋体"/>
          <w:b w:val="0"/>
          <w:bCs w:val="0"/>
          <w:color w:val="auto"/>
          <w:sz w:val="24"/>
          <w:szCs w:val="24"/>
          <w:highlight w:val="none"/>
          <w:lang w:eastAsia="zh-CN"/>
        </w:rPr>
        <w:t>份</w:t>
      </w:r>
      <w:r>
        <w:rPr>
          <w:rFonts w:hint="eastAsia" w:ascii="宋体" w:hAnsi="宋体" w:eastAsia="宋体" w:cs="宋体"/>
          <w:b w:val="0"/>
          <w:bCs w:val="0"/>
          <w:color w:val="auto"/>
          <w:sz w:val="24"/>
          <w:szCs w:val="24"/>
          <w:highlight w:val="none"/>
        </w:rPr>
        <w:t>。</w:t>
      </w:r>
    </w:p>
    <w:p w14:paraId="6748DFDC">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9" w:name="_Toc429184001"/>
      <w:bookmarkStart w:id="40" w:name="_Toc429304397"/>
      <w:bookmarkStart w:id="41" w:name="_Toc327891443"/>
    </w:p>
    <w:p w14:paraId="4D00DB8F">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p>
    <w:p w14:paraId="0148EBEB">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p>
    <w:p w14:paraId="46E6A6EC">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（以下无正文）</w:t>
      </w:r>
    </w:p>
    <w:p w14:paraId="10500E31">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20540962">
      <w:pPr>
        <w:pageBreakBefore w:val="0"/>
        <w:kinsoku/>
        <w:overflowPunct/>
        <w:autoSpaceDE w:val="0"/>
        <w:autoSpaceDN w:val="0"/>
        <w:bidi w:val="0"/>
        <w:adjustRightInd w:val="0"/>
        <w:spacing w:line="560" w:lineRule="exact"/>
        <w:ind w:firstLine="240" w:firstLineChars="100"/>
        <w:jc w:val="left"/>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双方签字盖章：</w:t>
      </w:r>
    </w:p>
    <w:p w14:paraId="72EA8F06">
      <w:pPr>
        <w:pageBreakBefore w:val="0"/>
        <w:kinsoku/>
        <w:overflowPunct/>
        <w:autoSpaceDE w:val="0"/>
        <w:autoSpaceDN w:val="0"/>
        <w:bidi w:val="0"/>
        <w:adjustRightInd w:val="0"/>
        <w:spacing w:line="560" w:lineRule="exact"/>
        <w:jc w:val="left"/>
        <w:textAlignment w:val="auto"/>
        <w:rPr>
          <w:rFonts w:hint="eastAsia" w:ascii="宋体" w:hAnsi="宋体" w:eastAsia="宋体" w:cs="宋体"/>
          <w:b w:val="0"/>
          <w:bCs w:val="0"/>
          <w:color w:val="auto"/>
          <w:kern w:val="0"/>
          <w:sz w:val="24"/>
          <w:szCs w:val="24"/>
          <w:highlight w:val="none"/>
        </w:rPr>
      </w:pPr>
    </w:p>
    <w:p w14:paraId="711F5BCF">
      <w:pPr>
        <w:pageBreakBefore w:val="0"/>
        <w:kinsoku/>
        <w:overflowPunct/>
        <w:autoSpaceDE w:val="0"/>
        <w:autoSpaceDN w:val="0"/>
        <w:bidi w:val="0"/>
        <w:adjustRightInd w:val="0"/>
        <w:spacing w:line="5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委托</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rPr>
        <w:t>（盖章）：　                     监理</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rPr>
        <w:t>（盖章）：</w:t>
      </w:r>
      <w:r>
        <w:rPr>
          <w:rFonts w:hint="eastAsia" w:ascii="宋体" w:hAnsi="宋体" w:eastAsia="宋体" w:cs="宋体"/>
          <w:b w:val="0"/>
          <w:bCs w:val="0"/>
          <w:color w:val="auto"/>
          <w:kern w:val="0"/>
          <w:sz w:val="24"/>
          <w:szCs w:val="24"/>
          <w:highlight w:val="none"/>
          <w:u w:val="none"/>
          <w:lang w:val="en-US" w:eastAsia="zh-CN"/>
        </w:rPr>
        <w:t xml:space="preserve">                           </w:t>
      </w:r>
    </w:p>
    <w:p w14:paraId="367323C2">
      <w:pPr>
        <w:pageBreakBefore w:val="0"/>
        <w:kinsoku/>
        <w:overflowPunct/>
        <w:autoSpaceDE w:val="0"/>
        <w:autoSpaceDN w:val="0"/>
        <w:bidi w:val="0"/>
        <w:adjustRightInd w:val="0"/>
        <w:spacing w:line="5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eastAsia="zh-CN"/>
        </w:rPr>
        <w:t>地址：</w:t>
      </w:r>
      <w:r>
        <w:rPr>
          <w:rFonts w:hint="eastAsia" w:ascii="宋体" w:hAnsi="宋体" w:eastAsia="宋体" w:cs="宋体"/>
          <w:b w:val="0"/>
          <w:bCs w:val="0"/>
          <w:color w:val="auto"/>
          <w:kern w:val="0"/>
          <w:sz w:val="24"/>
          <w:szCs w:val="24"/>
          <w:highlight w:val="none"/>
          <w:lang w:val="en-US" w:eastAsia="zh-CN"/>
        </w:rPr>
        <w:t xml:space="preserve">                                 地址：</w:t>
      </w:r>
      <w:r>
        <w:rPr>
          <w:rFonts w:hint="eastAsia" w:ascii="宋体" w:hAnsi="宋体" w:eastAsia="宋体" w:cs="宋体"/>
          <w:b w:val="0"/>
          <w:bCs w:val="0"/>
          <w:color w:val="auto"/>
          <w:sz w:val="24"/>
          <w:szCs w:val="24"/>
          <w:highlight w:val="none"/>
          <w:lang w:val="en-US" w:eastAsia="zh-CN"/>
        </w:rPr>
        <w:t xml:space="preserve">           </w:t>
      </w:r>
    </w:p>
    <w:p w14:paraId="1238BC54">
      <w:pPr>
        <w:pageBreakBefore w:val="0"/>
        <w:kinsoku/>
        <w:overflowPunct/>
        <w:autoSpaceDE w:val="0"/>
        <w:autoSpaceDN w:val="0"/>
        <w:bidi w:val="0"/>
        <w:adjustRightInd w:val="0"/>
        <w:spacing w:line="560" w:lineRule="exact"/>
        <w:ind w:firstLine="240" w:firstLineChars="1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或授权代表</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签字</w:t>
      </w:r>
      <w:r>
        <w:rPr>
          <w:rFonts w:hint="eastAsia" w:ascii="宋体" w:hAnsi="宋体" w:eastAsia="宋体" w:cs="宋体"/>
          <w:b w:val="0"/>
          <w:bCs w:val="0"/>
          <w:color w:val="auto"/>
          <w:kern w:val="0"/>
          <w:sz w:val="24"/>
          <w:szCs w:val="24"/>
          <w:highlight w:val="none"/>
        </w:rPr>
        <w:t xml:space="preserve">：       </w:t>
      </w:r>
      <w:r>
        <w:rPr>
          <w:rFonts w:hint="eastAsia" w:ascii="宋体" w:hAnsi="宋体" w:eastAsia="宋体" w:cs="宋体"/>
          <w:b w:val="0"/>
          <w:bCs w:val="0"/>
          <w:color w:val="auto"/>
          <w:kern w:val="0"/>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rPr>
        <w:t>法定代表人</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或授权代表</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签字</w:t>
      </w:r>
      <w:r>
        <w:rPr>
          <w:rFonts w:hint="eastAsia" w:ascii="宋体" w:hAnsi="宋体" w:eastAsia="宋体" w:cs="宋体"/>
          <w:b w:val="0"/>
          <w:bCs w:val="0"/>
          <w:color w:val="auto"/>
          <w:kern w:val="0"/>
          <w:sz w:val="24"/>
          <w:szCs w:val="24"/>
          <w:highlight w:val="none"/>
        </w:rPr>
        <w:t xml:space="preserve">：  </w:t>
      </w:r>
    </w:p>
    <w:p w14:paraId="2B82E35C">
      <w:pPr>
        <w:pageBreakBefore w:val="0"/>
        <w:kinsoku/>
        <w:overflowPunct/>
        <w:autoSpaceDE w:val="0"/>
        <w:autoSpaceDN w:val="0"/>
        <w:bidi w:val="0"/>
        <w:adjustRightInd w:val="0"/>
        <w:spacing w:line="560" w:lineRule="exact"/>
        <w:jc w:val="left"/>
        <w:textAlignment w:val="auto"/>
        <w:rPr>
          <w:rFonts w:hint="eastAsia" w:ascii="宋体" w:hAnsi="宋体" w:eastAsia="宋体" w:cs="宋体"/>
          <w:b w:val="0"/>
          <w:bCs w:val="0"/>
          <w:color w:val="auto"/>
          <w:kern w:val="0"/>
          <w:sz w:val="24"/>
          <w:szCs w:val="24"/>
          <w:highlight w:val="none"/>
        </w:rPr>
      </w:pPr>
    </w:p>
    <w:p w14:paraId="221B0A2E">
      <w:pPr>
        <w:pageBreakBefore w:val="0"/>
        <w:kinsoku/>
        <w:overflowPunct/>
        <w:autoSpaceDE w:val="0"/>
        <w:autoSpaceDN w:val="0"/>
        <w:bidi w:val="0"/>
        <w:adjustRightInd w:val="0"/>
        <w:spacing w:line="560" w:lineRule="exact"/>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　　　　　　　　　           </w:t>
      </w:r>
    </w:p>
    <w:p w14:paraId="637A67CC">
      <w:pPr>
        <w:pageBreakBefore w:val="0"/>
        <w:kinsoku/>
        <w:overflowPunct/>
        <w:autoSpaceDE w:val="0"/>
        <w:autoSpaceDN w:val="0"/>
        <w:bidi w:val="0"/>
        <w:adjustRightInd w:val="0"/>
        <w:spacing w:line="560" w:lineRule="exact"/>
        <w:ind w:firstLine="240" w:firstLineChars="1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2024</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 xml:space="preserve">月　　日　　　　　              </w:t>
      </w:r>
      <w:r>
        <w:rPr>
          <w:rFonts w:hint="eastAsia" w:ascii="宋体" w:hAnsi="宋体" w:eastAsia="宋体" w:cs="宋体"/>
          <w:b w:val="0"/>
          <w:bCs w:val="0"/>
          <w:color w:val="auto"/>
          <w:kern w:val="0"/>
          <w:sz w:val="24"/>
          <w:szCs w:val="24"/>
          <w:highlight w:val="none"/>
          <w:lang w:val="en-US" w:eastAsia="zh-CN"/>
        </w:rPr>
        <w:t>2024</w:t>
      </w:r>
      <w:r>
        <w:rPr>
          <w:rFonts w:hint="eastAsia" w:ascii="宋体" w:hAnsi="宋体" w:eastAsia="宋体" w:cs="宋体"/>
          <w:b w:val="0"/>
          <w:bCs w:val="0"/>
          <w:color w:val="auto"/>
          <w:kern w:val="0"/>
          <w:sz w:val="24"/>
          <w:szCs w:val="24"/>
          <w:highlight w:val="none"/>
        </w:rPr>
        <w:t>年</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rPr>
        <w:t>月　　日</w:t>
      </w:r>
    </w:p>
    <w:p w14:paraId="41164534">
      <w:pPr>
        <w:pStyle w:val="49"/>
        <w:pageBreakBefore w:val="0"/>
        <w:kinsoku/>
        <w:overflowPunct/>
        <w:bidi w:val="0"/>
        <w:spacing w:before="0" w:after="0" w:line="560" w:lineRule="exact"/>
        <w:textAlignment w:val="auto"/>
        <w:rPr>
          <w:rFonts w:hint="eastAsia" w:ascii="宋体" w:hAnsi="宋体" w:eastAsia="宋体" w:cs="宋体"/>
          <w:b/>
          <w:bCs/>
          <w:color w:val="auto"/>
          <w:sz w:val="36"/>
          <w:szCs w:val="36"/>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rPr>
        <w:t>部分  委托文件</w:t>
      </w:r>
    </w:p>
    <w:p w14:paraId="50019016">
      <w:pPr>
        <w:pStyle w:val="112"/>
        <w:pageBreakBefore w:val="0"/>
        <w:kinsoku/>
        <w:overflowPunct/>
        <w:bidi w:val="0"/>
        <w:spacing w:line="560" w:lineRule="exact"/>
        <w:ind w:firstLine="1080" w:firstLineChars="300"/>
        <w:textAlignment w:val="auto"/>
        <w:rPr>
          <w:rFonts w:hint="eastAsia" w:ascii="宋体" w:hAnsi="宋体" w:eastAsia="宋体" w:cs="宋体"/>
          <w:b w:val="0"/>
          <w:bCs w:val="0"/>
          <w:color w:val="auto"/>
          <w:sz w:val="36"/>
          <w:szCs w:val="36"/>
          <w:highlight w:val="none"/>
        </w:rPr>
      </w:pPr>
    </w:p>
    <w:p w14:paraId="5E543E27">
      <w:pPr>
        <w:pStyle w:val="112"/>
        <w:pageBreakBefore w:val="0"/>
        <w:kinsoku/>
        <w:overflowPunct/>
        <w:bidi w:val="0"/>
        <w:spacing w:line="560" w:lineRule="exact"/>
        <w:ind w:firstLine="0" w:firstLineChars="0"/>
        <w:jc w:val="center"/>
        <w:textAlignment w:val="auto"/>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关于</w:t>
      </w:r>
      <w:r>
        <w:rPr>
          <w:rFonts w:hint="eastAsia" w:ascii="宋体" w:hAnsi="宋体" w:eastAsia="宋体" w:cs="宋体"/>
          <w:b w:val="0"/>
          <w:bCs w:val="0"/>
          <w:color w:val="auto"/>
          <w:sz w:val="36"/>
          <w:szCs w:val="36"/>
          <w:highlight w:val="none"/>
          <w:u w:val="single"/>
          <w:lang w:eastAsia="zh-CN"/>
        </w:rPr>
        <w:t>深圳市龙岗区人民医院“光储充”项目监理</w:t>
      </w:r>
      <w:r>
        <w:rPr>
          <w:rFonts w:hint="eastAsia" w:ascii="宋体" w:hAnsi="宋体" w:eastAsia="宋体" w:cs="宋体"/>
          <w:b w:val="0"/>
          <w:bCs w:val="0"/>
          <w:color w:val="auto"/>
          <w:sz w:val="36"/>
          <w:szCs w:val="36"/>
          <w:highlight w:val="none"/>
        </w:rPr>
        <w:t>的委托函</w:t>
      </w:r>
    </w:p>
    <w:p w14:paraId="261DC379">
      <w:pPr>
        <w:pageBreakBefore w:val="0"/>
        <w:tabs>
          <w:tab w:val="left" w:pos="5640"/>
        </w:tabs>
        <w:kinsoku/>
        <w:overflowPunct/>
        <w:bidi w:val="0"/>
        <w:spacing w:line="560" w:lineRule="exact"/>
        <w:ind w:firstLine="148" w:firstLineChars="62"/>
        <w:jc w:val="left"/>
        <w:textAlignment w:val="auto"/>
        <w:rPr>
          <w:rFonts w:hint="eastAsia" w:ascii="宋体" w:hAnsi="宋体" w:eastAsia="宋体" w:cs="宋体"/>
          <w:b w:val="0"/>
          <w:bCs w:val="0"/>
          <w:color w:val="auto"/>
          <w:sz w:val="24"/>
          <w:szCs w:val="24"/>
          <w:highlight w:val="none"/>
          <w:u w:val="single"/>
          <w:lang w:eastAsia="zh-CN"/>
        </w:rPr>
      </w:pPr>
    </w:p>
    <w:p w14:paraId="63F22415">
      <w:pPr>
        <w:pageBreakBefore w:val="0"/>
        <w:tabs>
          <w:tab w:val="left" w:pos="5640"/>
        </w:tabs>
        <w:kinsoku/>
        <w:overflowPunct/>
        <w:bidi w:val="0"/>
        <w:spacing w:line="560" w:lineRule="exact"/>
        <w:jc w:val="left"/>
        <w:textAlignment w:val="auto"/>
        <w:rPr>
          <w:rFonts w:hint="eastAsia" w:ascii="宋体" w:hAnsi="宋体" w:eastAsia="宋体" w:cs="宋体"/>
          <w:b w:val="0"/>
          <w:bCs w:val="0"/>
          <w:color w:val="auto"/>
          <w:sz w:val="28"/>
          <w:szCs w:val="28"/>
          <w:highlight w:val="none"/>
          <w:u w:val="none"/>
        </w:rPr>
      </w:pPr>
      <w:r>
        <w:rPr>
          <w:rFonts w:hint="eastAsia" w:ascii="宋体" w:hAnsi="宋体" w:eastAsia="宋体" w:cs="宋体"/>
          <w:b w:val="0"/>
          <w:bCs w:val="0"/>
          <w:color w:val="auto"/>
          <w:kern w:val="0"/>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none"/>
          <w:lang w:eastAsia="zh-CN"/>
        </w:rPr>
        <w:t>：</w:t>
      </w:r>
    </w:p>
    <w:p w14:paraId="3F64FAB9">
      <w:pPr>
        <w:keepNext w:val="0"/>
        <w:keepLines w:val="0"/>
        <w:pageBreakBefore w:val="0"/>
        <w:kinsoku/>
        <w:wordWrap/>
        <w:overflowPunct/>
        <w:topLinePunct w:val="0"/>
        <w:autoSpaceDE/>
        <w:autoSpaceDN/>
        <w:bidi w:val="0"/>
        <w:spacing w:line="560" w:lineRule="exact"/>
        <w:ind w:left="0" w:leftChars="0" w:right="0" w:rightChars="0" w:firstLine="560" w:firstLineChars="200"/>
        <w:textAlignment w:val="auto"/>
        <w:outlineLvl w:val="9"/>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我司拟委托贵司承担</w:t>
      </w:r>
      <w:r>
        <w:rPr>
          <w:rFonts w:hint="eastAsia" w:ascii="宋体" w:hAnsi="宋体" w:eastAsia="宋体" w:cs="宋体"/>
          <w:b w:val="0"/>
          <w:bCs w:val="0"/>
          <w:color w:val="auto"/>
          <w:kern w:val="0"/>
          <w:sz w:val="28"/>
          <w:szCs w:val="28"/>
          <w:highlight w:val="none"/>
          <w:u w:val="single"/>
          <w:lang w:val="en-US" w:eastAsia="zh-CN"/>
        </w:rPr>
        <w:t xml:space="preserve"> 深圳市龙岗区人民医院“光储充”项目</w:t>
      </w:r>
      <w:r>
        <w:rPr>
          <w:rFonts w:hint="eastAsia" w:ascii="宋体" w:hAnsi="宋体" w:eastAsia="宋体" w:cs="宋体"/>
          <w:b w:val="0"/>
          <w:bCs w:val="0"/>
          <w:color w:val="auto"/>
          <w:kern w:val="0"/>
          <w:sz w:val="28"/>
          <w:szCs w:val="28"/>
          <w:highlight w:val="none"/>
          <w:u w:val="none"/>
          <w:lang w:val="en-US" w:eastAsia="zh-CN"/>
        </w:rPr>
        <w:t>监理</w:t>
      </w:r>
      <w:r>
        <w:rPr>
          <w:rFonts w:hint="eastAsia" w:ascii="宋体" w:hAnsi="宋体" w:eastAsia="宋体" w:cs="宋体"/>
          <w:b w:val="0"/>
          <w:bCs w:val="0"/>
          <w:color w:val="auto"/>
          <w:sz w:val="28"/>
          <w:szCs w:val="28"/>
          <w:highlight w:val="none"/>
        </w:rPr>
        <w:t>工作任务</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kern w:val="0"/>
          <w:sz w:val="28"/>
          <w:szCs w:val="28"/>
          <w:highlight w:val="none"/>
        </w:rPr>
        <w:t>合同暂定价为</w:t>
      </w:r>
      <w:r>
        <w:rPr>
          <w:rFonts w:hint="eastAsia" w:ascii="仿宋_GB2312" w:hAnsi="宋体" w:eastAsia="仿宋_GB2312" w:cs="仿宋_GB2312"/>
          <w:bCs/>
          <w:color w:val="000000"/>
          <w:kern w:val="0"/>
          <w:sz w:val="28"/>
          <w:szCs w:val="28"/>
          <w:u w:val="single"/>
          <w:shd w:val="clear" w:color="auto" w:fill="FFFFFF"/>
          <w:lang w:val="en-US" w:eastAsia="zh-CN"/>
        </w:rPr>
        <w:t xml:space="preserve">   </w:t>
      </w:r>
      <w:r>
        <w:rPr>
          <w:rFonts w:hint="eastAsia" w:ascii="宋体" w:hAnsi="宋体" w:eastAsia="宋体" w:cs="宋体"/>
          <w:b w:val="0"/>
          <w:bCs w:val="0"/>
          <w:color w:val="auto"/>
          <w:kern w:val="0"/>
          <w:sz w:val="28"/>
          <w:szCs w:val="28"/>
          <w:highlight w:val="none"/>
          <w:lang w:val="en-US" w:eastAsia="zh-CN"/>
        </w:rPr>
        <w:t>万元</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kern w:val="0"/>
          <w:sz w:val="28"/>
          <w:szCs w:val="28"/>
          <w:highlight w:val="none"/>
        </w:rPr>
        <w:t>请贵司收到此函后组织人员尽快开展工作，并与我</w:t>
      </w:r>
      <w:r>
        <w:rPr>
          <w:rFonts w:hint="eastAsia" w:ascii="宋体" w:hAnsi="宋体" w:eastAsia="宋体" w:cs="宋体"/>
          <w:b w:val="0"/>
          <w:bCs w:val="0"/>
          <w:color w:val="auto"/>
          <w:kern w:val="0"/>
          <w:sz w:val="28"/>
          <w:szCs w:val="28"/>
          <w:highlight w:val="none"/>
          <w:lang w:eastAsia="zh-CN"/>
        </w:rPr>
        <w:t>司</w:t>
      </w:r>
      <w:r>
        <w:rPr>
          <w:rFonts w:hint="eastAsia" w:ascii="宋体" w:hAnsi="宋体" w:eastAsia="宋体" w:cs="宋体"/>
          <w:b w:val="0"/>
          <w:bCs w:val="0"/>
          <w:color w:val="auto"/>
          <w:kern w:val="0"/>
          <w:sz w:val="28"/>
          <w:szCs w:val="28"/>
          <w:highlight w:val="none"/>
        </w:rPr>
        <w:t>联系协商签订合同事宜。</w:t>
      </w:r>
    </w:p>
    <w:p w14:paraId="291C6D08">
      <w:pPr>
        <w:pageBreakBefore w:val="0"/>
        <w:kinsoku/>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p>
    <w:p w14:paraId="75FE3716">
      <w:pPr>
        <w:pageBreakBefore w:val="0"/>
        <w:kinsoku/>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p>
    <w:p w14:paraId="5F05D7D4">
      <w:pPr>
        <w:pageBreakBefore w:val="0"/>
        <w:kinsoku/>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p>
    <w:p w14:paraId="7B6B2D85">
      <w:pPr>
        <w:pageBreakBefore w:val="0"/>
        <w:kinsoku/>
        <w:wordWrap w:val="0"/>
        <w:overflowPunct/>
        <w:bidi w:val="0"/>
        <w:spacing w:line="560" w:lineRule="exact"/>
        <w:ind w:firstLine="640"/>
        <w:jc w:val="right"/>
        <w:textAlignment w:val="auto"/>
        <w:rPr>
          <w:rFonts w:hint="eastAsia" w:ascii="宋体" w:hAnsi="宋体" w:eastAsia="宋体" w:cs="宋体"/>
          <w:b w:val="0"/>
          <w:bCs w:val="0"/>
          <w:color w:val="auto"/>
          <w:sz w:val="28"/>
          <w:szCs w:val="28"/>
          <w:highlight w:val="none"/>
          <w:u w:val="single"/>
          <w:lang w:eastAsia="zh-CN"/>
        </w:rPr>
      </w:pPr>
      <w:r>
        <w:rPr>
          <w:rFonts w:hint="eastAsia" w:ascii="宋体" w:hAnsi="宋体" w:eastAsia="宋体" w:cs="宋体"/>
          <w:b w:val="0"/>
          <w:bCs w:val="0"/>
          <w:color w:val="auto"/>
          <w:sz w:val="28"/>
          <w:szCs w:val="28"/>
          <w:highlight w:val="none"/>
          <w:u w:val="single"/>
          <w:lang w:eastAsia="zh-CN"/>
        </w:rPr>
        <w:t>深圳市龙岗区城投新基础设施建设管理有限公司</w:t>
      </w:r>
    </w:p>
    <w:p w14:paraId="685DEFB6">
      <w:pPr>
        <w:pageBreakBefore w:val="0"/>
        <w:kinsoku/>
        <w:wordWrap w:val="0"/>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2025</w:t>
      </w:r>
      <w:r>
        <w:rPr>
          <w:rFonts w:hint="eastAsia" w:ascii="宋体" w:hAnsi="宋体" w:eastAsia="宋体" w:cs="宋体"/>
          <w:b w:val="0"/>
          <w:bCs w:val="0"/>
          <w:color w:val="auto"/>
          <w:sz w:val="28"/>
          <w:szCs w:val="28"/>
          <w:highlight w:val="none"/>
          <w:lang w:eastAsia="zh-CN"/>
        </w:rPr>
        <w:t>年</w:t>
      </w:r>
      <w:r>
        <w:rPr>
          <w:rFonts w:hint="eastAsia" w:ascii="宋体" w:hAnsi="宋体" w:eastAsia="宋体" w:cs="宋体"/>
          <w:b w:val="0"/>
          <w:bCs w:val="0"/>
          <w:color w:val="auto"/>
          <w:sz w:val="28"/>
          <w:szCs w:val="28"/>
          <w:highlight w:val="none"/>
          <w:lang w:val="en-US" w:eastAsia="zh-CN"/>
        </w:rPr>
        <w:t>7</w:t>
      </w:r>
      <w:r>
        <w:rPr>
          <w:rFonts w:hint="eastAsia" w:ascii="宋体" w:hAnsi="宋体" w:eastAsia="宋体" w:cs="宋体"/>
          <w:b w:val="0"/>
          <w:bCs w:val="0"/>
          <w:color w:val="auto"/>
          <w:sz w:val="28"/>
          <w:szCs w:val="28"/>
          <w:highlight w:val="none"/>
          <w:lang w:eastAsia="zh-CN"/>
        </w:rPr>
        <w:t>月</w:t>
      </w:r>
      <w:r>
        <w:rPr>
          <w:rFonts w:hint="eastAsia" w:ascii="宋体" w:hAnsi="宋体" w:eastAsia="宋体" w:cs="宋体"/>
          <w:b w:val="0"/>
          <w:bCs w:val="0"/>
          <w:color w:val="auto"/>
          <w:sz w:val="28"/>
          <w:szCs w:val="28"/>
          <w:highlight w:val="none"/>
          <w:lang w:val="en-US" w:eastAsia="zh-CN"/>
        </w:rPr>
        <w:t>__</w:t>
      </w:r>
      <w:r>
        <w:rPr>
          <w:rFonts w:hint="eastAsia" w:ascii="宋体" w:hAnsi="宋体" w:eastAsia="宋体" w:cs="宋体"/>
          <w:b w:val="0"/>
          <w:bCs w:val="0"/>
          <w:color w:val="auto"/>
          <w:sz w:val="28"/>
          <w:szCs w:val="28"/>
          <w:highlight w:val="none"/>
          <w:lang w:eastAsia="zh-CN"/>
        </w:rPr>
        <w:t>日</w:t>
      </w:r>
    </w:p>
    <w:p w14:paraId="6B1E147B">
      <w:pPr>
        <w:pStyle w:val="49"/>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09083112">
      <w:pPr>
        <w:pStyle w:val="49"/>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4417BB52">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56AB676A">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3752AD28">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770FFD24">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0EAF13E5">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37F1BF99">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2E7169C4">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39C064D2">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14:paraId="0D8AFD1A">
      <w:pPr>
        <w:pStyle w:val="4"/>
        <w:pageBreakBefore w:val="0"/>
        <w:tabs>
          <w:tab w:val="clear" w:pos="720"/>
        </w:tabs>
        <w:kinsoku/>
        <w:overflowPunct/>
        <w:bidi w:val="0"/>
        <w:spacing w:before="0" w:after="240" w:line="560" w:lineRule="exact"/>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第三部分</w:t>
      </w:r>
      <w:r>
        <w:rPr>
          <w:rFonts w:hint="eastAsia" w:ascii="宋体" w:hAnsi="宋体" w:eastAsia="宋体" w:cs="宋体"/>
          <w:b/>
          <w:bCs/>
          <w:color w:val="auto"/>
          <w:sz w:val="36"/>
          <w:szCs w:val="36"/>
          <w:highlight w:val="none"/>
          <w:lang w:val="en-US" w:eastAsia="zh-CN"/>
        </w:rPr>
        <w:t xml:space="preserve"> </w:t>
      </w:r>
      <w:bookmarkEnd w:id="39"/>
      <w:bookmarkEnd w:id="40"/>
      <w:bookmarkEnd w:id="41"/>
      <w:r>
        <w:rPr>
          <w:rFonts w:hint="eastAsia" w:ascii="宋体" w:hAnsi="宋体" w:eastAsia="宋体" w:cs="宋体"/>
          <w:b/>
          <w:bCs/>
          <w:color w:val="auto"/>
          <w:sz w:val="36"/>
          <w:szCs w:val="36"/>
          <w:highlight w:val="none"/>
          <w:lang w:eastAsia="zh-CN"/>
        </w:rPr>
        <w:t>通用条款</w:t>
      </w:r>
    </w:p>
    <w:p w14:paraId="51E2A5CF">
      <w:pPr>
        <w:pStyle w:val="5"/>
        <w:pageBreakBefore w:val="0"/>
        <w:widowControl w:val="0"/>
        <w:tabs>
          <w:tab w:val="clear" w:pos="72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42" w:name="_Toc429184002"/>
      <w:bookmarkStart w:id="43" w:name="_Toc429304398"/>
      <w:bookmarkStart w:id="44" w:name="_Toc327891444"/>
      <w:r>
        <w:rPr>
          <w:rFonts w:hint="eastAsia" w:ascii="宋体" w:hAnsi="宋体" w:eastAsia="宋体" w:cs="宋体"/>
          <w:b w:val="0"/>
          <w:bCs w:val="0"/>
          <w:color w:val="auto"/>
          <w:sz w:val="24"/>
          <w:szCs w:val="24"/>
          <w:highlight w:val="none"/>
        </w:rPr>
        <w:t>1 定义与解释</w:t>
      </w:r>
      <w:bookmarkEnd w:id="42"/>
      <w:bookmarkEnd w:id="43"/>
      <w:bookmarkEnd w:id="44"/>
    </w:p>
    <w:p w14:paraId="7DD5A5E2">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1.1 定义</w:t>
      </w:r>
    </w:p>
    <w:p w14:paraId="6D70FEF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除根据上下文另有其意义外，组成本合同的全部文件中的下列名词和用语应具有本款所赋予的含义：</w:t>
      </w:r>
    </w:p>
    <w:p w14:paraId="369C9D3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1.1.1“工程”是指按照本合同约定实施监理与相关服务的建设工程。</w:t>
      </w:r>
    </w:p>
    <w:p w14:paraId="6566D2E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1.1.2“委托人”是指本合同中委托监理与相关服务的一方，及其合法的继承人或受让人。</w:t>
      </w:r>
    </w:p>
    <w:p w14:paraId="4857E9F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1.1.3“监理人”是指本合同中提供工程监理与相关服务的一方，及其合法的继承人。</w:t>
      </w:r>
    </w:p>
    <w:p w14:paraId="0056FAD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1.1.4“承包人”是指在工程范围内与委托人签订勘察、设计、施工等有关合同的当事人，及其合法的继承人。</w:t>
      </w:r>
    </w:p>
    <w:p w14:paraId="1673D91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1.1.5“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5C6573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1.1.6“相关服务”是指监理人受委托人的委托，按照本合同约定，在勘察、设计、保修等阶段提供的服务活动。</w:t>
      </w:r>
    </w:p>
    <w:p w14:paraId="3781FBC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1.1.7“工程项目管理”是指监理人受委托人的委托，按照本合同约定，代表委托人对工程项目实施全过程或若干阶段的管理和服务。</w:t>
      </w:r>
    </w:p>
    <w:p w14:paraId="51E640D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1.1.8“工程监理与项目管理一体化”是指监理人受委托人的委托，按照本合同约定，代表委托人对工程项目的实施全过程或若干阶段的管理和服务，对工程项目的施工阶段实施工程监理的服务活动。</w:t>
      </w:r>
    </w:p>
    <w:p w14:paraId="5AE092B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1.1.9“正常工作”指本合同订立时</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和</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中约定的监理人的工作。</w:t>
      </w:r>
    </w:p>
    <w:p w14:paraId="022F127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1.1.10“附加工作”是指本合同约定的正常工作以外监理人的工作。</w:t>
      </w:r>
    </w:p>
    <w:p w14:paraId="034C311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1.1.11“项目机构”是指监理人派驻工程负责履行本合同的组织机构。对于工程监理与项目管理一体化的项目机构，下设从事工程监理的子机构，在项目机构的领导下，负责履行本合同有关工程项目施工阶段工程监理的约定。</w:t>
      </w:r>
    </w:p>
    <w:p w14:paraId="0F2928B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1.1.12“项目负责人（总监理工程师）”是指由监理人的法定代表人书面授权，全面负责履行本合同、主持项目机构工作的具有相应工程类注册执业资格或专业技术职称的专业人员。对于单纯从事工程监理的项目负责人，以及工程监理与项目管理一体化中具体从事工程监理的负责人，执业资格都为国家注册监理工程师。</w:t>
      </w:r>
    </w:p>
    <w:p w14:paraId="4B59F64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1.1.13“总监理工程师代表”是指经总监理工程师授权，在项目机构中履行总监理工程师的部分职责，具有工程类注册执业资格或具有中级及以上专业技术职称，3年及以上工程监理实践经验的监理服务人员。总监理工程师为专职时不设总监理工程师代表。</w:t>
      </w:r>
    </w:p>
    <w:p w14:paraId="7A948CC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1.1.14“专业监理工程师”，指由总监理工程师授权，负责实施某一专业或某一岗位的监理工作，有相应监理文件签发权，具有工程类注册执业资格或具有中级及以上专业技术职称，3年及以上工程监理实践经验的监理服务人员。</w:t>
      </w:r>
    </w:p>
    <w:p w14:paraId="4A69796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1.1.15“监理员”，是指在总监理工程师或专业监理工程师的领导下，从事某项具体监理工作业务，具有中专及以上学历并经监理业务培训的监理服务人员。</w:t>
      </w:r>
    </w:p>
    <w:p w14:paraId="239C2BF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1.1.16“酬金”是指监理人履行本合同义务，委托人按照本合同约定给付监理人的金额。</w:t>
      </w:r>
    </w:p>
    <w:p w14:paraId="10BDE9D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1.1.17“正常工作酬金”是指监理人完成正常工作，委托人应给付监理人并在协议书中载明的签约酬金额。</w:t>
      </w:r>
    </w:p>
    <w:p w14:paraId="2C209FD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1.1.18“附加工作酬金”是指监理人完成附加工作，委托人应给付监理人的金额。</w:t>
      </w:r>
    </w:p>
    <w:p w14:paraId="2FAA818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1.1.19“一方”是指委托人或监理人；“双方”是指委托人和监理人；“第三方”是指除委托人和监理人以外的有关方。</w:t>
      </w:r>
    </w:p>
    <w:p w14:paraId="19D35AB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1.1.20“书面形式”是指合同书、信件和数据电文（包括电报、电传、传真、电子数据交换和电子邮件）等可以有形地表现所载内容的形式。</w:t>
      </w:r>
    </w:p>
    <w:p w14:paraId="2B5B59F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1.1.21“天”是指第一天零时至第二天零时的时间。</w:t>
      </w:r>
    </w:p>
    <w:p w14:paraId="54DE750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1.1.22“月”是指按公历从一个月中任何一天开始的一个公历月时间。</w:t>
      </w:r>
    </w:p>
    <w:p w14:paraId="3B82B50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1.1.23“不可抗力”是指委托人和监理人在订立本合同时不可预见，在工程施工过程中不可避免发生并不能克服的自然灾害和社会性突发事件，如地震、海啸、瘟疫、水灾、骚乱、暴动、战争和</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约定的其他情形。</w:t>
      </w:r>
    </w:p>
    <w:p w14:paraId="758A294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14:paraId="4BB6E586">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1.2 解释</w:t>
      </w:r>
    </w:p>
    <w:p w14:paraId="6E3B9D0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1.2.1本合同使用中文书写、解释和说明。如</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约定使用两种及以上语言文字时，应以中文为准。</w:t>
      </w:r>
    </w:p>
    <w:p w14:paraId="36D8D8D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1.2.2组成本合同的下列文件彼此应能相互解释、互为说明。除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另有约定外，本合同文件的解释顺序如下：</w:t>
      </w:r>
    </w:p>
    <w:p w14:paraId="2098A1D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⑴.协议书；</w:t>
      </w:r>
    </w:p>
    <w:p w14:paraId="217E6D7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⑵.中标通知书（适用于招标工程）或委托书（适用于非招标工程）；</w:t>
      </w:r>
    </w:p>
    <w:p w14:paraId="45CE892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⑶.</w:t>
      </w:r>
      <w:r>
        <w:rPr>
          <w:rFonts w:hint="eastAsia" w:ascii="宋体" w:hAnsi="宋体" w:eastAsia="宋体" w:cs="宋体"/>
          <w:b w:val="0"/>
          <w:bCs w:val="0"/>
          <w:color w:val="auto"/>
          <w:sz w:val="24"/>
          <w:szCs w:val="24"/>
          <w:highlight w:val="none"/>
          <w:lang w:eastAsia="zh-CN"/>
        </w:rPr>
        <w:t>专用条款</w:t>
      </w:r>
    </w:p>
    <w:p w14:paraId="45A9715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w:t>
      </w:r>
    </w:p>
    <w:p w14:paraId="69BC52A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⑸.投标文件（适用于招标工程）或监理与相关服务建议书（适用于非招标工程）。</w:t>
      </w:r>
    </w:p>
    <w:p w14:paraId="23A6AE0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双方签订的补充协议与其他文件发生矛盾或歧义时，属于同一类内容的文件，应以最新签署的为准。</w:t>
      </w:r>
    </w:p>
    <w:p w14:paraId="1A9E8D98">
      <w:pPr>
        <w:pStyle w:val="5"/>
        <w:pageBreakBefore w:val="0"/>
        <w:widowControl w:val="0"/>
        <w:tabs>
          <w:tab w:val="clear" w:pos="720"/>
        </w:tabs>
        <w:kinsoku/>
        <w:wordWrap/>
        <w:overflowPunct/>
        <w:topLinePunct w:val="0"/>
        <w:autoSpaceDE/>
        <w:autoSpaceDN/>
        <w:bidi w:val="0"/>
        <w:adjustRightInd/>
        <w:snapToGrid/>
        <w:spacing w:before="120" w:after="120" w:line="550" w:lineRule="exact"/>
        <w:jc w:val="center"/>
        <w:textAlignment w:val="auto"/>
        <w:rPr>
          <w:rFonts w:hint="eastAsia" w:ascii="宋体" w:hAnsi="宋体" w:eastAsia="宋体" w:cs="宋体"/>
          <w:b w:val="0"/>
          <w:bCs w:val="0"/>
          <w:color w:val="auto"/>
          <w:sz w:val="24"/>
          <w:szCs w:val="24"/>
          <w:highlight w:val="none"/>
        </w:rPr>
      </w:pPr>
      <w:bookmarkStart w:id="45" w:name="_Toc327891445"/>
      <w:bookmarkStart w:id="46" w:name="_Toc429184003"/>
      <w:bookmarkStart w:id="47" w:name="_Toc429304399"/>
      <w:r>
        <w:rPr>
          <w:rFonts w:hint="eastAsia" w:ascii="宋体" w:hAnsi="宋体" w:eastAsia="宋体" w:cs="宋体"/>
          <w:b w:val="0"/>
          <w:bCs w:val="0"/>
          <w:color w:val="auto"/>
          <w:sz w:val="24"/>
          <w:szCs w:val="24"/>
          <w:highlight w:val="none"/>
        </w:rPr>
        <w:t>2 监理人的义务</w:t>
      </w:r>
      <w:bookmarkEnd w:id="45"/>
      <w:bookmarkEnd w:id="46"/>
      <w:bookmarkEnd w:id="47"/>
    </w:p>
    <w:p w14:paraId="1F9BE2E8">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2.1监理的范围和工作内容</w:t>
      </w:r>
    </w:p>
    <w:p w14:paraId="0CB7E06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 监理范围在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20E940F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2.1.2 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另有约定外，监理工作内容包括：</w:t>
      </w:r>
    </w:p>
    <w:p w14:paraId="7F9D84E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⑴收到工程设计文件后编制监理规划，并在第一次工地会议7天前报委托人。根据有关规定和监理工作需要，编制监理实施细则；</w:t>
      </w:r>
    </w:p>
    <w:p w14:paraId="0CB9E58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⑵熟悉工程设计文件，并参加由委托人主持的图纸会审和设计交底会议；</w:t>
      </w:r>
    </w:p>
    <w:p w14:paraId="4F5F79D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⑶参加由委托人主持的第一次工地会议；主持监理例会并根据工程需要主持或参加专题会议；</w:t>
      </w:r>
    </w:p>
    <w:p w14:paraId="346A8C5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⑷审查施工承包人提交的施工组织设计，重点审查其中的质量安全技术措施、专项施工方案与工程建设强制性标准的符合性；</w:t>
      </w:r>
    </w:p>
    <w:p w14:paraId="00DCC12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⑸检查施工承包人工程质量、安全生产管理制度及组织机构和人员资格；</w:t>
      </w:r>
    </w:p>
    <w:p w14:paraId="2D7FEE2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⑹检查施工承包人专职安全生产管理人员的配备情况；</w:t>
      </w:r>
    </w:p>
    <w:p w14:paraId="4A6C8C0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⑺审查施工承包人提交的施工进度计划，核查承包人对施工进度计划的调整；</w:t>
      </w:r>
    </w:p>
    <w:p w14:paraId="60E7DAD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⑻检查施工承包人的试验室；</w:t>
      </w:r>
    </w:p>
    <w:p w14:paraId="24A1FF0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⑼审核施工分包人资质条件；</w:t>
      </w:r>
    </w:p>
    <w:p w14:paraId="4231514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⑽查验施工承包人的施工测量放线成果；</w:t>
      </w:r>
    </w:p>
    <w:p w14:paraId="2DD5FBC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⑾审查工程开工条件，对条件具备的签发开工令；</w:t>
      </w:r>
    </w:p>
    <w:p w14:paraId="2DA3CB1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⑿审查施工承包人报送的工程材料、构配件、设备质量证明文件的有效性和符合性，并按规定对用于工程的材料采取平行检查或见证取样方式进行抽检；</w:t>
      </w:r>
    </w:p>
    <w:p w14:paraId="4961310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⒀审核施工承包人提交的工程款支付申请，签发或出具工程款支付证书，并报委托人审核、批准；</w:t>
      </w:r>
    </w:p>
    <w:p w14:paraId="7B174FC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⒁在巡视、旁站和检查、验收过程中，发现工程质量、施工安全存在事故隐患的，要求施工承包人整改并报委托人；</w:t>
      </w:r>
    </w:p>
    <w:p w14:paraId="1D0C95B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⒂经委托人同意，签发工程暂停令和复工令；</w:t>
      </w:r>
    </w:p>
    <w:p w14:paraId="43CD893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⒃审查施工承包人提交的采用新材料、新工艺、新技术、新设备的论证材料及相关验收标准；</w:t>
      </w:r>
    </w:p>
    <w:p w14:paraId="2D0AFF0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⒄验收隐蔽工程、分部分项工程；</w:t>
      </w:r>
    </w:p>
    <w:p w14:paraId="67DD3FB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⒅审查施工承包人提交的工程变更申请，协调处理施工进度调整、费用索赔、合同争议等事项；</w:t>
      </w:r>
    </w:p>
    <w:p w14:paraId="6FC37D7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⒆审查施工承包人提交的竣工验收申请，编写工程质量评估报告；</w:t>
      </w:r>
    </w:p>
    <w:p w14:paraId="1A67948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⒇参加工程竣工验收，签署竣工验收意见；</w:t>
      </w:r>
    </w:p>
    <w:p w14:paraId="08509A9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(21)审查施工承包人提交的竣工结算申请中有关工程变更部分的工程数量，并报委托人；</w:t>
      </w:r>
    </w:p>
    <w:p w14:paraId="51FC957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(22)编制、整理工程监理归档文件并报委托人。</w:t>
      </w:r>
    </w:p>
    <w:p w14:paraId="5FF5012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2.1.3 相关服务的范围和内容在</w:t>
      </w:r>
      <w:r>
        <w:rPr>
          <w:rFonts w:hint="eastAsia" w:ascii="宋体" w:hAnsi="宋体" w:eastAsia="宋体" w:cs="宋体"/>
          <w:b w:val="0"/>
          <w:bCs w:val="0"/>
          <w:color w:val="auto"/>
          <w:sz w:val="24"/>
          <w:szCs w:val="24"/>
          <w:highlight w:val="none"/>
          <w:lang w:val="en-US" w:eastAsia="zh-CN"/>
        </w:rPr>
        <w:t>专用条款</w:t>
      </w:r>
      <w:r>
        <w:rPr>
          <w:rFonts w:hint="eastAsia" w:ascii="宋体" w:hAnsi="宋体" w:eastAsia="宋体" w:cs="宋体"/>
          <w:b w:val="0"/>
          <w:bCs w:val="0"/>
          <w:color w:val="auto"/>
          <w:sz w:val="24"/>
          <w:szCs w:val="24"/>
          <w:highlight w:val="none"/>
        </w:rPr>
        <w:t>约定。</w:t>
      </w:r>
    </w:p>
    <w:p w14:paraId="30C1E047">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2.2 监理与相关服务依据</w:t>
      </w:r>
    </w:p>
    <w:p w14:paraId="637DD20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2.2.1 监理依据包括：</w:t>
      </w:r>
    </w:p>
    <w:p w14:paraId="4931A111">
      <w:pPr>
        <w:pageBreakBefore w:val="0"/>
        <w:widowControl w:val="0"/>
        <w:kinsoku/>
        <w:wordWrap/>
        <w:overflowPunct/>
        <w:topLinePunct w:val="0"/>
        <w:autoSpaceDE/>
        <w:autoSpaceDN/>
        <w:bidi w:val="0"/>
        <w:adjustRightInd/>
        <w:snapToGrid/>
        <w:spacing w:line="550" w:lineRule="exact"/>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⑴.适用的法律、行政法规及部门规章；</w:t>
      </w:r>
    </w:p>
    <w:p w14:paraId="5D6D985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⑵.与工程有关的标准；</w:t>
      </w:r>
    </w:p>
    <w:p w14:paraId="0C74647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⑶.工程设计及有关文件；</w:t>
      </w:r>
    </w:p>
    <w:p w14:paraId="1F6729F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⑷.本合同及委托人与第三方签订的与实施工程有关的其他合同。</w:t>
      </w:r>
    </w:p>
    <w:p w14:paraId="577FFDD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双方根据工程的行业和地域特点，在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中具体约定监理依据。</w:t>
      </w:r>
    </w:p>
    <w:p w14:paraId="5DFEAF7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 相关服务依据在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0AF82EC6">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2.3 项目机构和人员</w:t>
      </w:r>
    </w:p>
    <w:p w14:paraId="62B55AB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2.3.1监理人应组建满足工作需要的项目机构，配备必要的施工测量复核、简易的质量实测实量所需的仪器设备。项目机构的主要人员应具有相应的资格条件。</w:t>
      </w:r>
    </w:p>
    <w:p w14:paraId="6D9D80C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2.3.2本合同履行过程中，项目负责人（总监）及重要岗位监理服务人员应保持相对稳定，以保证工程监理与相关服务工作正常进行。</w:t>
      </w:r>
    </w:p>
    <w:p w14:paraId="524EE6A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2.3.3监理人可根据工程进展和工作需要调整项目机构人员。监理人更换项目负责人（总监）时，应提前7天向委托人书面报告，经委托人同意后方可更换；监理人更换项目机构其他监理服务人员，应以相当资格与能力的人员替换，并通知委托人。</w:t>
      </w:r>
    </w:p>
    <w:p w14:paraId="4EF4FE5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2.3.4 监理人应及时更换有下列情形之一的监理服务人员：</w:t>
      </w:r>
    </w:p>
    <w:p w14:paraId="7803BD5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⑴.严重过失行为的；</w:t>
      </w:r>
    </w:p>
    <w:p w14:paraId="2E73D3C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⑵.有违法行为不能履行职责的；</w:t>
      </w:r>
    </w:p>
    <w:p w14:paraId="22BAF0D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⑶.涉嫌犯罪的；</w:t>
      </w:r>
    </w:p>
    <w:p w14:paraId="6FF1C3F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⑷.不能胜任岗位职责的；</w:t>
      </w:r>
    </w:p>
    <w:p w14:paraId="43E640A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⑸.严重违反职业道德的；</w:t>
      </w:r>
    </w:p>
    <w:p w14:paraId="73270BE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⑹.</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约定的其他情形。</w:t>
      </w:r>
    </w:p>
    <w:p w14:paraId="3316EB9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2.3.5 委托人可要求监理人更换不能胜任本职工作的项目机构人员。</w:t>
      </w:r>
    </w:p>
    <w:p w14:paraId="11186B15">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2.4 履行职责</w:t>
      </w:r>
    </w:p>
    <w:p w14:paraId="5D57AAE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监理人应遵循职业道德准则和行为规范，严格按照法律法规、工程建设有关标准及本合同履行职责。</w:t>
      </w:r>
    </w:p>
    <w:p w14:paraId="63C99F9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14:paraId="4588AD0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2.4.2 当委托人与承包人之间的合同争议提交仲裁机构仲裁或人民法院审理时，监理人应提供必要的证明资料。</w:t>
      </w:r>
    </w:p>
    <w:p w14:paraId="58526BB5">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2.4.3 监理人应在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约定的授权范围内，处理委托人与承包人所签订合同的变更事宜。如果变更超过授权范围，应以书面形式报委托人批准。</w:t>
      </w:r>
    </w:p>
    <w:p w14:paraId="297CAAB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在紧急情况下，为了保护财产和人身安全，监理人所发出的指令未能事先报委托人批准时，应在发出指令后的24小时内以书面形式报委托人。</w:t>
      </w:r>
    </w:p>
    <w:p w14:paraId="25F04D0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2.4.4 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另有约定外，监理人发现承包人的人员不能胜任本职工作的，有权要求承包人予以调换。</w:t>
      </w:r>
    </w:p>
    <w:p w14:paraId="3C19D9F9">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2.5 提交报告</w:t>
      </w:r>
    </w:p>
    <w:p w14:paraId="0C530FF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监理人应按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约定的种类、时间和份数向委托人提交监理与相关服务的报告。</w:t>
      </w:r>
    </w:p>
    <w:p w14:paraId="6F4076D3">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2.6 文件资料</w:t>
      </w:r>
    </w:p>
    <w:p w14:paraId="02409DE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在本合同履行期内，监理人应在现场保留工作所用的图纸、报告及记录监理工作的相关文件。工程竣工后，应当按照档案管理规定将监理有关文件归档。</w:t>
      </w:r>
    </w:p>
    <w:p w14:paraId="5762C314">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2.7 使用委托人的财产</w:t>
      </w:r>
    </w:p>
    <w:p w14:paraId="4A4C721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监理人无偿使用中由委托人派遣的人员和提供的房屋、资料、设备。除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另有约定外，委托人提供的房屋、设备属于委托人的财产，监理人应妥善使用和保管，在本合同终止时将这些房屋、设备的清单提交委托人，并按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约定的时间和方式移交。</w:t>
      </w:r>
    </w:p>
    <w:p w14:paraId="1E83EFD7">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48" w:name="_Toc327891446"/>
      <w:bookmarkStart w:id="49" w:name="_Toc429304400"/>
      <w:bookmarkStart w:id="50" w:name="_Toc429184004"/>
      <w:r>
        <w:rPr>
          <w:rFonts w:hint="eastAsia" w:ascii="宋体" w:hAnsi="宋体" w:eastAsia="宋体" w:cs="宋体"/>
          <w:b w:val="0"/>
          <w:bCs w:val="0"/>
          <w:color w:val="auto"/>
          <w:sz w:val="24"/>
          <w:szCs w:val="24"/>
          <w:highlight w:val="none"/>
        </w:rPr>
        <w:t>3 委托人的义务</w:t>
      </w:r>
      <w:bookmarkEnd w:id="48"/>
      <w:bookmarkEnd w:id="49"/>
      <w:bookmarkEnd w:id="50"/>
    </w:p>
    <w:p w14:paraId="7DFDF874">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3.1 告知</w:t>
      </w:r>
    </w:p>
    <w:p w14:paraId="0121B08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委托人应在委托人与承包人签订的合同中明确监理人及监理人的项目负责人（总监）和授予项目机构的权限。如有变更，应及时通知承包人。</w:t>
      </w:r>
    </w:p>
    <w:p w14:paraId="7CDE550B">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3.2 提供资料</w:t>
      </w:r>
    </w:p>
    <w:p w14:paraId="1FCB893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委托人应按照约定，无偿向监理人提供工程有关的资料。在本合同履行过程中，委托人应及时向监理人提供最新的与工程有关的资料。</w:t>
      </w:r>
    </w:p>
    <w:p w14:paraId="478080BD">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3.3 提供工作条件</w:t>
      </w:r>
    </w:p>
    <w:p w14:paraId="7347520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委托人应为监理人完成监理与相关服务提供必要的条件。</w:t>
      </w:r>
    </w:p>
    <w:p w14:paraId="275FBBF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3.3.1 委托人应按照约定，派遣相应的人员，提供房屋、设备，供监理人无偿使用。</w:t>
      </w:r>
    </w:p>
    <w:p w14:paraId="01E9F43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3.3.2 委托人应负责协调工程建设中所有外部关系，为监理人履行本合同提供必要的外部条件。</w:t>
      </w:r>
    </w:p>
    <w:p w14:paraId="6762E773">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3.4 委托人代表</w:t>
      </w:r>
    </w:p>
    <w:p w14:paraId="68DB3D1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委托人应授权一名熟悉工程情况的代表，负责与监理人联系。委托人应在双方签订监理合同后7天内，将委托人代表的姓名和职责书面告知监理人。当委托人更换委托人代表时，应提前7天书面通知监理人。</w:t>
      </w:r>
    </w:p>
    <w:p w14:paraId="36D82791">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5</w:t>
      </w:r>
      <w:r>
        <w:rPr>
          <w:rFonts w:hint="eastAsia" w:ascii="宋体" w:hAnsi="宋体" w:eastAsia="宋体" w:cs="宋体"/>
          <w:b w:val="0"/>
          <w:bCs w:val="0"/>
          <w:color w:val="auto"/>
          <w:kern w:val="18"/>
          <w:sz w:val="24"/>
          <w:szCs w:val="24"/>
          <w:highlight w:val="none"/>
        </w:rPr>
        <w:t>委托人意见或要求</w:t>
      </w:r>
    </w:p>
    <w:p w14:paraId="103FC87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在本合同约定的监理与相关服务工作范围内，委托人对承包人的任何意见或要求应通知监理人，由监理人向承包人发出相应指令。</w:t>
      </w:r>
    </w:p>
    <w:p w14:paraId="3D8ECF0D">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6</w:t>
      </w:r>
      <w:r>
        <w:rPr>
          <w:rFonts w:hint="eastAsia" w:ascii="宋体" w:hAnsi="宋体" w:eastAsia="宋体" w:cs="宋体"/>
          <w:b w:val="0"/>
          <w:bCs w:val="0"/>
          <w:color w:val="auto"/>
          <w:kern w:val="18"/>
          <w:sz w:val="24"/>
          <w:szCs w:val="24"/>
          <w:highlight w:val="none"/>
        </w:rPr>
        <w:t>答复</w:t>
      </w:r>
    </w:p>
    <w:p w14:paraId="01565E7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约定的时间内，对监理人以书面形式提交并要求作出决定的事宜，给予书面答复。逾期未答复的，视为委托人认可。</w:t>
      </w:r>
    </w:p>
    <w:p w14:paraId="2D61ACAA">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7</w:t>
      </w:r>
      <w:r>
        <w:rPr>
          <w:rFonts w:hint="eastAsia" w:ascii="宋体" w:hAnsi="宋体" w:eastAsia="宋体" w:cs="宋体"/>
          <w:b w:val="0"/>
          <w:bCs w:val="0"/>
          <w:color w:val="auto"/>
          <w:kern w:val="18"/>
          <w:sz w:val="24"/>
          <w:szCs w:val="24"/>
          <w:highlight w:val="none"/>
        </w:rPr>
        <w:t xml:space="preserve"> 支付</w:t>
      </w:r>
    </w:p>
    <w:p w14:paraId="3348864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委托人应按本合同约定，向监理人支付酬金。</w:t>
      </w:r>
    </w:p>
    <w:p w14:paraId="72B2BDBC">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51" w:name="_Toc429304401"/>
      <w:bookmarkStart w:id="52" w:name="_Toc327891447"/>
      <w:bookmarkStart w:id="53" w:name="_Toc429184005"/>
      <w:r>
        <w:rPr>
          <w:rFonts w:hint="eastAsia" w:ascii="宋体" w:hAnsi="宋体" w:eastAsia="宋体" w:cs="宋体"/>
          <w:b w:val="0"/>
          <w:bCs w:val="0"/>
          <w:color w:val="auto"/>
          <w:sz w:val="24"/>
          <w:szCs w:val="24"/>
          <w:highlight w:val="none"/>
        </w:rPr>
        <w:t>4 违约责任</w:t>
      </w:r>
      <w:bookmarkEnd w:id="51"/>
      <w:bookmarkEnd w:id="52"/>
      <w:bookmarkEnd w:id="53"/>
    </w:p>
    <w:p w14:paraId="5C2DDC36">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bookmarkStart w:id="54" w:name="_Toc327891448"/>
      <w:r>
        <w:rPr>
          <w:rFonts w:hint="eastAsia" w:ascii="宋体" w:hAnsi="宋体" w:eastAsia="宋体" w:cs="宋体"/>
          <w:b w:val="0"/>
          <w:bCs w:val="0"/>
          <w:color w:val="auto"/>
          <w:kern w:val="18"/>
          <w:sz w:val="24"/>
          <w:szCs w:val="24"/>
          <w:highlight w:val="none"/>
        </w:rPr>
        <w:t>4.1 监理人的违约责任</w:t>
      </w:r>
    </w:p>
    <w:p w14:paraId="2D4555D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监理人未履行本合同义务的，应承担相应的责任。</w:t>
      </w:r>
    </w:p>
    <w:p w14:paraId="5BB9C09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 因监理人违反本合同约定给委托人造成损失的，监理人应当赔偿委托人损失。赔偿金额的确定方法在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中约定。监理人承担部分赔偿责任的，其承担赔偿金额由双方协商确定。</w:t>
      </w:r>
    </w:p>
    <w:p w14:paraId="2355E83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4.1.2 监理人向委托人的索赔不成立时，监理人应赔偿委托人由此发生的费用。</w:t>
      </w:r>
    </w:p>
    <w:p w14:paraId="4772BB23">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4.2 委托人的违约责任</w:t>
      </w:r>
    </w:p>
    <w:p w14:paraId="6B3DC44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委托人未履行本合同义务的，应承担相应的责任。</w:t>
      </w:r>
    </w:p>
    <w:p w14:paraId="117BE55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4.2.1 委托人违反本合同约定造成监理人损失的，委托人应予以赔偿。</w:t>
      </w:r>
    </w:p>
    <w:p w14:paraId="57F1648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4.2.2 委托人向监理人的索赔不成立时，应赔偿监理人由此引起的费用。</w:t>
      </w:r>
    </w:p>
    <w:p w14:paraId="2D2561E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4.2.3 委托人未能按期支付酬金超过28天，应按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约定支付逾期付款利息。</w:t>
      </w:r>
    </w:p>
    <w:p w14:paraId="31310A80">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4.3 除外责任</w:t>
      </w:r>
    </w:p>
    <w:p w14:paraId="2426E07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因非监理人的原因，且监理人无过错，发生工程质量事故、安全事故、工期延误等造成的损失，监理人不承担赔偿责任。</w:t>
      </w:r>
    </w:p>
    <w:p w14:paraId="6BADAF2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因不可抗力导致本合同全部或部分不能履行时，双方各自承担其因此而造成的损失、损害。</w:t>
      </w:r>
    </w:p>
    <w:p w14:paraId="559DA548">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55" w:name="_Toc429304402"/>
      <w:bookmarkStart w:id="56" w:name="_Toc429184006"/>
      <w:r>
        <w:rPr>
          <w:rFonts w:hint="eastAsia" w:ascii="宋体" w:hAnsi="宋体" w:eastAsia="宋体" w:cs="宋体"/>
          <w:b w:val="0"/>
          <w:bCs w:val="0"/>
          <w:color w:val="auto"/>
          <w:sz w:val="24"/>
          <w:szCs w:val="24"/>
          <w:highlight w:val="none"/>
        </w:rPr>
        <w:t>5酬金的计取与支付</w:t>
      </w:r>
      <w:bookmarkEnd w:id="54"/>
      <w:bookmarkEnd w:id="55"/>
      <w:bookmarkEnd w:id="56"/>
    </w:p>
    <w:p w14:paraId="00246601">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5.1 酬金计取</w:t>
      </w:r>
    </w:p>
    <w:p w14:paraId="3FE6D98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5.1.1工程监理酬金特指工程施工阶段的监理酬金。</w:t>
      </w:r>
    </w:p>
    <w:p w14:paraId="6F65533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施工阶段监理酬金的计取一般参照国家发改委、建设部《工程监理与相关服务收费管理规定》（发改价格〔2007〕670号）的相关规定，以工程概算投资额作为施工阶段监理酬金的计费额，先计算出监理酬金的基价，再计算监理酬金的基准价，然后再就基准价的浮动范围进行协商，并最后确定施工阶段监理酬金的总价。正常情况下，监理酬金基准价的浮动范围不应＞±20％。</w:t>
      </w:r>
    </w:p>
    <w:p w14:paraId="5FE1A866">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对于施工阶段监理，由于施工阶段的监理服务涉及工程质量控制和安全生产管理的监理服务内容，事关社会公众利益和人民生命财产安全，委托人不应恶意下浮监理酬金，监理人也不应以工程质量控制和安全生产管理的监理服务的责任重大而哄抬监理酬金。监理酬金的计取应参照国家发改委、建设部《工程监理与相关服务收费管理规定》（发改价格〔2007〕670号）的相关规定要求，并结合工程的实际情况，由双方协商确定。</w:t>
      </w:r>
    </w:p>
    <w:p w14:paraId="240993F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5.1.2 相关服务（保修阶段、勘察阶段、设计阶段、设备监造等）酬金的计取，委托人应明确监理人项目机构各类组成人员的类型与数量、提供相关服务的阶段与期限，按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所述的人员综合费用法计取酬金。对于政府建设投资项目，保修阶段的服务酬金一般按施工阶段监理酬金的5％进行计取。</w:t>
      </w:r>
    </w:p>
    <w:p w14:paraId="270AB49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5.1.3工程项目管理、工程监理与工程项目管理一体化中的项目管理的酬金计取，委托人应明确监理人项目机构各类组成人员的类型与数量、提供相关服务的阶段与期限，按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所述的人员综合费用法计取酬金。</w:t>
      </w:r>
    </w:p>
    <w:p w14:paraId="3F93F32D">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5.2 酬金支付</w:t>
      </w:r>
    </w:p>
    <w:p w14:paraId="5F14B19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5.2.1 施工阶段监理酬金支付</w:t>
      </w:r>
    </w:p>
    <w:p w14:paraId="2FD540DF">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施工阶段监理酬金支付包括：预付款支付、期中月度支付和余额支付三种。</w:t>
      </w:r>
    </w:p>
    <w:p w14:paraId="0E67DC2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⑴.预付款支付：自监理合同签订之日起10日内委托人应支付施工阶段监理酬金总额的15％～25％作为预付款，详细支付比例与金额在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3C710D8A">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⑵.期中月度支付：期中月度支付每月一次，具体在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7B66F85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⑶.余额支付：当月进度款支付至施工阶段监理酬金总额的95％时，委托人可暂停支付，但所剩余额须于工程正式通过竣工验收后10天内予以全部支付。</w:t>
      </w:r>
    </w:p>
    <w:p w14:paraId="6A8BD43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5.2.2 保修阶段服务酬金支付</w:t>
      </w:r>
    </w:p>
    <w:p w14:paraId="1972975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采取按月份支付或按季度支付的形式，具体在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中约定。按月份支付的，委托人应在每月的10日前支付监理人上一月度的服务酬金；按季度支付的，委托人应在每季度第一个月的10日前支付监理人上一季度的服务酬金。</w:t>
      </w:r>
    </w:p>
    <w:p w14:paraId="126D978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5.2.3 勘察、设计阶段及设备监造、工程招标、造价咨询等相关服务酬金支付</w:t>
      </w:r>
    </w:p>
    <w:p w14:paraId="2C321780">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采用按月度支付的方式，委托人应在每月的10日前支付监理人上一月度的服务酬金。</w:t>
      </w:r>
    </w:p>
    <w:p w14:paraId="3DF0D38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5.2.4工程项目管理酬金支付或工程监理与工程项目管理中的工程项目管理酬金支付。</w:t>
      </w:r>
    </w:p>
    <w:p w14:paraId="18EF148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采用按月度支付的方式，委托人应在每月的10日前支付监理人上一月度的服务酬金。</w:t>
      </w:r>
    </w:p>
    <w:p w14:paraId="3D8C95B6">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5.3 支付货币</w:t>
      </w:r>
    </w:p>
    <w:p w14:paraId="0A6522E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另有约定外，酬金均以人民币支付。涉及外币支付的，所采用的货币种类、比例和汇率在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4F069553">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5.4 支付申请</w:t>
      </w:r>
    </w:p>
    <w:p w14:paraId="08A54DA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监理人应在本合同约定的每次应付款时间的7天前，向委托人提交支付申请书。支付申请书应当说明当期应付款总额，并列出当期应支付的款项及其金额。</w:t>
      </w:r>
    </w:p>
    <w:p w14:paraId="1B356DB8">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5.5 支付酬金</w:t>
      </w:r>
    </w:p>
    <w:p w14:paraId="5AEF3C4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支付的酬金包括正常工作酬金、附加工作酬金、合理化建议奖励金额及费用。</w:t>
      </w:r>
    </w:p>
    <w:p w14:paraId="3C17C819">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5.6 有争议部分的付款</w:t>
      </w:r>
    </w:p>
    <w:p w14:paraId="077059C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14:paraId="725775C0">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57" w:name="_Toc429304403"/>
      <w:bookmarkStart w:id="58" w:name="_Toc429184007"/>
      <w:r>
        <w:rPr>
          <w:rFonts w:hint="eastAsia" w:ascii="宋体" w:hAnsi="宋体" w:eastAsia="宋体" w:cs="宋体"/>
          <w:b w:val="0"/>
          <w:bCs w:val="0"/>
          <w:color w:val="auto"/>
          <w:sz w:val="24"/>
          <w:szCs w:val="24"/>
          <w:highlight w:val="none"/>
        </w:rPr>
        <w:t>6 合同生效、变更、暂停、解除与终止</w:t>
      </w:r>
      <w:bookmarkEnd w:id="57"/>
      <w:bookmarkEnd w:id="58"/>
    </w:p>
    <w:p w14:paraId="038777CD">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6.1 生效</w:t>
      </w:r>
    </w:p>
    <w:p w14:paraId="0DCD6CC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除法律另有规定或者</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另有约定外，委托人和监理人的法定代表人或其授权代理人在协议书上签字并盖单位章后本合同生效。</w:t>
      </w:r>
    </w:p>
    <w:p w14:paraId="0638A08E">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6.2 变更</w:t>
      </w:r>
    </w:p>
    <w:p w14:paraId="2DA768B8">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任何一方提出变更请求时，双方经协商一致后可进行变更。</w:t>
      </w:r>
    </w:p>
    <w:p w14:paraId="55A1F3E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合同签订后，遇有与工程相关的法律法规、标准颁布或修订的，双方应遵照执行。由此引起工程监理与相关服务的范围、时间、酬金变化的，双方应通过协商进行相应调整。</w:t>
      </w:r>
    </w:p>
    <w:p w14:paraId="667B110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因非监理人原因造成工程概算投资额或建筑安装工程费增加时，正常工作酬金应作相应调整。调整方法为：合同签订后至工程竣工验收前，如工程规模或工程范围发生变化，并经当地政府发展改革部门批准调整原工程概算投资额或建筑安装工程费的幅度≥±5％，施工阶段监理酬金作相应调整；对于工程竣工验收后当地政府发展改革部门方批准调整原工程概算投资额或建筑安装工程费的，施工阶段监理酬金不作任何调整。</w:t>
      </w:r>
    </w:p>
    <w:p w14:paraId="5CBDACE1">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6.3 暂停与解除</w:t>
      </w:r>
    </w:p>
    <w:p w14:paraId="2E3AA63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除双方协商一致可以解除本合同外，当一方无正当理由未履行本合同约定的义务时，另一方可以根据本合同约定暂停履行本合同直至解除本合同。</w:t>
      </w:r>
    </w:p>
    <w:p w14:paraId="2DD08A6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6.3.1 合同履行期间，委托人有权单方解除或终止合同，但应及时通知监理人。委托人单方解除或终止本合同，监理人未</w:t>
      </w:r>
      <w:r>
        <w:rPr>
          <w:rFonts w:hint="eastAsia" w:ascii="宋体" w:hAnsi="宋体" w:eastAsia="宋体" w:cs="宋体"/>
          <w:b w:val="0"/>
          <w:bCs w:val="0"/>
          <w:color w:val="auto"/>
          <w:sz w:val="24"/>
          <w:szCs w:val="24"/>
          <w:highlight w:val="none"/>
          <w:lang w:val="en-US" w:eastAsia="zh-CN"/>
        </w:rPr>
        <w:t>开始监理</w:t>
      </w:r>
      <w:r>
        <w:rPr>
          <w:rFonts w:hint="eastAsia" w:ascii="宋体" w:hAnsi="宋体" w:eastAsia="宋体" w:cs="宋体"/>
          <w:b w:val="0"/>
          <w:bCs w:val="0"/>
          <w:color w:val="auto"/>
          <w:sz w:val="24"/>
          <w:szCs w:val="24"/>
          <w:highlight w:val="none"/>
        </w:rPr>
        <w:t>工作的，委托人不向监理人支付任何费用；监理人已经开始</w:t>
      </w:r>
      <w:r>
        <w:rPr>
          <w:rFonts w:hint="eastAsia" w:ascii="宋体" w:hAnsi="宋体" w:eastAsia="宋体" w:cs="宋体"/>
          <w:b w:val="0"/>
          <w:bCs w:val="0"/>
          <w:color w:val="auto"/>
          <w:sz w:val="24"/>
          <w:szCs w:val="24"/>
          <w:highlight w:val="none"/>
          <w:lang w:val="en-US" w:eastAsia="zh-CN"/>
        </w:rPr>
        <w:t>监理</w:t>
      </w:r>
      <w:r>
        <w:rPr>
          <w:rFonts w:hint="eastAsia" w:ascii="宋体" w:hAnsi="宋体" w:eastAsia="宋体" w:cs="宋体"/>
          <w:b w:val="0"/>
          <w:bCs w:val="0"/>
          <w:color w:val="auto"/>
          <w:sz w:val="24"/>
          <w:szCs w:val="24"/>
          <w:highlight w:val="none"/>
        </w:rPr>
        <w:t>工作的，按照监理人实际工作量支付相关费用；除此以外，委托人不承担</w:t>
      </w:r>
      <w:r>
        <w:rPr>
          <w:rFonts w:hint="eastAsia" w:ascii="宋体" w:hAnsi="宋体" w:eastAsia="宋体" w:cs="宋体"/>
          <w:b w:val="0"/>
          <w:bCs w:val="0"/>
          <w:color w:val="auto"/>
          <w:sz w:val="24"/>
          <w:szCs w:val="24"/>
          <w:highlight w:val="none"/>
          <w:lang w:val="en-US" w:eastAsia="zh-CN"/>
        </w:rPr>
        <w:t>违约、</w:t>
      </w:r>
      <w:r>
        <w:rPr>
          <w:rFonts w:hint="eastAsia" w:ascii="宋体" w:hAnsi="宋体" w:eastAsia="宋体" w:cs="宋体"/>
          <w:b w:val="0"/>
          <w:bCs w:val="0"/>
          <w:color w:val="auto"/>
          <w:sz w:val="24"/>
          <w:szCs w:val="24"/>
          <w:highlight w:val="none"/>
        </w:rPr>
        <w:t>赔偿等任何其他责任</w:t>
      </w:r>
      <w:r>
        <w:rPr>
          <w:rFonts w:hint="eastAsia" w:ascii="宋体" w:hAnsi="宋体" w:eastAsia="宋体" w:cs="宋体"/>
          <w:b w:val="0"/>
          <w:bCs w:val="0"/>
          <w:color w:val="auto"/>
          <w:sz w:val="24"/>
          <w:szCs w:val="24"/>
          <w:highlight w:val="none"/>
          <w:lang w:eastAsia="zh-CN"/>
        </w:rPr>
        <w:t>。</w:t>
      </w:r>
    </w:p>
    <w:p w14:paraId="5293B2FE">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工程监理与相关服务的酬金支付至限期改正通知到达监理人之日，但监理人应承担第4.1款约定的责任。</w:t>
      </w:r>
    </w:p>
    <w:p w14:paraId="7FDCE3E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监理人在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3D489EE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 因不可抗力致使本合同部分或全部不能履行时，一方应立即通知另一方，可暂停或解除本合同。</w:t>
      </w:r>
    </w:p>
    <w:p w14:paraId="054BD49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本合同解除后，本合同约定的有关结算、清理、争议解决方式的条件仍然有效。</w:t>
      </w:r>
    </w:p>
    <w:p w14:paraId="3AAED425">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6.4 终止</w:t>
      </w:r>
    </w:p>
    <w:p w14:paraId="2D3B935C">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以下条件全部满足时，本合同即告终止：</w:t>
      </w:r>
    </w:p>
    <w:p w14:paraId="010564D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⑴.监理人完成本合同约定的全部工作；</w:t>
      </w:r>
    </w:p>
    <w:p w14:paraId="7E91BD9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⑵.委托人与监理人结清并支付全部酬金。</w:t>
      </w:r>
    </w:p>
    <w:p w14:paraId="77AB78A5">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59" w:name="_Toc327891450"/>
      <w:bookmarkStart w:id="60" w:name="_Toc429184008"/>
      <w:bookmarkStart w:id="61" w:name="_Toc429304404"/>
      <w:r>
        <w:rPr>
          <w:rFonts w:hint="eastAsia" w:ascii="宋体" w:hAnsi="宋体" w:eastAsia="宋体" w:cs="宋体"/>
          <w:b w:val="0"/>
          <w:bCs w:val="0"/>
          <w:color w:val="auto"/>
          <w:sz w:val="24"/>
          <w:szCs w:val="24"/>
          <w:highlight w:val="none"/>
        </w:rPr>
        <w:t>7 争议解决</w:t>
      </w:r>
      <w:bookmarkEnd w:id="59"/>
      <w:bookmarkEnd w:id="60"/>
      <w:bookmarkEnd w:id="61"/>
    </w:p>
    <w:p w14:paraId="267D8E0F">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bookmarkStart w:id="62" w:name="_Toc327891451"/>
      <w:r>
        <w:rPr>
          <w:rFonts w:hint="eastAsia" w:ascii="宋体" w:hAnsi="宋体" w:eastAsia="宋体" w:cs="宋体"/>
          <w:b w:val="0"/>
          <w:bCs w:val="0"/>
          <w:color w:val="auto"/>
          <w:kern w:val="18"/>
          <w:sz w:val="24"/>
          <w:szCs w:val="24"/>
          <w:highlight w:val="none"/>
        </w:rPr>
        <w:t>7.1协商</w:t>
      </w:r>
    </w:p>
    <w:p w14:paraId="2379307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双方应本着诚信原则协商解决彼此间的争议。</w:t>
      </w:r>
    </w:p>
    <w:p w14:paraId="0E6F42BD">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7.2调解</w:t>
      </w:r>
    </w:p>
    <w:p w14:paraId="59038CF4">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如果双方不能在14天内或双方商定的其他时间内解决本合同争议，可以将其提交给</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约定的或事后达成协议的调解人进行调解。</w:t>
      </w:r>
    </w:p>
    <w:p w14:paraId="663D064B">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7.3仲裁或诉讼</w:t>
      </w:r>
    </w:p>
    <w:p w14:paraId="563872AB">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双方均有权不经调解直接向</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约定的向有管辖权法院提起诉讼。</w:t>
      </w:r>
    </w:p>
    <w:p w14:paraId="6D86B0EA">
      <w:pPr>
        <w:pStyle w:val="5"/>
        <w:pageBreakBefore w:val="0"/>
        <w:widowControl w:val="0"/>
        <w:tabs>
          <w:tab w:val="clear" w:pos="720"/>
        </w:tabs>
        <w:kinsoku/>
        <w:wordWrap/>
        <w:overflowPunct/>
        <w:topLinePunct w:val="0"/>
        <w:autoSpaceDE/>
        <w:autoSpaceDN/>
        <w:bidi w:val="0"/>
        <w:adjustRightInd/>
        <w:snapToGrid/>
        <w:spacing w:before="240" w:after="120" w:line="550" w:lineRule="exact"/>
        <w:jc w:val="center"/>
        <w:textAlignment w:val="auto"/>
        <w:rPr>
          <w:rFonts w:hint="eastAsia" w:ascii="宋体" w:hAnsi="宋体" w:eastAsia="宋体" w:cs="宋体"/>
          <w:b w:val="0"/>
          <w:bCs w:val="0"/>
          <w:color w:val="auto"/>
          <w:sz w:val="24"/>
          <w:szCs w:val="24"/>
          <w:highlight w:val="none"/>
        </w:rPr>
      </w:pPr>
      <w:bookmarkStart w:id="63" w:name="_Toc429184009"/>
      <w:bookmarkStart w:id="64" w:name="_Toc429304405"/>
      <w:r>
        <w:rPr>
          <w:rFonts w:hint="eastAsia" w:ascii="宋体" w:hAnsi="宋体" w:eastAsia="宋体" w:cs="宋体"/>
          <w:b w:val="0"/>
          <w:bCs w:val="0"/>
          <w:color w:val="auto"/>
          <w:sz w:val="24"/>
          <w:szCs w:val="24"/>
          <w:highlight w:val="none"/>
        </w:rPr>
        <w:t>8 其  他</w:t>
      </w:r>
      <w:bookmarkEnd w:id="62"/>
      <w:bookmarkEnd w:id="63"/>
      <w:bookmarkEnd w:id="64"/>
    </w:p>
    <w:p w14:paraId="40460F5E">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8.1 外出考察费用</w:t>
      </w:r>
    </w:p>
    <w:p w14:paraId="62F064C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经委托人同意，监理服务人员外出考察发生的费用由委托人审核后支付。</w:t>
      </w:r>
    </w:p>
    <w:p w14:paraId="7CF1384E">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8.2 检测费用</w:t>
      </w:r>
    </w:p>
    <w:p w14:paraId="1E8F13D9">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要求监理人在工程现场设立具有工程质量检测资质的工程质量检测机构才能设立的工程质量检测试验室对工程材料和工程实体质量进行抽样检测，或要求监理人委托具有工程质量检测资质的工程质量检测机构对工程材料和工程实体质量进行抽样检测所发生的全部费用，由委托人额外按实支付。支付时间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45B752D3">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8.3 咨询费用</w:t>
      </w:r>
    </w:p>
    <w:p w14:paraId="26D4388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要求监理人开展需要具有工程造价咨询资质、工程招标代理资质或施工图审查资质才能执业的各项工作，或要求监理人委托具有工程造价咨询资质的工程造价咨询机构、工程招标代理资质的工程招标代理机构或施工图审查资质的施工图审查机构开展各项工作所发生的费用，由委托人额外按实支付；经委托人同意，根据工程需要由监理人组织的相关咨询论证会以及聘请相关专家等发生的费用由委托人额外按实支付。支付时间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7C1E972F">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8.4 奖励</w:t>
      </w:r>
    </w:p>
    <w:p w14:paraId="6D8B34E2">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监理人在服务过程中提出的合理化建议，使委托人获得经济效益的，双方在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中约定奖励金额的确定方法。奖励金额在合理化建议被采纳后，与最近一期的正常工作酬金同期支付。</w:t>
      </w:r>
    </w:p>
    <w:p w14:paraId="3F6F7DC1">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8.5 守法诚信</w:t>
      </w:r>
    </w:p>
    <w:p w14:paraId="3E9C2987">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监理人及其工作人员不得从与实施工程有关的第三方处获得任何经济利益。</w:t>
      </w:r>
    </w:p>
    <w:p w14:paraId="1AB938D9">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8.6 保密</w:t>
      </w:r>
    </w:p>
    <w:p w14:paraId="13578EC1">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双方不得泄露对方申明的保密资料，亦不得泄露与实施工程有关的第三方所提供的保密资料，保密事项在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14:paraId="08163F22">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8.7 通知</w:t>
      </w:r>
    </w:p>
    <w:p w14:paraId="1426CE4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本合同涉及的通知均应当采用书面形式，并在送达对方时生效，收件人应书面签收。</w:t>
      </w:r>
    </w:p>
    <w:p w14:paraId="2D26DB7C">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8.8 著作权</w:t>
      </w:r>
    </w:p>
    <w:p w14:paraId="775C1273">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监理人对其编制的文件拥有著作权。</w:t>
      </w:r>
    </w:p>
    <w:p w14:paraId="45CAE1BD">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监理人可单独或与他人联合出版有关监理与相关服务的资料。除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另有约定外，如果监理人在本合同履行期间及本合同终止后两年内出版涉及本工程的有关监理与相关服务的资料，应当征得委托人的同意。</w:t>
      </w:r>
    </w:p>
    <w:p w14:paraId="14005EC7">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p>
    <w:p w14:paraId="571354BF">
      <w:pPr>
        <w:pStyle w:val="4"/>
        <w:pageBreakBefore w:val="0"/>
        <w:tabs>
          <w:tab w:val="clear" w:pos="720"/>
        </w:tabs>
        <w:kinsoku/>
        <w:overflowPunct/>
        <w:bidi w:val="0"/>
        <w:spacing w:before="0" w:after="240" w:line="560" w:lineRule="exact"/>
        <w:jc w:val="center"/>
        <w:textAlignment w:val="auto"/>
        <w:rPr>
          <w:rFonts w:hint="eastAsia" w:ascii="宋体" w:hAnsi="宋体" w:eastAsia="宋体" w:cs="宋体"/>
          <w:b w:val="0"/>
          <w:bCs w:val="0"/>
          <w:color w:val="auto"/>
          <w:sz w:val="24"/>
          <w:szCs w:val="24"/>
          <w:highlight w:val="none"/>
        </w:rPr>
      </w:pPr>
      <w:bookmarkStart w:id="65" w:name="_Toc429304406"/>
      <w:bookmarkStart w:id="66" w:name="_Toc429184010"/>
      <w:bookmarkStart w:id="67" w:name="_Toc327891452"/>
    </w:p>
    <w:p w14:paraId="1D7CD8B6">
      <w:pPr>
        <w:rPr>
          <w:rFonts w:hint="eastAsia" w:ascii="宋体" w:hAnsi="宋体" w:eastAsia="宋体" w:cs="宋体"/>
          <w:b w:val="0"/>
          <w:bCs w:val="0"/>
          <w:color w:val="auto"/>
          <w:sz w:val="24"/>
          <w:szCs w:val="24"/>
          <w:highlight w:val="none"/>
        </w:rPr>
      </w:pPr>
    </w:p>
    <w:p w14:paraId="7F3D0620">
      <w:pPr>
        <w:pStyle w:val="16"/>
        <w:rPr>
          <w:rFonts w:hint="eastAsia" w:ascii="宋体" w:hAnsi="宋体" w:eastAsia="宋体" w:cs="宋体"/>
          <w:b w:val="0"/>
          <w:bCs w:val="0"/>
          <w:color w:val="auto"/>
          <w:sz w:val="24"/>
          <w:szCs w:val="24"/>
          <w:highlight w:val="none"/>
        </w:rPr>
      </w:pPr>
    </w:p>
    <w:p w14:paraId="00C1F355">
      <w:pPr>
        <w:pStyle w:val="16"/>
        <w:rPr>
          <w:rFonts w:hint="eastAsia" w:ascii="宋体" w:hAnsi="宋体" w:eastAsia="宋体" w:cs="宋体"/>
          <w:b w:val="0"/>
          <w:bCs w:val="0"/>
          <w:color w:val="auto"/>
          <w:sz w:val="24"/>
          <w:szCs w:val="24"/>
          <w:highlight w:val="none"/>
        </w:rPr>
      </w:pPr>
    </w:p>
    <w:p w14:paraId="2F6762D5">
      <w:pPr>
        <w:pStyle w:val="16"/>
        <w:rPr>
          <w:rFonts w:hint="eastAsia" w:ascii="宋体" w:hAnsi="宋体" w:eastAsia="宋体" w:cs="宋体"/>
          <w:b w:val="0"/>
          <w:bCs w:val="0"/>
          <w:color w:val="auto"/>
          <w:sz w:val="24"/>
          <w:szCs w:val="24"/>
          <w:highlight w:val="none"/>
        </w:rPr>
      </w:pPr>
    </w:p>
    <w:p w14:paraId="61A07596">
      <w:pPr>
        <w:pStyle w:val="16"/>
        <w:rPr>
          <w:rFonts w:hint="eastAsia" w:ascii="宋体" w:hAnsi="宋体" w:eastAsia="宋体" w:cs="宋体"/>
          <w:b w:val="0"/>
          <w:bCs w:val="0"/>
          <w:color w:val="auto"/>
          <w:sz w:val="24"/>
          <w:szCs w:val="24"/>
          <w:highlight w:val="none"/>
        </w:rPr>
      </w:pPr>
    </w:p>
    <w:p w14:paraId="65E4B8D1">
      <w:pPr>
        <w:pStyle w:val="16"/>
        <w:rPr>
          <w:rFonts w:hint="eastAsia" w:ascii="宋体" w:hAnsi="宋体" w:eastAsia="宋体" w:cs="宋体"/>
          <w:b w:val="0"/>
          <w:bCs w:val="0"/>
          <w:color w:val="auto"/>
          <w:sz w:val="24"/>
          <w:szCs w:val="24"/>
          <w:highlight w:val="none"/>
        </w:rPr>
      </w:pPr>
    </w:p>
    <w:p w14:paraId="21FF533F">
      <w:pPr>
        <w:pStyle w:val="16"/>
        <w:rPr>
          <w:rFonts w:hint="eastAsia" w:ascii="宋体" w:hAnsi="宋体" w:eastAsia="宋体" w:cs="宋体"/>
          <w:b w:val="0"/>
          <w:bCs w:val="0"/>
          <w:color w:val="auto"/>
          <w:sz w:val="24"/>
          <w:szCs w:val="24"/>
          <w:highlight w:val="none"/>
        </w:rPr>
      </w:pPr>
    </w:p>
    <w:p w14:paraId="0BFE6A19">
      <w:pPr>
        <w:pStyle w:val="16"/>
        <w:rPr>
          <w:rFonts w:hint="eastAsia" w:ascii="宋体" w:hAnsi="宋体" w:eastAsia="宋体" w:cs="宋体"/>
          <w:b w:val="0"/>
          <w:bCs w:val="0"/>
          <w:color w:val="auto"/>
          <w:sz w:val="24"/>
          <w:szCs w:val="24"/>
          <w:highlight w:val="none"/>
        </w:rPr>
      </w:pPr>
    </w:p>
    <w:p w14:paraId="38431FFA">
      <w:pPr>
        <w:pStyle w:val="16"/>
        <w:rPr>
          <w:rFonts w:hint="eastAsia" w:ascii="宋体" w:hAnsi="宋体" w:eastAsia="宋体" w:cs="宋体"/>
          <w:b w:val="0"/>
          <w:bCs w:val="0"/>
          <w:color w:val="auto"/>
          <w:sz w:val="24"/>
          <w:szCs w:val="24"/>
          <w:highlight w:val="none"/>
        </w:rPr>
      </w:pPr>
    </w:p>
    <w:p w14:paraId="020F0E6F">
      <w:pPr>
        <w:pStyle w:val="16"/>
        <w:rPr>
          <w:rFonts w:hint="eastAsia" w:ascii="宋体" w:hAnsi="宋体" w:eastAsia="宋体" w:cs="宋体"/>
          <w:b w:val="0"/>
          <w:bCs w:val="0"/>
          <w:color w:val="auto"/>
          <w:sz w:val="24"/>
          <w:szCs w:val="24"/>
          <w:highlight w:val="none"/>
        </w:rPr>
      </w:pPr>
    </w:p>
    <w:p w14:paraId="0B1DA257">
      <w:pPr>
        <w:pStyle w:val="16"/>
        <w:rPr>
          <w:rFonts w:hint="eastAsia" w:ascii="宋体" w:hAnsi="宋体" w:eastAsia="宋体" w:cs="宋体"/>
          <w:b w:val="0"/>
          <w:bCs w:val="0"/>
          <w:color w:val="auto"/>
          <w:sz w:val="24"/>
          <w:szCs w:val="24"/>
          <w:highlight w:val="none"/>
        </w:rPr>
      </w:pPr>
    </w:p>
    <w:p w14:paraId="0C930253">
      <w:pPr>
        <w:pStyle w:val="16"/>
        <w:rPr>
          <w:rFonts w:hint="eastAsia" w:ascii="宋体" w:hAnsi="宋体" w:eastAsia="宋体" w:cs="宋体"/>
          <w:b w:val="0"/>
          <w:bCs w:val="0"/>
          <w:color w:val="auto"/>
          <w:sz w:val="24"/>
          <w:szCs w:val="24"/>
          <w:highlight w:val="none"/>
        </w:rPr>
      </w:pPr>
    </w:p>
    <w:p w14:paraId="28CB779B">
      <w:pPr>
        <w:pStyle w:val="16"/>
        <w:rPr>
          <w:rFonts w:hint="eastAsia" w:ascii="宋体" w:hAnsi="宋体" w:eastAsia="宋体" w:cs="宋体"/>
          <w:b w:val="0"/>
          <w:bCs w:val="0"/>
          <w:color w:val="auto"/>
          <w:sz w:val="24"/>
          <w:szCs w:val="24"/>
          <w:highlight w:val="none"/>
        </w:rPr>
      </w:pPr>
    </w:p>
    <w:p w14:paraId="34B73A08">
      <w:pPr>
        <w:pStyle w:val="16"/>
        <w:rPr>
          <w:rFonts w:hint="eastAsia" w:ascii="宋体" w:hAnsi="宋体" w:eastAsia="宋体" w:cs="宋体"/>
          <w:b w:val="0"/>
          <w:bCs w:val="0"/>
          <w:color w:val="auto"/>
          <w:sz w:val="24"/>
          <w:szCs w:val="24"/>
          <w:highlight w:val="none"/>
        </w:rPr>
      </w:pPr>
    </w:p>
    <w:p w14:paraId="14E429A0">
      <w:pPr>
        <w:pStyle w:val="16"/>
        <w:rPr>
          <w:rFonts w:hint="eastAsia" w:ascii="宋体" w:hAnsi="宋体" w:eastAsia="宋体" w:cs="宋体"/>
          <w:b w:val="0"/>
          <w:bCs w:val="0"/>
          <w:color w:val="auto"/>
          <w:sz w:val="24"/>
          <w:szCs w:val="24"/>
          <w:highlight w:val="none"/>
        </w:rPr>
      </w:pPr>
    </w:p>
    <w:p w14:paraId="0D55BB62">
      <w:pPr>
        <w:pStyle w:val="16"/>
        <w:rPr>
          <w:rFonts w:hint="eastAsia" w:ascii="宋体" w:hAnsi="宋体" w:eastAsia="宋体" w:cs="宋体"/>
          <w:b w:val="0"/>
          <w:bCs w:val="0"/>
          <w:color w:val="auto"/>
          <w:sz w:val="24"/>
          <w:szCs w:val="24"/>
          <w:highlight w:val="none"/>
        </w:rPr>
      </w:pPr>
    </w:p>
    <w:p w14:paraId="5F534616">
      <w:pPr>
        <w:pStyle w:val="16"/>
        <w:rPr>
          <w:rFonts w:hint="eastAsia" w:ascii="宋体" w:hAnsi="宋体" w:eastAsia="宋体" w:cs="宋体"/>
          <w:b w:val="0"/>
          <w:bCs w:val="0"/>
          <w:color w:val="auto"/>
          <w:sz w:val="24"/>
          <w:szCs w:val="24"/>
          <w:highlight w:val="none"/>
        </w:rPr>
      </w:pPr>
    </w:p>
    <w:p w14:paraId="1644579C">
      <w:pPr>
        <w:pStyle w:val="2"/>
        <w:ind w:left="0" w:leftChars="0" w:firstLine="0" w:firstLineChars="0"/>
        <w:rPr>
          <w:rFonts w:hint="eastAsia"/>
        </w:rPr>
      </w:pPr>
    </w:p>
    <w:p w14:paraId="57694EAE">
      <w:pPr>
        <w:pStyle w:val="4"/>
        <w:pageBreakBefore w:val="0"/>
        <w:tabs>
          <w:tab w:val="clear" w:pos="720"/>
        </w:tabs>
        <w:kinsoku/>
        <w:overflowPunct/>
        <w:bidi w:val="0"/>
        <w:spacing w:before="0" w:after="240" w:line="560" w:lineRule="exact"/>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第四部分</w:t>
      </w:r>
      <w:bookmarkEnd w:id="65"/>
      <w:bookmarkEnd w:id="66"/>
      <w:bookmarkEnd w:id="67"/>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专用条款</w:t>
      </w:r>
    </w:p>
    <w:p w14:paraId="64C4EA66">
      <w:pPr>
        <w:pStyle w:val="5"/>
        <w:pageBreakBefore w:val="0"/>
        <w:tabs>
          <w:tab w:val="clear" w:pos="720"/>
        </w:tabs>
        <w:kinsoku/>
        <w:overflowPunct/>
        <w:bidi w:val="0"/>
        <w:spacing w:before="240" w:after="0" w:line="560" w:lineRule="exact"/>
        <w:jc w:val="center"/>
        <w:textAlignment w:val="auto"/>
        <w:rPr>
          <w:rFonts w:hint="eastAsia" w:ascii="宋体" w:hAnsi="宋体" w:eastAsia="宋体" w:cs="宋体"/>
          <w:b w:val="0"/>
          <w:bCs w:val="0"/>
          <w:color w:val="auto"/>
          <w:sz w:val="24"/>
          <w:szCs w:val="24"/>
        </w:rPr>
      </w:pPr>
      <w:bookmarkStart w:id="68" w:name="_Toc327891453"/>
      <w:bookmarkStart w:id="69" w:name="_Toc429184011"/>
      <w:bookmarkStart w:id="70" w:name="_Toc429304407"/>
      <w:r>
        <w:rPr>
          <w:rFonts w:hint="eastAsia" w:ascii="宋体" w:hAnsi="宋体" w:eastAsia="宋体" w:cs="宋体"/>
          <w:b w:val="0"/>
          <w:bCs w:val="0"/>
          <w:color w:val="auto"/>
          <w:sz w:val="24"/>
          <w:szCs w:val="24"/>
        </w:rPr>
        <w:t>1 定义与解释</w:t>
      </w:r>
      <w:bookmarkEnd w:id="68"/>
      <w:bookmarkEnd w:id="69"/>
      <w:bookmarkEnd w:id="70"/>
    </w:p>
    <w:p w14:paraId="54E67A9A">
      <w:pPr>
        <w:pStyle w:val="52"/>
        <w:pageBreakBefore w:val="0"/>
        <w:kinsoku/>
        <w:overflowPunct/>
        <w:bidi w:val="0"/>
        <w:spacing w:line="560" w:lineRule="exact"/>
        <w:ind w:left="0" w:leftChars="0" w:firstLine="0" w:firstLineChars="0"/>
        <w:textAlignment w:val="auto"/>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 xml:space="preserve">   1.1定义</w:t>
      </w:r>
    </w:p>
    <w:p w14:paraId="71BBA1C8">
      <w:pPr>
        <w:pStyle w:val="169"/>
        <w:pageBreakBefore w:val="0"/>
        <w:kinsoku/>
        <w:overflowPunct/>
        <w:bidi w:val="0"/>
        <w:spacing w:line="560" w:lineRule="exact"/>
        <w:ind w:firstLine="480" w:firstLineChars="200"/>
        <w:jc w:val="left"/>
        <w:textAlignment w:val="auto"/>
        <w:rPr>
          <w:rFonts w:hint="eastAsia" w:ascii="宋体" w:hAnsi="宋体" w:eastAsia="宋体" w:cs="宋体"/>
          <w:b w:val="0"/>
          <w:bCs w:val="0"/>
          <w:snapToGrid/>
          <w:color w:val="auto"/>
          <w:kern w:val="2"/>
          <w:sz w:val="24"/>
          <w:szCs w:val="24"/>
          <w:highlight w:val="none"/>
          <w:u w:val="single"/>
          <w:lang w:val="en-US" w:eastAsia="zh-CN"/>
        </w:rPr>
      </w:pPr>
      <w:r>
        <w:rPr>
          <w:rFonts w:hint="eastAsia" w:ascii="宋体" w:hAnsi="宋体" w:eastAsia="宋体" w:cs="宋体"/>
          <w:b w:val="0"/>
          <w:bCs w:val="0"/>
          <w:snapToGrid/>
          <w:color w:val="auto"/>
          <w:kern w:val="2"/>
          <w:sz w:val="24"/>
          <w:szCs w:val="24"/>
          <w:highlight w:val="none"/>
          <w:u w:val="none"/>
          <w:lang w:val="en-US" w:eastAsia="zh-CN"/>
        </w:rPr>
        <w:t>增加定义</w:t>
      </w:r>
      <w:r>
        <w:rPr>
          <w:rFonts w:hint="eastAsia" w:ascii="宋体" w:hAnsi="宋体" w:eastAsia="宋体" w:cs="宋体"/>
          <w:b w:val="0"/>
          <w:bCs w:val="0"/>
          <w:snapToGrid/>
          <w:color w:val="auto"/>
          <w:kern w:val="2"/>
          <w:sz w:val="24"/>
          <w:szCs w:val="24"/>
          <w:highlight w:val="none"/>
          <w:u w:val="single"/>
          <w:lang w:val="en-US" w:eastAsia="zh-CN"/>
        </w:rPr>
        <w:t xml:space="preserve"> 1.1.25专用条款填写</w:t>
      </w:r>
      <w:r>
        <w:rPr>
          <w:rFonts w:hint="eastAsia" w:ascii="宋体" w:hAnsi="宋体" w:eastAsia="宋体" w:cs="宋体"/>
          <w:b w:val="0"/>
          <w:bCs w:val="0"/>
          <w:snapToGrid/>
          <w:color w:val="auto"/>
          <w:kern w:val="2"/>
          <w:sz w:val="24"/>
          <w:szCs w:val="24"/>
          <w:highlight w:val="none"/>
          <w:u w:val="single"/>
        </w:rPr>
        <w:t>“/”</w:t>
      </w:r>
      <w:r>
        <w:rPr>
          <w:rFonts w:hint="eastAsia" w:ascii="宋体" w:hAnsi="宋体" w:eastAsia="宋体" w:cs="宋体"/>
          <w:b w:val="0"/>
          <w:bCs w:val="0"/>
          <w:snapToGrid/>
          <w:color w:val="auto"/>
          <w:kern w:val="2"/>
          <w:sz w:val="24"/>
          <w:szCs w:val="24"/>
          <w:highlight w:val="none"/>
          <w:u w:val="single"/>
          <w:lang w:val="en-US" w:eastAsia="zh-CN"/>
        </w:rPr>
        <w:t>是指，</w:t>
      </w:r>
      <w:r>
        <w:rPr>
          <w:rFonts w:hint="eastAsia" w:ascii="宋体" w:hAnsi="宋体" w:eastAsia="宋体" w:cs="宋体"/>
          <w:b w:val="0"/>
          <w:bCs w:val="0"/>
          <w:snapToGrid/>
          <w:color w:val="auto"/>
          <w:kern w:val="2"/>
          <w:sz w:val="24"/>
          <w:szCs w:val="24"/>
          <w:highlight w:val="none"/>
          <w:u w:val="single"/>
        </w:rPr>
        <w:t>合同当事人</w:t>
      </w:r>
      <w:r>
        <w:rPr>
          <w:rFonts w:hint="eastAsia" w:ascii="宋体" w:hAnsi="宋体" w:eastAsia="宋体" w:cs="宋体"/>
          <w:b w:val="0"/>
          <w:bCs w:val="0"/>
          <w:snapToGrid/>
          <w:color w:val="auto"/>
          <w:kern w:val="2"/>
          <w:sz w:val="24"/>
          <w:szCs w:val="24"/>
          <w:highlight w:val="none"/>
          <w:u w:val="single"/>
          <w:lang w:val="en-US" w:eastAsia="zh-CN"/>
        </w:rPr>
        <w:t>在专用条款中明确，其</w:t>
      </w:r>
      <w:r>
        <w:rPr>
          <w:rFonts w:hint="eastAsia" w:ascii="宋体" w:hAnsi="宋体" w:eastAsia="宋体" w:cs="宋体"/>
          <w:b w:val="0"/>
          <w:bCs w:val="0"/>
          <w:snapToGrid/>
          <w:color w:val="auto"/>
          <w:kern w:val="2"/>
          <w:sz w:val="24"/>
          <w:szCs w:val="24"/>
          <w:highlight w:val="none"/>
          <w:u w:val="single"/>
        </w:rPr>
        <w:t>相</w:t>
      </w:r>
      <w:r>
        <w:rPr>
          <w:rFonts w:hint="eastAsia" w:ascii="宋体" w:hAnsi="宋体" w:eastAsia="宋体" w:cs="宋体"/>
          <w:b w:val="0"/>
          <w:bCs w:val="0"/>
          <w:snapToGrid/>
          <w:color w:val="auto"/>
          <w:kern w:val="2"/>
          <w:sz w:val="24"/>
          <w:szCs w:val="24"/>
          <w:highlight w:val="none"/>
          <w:u w:val="single"/>
          <w:lang w:val="en-US" w:eastAsia="zh-CN"/>
        </w:rPr>
        <w:t>对</w:t>
      </w:r>
      <w:r>
        <w:rPr>
          <w:rFonts w:hint="eastAsia" w:ascii="宋体" w:hAnsi="宋体" w:eastAsia="宋体" w:cs="宋体"/>
          <w:b w:val="0"/>
          <w:bCs w:val="0"/>
          <w:snapToGrid/>
          <w:color w:val="auto"/>
          <w:kern w:val="2"/>
          <w:sz w:val="24"/>
          <w:szCs w:val="24"/>
          <w:highlight w:val="none"/>
          <w:u w:val="single"/>
        </w:rPr>
        <w:t>应</w:t>
      </w:r>
      <w:r>
        <w:rPr>
          <w:rFonts w:hint="eastAsia" w:ascii="宋体" w:hAnsi="宋体" w:eastAsia="宋体" w:cs="宋体"/>
          <w:b w:val="0"/>
          <w:bCs w:val="0"/>
          <w:snapToGrid/>
          <w:color w:val="auto"/>
          <w:kern w:val="2"/>
          <w:sz w:val="24"/>
          <w:szCs w:val="24"/>
          <w:highlight w:val="none"/>
          <w:u w:val="single"/>
          <w:lang w:val="en-US" w:eastAsia="zh-CN"/>
        </w:rPr>
        <w:t>的</w:t>
      </w:r>
      <w:r>
        <w:rPr>
          <w:rFonts w:hint="eastAsia" w:ascii="宋体" w:hAnsi="宋体" w:eastAsia="宋体" w:cs="宋体"/>
          <w:b w:val="0"/>
          <w:bCs w:val="0"/>
          <w:snapToGrid/>
          <w:color w:val="auto"/>
          <w:kern w:val="2"/>
          <w:sz w:val="24"/>
          <w:szCs w:val="24"/>
          <w:highlight w:val="none"/>
          <w:u w:val="single"/>
          <w:lang w:eastAsia="zh-CN"/>
        </w:rPr>
        <w:t>通用条款</w:t>
      </w:r>
      <w:r>
        <w:rPr>
          <w:rFonts w:hint="eastAsia" w:ascii="宋体" w:hAnsi="宋体" w:eastAsia="宋体" w:cs="宋体"/>
          <w:b w:val="0"/>
          <w:bCs w:val="0"/>
          <w:snapToGrid/>
          <w:color w:val="auto"/>
          <w:kern w:val="2"/>
          <w:sz w:val="24"/>
          <w:szCs w:val="24"/>
          <w:highlight w:val="none"/>
          <w:u w:val="single"/>
          <w:lang w:val="en-US" w:eastAsia="zh-CN"/>
        </w:rPr>
        <w:t>不适用于本合同项目</w:t>
      </w:r>
      <w:r>
        <w:rPr>
          <w:rFonts w:hint="eastAsia" w:ascii="宋体" w:hAnsi="宋体" w:eastAsia="宋体" w:cs="宋体"/>
          <w:b w:val="0"/>
          <w:bCs w:val="0"/>
          <w:snapToGrid/>
          <w:color w:val="auto"/>
          <w:kern w:val="2"/>
          <w:sz w:val="24"/>
          <w:szCs w:val="24"/>
          <w:highlight w:val="none"/>
          <w:u w:val="single"/>
        </w:rPr>
        <w:t>，</w:t>
      </w:r>
      <w:r>
        <w:rPr>
          <w:rFonts w:hint="eastAsia" w:ascii="宋体" w:hAnsi="宋体" w:eastAsia="宋体" w:cs="宋体"/>
          <w:b w:val="0"/>
          <w:bCs w:val="0"/>
          <w:snapToGrid/>
          <w:color w:val="auto"/>
          <w:kern w:val="2"/>
          <w:sz w:val="24"/>
          <w:szCs w:val="24"/>
          <w:highlight w:val="none"/>
          <w:u w:val="single"/>
          <w:lang w:val="en-US" w:eastAsia="zh-CN"/>
        </w:rPr>
        <w:t>其他填写</w:t>
      </w:r>
      <w:r>
        <w:rPr>
          <w:rFonts w:hint="eastAsia" w:ascii="宋体" w:hAnsi="宋体" w:eastAsia="宋体" w:cs="宋体"/>
          <w:b w:val="0"/>
          <w:bCs w:val="0"/>
          <w:snapToGrid/>
          <w:color w:val="auto"/>
          <w:kern w:val="2"/>
          <w:sz w:val="24"/>
          <w:szCs w:val="24"/>
          <w:highlight w:val="none"/>
          <w:u w:val="single"/>
        </w:rPr>
        <w:t>“/”</w:t>
      </w:r>
      <w:r>
        <w:rPr>
          <w:rFonts w:hint="eastAsia" w:ascii="宋体" w:hAnsi="宋体" w:eastAsia="宋体" w:cs="宋体"/>
          <w:b w:val="0"/>
          <w:bCs w:val="0"/>
          <w:snapToGrid/>
          <w:color w:val="auto"/>
          <w:kern w:val="2"/>
          <w:sz w:val="24"/>
          <w:szCs w:val="24"/>
          <w:highlight w:val="none"/>
          <w:u w:val="single"/>
          <w:lang w:val="en-US" w:eastAsia="zh-CN"/>
        </w:rPr>
        <w:t>的合同条款，是指该条款中“/”部分的内容不适用于本合同项目。</w:t>
      </w:r>
    </w:p>
    <w:p w14:paraId="106B4186">
      <w:pPr>
        <w:pStyle w:val="169"/>
        <w:pageBreakBefore w:val="0"/>
        <w:kinsoku/>
        <w:overflowPunct/>
        <w:bidi w:val="0"/>
        <w:spacing w:line="560" w:lineRule="exact"/>
        <w:ind w:firstLine="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snapToGrid/>
          <w:color w:val="auto"/>
          <w:kern w:val="2"/>
          <w:sz w:val="24"/>
          <w:szCs w:val="24"/>
          <w:highlight w:val="none"/>
          <w:u w:val="single"/>
          <w:lang w:val="en-US" w:eastAsia="zh-CN"/>
        </w:rPr>
        <w:t>1.1.26合同</w:t>
      </w:r>
      <w:r>
        <w:rPr>
          <w:rFonts w:hint="eastAsia" w:ascii="宋体" w:hAnsi="宋体" w:eastAsia="宋体" w:cs="宋体"/>
          <w:b w:val="0"/>
          <w:bCs w:val="0"/>
          <w:snapToGrid/>
          <w:color w:val="auto"/>
          <w:kern w:val="2"/>
          <w:sz w:val="24"/>
          <w:szCs w:val="24"/>
          <w:highlight w:val="none"/>
          <w:u w:val="single"/>
        </w:rPr>
        <w:t>条款中</w:t>
      </w:r>
      <w:r>
        <w:rPr>
          <w:rFonts w:hint="eastAsia" w:ascii="宋体" w:hAnsi="宋体" w:eastAsia="宋体" w:cs="宋体"/>
          <w:b w:val="0"/>
          <w:bCs w:val="0"/>
          <w:snapToGrid/>
          <w:color w:val="auto"/>
          <w:kern w:val="2"/>
          <w:sz w:val="24"/>
          <w:szCs w:val="24"/>
          <w:highlight w:val="none"/>
          <w:u w:val="single"/>
          <w:lang w:eastAsia="zh-CN"/>
        </w:rPr>
        <w:t>“</w:t>
      </w:r>
      <w:r>
        <w:rPr>
          <w:rFonts w:hint="eastAsia" w:ascii="宋体" w:hAnsi="宋体" w:eastAsia="宋体" w:cs="宋体"/>
          <w:b w:val="0"/>
          <w:bCs w:val="0"/>
          <w:snapToGrid/>
          <w:color w:val="auto"/>
          <w:kern w:val="2"/>
          <w:sz w:val="24"/>
          <w:szCs w:val="24"/>
          <w:highlight w:val="none"/>
          <w:u w:val="single"/>
          <w:lang w:val="en-US" w:eastAsia="zh-CN"/>
        </w:rPr>
        <w:sym w:font="Wingdings 2" w:char="0052"/>
      </w:r>
      <w:r>
        <w:rPr>
          <w:rFonts w:hint="eastAsia" w:ascii="宋体" w:hAnsi="宋体" w:eastAsia="宋体" w:cs="宋体"/>
          <w:b w:val="0"/>
          <w:bCs w:val="0"/>
          <w:snapToGrid/>
          <w:color w:val="auto"/>
          <w:kern w:val="2"/>
          <w:sz w:val="24"/>
          <w:szCs w:val="24"/>
          <w:highlight w:val="none"/>
          <w:u w:val="single"/>
          <w:lang w:eastAsia="zh-CN"/>
        </w:rPr>
        <w:t>”</w:t>
      </w:r>
      <w:r>
        <w:rPr>
          <w:rFonts w:hint="eastAsia" w:ascii="宋体" w:hAnsi="宋体" w:eastAsia="宋体" w:cs="宋体"/>
          <w:b w:val="0"/>
          <w:bCs w:val="0"/>
          <w:snapToGrid/>
          <w:color w:val="auto"/>
          <w:kern w:val="2"/>
          <w:sz w:val="24"/>
          <w:szCs w:val="24"/>
          <w:highlight w:val="none"/>
          <w:u w:val="single"/>
        </w:rPr>
        <w:t>，属于本合同项目适用条款；</w:t>
      </w:r>
      <w:r>
        <w:rPr>
          <w:rFonts w:hint="eastAsia" w:ascii="宋体" w:hAnsi="宋体" w:eastAsia="宋体" w:cs="宋体"/>
          <w:b w:val="0"/>
          <w:bCs w:val="0"/>
          <w:snapToGrid/>
          <w:color w:val="auto"/>
          <w:kern w:val="2"/>
          <w:sz w:val="24"/>
          <w:szCs w:val="24"/>
          <w:highlight w:val="none"/>
          <w:u w:val="single"/>
        </w:rPr>
        <w:sym w:font="Wingdings 2" w:char="00A3"/>
      </w:r>
      <w:r>
        <w:rPr>
          <w:rFonts w:hint="eastAsia" w:ascii="宋体" w:hAnsi="宋体" w:eastAsia="宋体" w:cs="宋体"/>
          <w:b w:val="0"/>
          <w:bCs w:val="0"/>
          <w:snapToGrid/>
          <w:color w:val="auto"/>
          <w:kern w:val="2"/>
          <w:sz w:val="24"/>
          <w:szCs w:val="24"/>
          <w:highlight w:val="none"/>
          <w:u w:val="single"/>
        </w:rPr>
        <w:t>则不属于本合同项目适用条款。</w:t>
      </w:r>
    </w:p>
    <w:p w14:paraId="646655F4">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1.2  解释</w:t>
      </w:r>
    </w:p>
    <w:p w14:paraId="71A271ED">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1.2.2 约定本合同文件的解释顺序为：见第一部分协议书。</w:t>
      </w:r>
    </w:p>
    <w:p w14:paraId="50571EBF">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rPr>
      </w:pPr>
      <w:bookmarkStart w:id="71" w:name="_Toc429304408"/>
      <w:bookmarkStart w:id="72" w:name="_Toc429184012"/>
      <w:bookmarkStart w:id="73" w:name="_Toc327891454"/>
      <w:r>
        <w:rPr>
          <w:rFonts w:hint="eastAsia" w:ascii="宋体" w:hAnsi="宋体" w:eastAsia="宋体" w:cs="宋体"/>
          <w:b w:val="0"/>
          <w:bCs w:val="0"/>
          <w:color w:val="auto"/>
          <w:sz w:val="24"/>
          <w:szCs w:val="24"/>
          <w:highlight w:val="none"/>
        </w:rPr>
        <w:t>2 监理人义务</w:t>
      </w:r>
      <w:bookmarkEnd w:id="71"/>
      <w:bookmarkEnd w:id="72"/>
      <w:bookmarkEnd w:id="73"/>
    </w:p>
    <w:p w14:paraId="1D790D00">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bookmarkStart w:id="74" w:name="_Toc327891455"/>
      <w:r>
        <w:rPr>
          <w:rFonts w:hint="eastAsia" w:ascii="宋体" w:hAnsi="宋体" w:eastAsia="宋体" w:cs="宋体"/>
          <w:b w:val="0"/>
          <w:bCs w:val="0"/>
          <w:color w:val="auto"/>
          <w:kern w:val="18"/>
          <w:sz w:val="24"/>
          <w:szCs w:val="24"/>
          <w:highlight w:val="none"/>
        </w:rPr>
        <w:t>2.1 监理的范围和内容</w:t>
      </w:r>
    </w:p>
    <w:p w14:paraId="5064F334">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 监理范围包括：</w:t>
      </w:r>
    </w:p>
    <w:p w14:paraId="2FAF9272">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本工程监理的范围不仅限于：</w:t>
      </w:r>
    </w:p>
    <w:p w14:paraId="2EAF909A">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1</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负责施工准备阶段的监理工作：熟悉设计图纸及有关施工验收规范、规定、标准；组织进行图纸会审，并应在此基础上审核由施工单位编制</w:t>
      </w:r>
      <w:r>
        <w:rPr>
          <w:rFonts w:hint="eastAsia" w:ascii="宋体" w:hAnsi="宋体" w:eastAsia="宋体" w:cs="宋体"/>
          <w:b w:val="0"/>
          <w:bCs w:val="0"/>
          <w:color w:val="auto"/>
          <w:sz w:val="24"/>
          <w:szCs w:val="24"/>
          <w:highlight w:val="none"/>
          <w:u w:val="single"/>
          <w:lang w:eastAsia="zh-CN"/>
        </w:rPr>
        <w:t>的</w:t>
      </w:r>
      <w:r>
        <w:rPr>
          <w:rFonts w:hint="eastAsia" w:ascii="宋体" w:hAnsi="宋体" w:eastAsia="宋体" w:cs="宋体"/>
          <w:b w:val="0"/>
          <w:bCs w:val="0"/>
          <w:color w:val="auto"/>
          <w:sz w:val="24"/>
          <w:szCs w:val="24"/>
          <w:highlight w:val="none"/>
          <w:u w:val="single"/>
        </w:rPr>
        <w:t>施工方案或技术措施；审核和检查施工单位相关资质证书、上岗证等；</w:t>
      </w:r>
    </w:p>
    <w:p w14:paraId="773A2A1B">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3</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负责施工阶段的进度监理：审查施工单位关于项目作业计划，其工期应符合施工方案的要求，并应制定进度检查和调整措施，确保按期完工；</w:t>
      </w:r>
    </w:p>
    <w:p w14:paraId="0E61390C">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4</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负责施工阶段的质量、检查及验收监理：对主要材料的报审表及其质量证明资料进行审核，并按有关规定对防水材料等按规定应复检的材料进行现场见证取样送检，保证施工质量；根据设计图纸、施工规范进行施工监理，建立各道工序的检查制度，并有完整的检查记录；每道工序完成，应经</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 xml:space="preserve">检查验收（如蓄水试验等），合格后方可进行下道工序的施工（尤其隐蔽工程等）； </w:t>
      </w:r>
    </w:p>
    <w:p w14:paraId="26AAC81E">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5</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负责项目安全生产</w:t>
      </w:r>
      <w:r>
        <w:rPr>
          <w:rFonts w:hint="eastAsia" w:ascii="宋体" w:hAnsi="宋体" w:eastAsia="宋体" w:cs="宋体"/>
          <w:b w:val="0"/>
          <w:bCs w:val="0"/>
          <w:color w:val="auto"/>
          <w:sz w:val="24"/>
          <w:szCs w:val="24"/>
          <w:highlight w:val="none"/>
          <w:u w:val="single"/>
          <w:lang w:eastAsia="zh-CN"/>
        </w:rPr>
        <w:t>及保质期</w:t>
      </w:r>
      <w:r>
        <w:rPr>
          <w:rFonts w:hint="eastAsia" w:ascii="宋体" w:hAnsi="宋体" w:eastAsia="宋体" w:cs="宋体"/>
          <w:b w:val="0"/>
          <w:bCs w:val="0"/>
          <w:color w:val="auto"/>
          <w:sz w:val="24"/>
          <w:szCs w:val="24"/>
          <w:highlight w:val="none"/>
          <w:u w:val="single"/>
        </w:rPr>
        <w:t>的监理工作等。</w:t>
      </w:r>
    </w:p>
    <w:p w14:paraId="69AB8E68">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2.2监理依据</w:t>
      </w:r>
    </w:p>
    <w:p w14:paraId="7D175654">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2.2.1监理依据包括：</w:t>
      </w:r>
    </w:p>
    <w:p w14:paraId="7FE23C18">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⑴《建设工程监理规范》（GB50319-2013）《深圳市施工监理规程》《深圳经济特区建设工程监理条例》；</w:t>
      </w:r>
    </w:p>
    <w:p w14:paraId="2A0283BC">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⑵国家和地方现行的建设工程质量评定标准、设计及施工验收规范；</w:t>
      </w:r>
    </w:p>
    <w:p w14:paraId="3C7D030C">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⑶经批准的施工图纸及说明，以及经图纸会审确定的修改设计通知书；</w:t>
      </w:r>
    </w:p>
    <w:p w14:paraId="4830CFD3">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⑷本工程的设计、施工、安装招投标文件及合同；</w:t>
      </w:r>
    </w:p>
    <w:p w14:paraId="6A2CA4A4">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⑸委托人发出的有关本工程的指令；</w:t>
      </w:r>
    </w:p>
    <w:p w14:paraId="06A489F6">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⑹委托人制定的有关本工程的规定</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input564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2C8A19DD">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2.2.2相关服务依据包括：</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AUTOTEXT  input565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w:t>
      </w:r>
    </w:p>
    <w:p w14:paraId="4483D50B">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2.3项目机构和人员</w:t>
      </w:r>
    </w:p>
    <w:p w14:paraId="14C29726">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2.3.4更换监理服务人员的其他情形：</w:t>
      </w:r>
      <w:r>
        <w:rPr>
          <w:rFonts w:hint="eastAsia" w:ascii="宋体" w:hAnsi="宋体" w:eastAsia="宋体" w:cs="宋体"/>
          <w:b w:val="0"/>
          <w:bCs w:val="0"/>
          <w:color w:val="auto"/>
          <w:sz w:val="24"/>
          <w:szCs w:val="24"/>
          <w:highlight w:val="none"/>
          <w:u w:val="single"/>
        </w:rPr>
        <w:t>除通用条款规定的情形外，</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员有以下情形的，</w:t>
      </w:r>
      <w:r>
        <w:rPr>
          <w:rFonts w:hint="eastAsia" w:ascii="宋体" w:hAnsi="宋体" w:eastAsia="宋体" w:cs="宋体"/>
          <w:b w:val="0"/>
          <w:bCs w:val="0"/>
          <w:color w:val="auto"/>
          <w:sz w:val="24"/>
          <w:szCs w:val="24"/>
          <w:highlight w:val="none"/>
          <w:u w:val="single"/>
          <w:lang w:eastAsia="zh-CN"/>
        </w:rPr>
        <w:t>委托人可提出更换监理服务人员，监理人</w:t>
      </w:r>
      <w:r>
        <w:rPr>
          <w:rFonts w:hint="eastAsia" w:ascii="宋体" w:hAnsi="宋体" w:eastAsia="宋体" w:cs="宋体"/>
          <w:b w:val="0"/>
          <w:bCs w:val="0"/>
          <w:color w:val="auto"/>
          <w:sz w:val="24"/>
          <w:szCs w:val="24"/>
          <w:highlight w:val="none"/>
          <w:u w:val="single"/>
        </w:rPr>
        <w:t>应</w:t>
      </w:r>
      <w:r>
        <w:rPr>
          <w:rFonts w:hint="eastAsia" w:ascii="宋体" w:hAnsi="宋体" w:eastAsia="宋体" w:cs="宋体"/>
          <w:b w:val="0"/>
          <w:bCs w:val="0"/>
          <w:color w:val="auto"/>
          <w:sz w:val="24"/>
          <w:szCs w:val="24"/>
          <w:highlight w:val="none"/>
          <w:u w:val="single"/>
          <w:lang w:eastAsia="zh-CN"/>
        </w:rPr>
        <w:t>在三个工作日内</w:t>
      </w:r>
      <w:r>
        <w:rPr>
          <w:rFonts w:hint="eastAsia" w:ascii="宋体" w:hAnsi="宋体" w:eastAsia="宋体" w:cs="宋体"/>
          <w:b w:val="0"/>
          <w:bCs w:val="0"/>
          <w:color w:val="auto"/>
          <w:sz w:val="24"/>
          <w:szCs w:val="24"/>
          <w:highlight w:val="none"/>
          <w:u w:val="single"/>
        </w:rPr>
        <w:t>更换</w:t>
      </w:r>
      <w:r>
        <w:rPr>
          <w:rFonts w:hint="eastAsia" w:ascii="宋体" w:hAnsi="宋体" w:eastAsia="宋体" w:cs="宋体"/>
          <w:b w:val="0"/>
          <w:bCs w:val="0"/>
          <w:color w:val="auto"/>
          <w:sz w:val="24"/>
          <w:szCs w:val="24"/>
          <w:highlight w:val="none"/>
          <w:u w:val="single"/>
          <w:lang w:val="en-US" w:eastAsia="zh-CN"/>
        </w:rPr>
        <w:t>相应监理服务人员</w:t>
      </w:r>
      <w:r>
        <w:rPr>
          <w:rFonts w:hint="eastAsia" w:ascii="宋体" w:hAnsi="宋体" w:eastAsia="宋体" w:cs="宋体"/>
          <w:b w:val="0"/>
          <w:bCs w:val="0"/>
          <w:color w:val="auto"/>
          <w:sz w:val="24"/>
          <w:szCs w:val="24"/>
          <w:highlight w:val="none"/>
          <w:u w:val="single"/>
        </w:rPr>
        <w:t>：⑴.长期不到位；⑵.责任心不强，不能实际履行职责的；⑶.现场有重大安全、质量事故的；⑷.建设主管部门记不良行为记录的；⑸.不能常驻现场的，不参加监理例会的。</w:t>
      </w:r>
    </w:p>
    <w:p w14:paraId="71717C43">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工程实施过程中，当总监理工程师及专业监理工程师需要调整时，</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应书面通知委托人</w:t>
      </w:r>
      <w:r>
        <w:rPr>
          <w:rFonts w:hint="eastAsia" w:ascii="宋体" w:hAnsi="宋体" w:eastAsia="宋体" w:cs="宋体"/>
          <w:b w:val="0"/>
          <w:bCs w:val="0"/>
          <w:color w:val="auto"/>
          <w:sz w:val="24"/>
          <w:szCs w:val="24"/>
          <w:highlight w:val="none"/>
          <w:u w:val="single"/>
          <w:lang w:val="en-US" w:eastAsia="zh-CN"/>
        </w:rPr>
        <w:t>和承包人</w:t>
      </w:r>
      <w:r>
        <w:rPr>
          <w:rFonts w:hint="eastAsia" w:ascii="宋体" w:hAnsi="宋体" w:eastAsia="宋体" w:cs="宋体"/>
          <w:b w:val="0"/>
          <w:bCs w:val="0"/>
          <w:color w:val="auto"/>
          <w:sz w:val="24"/>
          <w:szCs w:val="24"/>
          <w:highlight w:val="none"/>
          <w:u w:val="single"/>
        </w:rPr>
        <w:t>并征得委托人的同意。当委托人要求更换</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员时，</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必须在3日内提供替换</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员的有关资料，经委托人书面认可后3日内派驻现场。若委托人发现</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的机构人员不完全或不按监理合同履行监理义务或职责，委托人有权要求</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更换</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员并向建设主管部门报告，并将其不良行为予以公告，直至终止合同，且</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应当向委托人承担违约责任，免收部分或全部监理酬金，支付违约金并承担赔偿责任，由此产生的其他后果由</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承担相应法律责任</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input566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4501C5AE">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2.4履行职责</w:t>
      </w:r>
    </w:p>
    <w:p w14:paraId="2282B64C">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2.4.3对</w:t>
      </w: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的授权范围：</w:t>
      </w:r>
      <w:r>
        <w:rPr>
          <w:rFonts w:hint="eastAsia" w:ascii="宋体" w:hAnsi="宋体" w:eastAsia="宋体" w:cs="宋体"/>
          <w:b w:val="0"/>
          <w:bCs w:val="0"/>
          <w:color w:val="auto"/>
          <w:sz w:val="24"/>
          <w:szCs w:val="24"/>
          <w:highlight w:val="none"/>
          <w:u w:val="single"/>
        </w:rPr>
        <w:t>委托人不授权</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独立处理委托人与承包人所签订的合同的变更事宜，有关工程延期和（或）工程变更的任何事项，</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需书面请示委托人并取得委托人书面批准后，方可向承包人发布变更通知</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input567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6CADEAAB">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在涉及工程延期</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AUTOTEXT  input568 \* MERGEFORMAT </w:instrText>
      </w:r>
      <w:r>
        <w:rPr>
          <w:rFonts w:hint="eastAsia" w:ascii="宋体" w:hAnsi="宋体" w:eastAsia="宋体" w:cs="宋体"/>
          <w:b w:val="0"/>
          <w:bCs w:val="0"/>
          <w:color w:val="auto"/>
          <w:sz w:val="24"/>
          <w:szCs w:val="24"/>
          <w:highlight w:val="none"/>
          <w:u w:val="none"/>
        </w:rPr>
        <w:fldChar w:fldCharType="separate"/>
      </w:r>
      <w:r>
        <w:rPr>
          <w:rFonts w:hint="eastAsia" w:ascii="宋体" w:hAnsi="宋体" w:eastAsia="宋体" w:cs="宋体"/>
          <w:b w:val="0"/>
          <w:bCs w:val="0"/>
          <w:color w:val="auto"/>
          <w:sz w:val="24"/>
          <w:szCs w:val="24"/>
          <w:highlight w:val="none"/>
          <w:u w:val="none"/>
        </w:rPr>
        <w:fldChar w:fldCharType="end"/>
      </w:r>
      <w:r>
        <w:rPr>
          <w:rFonts w:hint="eastAsia" w:ascii="宋体" w:hAnsi="宋体" w:eastAsia="宋体" w:cs="宋体"/>
          <w:b w:val="0"/>
          <w:bCs w:val="0"/>
          <w:color w:val="auto"/>
          <w:sz w:val="24"/>
          <w:szCs w:val="24"/>
          <w:highlight w:val="none"/>
          <w:u w:val="none"/>
        </w:rPr>
        <w:t>天内和（或）金额</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AUTOTEXT  input569 \* MERGEFORMAT </w:instrText>
      </w:r>
      <w:r>
        <w:rPr>
          <w:rFonts w:hint="eastAsia" w:ascii="宋体" w:hAnsi="宋体" w:eastAsia="宋体" w:cs="宋体"/>
          <w:b w:val="0"/>
          <w:bCs w:val="0"/>
          <w:color w:val="auto"/>
          <w:sz w:val="24"/>
          <w:szCs w:val="24"/>
          <w:highlight w:val="none"/>
          <w:u w:val="none"/>
        </w:rPr>
        <w:fldChar w:fldCharType="separate"/>
      </w:r>
      <w:r>
        <w:rPr>
          <w:rFonts w:hint="eastAsia" w:ascii="宋体" w:hAnsi="宋体" w:eastAsia="宋体" w:cs="宋体"/>
          <w:b w:val="0"/>
          <w:bCs w:val="0"/>
          <w:color w:val="auto"/>
          <w:sz w:val="24"/>
          <w:szCs w:val="24"/>
          <w:highlight w:val="none"/>
          <w:u w:val="none"/>
        </w:rPr>
        <w:fldChar w:fldCharType="end"/>
      </w:r>
      <w:r>
        <w:rPr>
          <w:rFonts w:hint="eastAsia" w:ascii="宋体" w:hAnsi="宋体" w:eastAsia="宋体" w:cs="宋体"/>
          <w:b w:val="0"/>
          <w:bCs w:val="0"/>
          <w:color w:val="auto"/>
          <w:sz w:val="24"/>
          <w:szCs w:val="24"/>
          <w:highlight w:val="none"/>
          <w:u w:val="none"/>
        </w:rPr>
        <w:t>万元内的变更，</w:t>
      </w: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不需请示委托人即可向承包人发布变更通知。</w:t>
      </w:r>
    </w:p>
    <w:p w14:paraId="7FED03EE">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2.4.4</w:t>
      </w: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有权要求承包人调换其人员的限制条件：</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须事先取得委托人的书面同意后，方可指令承包人调换其人员</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input570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570392E7">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2.5提交报告</w:t>
      </w:r>
    </w:p>
    <w:p w14:paraId="69640DB2">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应提交报告的种类（包括监理规划、监理月报及约定的专项报告）、时间和份数：</w:t>
      </w:r>
    </w:p>
    <w:p w14:paraId="1B3907DB">
      <w:pPr>
        <w:adjustRightInd w:val="0"/>
        <w:snapToGrid w:val="0"/>
        <w:spacing w:line="360" w:lineRule="auto"/>
        <w:ind w:firstLine="480" w:firstLineChars="200"/>
        <w:jc w:val="left"/>
        <w:rPr>
          <w:rFonts w:ascii="宋体" w:hAnsi="宋体"/>
          <w:b w:val="0"/>
          <w:bCs w:val="0"/>
          <w:snapToGrid w:val="0"/>
          <w:color w:val="auto"/>
          <w:kern w:val="0"/>
          <w:szCs w:val="21"/>
          <w:highlight w:val="none"/>
          <w:u w:val="single"/>
        </w:rPr>
      </w:pPr>
      <w:r>
        <w:rPr>
          <w:rFonts w:hint="eastAsia" w:ascii="宋体" w:hAnsi="宋体" w:eastAsia="宋体" w:cs="宋体"/>
          <w:b w:val="0"/>
          <w:bCs w:val="0"/>
          <w:color w:val="auto"/>
          <w:sz w:val="24"/>
          <w:szCs w:val="24"/>
          <w:highlight w:val="none"/>
          <w:u w:val="single"/>
        </w:rPr>
        <w:t>⑴ 监理规划（细则），在合同生效后第一次工地会议7天前报委托人，份数为2份；⑵ 监理周报，在每周五上午报送委托人，份数为2份；⑶ 专项报告，按相关要求报送；⑷每周工程例会记录或相关专题会议记录，在会议结束后2个日历天内整理完毕并发至参会单位。</w:t>
      </w:r>
      <w:r>
        <w:rPr>
          <w:rFonts w:ascii="宋体" w:hAnsi="宋体"/>
          <w:b w:val="0"/>
          <w:bCs w:val="0"/>
          <w:snapToGrid w:val="0"/>
          <w:color w:val="auto"/>
          <w:kern w:val="0"/>
          <w:szCs w:val="21"/>
          <w:highlight w:val="none"/>
          <w:u w:val="single"/>
        </w:rPr>
        <w:fldChar w:fldCharType="begin"/>
      </w:r>
      <w:r>
        <w:rPr>
          <w:rFonts w:ascii="宋体" w:hAnsi="宋体"/>
          <w:b w:val="0"/>
          <w:bCs w:val="0"/>
          <w:snapToGrid w:val="0"/>
          <w:color w:val="auto"/>
          <w:kern w:val="0"/>
          <w:szCs w:val="21"/>
          <w:highlight w:val="none"/>
          <w:u w:val="single"/>
        </w:rPr>
        <w:instrText xml:space="preserve"> AUTOTEXT  input571 \* MERGEFORMAT </w:instrText>
      </w:r>
      <w:r>
        <w:rPr>
          <w:rFonts w:ascii="宋体" w:hAnsi="宋体"/>
          <w:b w:val="0"/>
          <w:bCs w:val="0"/>
          <w:snapToGrid w:val="0"/>
          <w:color w:val="auto"/>
          <w:kern w:val="0"/>
          <w:szCs w:val="21"/>
          <w:highlight w:val="none"/>
          <w:u w:val="single"/>
        </w:rPr>
        <w:fldChar w:fldCharType="separate"/>
      </w:r>
      <w:r>
        <w:rPr>
          <w:rFonts w:ascii="宋体" w:hAnsi="宋体"/>
          <w:b w:val="0"/>
          <w:bCs w:val="0"/>
          <w:snapToGrid w:val="0"/>
          <w:color w:val="auto"/>
          <w:kern w:val="0"/>
          <w:szCs w:val="21"/>
          <w:highlight w:val="none"/>
          <w:u w:val="single"/>
        </w:rPr>
        <w:fldChar w:fldCharType="end"/>
      </w:r>
    </w:p>
    <w:p w14:paraId="2431C6B3">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2.7 使用委托人的财产</w:t>
      </w:r>
    </w:p>
    <w:p w14:paraId="7651BC3F">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rPr>
        <w:t>委托人无偿提供的房屋、设备的所有权属于：</w:t>
      </w:r>
      <w:r>
        <w:rPr>
          <w:rFonts w:hint="eastAsia" w:ascii="宋体" w:hAnsi="宋体" w:eastAsia="宋体" w:cs="宋体"/>
          <w:b w:val="0"/>
          <w:bCs w:val="0"/>
          <w:color w:val="auto"/>
          <w:kern w:val="18"/>
          <w:sz w:val="24"/>
          <w:szCs w:val="24"/>
          <w:u w:val="single"/>
        </w:rPr>
        <w:t>委托人</w:t>
      </w:r>
      <w:r>
        <w:rPr>
          <w:rFonts w:hint="eastAsia" w:ascii="宋体" w:hAnsi="宋体" w:eastAsia="宋体" w:cs="宋体"/>
          <w:b w:val="0"/>
          <w:bCs w:val="0"/>
          <w:color w:val="auto"/>
          <w:sz w:val="24"/>
          <w:szCs w:val="24"/>
        </w:rPr>
        <w:t>。监理人应在本合同终止后</w:t>
      </w:r>
      <w:r>
        <w:rPr>
          <w:rFonts w:hint="eastAsia" w:ascii="宋体" w:hAnsi="宋体" w:eastAsia="宋体" w:cs="宋体"/>
          <w:b w:val="0"/>
          <w:bCs w:val="0"/>
          <w:color w:val="auto"/>
          <w:kern w:val="18"/>
          <w:sz w:val="24"/>
          <w:szCs w:val="24"/>
          <w:u w:val="single"/>
        </w:rPr>
        <w:t xml:space="preserve">90 </w:t>
      </w:r>
      <w:r>
        <w:rPr>
          <w:rFonts w:hint="eastAsia" w:ascii="宋体" w:hAnsi="宋体" w:eastAsia="宋体" w:cs="宋体"/>
          <w:b w:val="0"/>
          <w:bCs w:val="0"/>
          <w:color w:val="auto"/>
          <w:sz w:val="24"/>
          <w:szCs w:val="24"/>
        </w:rPr>
        <w:t>天内移交委托人无偿提供的房屋、设备。</w:t>
      </w:r>
    </w:p>
    <w:p w14:paraId="33DF0236">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rPr>
      </w:pPr>
      <w:bookmarkStart w:id="75" w:name="_Toc429184013"/>
      <w:bookmarkStart w:id="76" w:name="_Toc429304409"/>
      <w:r>
        <w:rPr>
          <w:rFonts w:hint="eastAsia" w:ascii="宋体" w:hAnsi="宋体" w:eastAsia="宋体" w:cs="宋体"/>
          <w:b w:val="0"/>
          <w:bCs w:val="0"/>
          <w:color w:val="auto"/>
          <w:sz w:val="24"/>
          <w:szCs w:val="24"/>
          <w:highlight w:val="none"/>
        </w:rPr>
        <w:t>3 委托人义务</w:t>
      </w:r>
      <w:bookmarkEnd w:id="74"/>
      <w:bookmarkEnd w:id="75"/>
      <w:bookmarkEnd w:id="76"/>
    </w:p>
    <w:p w14:paraId="41B2E9E1">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 xml:space="preserve">6 </w:t>
      </w:r>
      <w:r>
        <w:rPr>
          <w:rFonts w:hint="eastAsia" w:ascii="宋体" w:hAnsi="宋体" w:eastAsia="宋体" w:cs="宋体"/>
          <w:b w:val="0"/>
          <w:bCs w:val="0"/>
          <w:color w:val="auto"/>
          <w:kern w:val="18"/>
          <w:sz w:val="24"/>
          <w:szCs w:val="24"/>
          <w:highlight w:val="none"/>
        </w:rPr>
        <w:t>答复</w:t>
      </w:r>
    </w:p>
    <w:p w14:paraId="7F026849">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委托人同意在</w:t>
      </w:r>
      <w:r>
        <w:rPr>
          <w:rFonts w:hint="eastAsia" w:ascii="宋体" w:hAnsi="宋体" w:eastAsia="宋体" w:cs="宋体"/>
          <w:b w:val="0"/>
          <w:bCs w:val="0"/>
          <w:color w:val="auto"/>
          <w:kern w:val="18"/>
          <w:sz w:val="24"/>
          <w:szCs w:val="24"/>
          <w:highlight w:val="none"/>
          <w:u w:val="single"/>
        </w:rPr>
        <w:t>10</w:t>
      </w:r>
      <w:r>
        <w:rPr>
          <w:rFonts w:hint="eastAsia" w:ascii="宋体" w:hAnsi="宋体" w:eastAsia="宋体" w:cs="宋体"/>
          <w:b w:val="0"/>
          <w:bCs w:val="0"/>
          <w:color w:val="auto"/>
          <w:sz w:val="24"/>
          <w:szCs w:val="24"/>
          <w:highlight w:val="none"/>
        </w:rPr>
        <w:t>天内，对监理人书面提交并要求做出决定的事宜给予书面答复。</w:t>
      </w:r>
    </w:p>
    <w:p w14:paraId="05865AFF">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rPr>
      </w:pPr>
      <w:bookmarkStart w:id="77" w:name="_Toc429184014"/>
      <w:bookmarkStart w:id="78" w:name="_Toc327891456"/>
      <w:bookmarkStart w:id="79" w:name="_Toc429304410"/>
      <w:r>
        <w:rPr>
          <w:rFonts w:hint="eastAsia" w:ascii="宋体" w:hAnsi="宋体" w:eastAsia="宋体" w:cs="宋体"/>
          <w:b w:val="0"/>
          <w:bCs w:val="0"/>
          <w:color w:val="auto"/>
          <w:sz w:val="24"/>
          <w:szCs w:val="24"/>
          <w:highlight w:val="none"/>
        </w:rPr>
        <w:t>4 违约责任</w:t>
      </w:r>
      <w:bookmarkEnd w:id="77"/>
      <w:bookmarkEnd w:id="78"/>
      <w:bookmarkEnd w:id="79"/>
    </w:p>
    <w:p w14:paraId="11C5CADF">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4.1 监理人的违约责任</w:t>
      </w:r>
    </w:p>
    <w:p w14:paraId="3B34E80F">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4.1.1监理人赔偿金额按下列方法确定：</w:t>
      </w:r>
    </w:p>
    <w:p w14:paraId="45713BF9">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赔偿金＝直接经济损失×正常工作酬金÷工程概算投资额（或建筑安装工程费）</w:t>
      </w:r>
    </w:p>
    <w:p w14:paraId="0BCE5F2C">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4.2 委托人的违约责任</w:t>
      </w:r>
    </w:p>
    <w:p w14:paraId="2220BE02">
      <w:pPr>
        <w:pStyle w:val="52"/>
        <w:spacing w:before="20" w:after="20" w:line="560" w:lineRule="exact"/>
        <w:ind w:left="0" w:leftChars="0" w:firstLine="480" w:firstLineChars="200"/>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2"/>
          <w:sz w:val="24"/>
          <w:szCs w:val="24"/>
          <w:u w:val="none"/>
        </w:rPr>
        <w:t>4.2.2 委托人向监理人的索赔不成立时，应赔偿监理人由此引起的费用</w:t>
      </w:r>
      <w:r>
        <w:rPr>
          <w:rFonts w:hint="eastAsia" w:ascii="宋体" w:hAnsi="宋体" w:eastAsia="宋体" w:cs="宋体"/>
          <w:b w:val="0"/>
          <w:bCs w:val="0"/>
          <w:color w:val="auto"/>
          <w:kern w:val="2"/>
          <w:sz w:val="24"/>
          <w:szCs w:val="24"/>
          <w:u w:val="none"/>
          <w:lang w:eastAsia="zh-CN"/>
        </w:rPr>
        <w:t>：</w:t>
      </w:r>
      <w:r>
        <w:rPr>
          <w:rFonts w:hint="eastAsia" w:ascii="宋体" w:hAnsi="宋体" w:eastAsia="宋体" w:cs="宋体"/>
          <w:b w:val="0"/>
          <w:bCs w:val="0"/>
          <w:color w:val="auto"/>
          <w:kern w:val="2"/>
          <w:sz w:val="24"/>
          <w:szCs w:val="24"/>
          <w:u w:val="single"/>
          <w:lang w:val="en-US" w:eastAsia="zh-CN"/>
        </w:rPr>
        <w:t>/</w:t>
      </w:r>
      <w:r>
        <w:rPr>
          <w:rFonts w:hint="eastAsia" w:ascii="宋体" w:hAnsi="宋体" w:eastAsia="宋体" w:cs="宋体"/>
          <w:b w:val="0"/>
          <w:bCs w:val="0"/>
          <w:color w:val="auto"/>
          <w:kern w:val="2"/>
          <w:sz w:val="24"/>
          <w:szCs w:val="24"/>
          <w:u w:val="single"/>
          <w:lang w:val="en-US" w:eastAsia="zh-CN"/>
        </w:rPr>
        <w:tab/>
      </w:r>
      <w:r>
        <w:rPr>
          <w:rFonts w:hint="eastAsia" w:ascii="宋体" w:hAnsi="宋体" w:eastAsia="宋体" w:cs="宋体"/>
          <w:b w:val="0"/>
          <w:bCs w:val="0"/>
          <w:color w:val="auto"/>
          <w:kern w:val="2"/>
          <w:sz w:val="24"/>
          <w:szCs w:val="24"/>
          <w:u w:val="none"/>
        </w:rPr>
        <w:t>。</w:t>
      </w:r>
    </w:p>
    <w:p w14:paraId="7EA0F769">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4.2.3 委托人逾期付款利息按下列方法确定：</w:t>
      </w:r>
    </w:p>
    <w:p w14:paraId="1819F499">
      <w:pPr>
        <w:pageBreakBefore w:val="0"/>
        <w:kinsoku/>
        <w:overflowPunct/>
        <w:topLinePunct/>
        <w:bidi w:val="0"/>
        <w:spacing w:line="560" w:lineRule="exact"/>
        <w:ind w:firstLine="480" w:firstLineChars="200"/>
        <w:textAlignment w:val="auto"/>
        <w:rPr>
          <w:rFonts w:hint="eastAsia" w:ascii="宋体" w:hAnsi="宋体" w:eastAsia="宋体" w:cs="宋体"/>
          <w:b w:val="0"/>
          <w:bCs w:val="0"/>
          <w:color w:val="auto"/>
          <w:kern w:val="2"/>
          <w:sz w:val="24"/>
          <w:szCs w:val="24"/>
          <w:u w:val="single"/>
          <w:lang w:val="en-US" w:eastAsia="zh-CN"/>
        </w:rPr>
      </w:pPr>
      <w:r>
        <w:rPr>
          <w:rFonts w:hint="eastAsia" w:ascii="宋体" w:hAnsi="宋体" w:eastAsia="宋体" w:cs="宋体"/>
          <w:b w:val="0"/>
          <w:bCs w:val="0"/>
          <w:color w:val="auto"/>
          <w:kern w:val="2"/>
          <w:sz w:val="24"/>
          <w:szCs w:val="24"/>
          <w:u w:val="single"/>
          <w:lang w:val="en-US" w:eastAsia="zh-CN"/>
        </w:rPr>
        <w:t>/</w:t>
      </w:r>
    </w:p>
    <w:p w14:paraId="7C94BA63">
      <w:pPr>
        <w:pageBreakBefore w:val="0"/>
        <w:kinsoku/>
        <w:overflowPunct/>
        <w:topLinePunct/>
        <w:bidi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4.3 其他 </w:t>
      </w:r>
    </w:p>
    <w:p w14:paraId="5D530882">
      <w:pPr>
        <w:pageBreakBefore w:val="0"/>
        <w:kinsoku/>
        <w:overflowPunct/>
        <w:bidi w:val="0"/>
        <w:adjustRightInd w:val="0"/>
        <w:snapToGrid w:val="0"/>
        <w:spacing w:line="560" w:lineRule="exact"/>
        <w:ind w:firstLine="480" w:firstLineChars="200"/>
        <w:textAlignment w:val="auto"/>
        <w:rPr>
          <w:rFonts w:hint="eastAsia"/>
          <w:b w:val="0"/>
          <w:bCs w:val="0"/>
          <w:color w:val="auto"/>
        </w:rPr>
      </w:pPr>
      <w:bookmarkStart w:id="80" w:name="_Toc429184015"/>
      <w:bookmarkStart w:id="81" w:name="_Toc327891457"/>
      <w:bookmarkStart w:id="82" w:name="_Toc429304411"/>
      <w:r>
        <w:rPr>
          <w:rFonts w:hint="eastAsia" w:ascii="宋体" w:hAnsi="宋体" w:eastAsia="宋体" w:cs="宋体"/>
          <w:b w:val="0"/>
          <w:bCs w:val="0"/>
          <w:color w:val="auto"/>
          <w:sz w:val="24"/>
          <w:szCs w:val="24"/>
          <w:lang w:val="en-US" w:eastAsia="zh-CN"/>
        </w:rPr>
        <w:t>4.3.3</w:t>
      </w:r>
      <w:r>
        <w:rPr>
          <w:rFonts w:hint="eastAsia" w:ascii="宋体" w:hAnsi="宋体" w:eastAsia="宋体" w:cs="宋体"/>
          <w:b w:val="0"/>
          <w:bCs w:val="0"/>
          <w:color w:val="auto"/>
          <w:sz w:val="24"/>
          <w:szCs w:val="24"/>
        </w:rPr>
        <w:t>监理审核后的施工阶段（包括预算、变更等）、结算阶段的造价成果文件，经政府审计部门</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造价部门或甲方</w:t>
      </w:r>
      <w:r>
        <w:rPr>
          <w:rFonts w:hint="eastAsia" w:ascii="宋体" w:hAnsi="宋体" w:eastAsia="宋体" w:cs="宋体"/>
          <w:b w:val="0"/>
          <w:bCs w:val="0"/>
          <w:color w:val="auto"/>
          <w:sz w:val="24"/>
          <w:szCs w:val="24"/>
        </w:rPr>
        <w:t>审核后，核减率超过±5%的，将扣除监理服务费用：</w:t>
      </w:r>
      <w:r>
        <w:rPr>
          <w:rFonts w:hint="eastAsia" w:ascii="宋体" w:hAnsi="宋体" w:eastAsia="宋体" w:cs="宋体"/>
          <w:b w:val="0"/>
          <w:bCs w:val="0"/>
          <w:color w:val="auto"/>
          <w:sz w:val="24"/>
          <w:szCs w:val="24"/>
          <w:u w:val="single"/>
          <w:lang w:val="en-US" w:eastAsia="zh-CN"/>
        </w:rPr>
        <w:t>每次支付超过部分金额的5%作为违约金。</w:t>
      </w:r>
    </w:p>
    <w:p w14:paraId="3A156C25">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val="0"/>
          <w:bCs w:val="0"/>
          <w:color w:val="auto"/>
          <w:sz w:val="24"/>
          <w:szCs w:val="24"/>
          <w:highlight w:val="none"/>
          <w:lang w:val="en-US" w:eastAsia="zh-CN"/>
        </w:rPr>
        <w:t>5监理服务酬金的计取与支付</w:t>
      </w:r>
      <w:bookmarkEnd w:id="80"/>
      <w:bookmarkEnd w:id="81"/>
      <w:bookmarkEnd w:id="82"/>
    </w:p>
    <w:p w14:paraId="0C2AC404">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5.1 酬金计取</w:t>
      </w:r>
    </w:p>
    <w:p w14:paraId="21DEF4B2">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根据《国家发改委关于进一步放开建设项目专业服务价格的通知》（发改价格〔2015〕299号），工程监理取费采用市场定价原则。</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rPr>
        <w:t>参照国家发展改革委、建设部联合发布的《工程监理与相关服务收费管理规定》（发改价格[2007]670号）文件。</w:t>
      </w:r>
    </w:p>
    <w:p w14:paraId="4DBCEC27">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本合同</w:t>
      </w:r>
      <w:r>
        <w:rPr>
          <w:rFonts w:hint="eastAsia" w:ascii="宋体" w:hAnsi="宋体" w:eastAsia="宋体" w:cs="宋体"/>
          <w:b w:val="0"/>
          <w:bCs w:val="0"/>
          <w:color w:val="auto"/>
          <w:sz w:val="24"/>
          <w:szCs w:val="24"/>
          <w:highlight w:val="none"/>
        </w:rPr>
        <w:t>监理服务（含</w:t>
      </w:r>
      <w:r>
        <w:rPr>
          <w:rFonts w:hint="eastAsia" w:ascii="宋体" w:hAnsi="宋体" w:eastAsia="宋体" w:cs="宋体"/>
          <w:b w:val="0"/>
          <w:bCs w:val="0"/>
          <w:color w:val="auto"/>
          <w:sz w:val="24"/>
          <w:szCs w:val="24"/>
          <w:highlight w:val="none"/>
          <w:lang w:eastAsia="zh-CN"/>
        </w:rPr>
        <w:t>保修阶段</w:t>
      </w:r>
      <w:r>
        <w:rPr>
          <w:rFonts w:hint="eastAsia" w:ascii="宋体" w:hAnsi="宋体" w:eastAsia="宋体" w:cs="宋体"/>
          <w:b w:val="0"/>
          <w:bCs w:val="0"/>
          <w:color w:val="auto"/>
          <w:sz w:val="24"/>
          <w:szCs w:val="24"/>
          <w:highlight w:val="none"/>
        </w:rPr>
        <w:t>）酬金</w:t>
      </w:r>
      <w:r>
        <w:rPr>
          <w:rFonts w:hint="eastAsia" w:ascii="宋体" w:hAnsi="宋体" w:eastAsia="宋体" w:cs="宋体"/>
          <w:b w:val="0"/>
          <w:bCs w:val="0"/>
          <w:color w:val="auto"/>
          <w:sz w:val="24"/>
          <w:szCs w:val="24"/>
          <w:highlight w:val="none"/>
          <w:lang w:eastAsia="zh-CN"/>
        </w:rPr>
        <w:t>暂定</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万元</w:t>
      </w:r>
      <w:r>
        <w:rPr>
          <w:rFonts w:hint="eastAsia" w:ascii="宋体" w:hAnsi="宋体" w:eastAsia="宋体" w:cs="宋体"/>
          <w:b w:val="0"/>
          <w:bCs w:val="0"/>
          <w:color w:val="auto"/>
          <w:sz w:val="24"/>
          <w:szCs w:val="24"/>
          <w:highlight w:val="none"/>
          <w:lang w:eastAsia="zh-CN"/>
        </w:rPr>
        <w:t>，该费用以</w:t>
      </w:r>
      <w:r>
        <w:rPr>
          <w:rFonts w:hint="eastAsia" w:ascii="宋体" w:hAnsi="宋体" w:eastAsia="宋体" w:cs="宋体"/>
          <w:b w:val="0"/>
          <w:bCs w:val="0"/>
          <w:color w:val="auto"/>
          <w:sz w:val="24"/>
          <w:szCs w:val="24"/>
          <w:highlight w:val="none"/>
          <w:lang w:val="en-US" w:eastAsia="zh-CN"/>
        </w:rPr>
        <w:t>估算建筑安装工程费</w:t>
      </w:r>
      <w:r>
        <w:rPr>
          <w:rFonts w:hint="eastAsia" w:ascii="宋体" w:hAnsi="宋体" w:eastAsia="宋体" w:cs="宋体"/>
          <w:b w:val="0"/>
          <w:bCs w:val="0"/>
          <w:color w:val="auto"/>
          <w:sz w:val="24"/>
          <w:szCs w:val="24"/>
          <w:highlight w:val="none"/>
          <w:u w:val="single"/>
          <w:lang w:val="en-US" w:eastAsia="zh-CN"/>
        </w:rPr>
        <w:t>336</w:t>
      </w:r>
      <w:r>
        <w:rPr>
          <w:rFonts w:hint="eastAsia" w:ascii="宋体" w:hAnsi="宋体" w:eastAsia="宋体" w:cs="宋体"/>
          <w:b w:val="0"/>
          <w:bCs w:val="0"/>
          <w:color w:val="auto"/>
          <w:sz w:val="24"/>
          <w:szCs w:val="24"/>
          <w:highlight w:val="none"/>
        </w:rPr>
        <w:t>万元为基准</w:t>
      </w:r>
      <w:r>
        <w:rPr>
          <w:rFonts w:hint="eastAsia" w:ascii="宋体" w:hAnsi="宋体" w:eastAsia="宋体" w:cs="宋体"/>
          <w:b w:val="0"/>
          <w:bCs w:val="0"/>
          <w:color w:val="auto"/>
          <w:sz w:val="24"/>
          <w:szCs w:val="24"/>
          <w:highlight w:val="none"/>
          <w:lang w:eastAsia="zh-CN"/>
        </w:rPr>
        <w:t>计取</w:t>
      </w:r>
      <w:r>
        <w:rPr>
          <w:rFonts w:hint="eastAsia" w:ascii="宋体" w:hAnsi="宋体" w:eastAsia="宋体" w:cs="宋体"/>
          <w:b w:val="0"/>
          <w:bCs w:val="0"/>
          <w:color w:val="auto"/>
          <w:sz w:val="24"/>
          <w:szCs w:val="24"/>
          <w:highlight w:val="none"/>
        </w:rPr>
        <w:t>。</w:t>
      </w:r>
    </w:p>
    <w:p w14:paraId="654F7CF6">
      <w:pPr>
        <w:pageBreakBefore w:val="0"/>
        <w:kinsoku/>
        <w:overflowPunct/>
        <w:bidi w:val="0"/>
        <w:spacing w:line="560" w:lineRule="exact"/>
        <w:ind w:firstLine="480" w:firstLineChars="200"/>
        <w:textAlignment w:val="auto"/>
        <w:rPr>
          <w:rFonts w:hint="default" w:ascii="宋体" w:hAnsi="宋体" w:eastAsia="宋体" w:cs="宋体"/>
          <w:b w:val="0"/>
          <w:bCs w:val="0"/>
          <w:color w:val="auto"/>
          <w:sz w:val="24"/>
          <w:szCs w:val="24"/>
          <w:highlight w:val="none"/>
          <w:lang w:eastAsia="zh-CN"/>
        </w:rPr>
      </w:pPr>
      <w:r>
        <w:rPr>
          <w:rFonts w:hint="default" w:ascii="宋体" w:hAnsi="宋体" w:eastAsia="宋体" w:cs="宋体"/>
          <w:b w:val="0"/>
          <w:bCs w:val="0"/>
          <w:color w:val="auto"/>
          <w:sz w:val="24"/>
          <w:szCs w:val="24"/>
          <w:highlight w:val="none"/>
          <w:lang w:eastAsia="zh-CN"/>
        </w:rPr>
        <w:t>计算过程如下：</w:t>
      </w:r>
    </w:p>
    <w:p w14:paraId="2E199C51">
      <w:pPr>
        <w:pageBreakBefore w:val="0"/>
        <w:kinsoku/>
        <w:overflowPunct/>
        <w:bidi w:val="0"/>
        <w:spacing w:line="56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eastAsia="zh-CN"/>
        </w:rPr>
        <w:t>监理服务酬金暂定</w:t>
      </w:r>
      <w:r>
        <w:rPr>
          <w:rFonts w:hint="default" w:ascii="宋体" w:hAnsi="宋体" w:eastAsia="宋体" w:cs="宋体"/>
          <w:b w:val="0"/>
          <w:bCs w:val="0"/>
          <w:color w:val="auto"/>
          <w:sz w:val="24"/>
          <w:szCs w:val="24"/>
          <w:highlight w:val="none"/>
          <w:lang w:val="en-US" w:eastAsia="zh-CN"/>
        </w:rPr>
        <w:t>(含保修阶段）</w:t>
      </w:r>
      <w:r>
        <w:rPr>
          <w:rFonts w:hint="default"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u w:val="single"/>
          <w:lang w:val="en-US" w:eastAsia="zh-CN"/>
        </w:rPr>
        <w:t xml:space="preserve">   万元    </w:t>
      </w:r>
      <w:r>
        <w:rPr>
          <w:rFonts w:hint="eastAsia" w:ascii="宋体" w:hAnsi="宋体" w:eastAsia="宋体" w:cs="宋体"/>
          <w:b w:val="0"/>
          <w:bCs w:val="0"/>
          <w:color w:val="auto"/>
          <w:sz w:val="24"/>
          <w:szCs w:val="24"/>
          <w:highlight w:val="none"/>
          <w:lang w:val="en-US" w:eastAsia="zh-CN"/>
        </w:rPr>
        <w:t xml:space="preserve">      </w:t>
      </w:r>
    </w:p>
    <w:p w14:paraId="25B916FF">
      <w:pPr>
        <w:pageBreakBefore w:val="0"/>
        <w:kinsoku/>
        <w:overflowPunct/>
        <w:bidi w:val="0"/>
        <w:spacing w:line="560" w:lineRule="exact"/>
        <w:ind w:firstLine="480" w:firstLineChars="200"/>
        <w:textAlignment w:val="auto"/>
        <w:rPr>
          <w:rFonts w:hint="default" w:ascii="宋体" w:hAnsi="宋体" w:eastAsia="宋体" w:cs="宋体"/>
          <w:b w:val="0"/>
          <w:bCs w:val="0"/>
          <w:color w:val="auto"/>
          <w:sz w:val="24"/>
          <w:szCs w:val="24"/>
          <w:highlight w:val="none"/>
          <w:lang w:eastAsia="zh-CN"/>
        </w:rPr>
      </w:pPr>
      <w:r>
        <w:rPr>
          <w:rFonts w:hint="default" w:ascii="宋体" w:hAnsi="宋体" w:eastAsia="宋体" w:cs="宋体"/>
          <w:b w:val="0"/>
          <w:bCs w:val="0"/>
          <w:color w:val="auto"/>
          <w:sz w:val="24"/>
          <w:szCs w:val="24"/>
          <w:highlight w:val="none"/>
          <w:lang w:eastAsia="zh-CN"/>
        </w:rPr>
        <w:t>本项目专业调整系数为</w:t>
      </w:r>
      <w:r>
        <w:rPr>
          <w:rFonts w:hint="eastAsia" w:ascii="宋体" w:hAnsi="宋体" w:eastAsia="宋体" w:cs="宋体"/>
          <w:b w:val="0"/>
          <w:bCs w:val="0"/>
          <w:color w:val="auto"/>
          <w:sz w:val="24"/>
          <w:szCs w:val="24"/>
          <w:highlight w:val="none"/>
          <w:u w:val="single"/>
          <w:lang w:val="en-US" w:eastAsia="zh-CN"/>
        </w:rPr>
        <w:t>1</w:t>
      </w:r>
      <w:r>
        <w:rPr>
          <w:rFonts w:hint="default" w:ascii="宋体" w:hAnsi="宋体" w:eastAsia="宋体" w:cs="宋体"/>
          <w:b w:val="0"/>
          <w:bCs w:val="0"/>
          <w:color w:val="auto"/>
          <w:sz w:val="24"/>
          <w:szCs w:val="24"/>
          <w:highlight w:val="none"/>
          <w:lang w:eastAsia="zh-CN"/>
        </w:rPr>
        <w:t>，工程复杂程度调整系数为</w:t>
      </w:r>
      <w:r>
        <w:rPr>
          <w:rFonts w:hint="eastAsia" w:ascii="宋体" w:hAnsi="宋体" w:eastAsia="宋体" w:cs="宋体"/>
          <w:b w:val="0"/>
          <w:bCs w:val="0"/>
          <w:color w:val="auto"/>
          <w:sz w:val="24"/>
          <w:szCs w:val="24"/>
          <w:highlight w:val="none"/>
          <w:u w:val="single"/>
          <w:lang w:val="en-US" w:eastAsia="zh-CN"/>
        </w:rPr>
        <w:t>0.85</w:t>
      </w:r>
      <w:r>
        <w:rPr>
          <w:rFonts w:hint="default" w:ascii="宋体" w:hAnsi="宋体" w:eastAsia="宋体" w:cs="宋体"/>
          <w:b w:val="0"/>
          <w:bCs w:val="0"/>
          <w:color w:val="auto"/>
          <w:sz w:val="24"/>
          <w:szCs w:val="24"/>
          <w:highlight w:val="none"/>
          <w:lang w:eastAsia="zh-CN"/>
        </w:rPr>
        <w:t>，高程调整系数为</w:t>
      </w:r>
      <w:r>
        <w:rPr>
          <w:rFonts w:hint="eastAsia" w:ascii="宋体" w:hAnsi="宋体" w:eastAsia="宋体" w:cs="宋体"/>
          <w:b w:val="0"/>
          <w:bCs w:val="0"/>
          <w:color w:val="auto"/>
          <w:sz w:val="24"/>
          <w:szCs w:val="24"/>
          <w:highlight w:val="none"/>
          <w:u w:val="single"/>
          <w:lang w:val="en-US" w:eastAsia="zh-CN"/>
        </w:rPr>
        <w:t>1</w:t>
      </w:r>
      <w:r>
        <w:rPr>
          <w:rFonts w:hint="default" w:ascii="宋体" w:hAnsi="宋体" w:eastAsia="宋体" w:cs="宋体"/>
          <w:b w:val="0"/>
          <w:bCs w:val="0"/>
          <w:color w:val="auto"/>
          <w:sz w:val="24"/>
          <w:szCs w:val="24"/>
          <w:highlight w:val="none"/>
          <w:lang w:eastAsia="zh-CN"/>
        </w:rPr>
        <w:t>。</w:t>
      </w:r>
    </w:p>
    <w:p w14:paraId="25FAA8F6">
      <w:pPr>
        <w:pageBreakBefore w:val="0"/>
        <w:kinsoku/>
        <w:overflowPunct/>
        <w:bidi w:val="0"/>
        <w:spacing w:line="560" w:lineRule="exact"/>
        <w:ind w:firstLine="480" w:firstLineChars="200"/>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本项目设备购置额占比在40%以上，按照监理收费计费额的有关规定，监理费用计费依据，以项目建安费暂估价的40%作为计费依据，招标控制价为：336万元×40%×（16.5/500）×0.85。 </w:t>
      </w:r>
    </w:p>
    <w:p w14:paraId="2A4D206F">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施工阶段监理费：</w:t>
      </w:r>
      <w:r>
        <w:rPr>
          <w:rFonts w:hint="eastAsia" w:ascii="宋体" w:hAnsi="宋体" w:eastAsia="宋体" w:cs="宋体"/>
          <w:b w:val="0"/>
          <w:bCs w:val="0"/>
          <w:color w:val="auto"/>
          <w:sz w:val="24"/>
          <w:szCs w:val="24"/>
          <w:highlight w:val="none"/>
          <w:u w:val="single"/>
          <w:lang w:val="en-US" w:eastAsia="zh-CN"/>
        </w:rPr>
        <w:t xml:space="preserve">   万元，</w:t>
      </w:r>
    </w:p>
    <w:p w14:paraId="4B442DEC">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保修阶段监理费：</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lang w:val="en-US" w:eastAsia="zh-CN"/>
        </w:rPr>
        <w:t>，</w:t>
      </w:r>
    </w:p>
    <w:p w14:paraId="5B116D38">
      <w:pPr>
        <w:pageBreakBefore w:val="0"/>
        <w:kinsoku/>
        <w:overflowPunct/>
        <w:bidi w:val="0"/>
        <w:spacing w:line="560" w:lineRule="exact"/>
        <w:ind w:firstLine="480" w:firstLineChars="200"/>
        <w:textAlignment w:val="auto"/>
        <w:rPr>
          <w:rFonts w:hint="default" w:ascii="宋体" w:hAnsi="宋体"/>
          <w:b w:val="0"/>
          <w:bCs w:val="0"/>
          <w:color w:val="auto"/>
          <w:sz w:val="21"/>
          <w:szCs w:val="21"/>
        </w:rPr>
      </w:pPr>
      <w:r>
        <w:rPr>
          <w:rFonts w:hint="default" w:ascii="宋体" w:hAnsi="宋体" w:eastAsia="宋体" w:cs="宋体"/>
          <w:b w:val="0"/>
          <w:bCs w:val="0"/>
          <w:color w:val="auto"/>
          <w:sz w:val="24"/>
          <w:szCs w:val="24"/>
          <w:highlight w:val="none"/>
          <w:lang w:eastAsia="zh-CN"/>
        </w:rPr>
        <w:t>最终的工程监理服务酬金按</w:t>
      </w:r>
      <w:r>
        <w:rPr>
          <w:rFonts w:hint="default" w:ascii="宋体" w:hAnsi="宋体" w:eastAsia="宋体" w:cs="宋体"/>
          <w:b w:val="0"/>
          <w:bCs w:val="0"/>
          <w:color w:val="auto"/>
          <w:sz w:val="24"/>
          <w:szCs w:val="24"/>
          <w:highlight w:val="none"/>
          <w:u w:val="single"/>
          <w:lang w:eastAsia="zh-CN"/>
        </w:rPr>
        <w:t>[2007]670号文</w:t>
      </w:r>
      <w:r>
        <w:rPr>
          <w:rFonts w:hint="default" w:ascii="宋体" w:hAnsi="宋体" w:eastAsia="宋体" w:cs="宋体"/>
          <w:b w:val="0"/>
          <w:bCs w:val="0"/>
          <w:color w:val="auto"/>
          <w:sz w:val="24"/>
          <w:szCs w:val="24"/>
          <w:highlight w:val="none"/>
          <w:lang w:eastAsia="zh-CN"/>
        </w:rPr>
        <w:t>固定取费的合同计费方式，以</w:t>
      </w:r>
      <w:r>
        <w:rPr>
          <w:rFonts w:hint="default" w:ascii="宋体" w:hAnsi="宋体" w:eastAsia="宋体" w:cs="宋体"/>
          <w:b w:val="0"/>
          <w:bCs w:val="0"/>
          <w:color w:val="auto"/>
          <w:sz w:val="24"/>
          <w:szCs w:val="24"/>
          <w:highlight w:val="none"/>
          <w:u w:val="single"/>
          <w:lang w:val="en-US" w:eastAsia="zh-CN"/>
        </w:rPr>
        <w:t>施工标段招标控制价的40%</w:t>
      </w:r>
      <w:r>
        <w:rPr>
          <w:rFonts w:hint="default"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lang w:val="en-US" w:eastAsia="zh-CN"/>
        </w:rPr>
        <w:t>结算</w:t>
      </w:r>
      <w:r>
        <w:rPr>
          <w:rFonts w:hint="default" w:ascii="宋体" w:hAnsi="宋体" w:eastAsia="宋体" w:cs="宋体"/>
          <w:b w:val="0"/>
          <w:bCs w:val="0"/>
          <w:color w:val="auto"/>
          <w:sz w:val="24"/>
          <w:szCs w:val="24"/>
          <w:highlight w:val="none"/>
          <w:lang w:eastAsia="zh-CN"/>
        </w:rPr>
        <w:t>基准下浮</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计取</w:t>
      </w:r>
      <w:r>
        <w:rPr>
          <w:rFonts w:hint="default" w:ascii="宋体" w:hAnsi="宋体" w:eastAsia="宋体" w:cs="宋体"/>
          <w:b w:val="0"/>
          <w:bCs w:val="0"/>
          <w:color w:val="auto"/>
          <w:sz w:val="24"/>
          <w:szCs w:val="24"/>
          <w:highlight w:val="none"/>
          <w:lang w:eastAsia="zh-CN"/>
        </w:rPr>
        <w:t>。</w:t>
      </w:r>
    </w:p>
    <w:p w14:paraId="16D87198">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5.2 酬金支付</w:t>
      </w:r>
    </w:p>
    <w:p w14:paraId="72BAF58C">
      <w:pPr>
        <w:pStyle w:val="98"/>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施工阶段监理</w:t>
      </w:r>
      <w:r>
        <w:rPr>
          <w:rFonts w:hint="eastAsia" w:ascii="宋体" w:hAnsi="宋体" w:cs="宋体"/>
          <w:b w:val="0"/>
          <w:bCs w:val="0"/>
          <w:color w:val="auto"/>
          <w:sz w:val="24"/>
          <w:szCs w:val="24"/>
          <w:highlight w:val="none"/>
          <w:lang w:val="en-US" w:eastAsia="zh-CN"/>
        </w:rPr>
        <w:t>费</w:t>
      </w:r>
      <w:r>
        <w:rPr>
          <w:rFonts w:hint="eastAsia" w:ascii="宋体" w:hAnsi="宋体" w:eastAsia="宋体" w:cs="宋体"/>
          <w:b w:val="0"/>
          <w:bCs w:val="0"/>
          <w:color w:val="auto"/>
          <w:sz w:val="24"/>
          <w:szCs w:val="24"/>
          <w:highlight w:val="none"/>
        </w:rPr>
        <w:t>支付方式如下：</w:t>
      </w:r>
      <w:bookmarkStart w:id="83" w:name="_Toc429304412"/>
      <w:bookmarkStart w:id="84" w:name="_Toc429184016"/>
    </w:p>
    <w:p w14:paraId="63B68316">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ascii="宋体" w:hAnsi="宋体" w:eastAsia="宋体" w:cs="Times New Roman"/>
          <w:b w:val="0"/>
          <w:bCs w:val="0"/>
          <w:color w:val="auto"/>
          <w:sz w:val="21"/>
          <w:szCs w:val="21"/>
          <w:highlight w:val="none"/>
          <w:u w:val="single"/>
          <w:lang w:val="en-US" w:eastAsia="zh-CN"/>
        </w:rPr>
      </w:pPr>
      <w:r>
        <w:rPr>
          <w:rFonts w:hint="eastAsia" w:ascii="宋体" w:hAnsi="宋体" w:eastAsia="宋体" w:cs="Times New Roman"/>
          <w:b w:val="0"/>
          <w:bCs w:val="0"/>
          <w:color w:val="auto"/>
          <w:sz w:val="21"/>
          <w:szCs w:val="21"/>
          <w:highlight w:val="none"/>
          <w:u w:val="single"/>
          <w:lang w:val="en-US" w:eastAsia="zh-CN"/>
        </w:rPr>
        <w:t>工程开工15天后，支付监理合同费的30%，</w:t>
      </w:r>
      <w:r>
        <w:rPr>
          <w:rFonts w:hint="default" w:ascii="宋体" w:hAnsi="宋体" w:eastAsia="宋体" w:cs="Times New Roman"/>
          <w:b w:val="0"/>
          <w:bCs w:val="0"/>
          <w:color w:val="auto"/>
          <w:sz w:val="21"/>
          <w:szCs w:val="21"/>
          <w:highlight w:val="none"/>
          <w:u w:val="single"/>
          <w:lang w:val="en-US" w:eastAsia="zh-CN"/>
        </w:rPr>
        <w:t>完成全部施工内容并通过竣工验收后</w:t>
      </w:r>
      <w:r>
        <w:rPr>
          <w:rFonts w:hint="eastAsia" w:ascii="宋体" w:hAnsi="宋体" w:eastAsia="宋体" w:cs="Times New Roman"/>
          <w:b w:val="0"/>
          <w:bCs w:val="0"/>
          <w:color w:val="auto"/>
          <w:sz w:val="21"/>
          <w:szCs w:val="21"/>
          <w:highlight w:val="none"/>
          <w:u w:val="single"/>
          <w:lang w:val="en-US" w:eastAsia="zh-CN"/>
        </w:rPr>
        <w:t>，</w:t>
      </w:r>
      <w:r>
        <w:rPr>
          <w:rStyle w:val="57"/>
          <w:rFonts w:hint="eastAsia" w:ascii="宋体" w:hAnsi="宋体"/>
          <w:b w:val="0"/>
          <w:bCs w:val="0"/>
          <w:color w:val="auto"/>
          <w:szCs w:val="21"/>
          <w:highlight w:val="none"/>
        </w:rPr>
        <w:t>并</w:t>
      </w:r>
      <w:r>
        <w:rPr>
          <w:rStyle w:val="57"/>
          <w:rFonts w:hint="eastAsia" w:ascii="宋体" w:hAnsi="宋体"/>
          <w:b w:val="0"/>
          <w:bCs w:val="0"/>
          <w:color w:val="auto"/>
          <w:szCs w:val="21"/>
          <w:highlight w:val="none"/>
          <w:lang w:val="en-US" w:eastAsia="zh-CN"/>
        </w:rPr>
        <w:t>将所有工程过程资料（包含但不限于工程设计变更资料及其审批表等）归档完毕</w:t>
      </w:r>
      <w:r>
        <w:rPr>
          <w:rFonts w:hint="default" w:ascii="宋体" w:hAnsi="宋体" w:eastAsia="宋体" w:cs="Times New Roman"/>
          <w:b w:val="0"/>
          <w:bCs w:val="0"/>
          <w:color w:val="auto"/>
          <w:sz w:val="21"/>
          <w:szCs w:val="21"/>
          <w:highlight w:val="none"/>
          <w:u w:val="single"/>
          <w:lang w:val="en-US" w:eastAsia="zh-CN"/>
        </w:rPr>
        <w:t>，支付至监理合同费的</w:t>
      </w:r>
      <w:r>
        <w:rPr>
          <w:rFonts w:hint="eastAsia" w:ascii="宋体" w:hAnsi="宋体" w:eastAsia="宋体" w:cs="Times New Roman"/>
          <w:b w:val="0"/>
          <w:bCs w:val="0"/>
          <w:color w:val="auto"/>
          <w:sz w:val="21"/>
          <w:szCs w:val="21"/>
          <w:highlight w:val="none"/>
          <w:u w:val="single"/>
          <w:lang w:val="en-US" w:eastAsia="zh-CN"/>
        </w:rPr>
        <w:t>60</w:t>
      </w:r>
      <w:r>
        <w:rPr>
          <w:rFonts w:hint="default" w:ascii="宋体" w:hAnsi="宋体" w:eastAsia="宋体" w:cs="Times New Roman"/>
          <w:b w:val="0"/>
          <w:bCs w:val="0"/>
          <w:color w:val="auto"/>
          <w:sz w:val="21"/>
          <w:szCs w:val="21"/>
          <w:highlight w:val="none"/>
          <w:u w:val="single"/>
          <w:lang w:val="en-US" w:eastAsia="zh-CN"/>
        </w:rPr>
        <w:t>%，待监理合同结算审核完成后，支付</w:t>
      </w:r>
      <w:r>
        <w:rPr>
          <w:rFonts w:hint="eastAsia" w:ascii="宋体" w:hAnsi="宋体" w:eastAsia="宋体" w:cs="Times New Roman"/>
          <w:b w:val="0"/>
          <w:bCs w:val="0"/>
          <w:color w:val="auto"/>
          <w:sz w:val="21"/>
          <w:szCs w:val="21"/>
          <w:highlight w:val="none"/>
          <w:u w:val="single"/>
          <w:lang w:val="en-US" w:eastAsia="zh-CN"/>
        </w:rPr>
        <w:t>至</w:t>
      </w:r>
      <w:r>
        <w:rPr>
          <w:rFonts w:hint="default" w:ascii="宋体" w:hAnsi="宋体" w:eastAsia="宋体" w:cs="Times New Roman"/>
          <w:b w:val="0"/>
          <w:bCs w:val="0"/>
          <w:color w:val="auto"/>
          <w:sz w:val="21"/>
          <w:szCs w:val="21"/>
          <w:highlight w:val="none"/>
          <w:u w:val="single"/>
          <w:lang w:val="en-US" w:eastAsia="zh-CN"/>
        </w:rPr>
        <w:t>监理合同费的100%。</w:t>
      </w:r>
    </w:p>
    <w:p w14:paraId="4A4607B1">
      <w:pPr>
        <w:pStyle w:val="98"/>
        <w:pageBreakBefore w:val="0"/>
        <w:kinsoku/>
        <w:overflowPunct/>
        <w:bidi w:val="0"/>
        <w:spacing w:line="560" w:lineRule="exact"/>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 合同生效、变更、暂停、解除与终止</w:t>
      </w:r>
      <w:bookmarkEnd w:id="83"/>
      <w:bookmarkEnd w:id="84"/>
    </w:p>
    <w:p w14:paraId="4BC967D5">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6.1 生效</w:t>
      </w:r>
    </w:p>
    <w:p w14:paraId="05CDAE00">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sz w:val="24"/>
          <w:szCs w:val="24"/>
        </w:rPr>
        <w:t>本合同生效条件</w:t>
      </w:r>
      <w:r>
        <w:rPr>
          <w:rFonts w:hint="eastAsia" w:ascii="宋体" w:hAnsi="宋体" w:eastAsia="宋体" w:cs="宋体"/>
          <w:b w:val="0"/>
          <w:bCs w:val="0"/>
          <w:color w:val="auto"/>
          <w:kern w:val="18"/>
          <w:sz w:val="24"/>
          <w:szCs w:val="24"/>
        </w:rPr>
        <w:t>：双方签字盖章。</w:t>
      </w:r>
    </w:p>
    <w:p w14:paraId="1E669B78">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lang w:val="en-US" w:eastAsia="zh-CN"/>
        </w:rPr>
      </w:pPr>
      <w:r>
        <w:rPr>
          <w:rFonts w:hint="eastAsia" w:ascii="宋体" w:hAnsi="宋体" w:eastAsia="宋体" w:cs="宋体"/>
          <w:b w:val="0"/>
          <w:bCs w:val="0"/>
          <w:color w:val="auto"/>
          <w:kern w:val="18"/>
          <w:sz w:val="24"/>
          <w:szCs w:val="24"/>
          <w:lang w:val="en-US" w:eastAsia="zh-CN"/>
        </w:rPr>
        <w:t>6.2变更</w:t>
      </w:r>
    </w:p>
    <w:p w14:paraId="3EC91D03">
      <w:pPr>
        <w:pStyle w:val="98"/>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6.2.2酬金调整</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rPr>
        <w:t>。</w:t>
      </w:r>
    </w:p>
    <w:p w14:paraId="56F831D3">
      <w:pPr>
        <w:pStyle w:val="98"/>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sz w:val="24"/>
          <w:szCs w:val="24"/>
        </w:rPr>
        <w:t>6.2.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正常工作酬金应作相应调整</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u w:val="none"/>
          <w:lang w:eastAsia="zh-CN"/>
        </w:rPr>
        <w:t>。</w:t>
      </w:r>
    </w:p>
    <w:p w14:paraId="1D001B47">
      <w:pPr>
        <w:pStyle w:val="5"/>
        <w:pageBreakBefore w:val="0"/>
        <w:tabs>
          <w:tab w:val="clear" w:pos="720"/>
        </w:tabs>
        <w:kinsoku/>
        <w:overflowPunct/>
        <w:bidi w:val="0"/>
        <w:adjustRightInd w:val="0"/>
        <w:snapToGrid w:val="0"/>
        <w:spacing w:before="240" w:after="120" w:line="560" w:lineRule="exact"/>
        <w:jc w:val="center"/>
        <w:textAlignment w:val="auto"/>
        <w:rPr>
          <w:rFonts w:hint="eastAsia" w:ascii="宋体" w:hAnsi="宋体" w:eastAsia="宋体" w:cs="宋体"/>
          <w:b w:val="0"/>
          <w:bCs w:val="0"/>
          <w:color w:val="auto"/>
          <w:sz w:val="24"/>
          <w:szCs w:val="24"/>
          <w:highlight w:val="none"/>
        </w:rPr>
      </w:pPr>
      <w:bookmarkStart w:id="85" w:name="_Toc327891459"/>
      <w:bookmarkStart w:id="86" w:name="_Toc429304413"/>
      <w:bookmarkStart w:id="87" w:name="_Toc429184017"/>
      <w:r>
        <w:rPr>
          <w:rFonts w:hint="eastAsia" w:ascii="宋体" w:hAnsi="宋体" w:eastAsia="宋体" w:cs="宋体"/>
          <w:b w:val="0"/>
          <w:bCs w:val="0"/>
          <w:color w:val="auto"/>
          <w:sz w:val="24"/>
          <w:szCs w:val="24"/>
          <w:highlight w:val="none"/>
        </w:rPr>
        <w:t>7 争议解决</w:t>
      </w:r>
      <w:bookmarkEnd w:id="85"/>
      <w:bookmarkEnd w:id="86"/>
      <w:bookmarkEnd w:id="87"/>
    </w:p>
    <w:p w14:paraId="0E76F6FD">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7.2 调解</w:t>
      </w:r>
    </w:p>
    <w:p w14:paraId="02D7DD97">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sz w:val="24"/>
          <w:szCs w:val="24"/>
          <w:highlight w:val="none"/>
        </w:rPr>
        <w:t>本合同争议进行调解时，可提交</w:t>
      </w:r>
      <w:r>
        <w:rPr>
          <w:rFonts w:hint="eastAsia" w:ascii="宋体" w:hAnsi="宋体" w:eastAsia="宋体" w:cs="宋体"/>
          <w:b w:val="0"/>
          <w:bCs w:val="0"/>
          <w:color w:val="auto"/>
          <w:kern w:val="18"/>
          <w:sz w:val="24"/>
          <w:szCs w:val="24"/>
          <w:highlight w:val="none"/>
          <w:u w:val="single"/>
        </w:rPr>
        <w:t>深圳市龙岗区住房和建设局</w:t>
      </w:r>
      <w:r>
        <w:rPr>
          <w:rFonts w:hint="eastAsia" w:ascii="宋体" w:hAnsi="宋体" w:eastAsia="宋体" w:cs="宋体"/>
          <w:b w:val="0"/>
          <w:bCs w:val="0"/>
          <w:color w:val="auto"/>
          <w:kern w:val="18"/>
          <w:sz w:val="24"/>
          <w:szCs w:val="24"/>
          <w:highlight w:val="none"/>
        </w:rPr>
        <w:t>（调解人）进行调解。</w:t>
      </w:r>
    </w:p>
    <w:p w14:paraId="66B57315">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18"/>
          <w:sz w:val="24"/>
          <w:szCs w:val="24"/>
          <w:highlight w:val="none"/>
        </w:rPr>
        <w:t>7.3 仲裁或诉讼</w:t>
      </w:r>
      <w:bookmarkStart w:id="88" w:name="_Toc327891460"/>
      <w:bookmarkStart w:id="89" w:name="_Toc429184018"/>
      <w:bookmarkStart w:id="90" w:name="_Toc429304414"/>
      <w:r>
        <w:rPr>
          <w:rFonts w:hint="eastAsia" w:ascii="宋体" w:hAnsi="宋体" w:eastAsia="宋体" w:cs="宋体"/>
          <w:b w:val="0"/>
          <w:bCs w:val="0"/>
          <w:color w:val="auto"/>
          <w:sz w:val="24"/>
          <w:szCs w:val="24"/>
          <w:highlight w:val="none"/>
        </w:rPr>
        <w:t xml:space="preserve">   </w:t>
      </w:r>
    </w:p>
    <w:p w14:paraId="5125BD94">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双方当事人同意</w:t>
      </w:r>
      <w:r>
        <w:rPr>
          <w:rFonts w:hint="eastAsia" w:ascii="宋体" w:hAnsi="宋体" w:eastAsia="宋体" w:cs="宋体"/>
          <w:b w:val="0"/>
          <w:bCs w:val="0"/>
          <w:color w:val="auto"/>
          <w:sz w:val="24"/>
          <w:szCs w:val="24"/>
          <w:highlight w:val="none"/>
          <w:lang w:eastAsia="zh-CN"/>
        </w:rPr>
        <w:t>向</w:t>
      </w:r>
      <w:r>
        <w:rPr>
          <w:rFonts w:hint="eastAsia" w:ascii="宋体" w:hAnsi="宋体" w:eastAsia="宋体" w:cs="宋体"/>
          <w:b w:val="0"/>
          <w:bCs w:val="0"/>
          <w:color w:val="auto"/>
          <w:sz w:val="24"/>
          <w:szCs w:val="24"/>
          <w:highlight w:val="none"/>
          <w:u w:val="single"/>
          <w:lang w:val="en-US" w:eastAsia="zh-CN"/>
        </w:rPr>
        <w:t>委托人住所地</w:t>
      </w:r>
      <w:r>
        <w:rPr>
          <w:rFonts w:hint="eastAsia" w:ascii="宋体" w:hAnsi="宋体" w:eastAsia="宋体" w:cs="宋体"/>
          <w:b w:val="0"/>
          <w:bCs w:val="0"/>
          <w:color w:val="auto"/>
          <w:sz w:val="24"/>
          <w:szCs w:val="24"/>
          <w:highlight w:val="none"/>
          <w:u w:val="none"/>
          <w:lang w:val="en-US" w:eastAsia="zh-CN"/>
        </w:rPr>
        <w:t>人</w:t>
      </w:r>
      <w:r>
        <w:rPr>
          <w:rFonts w:hint="eastAsia" w:ascii="宋体" w:hAnsi="宋体" w:eastAsia="宋体" w:cs="宋体"/>
          <w:b w:val="0"/>
          <w:bCs w:val="0"/>
          <w:color w:val="auto"/>
          <w:sz w:val="24"/>
          <w:szCs w:val="24"/>
          <w:highlight w:val="none"/>
          <w:lang w:val="en-US" w:eastAsia="zh-CN"/>
        </w:rPr>
        <w:t>民法院</w:t>
      </w:r>
      <w:r>
        <w:rPr>
          <w:rFonts w:hint="eastAsia" w:ascii="宋体" w:hAnsi="宋体" w:eastAsia="宋体" w:cs="宋体"/>
          <w:b w:val="0"/>
          <w:bCs w:val="0"/>
          <w:color w:val="auto"/>
          <w:sz w:val="24"/>
          <w:szCs w:val="24"/>
          <w:highlight w:val="none"/>
          <w:lang w:eastAsia="zh-CN"/>
        </w:rPr>
        <w:t>提起诉讼</w:t>
      </w:r>
      <w:r>
        <w:rPr>
          <w:rFonts w:hint="eastAsia" w:ascii="宋体" w:hAnsi="宋体" w:eastAsia="宋体" w:cs="宋体"/>
          <w:b w:val="0"/>
          <w:bCs w:val="0"/>
          <w:color w:val="auto"/>
          <w:sz w:val="24"/>
          <w:szCs w:val="24"/>
          <w:highlight w:val="none"/>
        </w:rPr>
        <w:t>。</w:t>
      </w:r>
      <w:bookmarkEnd w:id="88"/>
      <w:bookmarkEnd w:id="89"/>
      <w:bookmarkEnd w:id="90"/>
    </w:p>
    <w:p w14:paraId="0C0EDF6B">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lang w:val="en-US" w:eastAsia="zh-CN"/>
        </w:rPr>
      </w:pPr>
      <w:r>
        <w:rPr>
          <w:rFonts w:hint="eastAsia" w:ascii="宋体" w:hAnsi="宋体" w:eastAsia="宋体" w:cs="宋体"/>
          <w:b w:val="0"/>
          <w:bCs w:val="0"/>
          <w:color w:val="auto"/>
          <w:kern w:val="18"/>
          <w:sz w:val="24"/>
          <w:szCs w:val="24"/>
          <w:highlight w:val="none"/>
          <w:lang w:val="en-US" w:eastAsia="zh-CN"/>
        </w:rPr>
        <w:t xml:space="preserve">                         </w:t>
      </w:r>
      <w:r>
        <w:rPr>
          <w:rFonts w:hint="eastAsia" w:ascii="宋体" w:hAnsi="宋体" w:eastAsia="宋体" w:cs="宋体"/>
          <w:b w:val="0"/>
          <w:bCs w:val="0"/>
          <w:color w:val="auto"/>
          <w:kern w:val="0"/>
          <w:sz w:val="24"/>
          <w:szCs w:val="24"/>
          <w:highlight w:val="none"/>
          <w:lang w:val="en-US" w:eastAsia="zh-CN" w:bidi="ar-SA"/>
        </w:rPr>
        <w:t xml:space="preserve">    8其 他</w:t>
      </w:r>
    </w:p>
    <w:p w14:paraId="2E35A5C4">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8.2检测费用</w:t>
      </w:r>
    </w:p>
    <w:p w14:paraId="3358672C">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委托人应在检测工作完成后28</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input601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天内支付检测费用。</w:t>
      </w:r>
    </w:p>
    <w:p w14:paraId="38374C5F">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8.3咨询费用</w:t>
      </w:r>
    </w:p>
    <w:p w14:paraId="2E8A1825">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委托人应在咨询工作完成后28</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input602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天内支付咨询费用。</w:t>
      </w:r>
    </w:p>
    <w:p w14:paraId="28A3EAAA">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8.4奖励</w:t>
      </w:r>
    </w:p>
    <w:p w14:paraId="008D3C8F">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合理化建议的奖励金额按下列方法确定为：</w:t>
      </w:r>
    </w:p>
    <w:p w14:paraId="32C410AE">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p>
    <w:p w14:paraId="0B585BDA">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8.6保密</w:t>
      </w:r>
    </w:p>
    <w:p w14:paraId="7A26F2A3">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委托人申明的保密事项和期限：在本合同期内及合同终止后，</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应对涉及本工程监理项目的任何信息、合同、资料、数据、或获取、知悉对方的商业秘密进行保密，未经委托人同意，</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不得将涉及本工程的有关监理与服务的资料转让或透露给第三人，但法律法规和司法机构或其他有权机构书面要求披露除外；保密期限为本工程设计使用年限，本款在合同终止后仍然有效</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input174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3AA2E451">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申明的保密事项和期限：/</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input175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5B795211">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第三方申明的保密事项和期限：/</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input176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14:paraId="5383AB59">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8.8著作权</w:t>
      </w:r>
    </w:p>
    <w:p w14:paraId="198E8749">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在本合同履行期间及本合同终止后两年内出版涉及本工程的有关监理的资料的限制条件：</w:t>
      </w:r>
    </w:p>
    <w:p w14:paraId="14FCCAC4">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在监理合同履行期间及监理合同终止后两年内不得出版涉及本工程的有关监理与相关服务的资料；监理合同终止之日起届满两年后，</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应事先征得委托人的书面同意后，方可出版涉及本工程的有关监理与相关服务的资料</w:t>
      </w:r>
    </w:p>
    <w:p w14:paraId="57C8951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1"/>
        <w:rPr>
          <w:rFonts w:hint="eastAsia" w:ascii="宋体" w:hAnsi="宋体" w:eastAsia="宋体" w:cs="宋体"/>
          <w:b/>
          <w:bCs/>
          <w:snapToGrid w:val="0"/>
          <w:color w:val="auto"/>
          <w:kern w:val="0"/>
          <w:sz w:val="36"/>
          <w:highlight w:val="none"/>
          <w:lang w:eastAsia="zh-CN"/>
        </w:rPr>
      </w:pPr>
      <w:r>
        <w:rPr>
          <w:rFonts w:hint="eastAsia" w:ascii="宋体" w:hAnsi="宋体" w:eastAsia="宋体" w:cs="宋体"/>
          <w:b/>
          <w:bCs/>
          <w:snapToGrid w:val="0"/>
          <w:color w:val="auto"/>
          <w:kern w:val="0"/>
          <w:sz w:val="36"/>
          <w:highlight w:val="none"/>
          <w:lang w:val="en-US" w:eastAsia="zh-CN"/>
        </w:rPr>
        <w:t xml:space="preserve">第五部分 </w:t>
      </w:r>
      <w:r>
        <w:rPr>
          <w:rFonts w:hint="eastAsia" w:ascii="宋体" w:hAnsi="宋体" w:eastAsia="宋体" w:cs="宋体"/>
          <w:b/>
          <w:bCs/>
          <w:snapToGrid w:val="0"/>
          <w:color w:val="auto"/>
          <w:kern w:val="0"/>
          <w:sz w:val="36"/>
          <w:highlight w:val="none"/>
          <w:lang w:eastAsia="zh-CN"/>
        </w:rPr>
        <w:t>补充条款</w:t>
      </w:r>
    </w:p>
    <w:p w14:paraId="2C43066D">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一、</w:t>
      </w:r>
      <w:r>
        <w:rPr>
          <w:rStyle w:val="57"/>
          <w:rFonts w:hint="eastAsia" w:ascii="宋体" w:hAnsi="宋体"/>
          <w:b w:val="0"/>
          <w:bCs w:val="0"/>
          <w:color w:val="auto"/>
          <w:szCs w:val="21"/>
          <w:highlight w:val="none"/>
          <w:lang w:eastAsia="zh-CN"/>
        </w:rPr>
        <w:t>监理人</w:t>
      </w:r>
      <w:r>
        <w:rPr>
          <w:rStyle w:val="57"/>
          <w:rFonts w:hint="eastAsia" w:ascii="宋体" w:hAnsi="宋体"/>
          <w:b w:val="0"/>
          <w:bCs w:val="0"/>
          <w:color w:val="auto"/>
          <w:szCs w:val="21"/>
          <w:highlight w:val="none"/>
        </w:rPr>
        <w:t>协助委托人开展的具体工作内容还包括以下内容</w:t>
      </w:r>
    </w:p>
    <w:p w14:paraId="468ED31B">
      <w:pPr>
        <w:pStyle w:val="163"/>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Style w:val="57"/>
          <w:rFonts w:ascii="宋体" w:hAnsi="宋体"/>
          <w:b w:val="0"/>
          <w:bCs w:val="0"/>
          <w:color w:val="auto"/>
          <w:szCs w:val="21"/>
          <w:highlight w:val="none"/>
        </w:rPr>
      </w:pPr>
      <w:r>
        <w:rPr>
          <w:rStyle w:val="57"/>
          <w:rFonts w:ascii="Wingdings 2" w:hAnsi="Wingdings 2" w:cs="Times New Roman"/>
          <w:b w:val="0"/>
          <w:bCs w:val="0"/>
          <w:color w:val="auto"/>
          <w:szCs w:val="21"/>
          <w:highlight w:val="none"/>
          <w:lang w:val="en-US" w:eastAsia="zh-CN"/>
        </w:rPr>
        <w:t>¢</w:t>
      </w:r>
      <w:r>
        <w:rPr>
          <w:rStyle w:val="57"/>
          <w:rFonts w:hint="eastAsia" w:ascii="宋体" w:hAnsi="宋体" w:cs="Times New Roman"/>
          <w:b w:val="0"/>
          <w:bCs w:val="0"/>
          <w:color w:val="auto"/>
          <w:szCs w:val="21"/>
          <w:highlight w:val="none"/>
          <w:lang w:val="en-US" w:eastAsia="zh-CN"/>
        </w:rPr>
        <w:t xml:space="preserve"> 施工准备阶段</w:t>
      </w:r>
    </w:p>
    <w:p w14:paraId="5021EB42">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val="en-US" w:eastAsia="zh-CN"/>
        </w:rPr>
        <w:t>监理人</w:t>
      </w:r>
      <w:r>
        <w:rPr>
          <w:rFonts w:hint="eastAsia" w:ascii="宋体" w:hAnsi="宋体"/>
          <w:b w:val="0"/>
          <w:bCs w:val="0"/>
          <w:color w:val="auto"/>
          <w:szCs w:val="21"/>
          <w:highlight w:val="none"/>
          <w:u w:val="single"/>
        </w:rPr>
        <w:t>在开工前必须按照监理工作程序，编制本工程的监理规划及监理实施细则、专业监理细则（包括安全监理细则），并报</w:t>
      </w:r>
      <w:r>
        <w:rPr>
          <w:rFonts w:hint="eastAsia" w:ascii="宋体" w:hAnsi="宋体"/>
          <w:b w:val="0"/>
          <w:bCs w:val="0"/>
          <w:color w:val="auto"/>
          <w:szCs w:val="21"/>
          <w:highlight w:val="none"/>
          <w:u w:val="single"/>
          <w:lang w:val="en-US" w:eastAsia="zh-CN"/>
        </w:rPr>
        <w:t>委托人</w:t>
      </w:r>
      <w:r>
        <w:rPr>
          <w:rFonts w:hint="eastAsia" w:ascii="宋体" w:hAnsi="宋体"/>
          <w:b w:val="0"/>
          <w:bCs w:val="0"/>
          <w:color w:val="auto"/>
          <w:szCs w:val="21"/>
          <w:highlight w:val="none"/>
          <w:u w:val="single"/>
        </w:rPr>
        <w:t>同意后实施；在分部分项工程开工前，制定监理实施细则，并报</w:t>
      </w:r>
      <w:r>
        <w:rPr>
          <w:rFonts w:hint="eastAsia" w:ascii="宋体" w:hAnsi="宋体"/>
          <w:b w:val="0"/>
          <w:bCs w:val="0"/>
          <w:color w:val="auto"/>
          <w:szCs w:val="21"/>
          <w:highlight w:val="none"/>
          <w:u w:val="single"/>
          <w:lang w:val="en-US" w:eastAsia="zh-CN"/>
        </w:rPr>
        <w:t>委托人</w:t>
      </w:r>
      <w:r>
        <w:rPr>
          <w:rFonts w:hint="eastAsia" w:ascii="宋体" w:hAnsi="宋体"/>
          <w:b w:val="0"/>
          <w:bCs w:val="0"/>
          <w:color w:val="auto"/>
          <w:szCs w:val="21"/>
          <w:highlight w:val="none"/>
          <w:u w:val="single"/>
        </w:rPr>
        <w:t>同意后实施。监理实施细则应明确规定各分部分项工程质量、安全、进度、投资、接口监控的内容、程序、方法、标准。</w:t>
      </w:r>
    </w:p>
    <w:p w14:paraId="18F477A7">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在开工前应召开监理工作交底会，向</w:t>
      </w:r>
      <w:r>
        <w:rPr>
          <w:rFonts w:hint="eastAsia" w:ascii="宋体" w:hAnsi="宋体"/>
          <w:b w:val="0"/>
          <w:bCs w:val="0"/>
          <w:color w:val="auto"/>
          <w:szCs w:val="21"/>
          <w:highlight w:val="none"/>
          <w:u w:val="single"/>
          <w:lang w:val="en-US" w:eastAsia="zh-CN"/>
        </w:rPr>
        <w:t>委托人</w:t>
      </w:r>
      <w:r>
        <w:rPr>
          <w:rFonts w:hint="eastAsia" w:ascii="宋体" w:hAnsi="宋体"/>
          <w:b w:val="0"/>
          <w:bCs w:val="0"/>
          <w:color w:val="auto"/>
          <w:szCs w:val="21"/>
          <w:highlight w:val="none"/>
          <w:u w:val="single"/>
        </w:rPr>
        <w:t>、承包</w:t>
      </w:r>
      <w:r>
        <w:rPr>
          <w:rFonts w:hint="eastAsia" w:ascii="宋体" w:hAnsi="宋体"/>
          <w:b w:val="0"/>
          <w:bCs w:val="0"/>
          <w:color w:val="auto"/>
          <w:szCs w:val="21"/>
          <w:highlight w:val="none"/>
          <w:u w:val="single"/>
          <w:lang w:val="en-US" w:eastAsia="zh-CN"/>
        </w:rPr>
        <w:t>人</w:t>
      </w:r>
      <w:r>
        <w:rPr>
          <w:rFonts w:hint="eastAsia" w:ascii="宋体" w:hAnsi="宋体"/>
          <w:b w:val="0"/>
          <w:bCs w:val="0"/>
          <w:color w:val="auto"/>
          <w:szCs w:val="21"/>
          <w:highlight w:val="none"/>
          <w:u w:val="single"/>
        </w:rPr>
        <w:t>讲解监理工作程序和监控的内容、程序、方法、标准、</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员分工及职责等。</w:t>
      </w:r>
    </w:p>
    <w:p w14:paraId="33B33427">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接受、处理或审批</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提交的报告、计划、施工方法、施工方案、各项工作程序（含安全、质量、环境保护、文明施工等程序）。</w:t>
      </w:r>
    </w:p>
    <w:p w14:paraId="528A7A11">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组织施工单位进场，参加委托人主持召开的第一次工地会议，起草第一次工地会议纪要，组织与会各方代表会签。</w:t>
      </w:r>
    </w:p>
    <w:p w14:paraId="07F68323">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组织召开开工预备会议。</w:t>
      </w:r>
    </w:p>
    <w:p w14:paraId="2487B2F8">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核查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项目组织的主要人员，以保证</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在投标文件中承诺的或施工合同规定的项目组织中的主要成员在工程实施中得以落实。</w:t>
      </w:r>
    </w:p>
    <w:p w14:paraId="7574EFAB">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核查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的主要施工技术人员的从业资格、持证上岗等情况。</w:t>
      </w:r>
    </w:p>
    <w:p w14:paraId="333561E8">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检查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有关保险办理情况。</w:t>
      </w:r>
    </w:p>
    <w:p w14:paraId="3B8AD3EF">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检查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机械设备安全情况。</w:t>
      </w:r>
    </w:p>
    <w:p w14:paraId="2E6E6DD3">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编制项目管理程序、管理制度和阶段性工作策划。</w:t>
      </w:r>
    </w:p>
    <w:p w14:paraId="24388EEA">
      <w:pPr>
        <w:keepNext w:val="0"/>
        <w:keepLines w:val="0"/>
        <w:pageBreakBefore w:val="0"/>
        <w:widowControl w:val="0"/>
        <w:numPr>
          <w:ilvl w:val="0"/>
          <w:numId w:val="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编制工程施工、工程检测监测、设备采购等招标文件，协助办理相关招标手续。</w:t>
      </w:r>
    </w:p>
    <w:p w14:paraId="37DABC4E">
      <w:pPr>
        <w:numPr>
          <w:ilvl w:val="0"/>
          <w:numId w:val="3"/>
        </w:numPr>
        <w:spacing w:line="560" w:lineRule="exact"/>
        <w:ind w:firstLine="420" w:firstLineChars="200"/>
        <w:rPr>
          <w:b w:val="0"/>
          <w:bCs w:val="0"/>
          <w:color w:val="auto"/>
          <w:u w:val="single"/>
          <w:lang w:val="en-US" w:eastAsia="zh-CN"/>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办理相关报建手续，协助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办理工程施工有关的报建、报批手续，协助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办理施工、工程监测检测招标文件和合同报审、备案工作。</w:t>
      </w:r>
    </w:p>
    <w:p w14:paraId="24F195E8">
      <w:pPr>
        <w:pStyle w:val="163"/>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Style w:val="57"/>
          <w:rFonts w:ascii="宋体" w:hAnsi="宋体"/>
          <w:b w:val="0"/>
          <w:bCs w:val="0"/>
          <w:color w:val="auto"/>
          <w:szCs w:val="21"/>
          <w:highlight w:val="none"/>
        </w:rPr>
      </w:pPr>
      <w:r>
        <w:rPr>
          <w:rStyle w:val="57"/>
          <w:rFonts w:ascii="Wingdings 2" w:hAnsi="Wingdings 2" w:cs="Times New Roman"/>
          <w:b w:val="0"/>
          <w:bCs w:val="0"/>
          <w:color w:val="auto"/>
          <w:szCs w:val="21"/>
          <w:highlight w:val="none"/>
          <w:lang w:val="en-US" w:eastAsia="zh-CN"/>
        </w:rPr>
        <w:t>¢</w:t>
      </w:r>
      <w:r>
        <w:rPr>
          <w:rStyle w:val="57"/>
          <w:rFonts w:hint="eastAsia" w:ascii="宋体" w:hAnsi="宋体" w:cs="Times New Roman"/>
          <w:b w:val="0"/>
          <w:bCs w:val="0"/>
          <w:color w:val="auto"/>
          <w:szCs w:val="21"/>
          <w:highlight w:val="none"/>
          <w:lang w:val="en-US" w:eastAsia="zh-CN"/>
        </w:rPr>
        <w:t xml:space="preserve"> 施工阶段</w:t>
      </w:r>
    </w:p>
    <w:p w14:paraId="685517B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签发开工、停工、复工令。</w:t>
      </w:r>
    </w:p>
    <w:p w14:paraId="7A05E4DB">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审核</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提出的施工组织设计、施工技术方案、施工进度计划、施工质量保证体系和施工安全保证体系。</w:t>
      </w:r>
    </w:p>
    <w:p w14:paraId="426B8A88">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组织施工图纸会审和施工图技术交底。</w:t>
      </w:r>
    </w:p>
    <w:p w14:paraId="103CB181">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参与审核</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负责的施工图设计。</w:t>
      </w:r>
    </w:p>
    <w:p w14:paraId="4387C23A">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收到施工图后，</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应提前理解设计意图，检查、会审图纸，提出专业意见，使图纸最大限度避免出现差、错、碰、漏等问题。</w:t>
      </w:r>
    </w:p>
    <w:p w14:paraId="45E8024E">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督促、检查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严格执行工程承包合同和国家工程技术规范、标准，协调各方的关系。</w:t>
      </w:r>
    </w:p>
    <w:p w14:paraId="6D35EEB4">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严格审核、监控</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或</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提供的材料、构配件和设备的数量及质量，管理甲供、甲控材料设备或乙购关键材料设备。</w:t>
      </w:r>
    </w:p>
    <w:p w14:paraId="375BE60B">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严格监控工序质量、安全；对工程质量和投资进行跟踪控制。</w:t>
      </w:r>
    </w:p>
    <w:p w14:paraId="182A1389">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对</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的测量成果进行复测检验。</w:t>
      </w:r>
    </w:p>
    <w:p w14:paraId="19F0D7B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的进度计划，跟踪进度计划，控制工程进度。</w:t>
      </w:r>
    </w:p>
    <w:p w14:paraId="5DD0E78A">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组织工程会议，协调工程有关各方关系。</w:t>
      </w:r>
    </w:p>
    <w:p w14:paraId="28194DCE">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进行设备采购，组织设备的调试安装、验收等监理工作。</w:t>
      </w:r>
    </w:p>
    <w:p w14:paraId="34A0D9F2">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进行工程计量及工程款支付。</w:t>
      </w:r>
    </w:p>
    <w:p w14:paraId="1E02F3F1">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根据设计意图，对所采用的工法、工艺等提出标准，从监理角度建议选用合适的技术规范。</w:t>
      </w:r>
    </w:p>
    <w:p w14:paraId="5B442D93">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组织分部分项工程和隐蔽工程的检查、验收，签发工程付款凭证。</w:t>
      </w:r>
    </w:p>
    <w:p w14:paraId="2B7CE8D7">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提交的竣工申请报告，组织竣工初步验收。</w:t>
      </w:r>
    </w:p>
    <w:p w14:paraId="11011CE0">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参加</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组织的正式竣工验收。</w:t>
      </w:r>
    </w:p>
    <w:p w14:paraId="5EF4D4BE">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按</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的工程管理规定要求及赋予的权限，管理工程变更、工程索赔，调解合同争议。协助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制定工程变更管理办法，处理施工过程中发生的工程变更；协助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审核并签署价差调整（如果施工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合同另有规定）；协助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协调解决工程索赔事件，为处理索赔事件收集、整理有关施工和监理证据；</w:t>
      </w:r>
    </w:p>
    <w:p w14:paraId="4C9B409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负责工程量清单更新、工程变更等的全面造价审查（包括但不限于工程量及造价审查）。协助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按合同约定的工程计量规则和支付条款审核工程量清单和工程款支付申请表；建立验工计价及计量支付</w:t>
      </w:r>
      <w:r>
        <w:rPr>
          <w:rStyle w:val="57"/>
          <w:rFonts w:hint="eastAsia" w:ascii="宋体" w:hAnsi="宋体"/>
          <w:b w:val="0"/>
          <w:bCs w:val="0"/>
          <w:color w:val="auto"/>
          <w:szCs w:val="21"/>
          <w:highlight w:val="none"/>
          <w:u w:val="single"/>
          <w:lang w:eastAsia="zh-CN"/>
        </w:rPr>
        <w:t>台账</w:t>
      </w:r>
      <w:r>
        <w:rPr>
          <w:rStyle w:val="57"/>
          <w:rFonts w:hint="eastAsia" w:ascii="宋体" w:hAnsi="宋体"/>
          <w:b w:val="0"/>
          <w:bCs w:val="0"/>
          <w:color w:val="auto"/>
          <w:szCs w:val="21"/>
          <w:highlight w:val="none"/>
          <w:u w:val="single"/>
        </w:rPr>
        <w:t>，按月向</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提供报表。</w:t>
      </w:r>
    </w:p>
    <w:p w14:paraId="714F01A9">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督促</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整理合同文件和技术档案资料。</w:t>
      </w:r>
    </w:p>
    <w:p w14:paraId="28CD236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主持工程事故的调查。</w:t>
      </w:r>
    </w:p>
    <w:p w14:paraId="1CD23ECB">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审查工程结算。</w:t>
      </w:r>
    </w:p>
    <w:p w14:paraId="3B97CEBA">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督促</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依法办理劳动用工、社会保险手续，监督和制止施工单位的转包、违法分包及挂靠行为。发现施工单位有转包、违法分包及挂靠行为的，应立即向</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、建设行政主管部门报告。</w:t>
      </w:r>
    </w:p>
    <w:p w14:paraId="108B07EC">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整理监理文档，向</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移交监理资料、档案，提交监理工作报告。</w:t>
      </w:r>
    </w:p>
    <w:p w14:paraId="1311BCAE">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在每月25日分别以月报形式，向委托人书面汇报上月工程的质量、安全、进度、投资、安全文明施工、信息管理、合同管理情况，农民工、劳务工的工资发放情况、工作协调及存在问题，并附情况分析及拟采取的对策；其中质量、安全、进度、安全文明施工应作为月报的重要内容。</w:t>
      </w:r>
    </w:p>
    <w:p w14:paraId="5AB084FD">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负责对</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的测量、监测的监理及审查。</w:t>
      </w:r>
    </w:p>
    <w:p w14:paraId="6D0CE475">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监理对接口问题负有协调、管理的职责。</w:t>
      </w:r>
    </w:p>
    <w:p w14:paraId="3E36742D">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做好以下对</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的管理工作：</w:t>
      </w:r>
    </w:p>
    <w:p w14:paraId="0B4FE504">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抽查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管理人员和技术人员的调配是否与投标文件相符；</w:t>
      </w:r>
    </w:p>
    <w:p w14:paraId="0012B1D3">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制定考核奖惩办法（包括优质样板工程评选办法、工程质量管理奖励办法等），组织对各</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及供货商等进行考核；</w:t>
      </w:r>
    </w:p>
    <w:p w14:paraId="24C8EF28">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制定工程中间交接工作程序，组织工程中间验收工作；</w:t>
      </w:r>
    </w:p>
    <w:p w14:paraId="2D5CA9B8">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做好以下工作：</w:t>
      </w:r>
    </w:p>
    <w:p w14:paraId="6C0AFDDE">
      <w:pPr>
        <w:pStyle w:val="163"/>
        <w:keepNext w:val="0"/>
        <w:keepLines w:val="0"/>
        <w:pageBreakBefore w:val="0"/>
        <w:widowControl w:val="0"/>
        <w:numPr>
          <w:ilvl w:val="0"/>
          <w:numId w:val="6"/>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根据合同设定的各项工程建设目标，编制投资、进度、质量、安全和文明施工等各项目标分解计划；</w:t>
      </w:r>
    </w:p>
    <w:p w14:paraId="6B9D3E0B">
      <w:pPr>
        <w:pStyle w:val="163"/>
        <w:keepNext w:val="0"/>
        <w:keepLines w:val="0"/>
        <w:pageBreakBefore w:val="0"/>
        <w:widowControl w:val="0"/>
        <w:numPr>
          <w:ilvl w:val="0"/>
          <w:numId w:val="6"/>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制订本工程各项工作的详细实施计划，包括工程进度计划、资金需求计划、招标计划及甲供材料设备供应计划；定期跟踪计划执行情况，并提出执行过程存在问题和纠偏措施，组织</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加以落实；</w:t>
      </w:r>
    </w:p>
    <w:p w14:paraId="738BBE03">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做好第三方监测检测单位管理工作：</w:t>
      </w:r>
    </w:p>
    <w:p w14:paraId="5CD4B459">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编制第三方监测检测招标文件；</w:t>
      </w:r>
    </w:p>
    <w:p w14:paraId="0A198DCE">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进行第三方监测检测单位的招标各项工作；</w:t>
      </w:r>
    </w:p>
    <w:p w14:paraId="36C67F17">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第三方监测检测单位管理工作，定期检查其管理人员和技术人员的调配是否与投标文件相符，并提交书面审核意见；按照招标文件的规定核对第三方监测检测单位人员的资质，督促其整改不满足资质要求的人员情况；</w:t>
      </w:r>
    </w:p>
    <w:p w14:paraId="1D76FD60">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组织审查第三方监测检测单位的项目质量管理体系、质量计划和质量保证措施，并监督实施过程，并提交书面审核意见；</w:t>
      </w:r>
    </w:p>
    <w:p w14:paraId="67F9C12A">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检查第三方监测检测单位所使用的测量仪器等的标定证书；</w:t>
      </w:r>
    </w:p>
    <w:p w14:paraId="34835ABC">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审批第三方监测检测单位报送的各类资料、报告。</w:t>
      </w:r>
    </w:p>
    <w:p w14:paraId="4857EBAE">
      <w:pPr>
        <w:pStyle w:val="163"/>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做好以下验收移交和竣工验收管理工作：</w:t>
      </w:r>
    </w:p>
    <w:p w14:paraId="0342CF34">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制定验收、移交（包括中间验收移交）计划和竣工验收计划；</w:t>
      </w:r>
    </w:p>
    <w:p w14:paraId="04ED993D">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组织验收和移交工作（包括中间验收和移交工作），并汇总验收、移交资料；</w:t>
      </w:r>
    </w:p>
    <w:p w14:paraId="24A696AC">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在缺陷责任期内按质监机构要求负责管理</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进行整改或重新组织验收；</w:t>
      </w:r>
    </w:p>
    <w:p w14:paraId="1A4672D4">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在工程竣工验收以及各专项验收全部合格之日起15日内，向工程主管部门提交竣工验收备案表、竣工验收报告、政府各部门出具的验收文件材料等，办理备案手续；</w:t>
      </w:r>
    </w:p>
    <w:p w14:paraId="3DA3F1ED">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汇总各承包单位编制的竣工结算资料，编制竣工决算资料；</w:t>
      </w:r>
    </w:p>
    <w:p w14:paraId="62E42619">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工程竣工验收合格后，协助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在3个月内向城建档案管理部门移交一套完整的工程竣工档案；</w:t>
      </w:r>
    </w:p>
    <w:p w14:paraId="1F82D04E">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汇总整理工程有关的资料，办理向运营方的移交工作。</w:t>
      </w:r>
    </w:p>
    <w:p w14:paraId="07581127">
      <w:pPr>
        <w:pStyle w:val="163"/>
        <w:keepNext w:val="0"/>
        <w:keepLines w:val="0"/>
        <w:pageBreakBefore w:val="0"/>
        <w:widowControl w:val="0"/>
        <w:kinsoku/>
        <w:wordWrap/>
        <w:overflowPunct/>
        <w:topLinePunct w:val="0"/>
        <w:autoSpaceDE/>
        <w:autoSpaceDN/>
        <w:bidi w:val="0"/>
        <w:spacing w:line="560" w:lineRule="exact"/>
        <w:ind w:firstLine="420" w:firstLineChars="200"/>
        <w:textAlignment w:val="auto"/>
        <w:rPr>
          <w:rStyle w:val="57"/>
          <w:rFonts w:hint="eastAsia" w:ascii="宋体" w:hAnsi="宋体" w:cs="Times New Roman"/>
          <w:b w:val="0"/>
          <w:bCs w:val="0"/>
          <w:color w:val="auto"/>
          <w:szCs w:val="21"/>
          <w:highlight w:val="none"/>
          <w:lang w:eastAsia="zh-CN"/>
        </w:rPr>
      </w:pPr>
      <w:r>
        <w:rPr>
          <w:rStyle w:val="57"/>
          <w:rFonts w:ascii="Wingdings 2" w:hAnsi="Wingdings 2" w:cs="Times New Roman"/>
          <w:b w:val="0"/>
          <w:bCs w:val="0"/>
          <w:color w:val="auto"/>
          <w:szCs w:val="21"/>
          <w:highlight w:val="none"/>
          <w:lang w:eastAsia="zh-CN"/>
        </w:rPr>
        <w:t>¢</w:t>
      </w:r>
      <w:r>
        <w:rPr>
          <w:rStyle w:val="57"/>
          <w:rFonts w:hint="eastAsia" w:ascii="宋体" w:hAnsi="宋体" w:cs="Times New Roman"/>
          <w:b w:val="0"/>
          <w:bCs w:val="0"/>
          <w:color w:val="auto"/>
          <w:szCs w:val="21"/>
          <w:highlight w:val="none"/>
          <w:lang w:val="en-US" w:eastAsia="zh-CN"/>
        </w:rPr>
        <w:t xml:space="preserve"> </w:t>
      </w:r>
      <w:r>
        <w:rPr>
          <w:rStyle w:val="57"/>
          <w:rFonts w:hint="eastAsia" w:ascii="宋体" w:hAnsi="宋体" w:cs="Times New Roman"/>
          <w:b w:val="0"/>
          <w:bCs w:val="0"/>
          <w:color w:val="auto"/>
          <w:szCs w:val="21"/>
          <w:highlight w:val="none"/>
          <w:lang w:eastAsia="zh-CN"/>
        </w:rPr>
        <w:t>保修阶段</w:t>
      </w:r>
    </w:p>
    <w:p w14:paraId="3517968C">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lang w:val="en-US" w:eastAsia="zh-CN"/>
        </w:rPr>
      </w:pPr>
      <w:r>
        <w:rPr>
          <w:rFonts w:hint="eastAsia" w:ascii="宋体" w:hAnsi="宋体"/>
          <w:b w:val="0"/>
          <w:bCs w:val="0"/>
          <w:color w:val="auto"/>
          <w:szCs w:val="21"/>
          <w:highlight w:val="none"/>
          <w:u w:val="single"/>
          <w:lang w:val="en-US" w:eastAsia="zh-CN"/>
        </w:rPr>
        <w:t>配合委托人及使用单位，进行移交前承接查验工作。对承接查验中提出的需整改事项，督促相关单位尽快完善。</w:t>
      </w:r>
    </w:p>
    <w:p w14:paraId="60DBC0CA">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参与工程交付，签发工程移交证书。</w:t>
      </w:r>
    </w:p>
    <w:p w14:paraId="7D6F68A3">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负责检查工程状况，参与鉴定质量责任，督促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回访、监督保修直至达到规定的质量标准。</w:t>
      </w:r>
    </w:p>
    <w:p w14:paraId="3CFA8567">
      <w:pPr>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负责</w:t>
      </w:r>
      <w:r>
        <w:rPr>
          <w:rFonts w:hint="eastAsia" w:ascii="宋体" w:hAnsi="宋体"/>
          <w:b w:val="0"/>
          <w:bCs w:val="0"/>
          <w:color w:val="auto"/>
          <w:szCs w:val="21"/>
          <w:highlight w:val="none"/>
          <w:u w:val="single"/>
          <w:lang w:val="en-US" w:eastAsia="zh-CN"/>
        </w:rPr>
        <w:t>质量缺陷</w:t>
      </w:r>
      <w:r>
        <w:rPr>
          <w:rFonts w:hint="eastAsia" w:ascii="宋体" w:hAnsi="宋体"/>
          <w:b w:val="0"/>
          <w:bCs w:val="0"/>
          <w:color w:val="auto"/>
          <w:szCs w:val="21"/>
          <w:highlight w:val="none"/>
          <w:u w:val="single"/>
        </w:rPr>
        <w:t>维修工程项目监理。</w:t>
      </w:r>
    </w:p>
    <w:p w14:paraId="6A56B001">
      <w:pPr>
        <w:pStyle w:val="163"/>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none"/>
          <w:lang w:val="en-US" w:eastAsia="zh-CN"/>
        </w:rPr>
      </w:pPr>
      <w:r>
        <w:rPr>
          <w:rStyle w:val="57"/>
          <w:rFonts w:ascii="Wingdings 2" w:hAnsi="Wingdings 2" w:cs="Times New Roman"/>
          <w:b w:val="0"/>
          <w:bCs w:val="0"/>
          <w:color w:val="auto"/>
          <w:szCs w:val="21"/>
          <w:highlight w:val="none"/>
          <w:u w:val="none"/>
          <w:lang w:eastAsia="zh-CN"/>
        </w:rPr>
        <w:t>¢</w:t>
      </w:r>
      <w:r>
        <w:rPr>
          <w:rStyle w:val="57"/>
          <w:rFonts w:hint="eastAsia" w:ascii="宋体" w:hAnsi="宋体" w:cs="Times New Roman"/>
          <w:b w:val="0"/>
          <w:bCs w:val="0"/>
          <w:color w:val="auto"/>
          <w:szCs w:val="21"/>
          <w:highlight w:val="none"/>
          <w:u w:val="none"/>
          <w:lang w:val="en-US" w:eastAsia="zh-CN"/>
        </w:rPr>
        <w:t xml:space="preserve"> </w:t>
      </w:r>
      <w:r>
        <w:rPr>
          <w:rFonts w:hint="eastAsia" w:ascii="宋体" w:hAnsi="宋体"/>
          <w:b w:val="0"/>
          <w:bCs w:val="0"/>
          <w:color w:val="auto"/>
          <w:szCs w:val="21"/>
          <w:highlight w:val="none"/>
          <w:u w:val="none"/>
        </w:rPr>
        <w:t>施工安全及文明施工监理的主要内容</w:t>
      </w:r>
    </w:p>
    <w:p w14:paraId="190613CD">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应贯彻执行国家安全生产法律、法规、规章和标准，按照深圳市监理管理条例和</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的有关规定，把施工安全及文明施工监督纳入监理范围，与工程质量、工期和投资控制同步实施。监理规划和监理实施细则中应专门列入施工安全级文明施工监理的内容，制定安全监理方案，建立、健全和完善安全管理制度；</w:t>
      </w:r>
    </w:p>
    <w:p w14:paraId="3A6E26E2">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将对</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的文明施工、安全检查工作及事故预防工作作为监理的日常工作，掌握标段安全生产状况，对重要的薄弱环节、重大危险点、危险源，进行安全监理旁站；</w:t>
      </w:r>
    </w:p>
    <w:p w14:paraId="644F083A">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必须按照有关的施工安全法规、规范及标准的要求对</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的施工组织设计的安全技术措施进行审查；</w:t>
      </w:r>
    </w:p>
    <w:p w14:paraId="60CF8CD3">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员应对施工过程进行有目的巡查，督促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建立与完善安全生产、文明施工管理制度及安全技术操作规程，落实安全技术措施；</w:t>
      </w:r>
    </w:p>
    <w:p w14:paraId="1EEDEC68">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应针对施工中的不安全因素与安全工作中的薄弱环节进行研究，书面提出要求并督促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改进；</w:t>
      </w:r>
    </w:p>
    <w:p w14:paraId="71E1555F">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应对涉及施工安全的支撑体系、大型垂直运输设备等重要临时设施的施工方案进行审查，确保其符合有关法规、规范及标准的要求，不符合要求的，应向</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提出改进意见并督促落实；</w:t>
      </w:r>
    </w:p>
    <w:p w14:paraId="3EF835D9">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应审查特殊机械和特殊工种的操作人员的资格证、上岗证及年检合格证；</w:t>
      </w:r>
    </w:p>
    <w:p w14:paraId="55A39698">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应组织定期和不定期的安全检查，配合</w:t>
      </w:r>
      <w:r>
        <w:rPr>
          <w:rFonts w:hint="eastAsia" w:ascii="宋体" w:hAnsi="宋体"/>
          <w:b w:val="0"/>
          <w:bCs w:val="0"/>
          <w:color w:val="auto"/>
          <w:szCs w:val="21"/>
          <w:highlight w:val="none"/>
          <w:u w:val="single"/>
          <w:lang w:val="en-US" w:eastAsia="zh-CN"/>
        </w:rPr>
        <w:t>龙岗区建设工程质量安全监督站</w:t>
      </w:r>
      <w:r>
        <w:rPr>
          <w:rFonts w:hint="eastAsia" w:ascii="宋体" w:hAnsi="宋体"/>
          <w:b w:val="0"/>
          <w:bCs w:val="0"/>
          <w:color w:val="auto"/>
          <w:szCs w:val="21"/>
          <w:highlight w:val="none"/>
          <w:u w:val="single"/>
        </w:rPr>
        <w:t>对标段的监督检查，对检查发现的隐患应立即发出监理通知，按监理通知和深圳市施工安全监督站发出的整改通知书的要求，督促、跟踪</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“定人、定时、定措施”落实整改。对未按要求整改的</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，即再发出第二次监理通知。对两次发出整改通知而拒不整改的</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，监理以书面形式向</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安全管理职能部门报告，并配合</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采取必要的措施，落实整改；</w:t>
      </w:r>
    </w:p>
    <w:p w14:paraId="6FE81F9E">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合同执行期间，</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必须接受</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安全管理职能部门的监督，按统一的表格形式（如以标段为单位），逐月向</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安全管理等职能部门递交书面安全监理工作报告，如实反映标段本月的安全生产状况和下月安全监理的工作重点；</w:t>
      </w:r>
    </w:p>
    <w:p w14:paraId="1233106F">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一旦发生安全事故，</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必须作出快速反映，在一小时以内向</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安全管理职能部门报告，并督促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进行事故的及时上报和配合调查、处理与统计工作。</w:t>
      </w:r>
    </w:p>
    <w:p w14:paraId="73E6C50B">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做好以下施工安全管理工作：</w:t>
      </w:r>
    </w:p>
    <w:p w14:paraId="32B7D7A2">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编制施工安全管理程序及施工安全控制计划，制订安全控制保证措施；</w:t>
      </w:r>
    </w:p>
    <w:p w14:paraId="71933D82">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制定施工安全目标，编制安全、文明施工管理办法；</w:t>
      </w:r>
    </w:p>
    <w:p w14:paraId="64F77A8A">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抽查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的安全教育（三级教育）情况，抽验</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特种工人上岗证，检查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的安全保证体系运行情况；</w:t>
      </w:r>
    </w:p>
    <w:p w14:paraId="171C801E">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对施工现场进行安全巡视，参加每月定期安全检查，协助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建立安全工作</w:t>
      </w:r>
      <w:r>
        <w:rPr>
          <w:rFonts w:hint="eastAsia" w:ascii="宋体" w:hAnsi="宋体"/>
          <w:b w:val="0"/>
          <w:bCs w:val="0"/>
          <w:color w:val="auto"/>
          <w:szCs w:val="21"/>
          <w:highlight w:val="none"/>
          <w:u w:val="single"/>
          <w:lang w:eastAsia="zh-CN"/>
        </w:rPr>
        <w:t>台账</w:t>
      </w:r>
      <w:r>
        <w:rPr>
          <w:rFonts w:hint="eastAsia" w:ascii="宋体" w:hAnsi="宋体"/>
          <w:b w:val="0"/>
          <w:bCs w:val="0"/>
          <w:color w:val="auto"/>
          <w:szCs w:val="21"/>
          <w:highlight w:val="none"/>
          <w:u w:val="single"/>
        </w:rPr>
        <w:t>，分析安全状况并提出安全预控意见。</w:t>
      </w:r>
    </w:p>
    <w:p w14:paraId="3422F487">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参加事故现场调查和安全事故分析会议，协助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处理安全事故，起草事故调查分析报告；</w:t>
      </w:r>
    </w:p>
    <w:p w14:paraId="20C2ECFA">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每月提交安全、文明检查报告，协助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总结每季度的情况是否达到施工安全目标；</w:t>
      </w:r>
    </w:p>
    <w:p w14:paraId="253DAF7B">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每季度提交安全文明检查评比报告。</w:t>
      </w:r>
    </w:p>
    <w:p w14:paraId="18189FFC">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组织质量安全文明施工检查考核：</w:t>
      </w:r>
    </w:p>
    <w:p w14:paraId="5BB42914">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组织施工监理组、施工单位做好质量安全文明施工检查和合同履约考核</w:t>
      </w:r>
      <w:r>
        <w:rPr>
          <w:rFonts w:hint="eastAsia" w:ascii="宋体" w:hAnsi="宋体"/>
          <w:b w:val="0"/>
          <w:bCs w:val="0"/>
          <w:color w:val="auto"/>
          <w:szCs w:val="21"/>
          <w:highlight w:val="none"/>
          <w:u w:val="single"/>
          <w:lang w:eastAsia="zh-CN"/>
        </w:rPr>
        <w:t>；</w:t>
      </w:r>
    </w:p>
    <w:p w14:paraId="1634F88E">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制定巡视和检查制度，制定质量检查评比办法，每季度组织一次质量大检查，奖优罚劣；</w:t>
      </w:r>
    </w:p>
    <w:p w14:paraId="6571C4FE">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根据工程需要组织审核进场工程材料、构配件、机械设备的质量证明资料，对进场实物按照有关工程质量安全管理的规定按比例抽检或见证取样、送样检验工作；</w:t>
      </w:r>
    </w:p>
    <w:p w14:paraId="43147D24">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当施工存在重大质量安全隐患，可能造成质量安全事故或已经造成质量安全事故时，立刻下达工程停工令，责令</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停工整改并跟踪整改；</w:t>
      </w:r>
    </w:p>
    <w:p w14:paraId="62FB1390">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及时提交有关质量事故的书面报告，划分质量事故责任，整理质量事故处理记录等资料，并负责归档；</w:t>
      </w:r>
    </w:p>
    <w:p w14:paraId="4EB579D7">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编制并提交工程质量安全报告，汇报工程的质量安全情况。</w:t>
      </w:r>
    </w:p>
    <w:p w14:paraId="4389D2D2">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合同管理和文档信息管理：协助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项目组做好合同管理工作，负责起草</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主持的工程管理会议纪要，负责</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项目与项目合同单位之间的文档信息收发、存档和处理工作。</w:t>
      </w:r>
    </w:p>
    <w:p w14:paraId="3AB7C127">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做好环境管理工作：</w:t>
      </w:r>
    </w:p>
    <w:p w14:paraId="4BEDB753">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编制项目环境保护管理计划；</w:t>
      </w:r>
    </w:p>
    <w:p w14:paraId="1A2AB378">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办理环境监测的委托工作；</w:t>
      </w:r>
    </w:p>
    <w:p w14:paraId="4AEFDF5A">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根据</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委托的专业环境监测单位提交的环境保护监测报告，制定环境保护对策和措施，并跟进有关整改工作的执行情况。</w:t>
      </w:r>
    </w:p>
    <w:p w14:paraId="46B5E35A">
      <w:pPr>
        <w:pStyle w:val="163"/>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b w:val="0"/>
          <w:bCs w:val="0"/>
          <w:color w:val="auto"/>
          <w:szCs w:val="21"/>
          <w:highlight w:val="none"/>
          <w:lang w:val="en-US" w:eastAsia="zh-CN"/>
        </w:rPr>
      </w:pPr>
      <w:r>
        <w:rPr>
          <w:rStyle w:val="57"/>
          <w:rFonts w:ascii="Wingdings 2" w:hAnsi="Wingdings 2" w:cs="Times New Roman"/>
          <w:b w:val="0"/>
          <w:bCs w:val="0"/>
          <w:color w:val="auto"/>
          <w:szCs w:val="21"/>
          <w:highlight w:val="none"/>
          <w:lang w:eastAsia="zh-CN"/>
        </w:rPr>
        <w:t>¢</w:t>
      </w:r>
      <w:r>
        <w:rPr>
          <w:rStyle w:val="57"/>
          <w:rFonts w:hint="eastAsia" w:ascii="宋体" w:hAnsi="宋体" w:cs="Times New Roman"/>
          <w:b w:val="0"/>
          <w:bCs w:val="0"/>
          <w:color w:val="auto"/>
          <w:szCs w:val="21"/>
          <w:highlight w:val="none"/>
          <w:lang w:val="en-US" w:eastAsia="zh-CN"/>
        </w:rPr>
        <w:t xml:space="preserve"> </w:t>
      </w:r>
      <w:r>
        <w:rPr>
          <w:rFonts w:hint="eastAsia" w:ascii="宋体" w:hAnsi="宋体"/>
          <w:b w:val="0"/>
          <w:bCs w:val="0"/>
          <w:color w:val="auto"/>
          <w:szCs w:val="21"/>
          <w:highlight w:val="none"/>
        </w:rPr>
        <w:t>以上未尽之处，按照中华人民共和国国家标准</w:t>
      </w:r>
      <w:r>
        <w:rPr>
          <w:rFonts w:hint="eastAsia" w:ascii="宋体" w:hAnsi="宋体"/>
          <w:b w:val="0"/>
          <w:bCs w:val="0"/>
          <w:color w:val="auto"/>
          <w:szCs w:val="21"/>
          <w:highlight w:val="none"/>
          <w:u w:val="single"/>
        </w:rPr>
        <w:t>《建设工程监理规范（GB50319-2013）》第5条、第6.1、第6.2、6.3、6.4条执行</w:t>
      </w:r>
      <w:r>
        <w:rPr>
          <w:rFonts w:hint="eastAsia" w:ascii="宋体" w:hAnsi="宋体"/>
          <w:b w:val="0"/>
          <w:bCs w:val="0"/>
          <w:color w:val="auto"/>
          <w:szCs w:val="21"/>
          <w:highlight w:val="none"/>
          <w:lang w:eastAsia="zh-CN"/>
        </w:rPr>
        <w:t>。</w:t>
      </w:r>
    </w:p>
    <w:p w14:paraId="2BA9910B">
      <w:pPr>
        <w:pStyle w:val="170"/>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二、对现场监理班子机构的要求</w:t>
      </w:r>
    </w:p>
    <w:p w14:paraId="58DD64A4">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rPr>
        <w:t>2.1</w:t>
      </w:r>
      <w:r>
        <w:rPr>
          <w:rStyle w:val="57"/>
          <w:rFonts w:hint="eastAsia" w:ascii="宋体" w:hAnsi="宋体"/>
          <w:b w:val="0"/>
          <w:bCs w:val="0"/>
          <w:color w:val="auto"/>
          <w:szCs w:val="21"/>
          <w:highlight w:val="none"/>
          <w:u w:val="single"/>
        </w:rPr>
        <w:t>本工程实行项目总监负责制，项目总监对监理工作全权负责，对委托人负责。监理班子机构设置、人员安排、职责范围等，须符合《监理机构人员最低配置要求》。未经委托人批准不得撤换。</w:t>
      </w:r>
    </w:p>
    <w:p w14:paraId="67FFD7D3">
      <w:pPr>
        <w:pStyle w:val="24"/>
        <w:spacing w:before="156" w:beforeLines="50"/>
        <w:jc w:val="center"/>
        <w:rPr>
          <w:b w:val="0"/>
          <w:bCs w:val="0"/>
          <w:color w:val="auto"/>
          <w:sz w:val="24"/>
          <w:highlight w:val="none"/>
        </w:rPr>
      </w:pPr>
      <w:r>
        <w:rPr>
          <w:rFonts w:hint="eastAsia"/>
          <w:b w:val="0"/>
          <w:bCs w:val="0"/>
          <w:color w:val="auto"/>
          <w:sz w:val="24"/>
          <w:highlight w:val="none"/>
        </w:rPr>
        <w:t>监理机构人员最低配置要求</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3"/>
        <w:gridCol w:w="648"/>
        <w:gridCol w:w="2207"/>
        <w:gridCol w:w="4921"/>
      </w:tblGrid>
      <w:tr w14:paraId="698A4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743" w:type="dxa"/>
            <w:tcBorders>
              <w:top w:val="single" w:color="auto" w:sz="6" w:space="0"/>
              <w:left w:val="single" w:color="auto" w:sz="12" w:space="0"/>
              <w:bottom w:val="single" w:color="auto" w:sz="6" w:space="0"/>
              <w:right w:val="single" w:color="auto" w:sz="6" w:space="0"/>
            </w:tcBorders>
            <w:noWrap w:val="0"/>
            <w:vAlign w:val="center"/>
          </w:tcPr>
          <w:p w14:paraId="0F401AAD">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项目总监</w:t>
            </w:r>
          </w:p>
        </w:tc>
        <w:tc>
          <w:tcPr>
            <w:tcW w:w="648" w:type="dxa"/>
            <w:tcBorders>
              <w:top w:val="single" w:color="auto" w:sz="6" w:space="0"/>
              <w:left w:val="single" w:color="auto" w:sz="6" w:space="0"/>
              <w:bottom w:val="single" w:color="auto" w:sz="6" w:space="0"/>
              <w:right w:val="single" w:color="auto" w:sz="6" w:space="0"/>
            </w:tcBorders>
            <w:noWrap w:val="0"/>
            <w:vAlign w:val="center"/>
          </w:tcPr>
          <w:p w14:paraId="03CEBBE6">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1人</w:t>
            </w:r>
          </w:p>
        </w:tc>
        <w:tc>
          <w:tcPr>
            <w:tcW w:w="2207" w:type="dxa"/>
            <w:tcBorders>
              <w:top w:val="single" w:color="auto" w:sz="6" w:space="0"/>
              <w:left w:val="single" w:color="auto" w:sz="6" w:space="0"/>
              <w:bottom w:val="single" w:color="auto" w:sz="6" w:space="0"/>
              <w:right w:val="single" w:color="auto" w:sz="6" w:space="0"/>
            </w:tcBorders>
            <w:noWrap w:val="0"/>
            <w:vAlign w:val="center"/>
          </w:tcPr>
          <w:p w14:paraId="512086AC">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lang w:eastAsia="zh-CN"/>
              </w:rPr>
              <w:t>电力安装</w:t>
            </w:r>
            <w:r>
              <w:rPr>
                <w:rFonts w:hint="eastAsia" w:ascii="宋体" w:hAnsi="宋体"/>
                <w:b w:val="0"/>
                <w:bCs w:val="0"/>
                <w:color w:val="auto"/>
                <w:sz w:val="21"/>
                <w:szCs w:val="21"/>
                <w:highlight w:val="none"/>
              </w:rPr>
              <w:t>工程</w:t>
            </w:r>
          </w:p>
        </w:tc>
        <w:tc>
          <w:tcPr>
            <w:tcW w:w="4921" w:type="dxa"/>
            <w:tcBorders>
              <w:top w:val="single" w:color="auto" w:sz="6" w:space="0"/>
              <w:left w:val="single" w:color="auto" w:sz="6" w:space="0"/>
              <w:bottom w:val="single" w:color="auto" w:sz="6" w:space="0"/>
              <w:right w:val="single" w:color="auto" w:sz="12" w:space="0"/>
            </w:tcBorders>
            <w:noWrap w:val="0"/>
            <w:vAlign w:val="center"/>
          </w:tcPr>
          <w:p w14:paraId="665B3574">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在本单位注册的国家注册监理工程师，高级工程师职称，12年以上工作经验，至少5年以上从事工程监理经验，担任过至少1个以上2亿元以上的房屋建筑工程项目总监的经历。</w:t>
            </w:r>
          </w:p>
        </w:tc>
      </w:tr>
      <w:tr w14:paraId="61CB9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29" w:hRule="atLeast"/>
          <w:jc w:val="center"/>
        </w:trPr>
        <w:tc>
          <w:tcPr>
            <w:tcW w:w="743" w:type="dxa"/>
            <w:tcBorders>
              <w:top w:val="single" w:color="auto" w:sz="6" w:space="0"/>
              <w:left w:val="single" w:color="auto" w:sz="12" w:space="0"/>
              <w:bottom w:val="single" w:color="auto" w:sz="6" w:space="0"/>
              <w:right w:val="single" w:color="auto" w:sz="6" w:space="0"/>
            </w:tcBorders>
            <w:noWrap w:val="0"/>
            <w:vAlign w:val="center"/>
          </w:tcPr>
          <w:p w14:paraId="1B4F8E2A">
            <w:pPr>
              <w:pStyle w:val="25"/>
              <w:adjustRightInd w:val="0"/>
              <w:snapToGrid w:val="0"/>
              <w:spacing w:before="109" w:beforeLines="35" w:after="109" w:afterLines="35" w:line="240" w:lineRule="atLeast"/>
              <w:ind w:left="0" w:leftChars="0"/>
              <w:rPr>
                <w:rFonts w:hint="default"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专业监理工程师</w:t>
            </w:r>
          </w:p>
        </w:tc>
        <w:tc>
          <w:tcPr>
            <w:tcW w:w="648" w:type="dxa"/>
            <w:tcBorders>
              <w:top w:val="single" w:color="auto" w:sz="6" w:space="0"/>
              <w:left w:val="single" w:color="auto" w:sz="6" w:space="0"/>
              <w:bottom w:val="single" w:color="auto" w:sz="6" w:space="0"/>
              <w:right w:val="single" w:color="auto" w:sz="6" w:space="0"/>
            </w:tcBorders>
            <w:noWrap w:val="0"/>
            <w:vAlign w:val="center"/>
          </w:tcPr>
          <w:p w14:paraId="7FB910A7">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1人</w:t>
            </w:r>
          </w:p>
        </w:tc>
        <w:tc>
          <w:tcPr>
            <w:tcW w:w="2207" w:type="dxa"/>
            <w:tcBorders>
              <w:top w:val="single" w:color="auto" w:sz="6" w:space="0"/>
              <w:left w:val="single" w:color="auto" w:sz="6" w:space="0"/>
              <w:bottom w:val="single" w:color="auto" w:sz="6" w:space="0"/>
              <w:right w:val="single" w:color="auto" w:sz="6" w:space="0"/>
            </w:tcBorders>
            <w:noWrap w:val="0"/>
            <w:vAlign w:val="center"/>
          </w:tcPr>
          <w:p w14:paraId="4372EC9F">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p>
        </w:tc>
        <w:tc>
          <w:tcPr>
            <w:tcW w:w="4921" w:type="dxa"/>
            <w:tcBorders>
              <w:top w:val="single" w:color="auto" w:sz="6" w:space="0"/>
              <w:left w:val="single" w:color="auto" w:sz="6" w:space="0"/>
              <w:bottom w:val="single" w:color="auto" w:sz="6" w:space="0"/>
              <w:right w:val="single" w:color="auto" w:sz="12" w:space="0"/>
            </w:tcBorders>
            <w:noWrap w:val="0"/>
            <w:vAlign w:val="center"/>
          </w:tcPr>
          <w:p w14:paraId="65DAB40F">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在本单位注册的注册监理工程师，与本单位有固定合同关系，工程师职称证（岩土、结构专业需要高级工程师证），5年以上监理工作经验，根据工程进展情况配置、上岗，并须常驻现场。</w:t>
            </w:r>
          </w:p>
        </w:tc>
      </w:tr>
      <w:tr w14:paraId="277B0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743" w:type="dxa"/>
            <w:tcBorders>
              <w:top w:val="single" w:color="auto" w:sz="6" w:space="0"/>
              <w:left w:val="single" w:color="auto" w:sz="12" w:space="0"/>
              <w:bottom w:val="single" w:color="auto" w:sz="6" w:space="0"/>
              <w:right w:val="single" w:color="auto" w:sz="6" w:space="0"/>
            </w:tcBorders>
            <w:noWrap w:val="0"/>
            <w:vAlign w:val="center"/>
          </w:tcPr>
          <w:p w14:paraId="6D5C1EED">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资料员</w:t>
            </w:r>
          </w:p>
        </w:tc>
        <w:tc>
          <w:tcPr>
            <w:tcW w:w="648" w:type="dxa"/>
            <w:tcBorders>
              <w:top w:val="single" w:color="auto" w:sz="6" w:space="0"/>
              <w:left w:val="single" w:color="auto" w:sz="6" w:space="0"/>
              <w:bottom w:val="single" w:color="auto" w:sz="6" w:space="0"/>
              <w:right w:val="single" w:color="auto" w:sz="6" w:space="0"/>
            </w:tcBorders>
            <w:noWrap w:val="0"/>
            <w:vAlign w:val="center"/>
          </w:tcPr>
          <w:p w14:paraId="6FCD3C75">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p>
        </w:tc>
        <w:tc>
          <w:tcPr>
            <w:tcW w:w="2207" w:type="dxa"/>
            <w:tcBorders>
              <w:top w:val="single" w:color="auto" w:sz="6" w:space="0"/>
              <w:left w:val="single" w:color="auto" w:sz="6" w:space="0"/>
              <w:bottom w:val="single" w:color="auto" w:sz="6" w:space="0"/>
              <w:right w:val="single" w:color="auto" w:sz="6" w:space="0"/>
            </w:tcBorders>
            <w:noWrap w:val="0"/>
            <w:vAlign w:val="center"/>
          </w:tcPr>
          <w:p w14:paraId="1BE76B0A">
            <w:pPr>
              <w:pStyle w:val="25"/>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至少1人</w:t>
            </w:r>
          </w:p>
        </w:tc>
        <w:tc>
          <w:tcPr>
            <w:tcW w:w="4921" w:type="dxa"/>
            <w:tcBorders>
              <w:top w:val="single" w:color="auto" w:sz="6" w:space="0"/>
              <w:left w:val="single" w:color="auto" w:sz="6" w:space="0"/>
              <w:bottom w:val="single" w:color="auto" w:sz="6" w:space="0"/>
              <w:right w:val="single" w:color="auto" w:sz="12" w:space="0"/>
            </w:tcBorders>
            <w:noWrap w:val="0"/>
            <w:vAlign w:val="center"/>
          </w:tcPr>
          <w:p w14:paraId="659617E1">
            <w:pPr>
              <w:pStyle w:val="39"/>
              <w:tabs>
                <w:tab w:val="right" w:leader="hyphen" w:pos="9345"/>
              </w:tabs>
              <w:adjustRightInd w:val="0"/>
              <w:snapToGrid w:val="0"/>
              <w:spacing w:before="109" w:beforeLines="35" w:after="109" w:afterLines="35" w:line="240" w:lineRule="atLeast"/>
              <w:ind w:left="0" w:leftChars="0" w:firstLine="0" w:firstLineChars="0"/>
              <w:jc w:val="both"/>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人员数量能够满足现场工作需要，具有深圳市档案局颁发的档案员上岗资格证</w:t>
            </w:r>
          </w:p>
        </w:tc>
      </w:tr>
    </w:tbl>
    <w:p w14:paraId="734EA97F">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eastAsia="宋体"/>
          <w:b w:val="0"/>
          <w:bCs w:val="0"/>
          <w:color w:val="auto"/>
          <w:szCs w:val="21"/>
          <w:highlight w:val="none"/>
          <w:u w:val="single"/>
          <w:lang w:eastAsia="zh-CN"/>
        </w:rPr>
      </w:pPr>
      <w:r>
        <w:rPr>
          <w:rStyle w:val="57"/>
          <w:rFonts w:ascii="宋体" w:hAnsi="宋体"/>
          <w:b w:val="0"/>
          <w:bCs w:val="0"/>
          <w:color w:val="auto"/>
          <w:szCs w:val="21"/>
          <w:highlight w:val="none"/>
          <w:u w:val="single"/>
        </w:rPr>
        <w:t>2.2</w:t>
      </w:r>
      <w:r>
        <w:rPr>
          <w:rStyle w:val="57"/>
          <w:rFonts w:hint="eastAsia" w:ascii="宋体" w:hAnsi="宋体"/>
          <w:b w:val="0"/>
          <w:bCs w:val="0"/>
          <w:color w:val="auto"/>
          <w:szCs w:val="21"/>
          <w:highlight w:val="none"/>
          <w:u w:val="single"/>
        </w:rPr>
        <w:t>为保证在合同期内完成承担的监理任务，要求项目总监应常驻现场。项目总监不应缺席各种工程会议及由委托人或其它主管部门组织的各项工程检查</w:t>
      </w:r>
      <w:r>
        <w:rPr>
          <w:rStyle w:val="57"/>
          <w:rFonts w:hint="eastAsia" w:ascii="宋体" w:hAnsi="宋体" w:cs="仿宋_GB2312"/>
          <w:b w:val="0"/>
          <w:bCs w:val="0"/>
          <w:color w:val="auto"/>
          <w:szCs w:val="21"/>
          <w:highlight w:val="none"/>
          <w:u w:val="single"/>
        </w:rPr>
        <w:t>。若未经委托人同意，无故缺席工程会议或须亲自处理的事务的，视为</w:t>
      </w:r>
      <w:r>
        <w:rPr>
          <w:rStyle w:val="57"/>
          <w:rFonts w:hint="eastAsia" w:ascii="宋体" w:hAnsi="宋体" w:cs="仿宋_GB2312"/>
          <w:b w:val="0"/>
          <w:bCs w:val="0"/>
          <w:color w:val="auto"/>
          <w:szCs w:val="21"/>
          <w:highlight w:val="none"/>
          <w:u w:val="single"/>
          <w:lang w:eastAsia="zh-CN"/>
        </w:rPr>
        <w:t>监理人</w:t>
      </w:r>
      <w:r>
        <w:rPr>
          <w:rStyle w:val="57"/>
          <w:rFonts w:hint="eastAsia" w:ascii="宋体" w:hAnsi="宋体" w:cs="仿宋_GB2312"/>
          <w:b w:val="0"/>
          <w:bCs w:val="0"/>
          <w:color w:val="auto"/>
          <w:szCs w:val="21"/>
          <w:highlight w:val="none"/>
          <w:u w:val="single"/>
        </w:rPr>
        <w:t>违约，处违约金2000元/人▪次，违约金累计计算</w:t>
      </w:r>
      <w:r>
        <w:rPr>
          <w:rStyle w:val="57"/>
          <w:rFonts w:hint="eastAsia" w:ascii="宋体" w:hAnsi="宋体" w:cs="仿宋_GB2312"/>
          <w:b w:val="0"/>
          <w:bCs w:val="0"/>
          <w:color w:val="auto"/>
          <w:szCs w:val="21"/>
          <w:highlight w:val="none"/>
          <w:u w:val="single"/>
          <w:lang w:eastAsia="zh-CN"/>
        </w:rPr>
        <w:t>。</w:t>
      </w:r>
    </w:p>
    <w:p w14:paraId="3B68403A">
      <w:pPr>
        <w:pStyle w:val="170"/>
        <w:keepNext w:val="0"/>
        <w:keepLines w:val="0"/>
        <w:pageBreakBefore w:val="0"/>
        <w:widowControl w:val="0"/>
        <w:kinsoku/>
        <w:wordWrap/>
        <w:overflowPunct/>
        <w:topLinePunct w:val="0"/>
        <w:autoSpaceDE/>
        <w:autoSpaceDN/>
        <w:bidi w:val="0"/>
        <w:spacing w:line="560" w:lineRule="exact"/>
        <w:ind w:firstLine="405" w:firstLineChars="193"/>
        <w:jc w:val="both"/>
        <w:textAlignment w:val="auto"/>
        <w:rPr>
          <w:rStyle w:val="57"/>
          <w:rFonts w:hint="eastAsia" w:ascii="宋体" w:hAnsi="宋体" w:cs="仿宋_GB2312"/>
          <w:b w:val="0"/>
          <w:bCs w:val="0"/>
          <w:color w:val="auto"/>
          <w:szCs w:val="21"/>
          <w:highlight w:val="none"/>
          <w:u w:val="single"/>
        </w:rPr>
      </w:pPr>
      <w:r>
        <w:rPr>
          <w:rStyle w:val="57"/>
          <w:rFonts w:ascii="宋体" w:hAnsi="宋体"/>
          <w:b w:val="0"/>
          <w:bCs w:val="0"/>
          <w:color w:val="auto"/>
          <w:szCs w:val="21"/>
          <w:highlight w:val="none"/>
          <w:u w:val="single"/>
        </w:rPr>
        <w:t>2.3</w:t>
      </w:r>
      <w:r>
        <w:rPr>
          <w:rStyle w:val="57"/>
          <w:rFonts w:hint="eastAsia" w:ascii="宋体" w:hAnsi="宋体"/>
          <w:b w:val="0"/>
          <w:bCs w:val="0"/>
          <w:color w:val="auto"/>
          <w:szCs w:val="21"/>
          <w:highlight w:val="none"/>
          <w:u w:val="single"/>
        </w:rPr>
        <w:t>根据工程实际进展情况，监理班子成员应按“进场时间”按时到位，并满足监理工作需求。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员“进场”数量必须满足《广东省建设厅转发建设部关于印发〈房屋建筑工程施工旁站监理管理办法（试行）〉的通知》（粤建管</w:t>
      </w:r>
      <w:r>
        <w:rPr>
          <w:rStyle w:val="57"/>
          <w:rFonts w:ascii="宋体" w:hAnsi="宋体"/>
          <w:b w:val="0"/>
          <w:bCs w:val="0"/>
          <w:color w:val="auto"/>
          <w:szCs w:val="21"/>
          <w:highlight w:val="none"/>
          <w:u w:val="single"/>
        </w:rPr>
        <w:t>[2002]97</w:t>
      </w:r>
      <w:r>
        <w:rPr>
          <w:rStyle w:val="57"/>
          <w:rFonts w:hint="eastAsia" w:ascii="宋体" w:hAnsi="宋体"/>
          <w:b w:val="0"/>
          <w:bCs w:val="0"/>
          <w:color w:val="auto"/>
          <w:szCs w:val="21"/>
          <w:highlight w:val="none"/>
          <w:u w:val="single"/>
        </w:rPr>
        <w:t>号）中附件《工程项目监理最少人数配置参照表》规定</w:t>
      </w:r>
      <w:r>
        <w:rPr>
          <w:rStyle w:val="57"/>
          <w:rFonts w:hint="eastAsia" w:ascii="宋体" w:hAnsi="宋体" w:cs="仿宋_GB2312"/>
          <w:b w:val="0"/>
          <w:bCs w:val="0"/>
          <w:color w:val="auto"/>
          <w:szCs w:val="21"/>
          <w:highlight w:val="none"/>
          <w:u w:val="single"/>
        </w:rPr>
        <w:t>。</w:t>
      </w:r>
    </w:p>
    <w:p w14:paraId="43075B71">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hAnsi="宋体" w:cs="Times New Roman"/>
          <w:b w:val="0"/>
          <w:bCs w:val="0"/>
          <w:color w:val="auto"/>
          <w:szCs w:val="21"/>
          <w:highlight w:val="none"/>
          <w:u w:val="single"/>
        </w:rPr>
      </w:pPr>
      <w:r>
        <w:rPr>
          <w:rStyle w:val="57"/>
          <w:rFonts w:hint="eastAsia" w:ascii="宋体" w:hAnsi="宋体" w:cs="Times New Roman"/>
          <w:b w:val="0"/>
          <w:bCs w:val="0"/>
          <w:color w:val="auto"/>
          <w:szCs w:val="21"/>
          <w:highlight w:val="none"/>
          <w:u w:val="single"/>
        </w:rPr>
        <w:t>2.4</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应在监理服务期内，为项目</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员和为委托人提供人员购买意外伤害险、社会保险和自备财产的有关保险，保险时间应随服务时间的延长而顺延，并在出险后自行办理索赔。如果</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不办理上述保险，由此引起的风险及后果自行负责。同时，</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应该尽一切合理的努力，按委托人可接受的条件对</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的责任、第三方的责任以及委托人为监理服务提供的财产等进行保险。上述有关费用由</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承担。</w:t>
      </w:r>
    </w:p>
    <w:p w14:paraId="34E3FEF0">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Times New Roman" w:hAnsi="Times New Roman" w:eastAsia="宋体" w:cs="Times New Roman"/>
          <w:b w:val="0"/>
          <w:bCs w:val="0"/>
          <w:color w:val="auto"/>
          <w:kern w:val="2"/>
          <w:sz w:val="21"/>
          <w:szCs w:val="24"/>
          <w:highlight w:val="none"/>
          <w:u w:val="single"/>
          <w:lang w:val="en-US" w:eastAsia="zh-CN" w:bidi="ar-SA"/>
        </w:rPr>
      </w:pPr>
      <w:r>
        <w:rPr>
          <w:rFonts w:hint="eastAsia" w:ascii="Times New Roman" w:hAnsi="Times New Roman" w:eastAsia="宋体" w:cs="Times New Roman"/>
          <w:b w:val="0"/>
          <w:bCs w:val="0"/>
          <w:color w:val="auto"/>
          <w:kern w:val="2"/>
          <w:sz w:val="21"/>
          <w:szCs w:val="24"/>
          <w:highlight w:val="none"/>
          <w:u w:val="single"/>
          <w:lang w:val="en-US" w:eastAsia="zh-CN" w:bidi="ar-SA"/>
        </w:rPr>
        <w:t>2.5</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自领取中标通知书之日起一个月内须派驻</w:t>
      </w:r>
      <w:r>
        <w:rPr>
          <w:rFonts w:hint="eastAsia" w:cs="Times New Roman"/>
          <w:b w:val="0"/>
          <w:bCs w:val="0"/>
          <w:color w:val="auto"/>
          <w:kern w:val="2"/>
          <w:sz w:val="21"/>
          <w:szCs w:val="24"/>
          <w:highlight w:val="none"/>
          <w:u w:val="single"/>
          <w:lang w:val="en-US" w:eastAsia="zh-CN" w:bidi="ar-SA"/>
        </w:rPr>
        <w:t>2</w:t>
      </w:r>
      <w:r>
        <w:rPr>
          <w:rFonts w:hint="eastAsia" w:ascii="Times New Roman" w:hAnsi="Times New Roman" w:eastAsia="宋体" w:cs="Times New Roman"/>
          <w:b w:val="0"/>
          <w:bCs w:val="0"/>
          <w:color w:val="auto"/>
          <w:kern w:val="2"/>
          <w:sz w:val="21"/>
          <w:szCs w:val="24"/>
          <w:highlight w:val="none"/>
          <w:u w:val="single"/>
          <w:lang w:val="en-US" w:eastAsia="zh-CN" w:bidi="ar-SA"/>
        </w:rPr>
        <w:t>名人员协助委托人开展工作，具体工作内容由委托人安排，且不限于本项目，直到本项目竣工验收结束。派驻的</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员应符合以下条件：</w:t>
      </w:r>
      <w:r>
        <w:rPr>
          <w:rFonts w:hint="eastAsia" w:ascii="Times New Roman" w:hAnsi="Times New Roman" w:eastAsia="宋体" w:cs="Times New Roman"/>
          <w:b w:val="0"/>
          <w:bCs w:val="0"/>
          <w:color w:val="auto"/>
          <w:kern w:val="2"/>
          <w:sz w:val="21"/>
          <w:szCs w:val="24"/>
          <w:highlight w:val="none"/>
          <w:u w:val="single"/>
          <w:lang w:val="en-US" w:eastAsia="zh-CN" w:bidi="ar-SA"/>
        </w:rPr>
        <w:sym w:font="Wingdings 2" w:char="0052"/>
      </w:r>
      <w:r>
        <w:rPr>
          <w:rFonts w:hint="eastAsia" w:ascii="Times New Roman" w:hAnsi="Times New Roman" w:eastAsia="宋体" w:cs="Times New Roman"/>
          <w:b w:val="0"/>
          <w:bCs w:val="0"/>
          <w:color w:val="auto"/>
          <w:kern w:val="2"/>
          <w:sz w:val="21"/>
          <w:szCs w:val="24"/>
          <w:highlight w:val="none"/>
          <w:u w:val="single"/>
          <w:lang w:val="en-US" w:eastAsia="zh-CN" w:bidi="ar-SA"/>
        </w:rPr>
        <w:t>三年及以上施工现场管理经验，</w:t>
      </w:r>
      <w:r>
        <w:rPr>
          <w:rFonts w:hint="eastAsia" w:ascii="Times New Roman" w:hAnsi="Times New Roman" w:eastAsia="宋体" w:cs="Times New Roman"/>
          <w:b w:val="0"/>
          <w:bCs w:val="0"/>
          <w:color w:val="auto"/>
          <w:kern w:val="2"/>
          <w:sz w:val="21"/>
          <w:szCs w:val="24"/>
          <w:highlight w:val="none"/>
          <w:u w:val="single"/>
          <w:lang w:val="en-US" w:eastAsia="zh-CN" w:bidi="ar-SA"/>
        </w:rPr>
        <w:sym w:font="Wingdings 2" w:char="0052"/>
      </w:r>
      <w:r>
        <w:rPr>
          <w:rFonts w:hint="eastAsia" w:ascii="Times New Roman" w:hAnsi="Times New Roman" w:eastAsia="宋体" w:cs="Times New Roman"/>
          <w:b w:val="0"/>
          <w:bCs w:val="0"/>
          <w:color w:val="auto"/>
          <w:kern w:val="2"/>
          <w:sz w:val="21"/>
          <w:szCs w:val="24"/>
          <w:highlight w:val="none"/>
          <w:u w:val="single"/>
          <w:lang w:val="en-US" w:eastAsia="zh-CN" w:bidi="ar-SA"/>
        </w:rPr>
        <w:t>专业大专及以上学历，□工程前期工作经验，</w:t>
      </w:r>
      <w:r>
        <w:rPr>
          <w:rFonts w:hint="eastAsia" w:ascii="Times New Roman" w:hAnsi="Times New Roman" w:eastAsia="宋体" w:cs="Times New Roman"/>
          <w:b w:val="0"/>
          <w:bCs w:val="0"/>
          <w:color w:val="auto"/>
          <w:kern w:val="2"/>
          <w:sz w:val="21"/>
          <w:szCs w:val="24"/>
          <w:highlight w:val="none"/>
          <w:u w:val="single"/>
          <w:lang w:val="en-US" w:eastAsia="zh-CN" w:bidi="ar-SA"/>
        </w:rPr>
        <w:sym w:font="Wingdings 2" w:char="00A3"/>
      </w:r>
      <w:r>
        <w:rPr>
          <w:rFonts w:hint="eastAsia" w:ascii="Times New Roman" w:hAnsi="Times New Roman" w:eastAsia="宋体" w:cs="Times New Roman"/>
          <w:b w:val="0"/>
          <w:bCs w:val="0"/>
          <w:color w:val="auto"/>
          <w:kern w:val="2"/>
          <w:sz w:val="21"/>
          <w:szCs w:val="24"/>
          <w:highlight w:val="none"/>
          <w:u w:val="single"/>
          <w:lang w:val="en-US" w:eastAsia="zh-CN" w:bidi="ar-SA"/>
        </w:rPr>
        <w:t>招标或预算工作经验，□其他 。派驻人员应经委托人审核同意方可入驻，委托人发现其无法胜任工作的，有权要求</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更换。</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应与派驻人员存在劳动法律关系，包括劳动合同关系、工资保险关系，应为派驻人员核发工资、购买五险一金等；委托人与派驻人员只存在工作协助关系，不存在劳动法律关系，但派驻人员应严格遵守委托人管理规定。派驻人员所有经费包含在监理合同价款内，不再另行支付。</w:t>
      </w:r>
    </w:p>
    <w:p w14:paraId="741014E0">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三、监理班子人员的违约责任约定</w:t>
      </w:r>
    </w:p>
    <w:p w14:paraId="507406C7">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3.1</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配备的项目总监、专业监理工程在上岗前应通过委托人组织的面试考核，考核不合格的，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应根据委托人要求予以更换，直至委托人满意为止。</w:t>
      </w:r>
    </w:p>
    <w:p w14:paraId="41171826">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2</w:t>
      </w:r>
      <w:r>
        <w:rPr>
          <w:rFonts w:hint="eastAsia" w:ascii="宋体" w:hAnsi="宋体" w:eastAsia="宋体" w:cs="宋体"/>
          <w:b w:val="0"/>
          <w:bCs w:val="0"/>
          <w:color w:val="auto"/>
          <w:kern w:val="2"/>
          <w:sz w:val="24"/>
          <w:szCs w:val="24"/>
          <w:u w:val="single"/>
          <w:lang w:val="en-US" w:eastAsia="zh-CN" w:bidi="ar-SA"/>
        </w:rPr>
        <w:t xml:space="preserve"> </w:t>
      </w:r>
      <w:r>
        <w:rPr>
          <w:rStyle w:val="57"/>
          <w:rFonts w:hint="eastAsia" w:ascii="宋体" w:hAnsi="宋体"/>
          <w:b w:val="0"/>
          <w:bCs w:val="0"/>
          <w:color w:val="auto"/>
          <w:szCs w:val="21"/>
          <w:highlight w:val="none"/>
          <w:u w:val="single"/>
          <w:lang w:val="en-US" w:eastAsia="zh-CN"/>
        </w:rPr>
        <w:t>若监理人派驻的项目总监因兼任其它工程项目的项目总监，导致发包人不能及时办理施工许可证的，视为监理人违约，监理人应按每人每次按合同签约酬金的10%支付违约金。其他原因更换项目总监，导致项目总监</w:t>
      </w:r>
      <w:r>
        <w:rPr>
          <w:rStyle w:val="57"/>
          <w:rFonts w:hint="eastAsia" w:ascii="宋体" w:hAnsi="宋体"/>
          <w:b w:val="0"/>
          <w:bCs w:val="0"/>
          <w:color w:val="auto"/>
          <w:szCs w:val="21"/>
          <w:highlight w:val="none"/>
          <w:u w:val="single"/>
        </w:rPr>
        <w:t>与合同约定的不一致，除该项目总监突然身故、或非</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原因犯罪被羁押或判刑的外，均视</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违约，每发生一次，</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hint="eastAsia" w:ascii="宋体" w:hAnsi="宋体"/>
          <w:b w:val="0"/>
          <w:bCs w:val="0"/>
          <w:color w:val="auto"/>
          <w:szCs w:val="21"/>
          <w:highlight w:val="none"/>
          <w:u w:val="single"/>
          <w:lang w:val="en-US" w:eastAsia="zh-CN"/>
        </w:rPr>
        <w:t>5</w:t>
      </w:r>
      <w:r>
        <w:rPr>
          <w:rStyle w:val="57"/>
          <w:rFonts w:ascii="宋体" w:hAnsi="宋体"/>
          <w:b w:val="0"/>
          <w:bCs w:val="0"/>
          <w:color w:val="auto"/>
          <w:szCs w:val="21"/>
          <w:highlight w:val="none"/>
          <w:u w:val="single"/>
        </w:rPr>
        <w:t>%</w:t>
      </w:r>
      <w:r>
        <w:rPr>
          <w:rStyle w:val="57"/>
          <w:rFonts w:hint="eastAsia" w:ascii="宋体" w:hAnsi="宋体"/>
          <w:b w:val="0"/>
          <w:bCs w:val="0"/>
          <w:color w:val="auto"/>
          <w:szCs w:val="21"/>
          <w:highlight w:val="none"/>
          <w:u w:val="single"/>
        </w:rPr>
        <w:t>。</w:t>
      </w:r>
    </w:p>
    <w:p w14:paraId="69CBD897">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3</w:t>
      </w:r>
      <w:r>
        <w:rPr>
          <w:rStyle w:val="57"/>
          <w:rFonts w:hint="eastAsia" w:ascii="宋体" w:hAnsi="宋体"/>
          <w:b w:val="0"/>
          <w:bCs w:val="0"/>
          <w:color w:val="auto"/>
          <w:szCs w:val="21"/>
          <w:highlight w:val="none"/>
          <w:u w:val="single"/>
        </w:rPr>
        <w:t>委托人有权要求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更换项目总监，</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必须在委托人发出要求更换的书面通知</w:t>
      </w:r>
      <w:r>
        <w:rPr>
          <w:rStyle w:val="57"/>
          <w:rFonts w:ascii="宋体" w:hAnsi="宋体"/>
          <w:b w:val="0"/>
          <w:bCs w:val="0"/>
          <w:color w:val="auto"/>
          <w:szCs w:val="21"/>
          <w:highlight w:val="none"/>
          <w:u w:val="single"/>
        </w:rPr>
        <w:t>10</w:t>
      </w:r>
      <w:r>
        <w:rPr>
          <w:rStyle w:val="57"/>
          <w:rFonts w:hint="eastAsia" w:ascii="宋体" w:hAnsi="宋体"/>
          <w:b w:val="0"/>
          <w:bCs w:val="0"/>
          <w:color w:val="auto"/>
          <w:szCs w:val="21"/>
          <w:highlight w:val="none"/>
          <w:u w:val="single"/>
        </w:rPr>
        <w:t>日内，无条件更换或满足</w:t>
      </w:r>
      <w:r>
        <w:rPr>
          <w:rStyle w:val="57"/>
          <w:rFonts w:hint="eastAsia" w:ascii="宋体" w:hAnsi="宋体"/>
          <w:b w:val="0"/>
          <w:bCs w:val="0"/>
          <w:i w:val="0"/>
          <w:color w:val="auto"/>
          <w:szCs w:val="21"/>
          <w:highlight w:val="none"/>
          <w:u w:val="single"/>
        </w:rPr>
        <w:t>□招标文件要求□投标文件承诺的■委托人要求的</w:t>
      </w:r>
      <w:r>
        <w:rPr>
          <w:rStyle w:val="57"/>
          <w:rFonts w:hint="eastAsia" w:ascii="宋体" w:hAnsi="宋体"/>
          <w:b w:val="0"/>
          <w:bCs w:val="0"/>
          <w:color w:val="auto"/>
          <w:szCs w:val="21"/>
          <w:highlight w:val="none"/>
          <w:u w:val="single"/>
        </w:rPr>
        <w:t>项目总监。如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拒不更换的，视</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严重违约，</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除需按</w:t>
      </w: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2条标准支付违约金外，还应下列标准支付违约金：</w:t>
      </w:r>
      <w:r>
        <w:rPr>
          <w:rStyle w:val="57"/>
          <w:rFonts w:ascii="宋体" w:hAnsi="宋体"/>
          <w:b w:val="0"/>
          <w:bCs w:val="0"/>
          <w:color w:val="auto"/>
          <w:szCs w:val="21"/>
          <w:highlight w:val="none"/>
          <w:u w:val="single"/>
        </w:rPr>
        <w:t>30000.00</w:t>
      </w:r>
      <w:r>
        <w:rPr>
          <w:rStyle w:val="57"/>
          <w:rFonts w:hint="eastAsia" w:ascii="宋体" w:hAnsi="宋体"/>
          <w:b w:val="0"/>
          <w:bCs w:val="0"/>
          <w:color w:val="auto"/>
          <w:szCs w:val="21"/>
          <w:highlight w:val="none"/>
          <w:u w:val="single"/>
        </w:rPr>
        <w:t>元</w:t>
      </w:r>
      <w:r>
        <w:rPr>
          <w:rStyle w:val="57"/>
          <w:rFonts w:ascii="宋体" w:hAnsi="宋体"/>
          <w:b w:val="0"/>
          <w:bCs w:val="0"/>
          <w:color w:val="auto"/>
          <w:szCs w:val="21"/>
          <w:highlight w:val="none"/>
          <w:u w:val="single"/>
        </w:rPr>
        <w:t>/</w:t>
      </w:r>
      <w:r>
        <w:rPr>
          <w:rStyle w:val="57"/>
          <w:rFonts w:hint="eastAsia" w:ascii="宋体" w:hAnsi="宋体"/>
          <w:b w:val="0"/>
          <w:bCs w:val="0"/>
          <w:color w:val="auto"/>
          <w:szCs w:val="21"/>
          <w:highlight w:val="none"/>
          <w:u w:val="single"/>
        </w:rPr>
        <w:t>次，违约金累计计算。</w:t>
      </w:r>
    </w:p>
    <w:p w14:paraId="2A4E70D4">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default" w:ascii="宋体" w:hAnsi="宋体" w:eastAsia="宋体" w:cs="仿宋_GB2312"/>
          <w:b w:val="0"/>
          <w:bCs w:val="0"/>
          <w:color w:val="auto"/>
          <w:szCs w:val="21"/>
          <w:highlight w:val="none"/>
          <w:u w:val="single"/>
          <w:lang w:val="en-US" w:eastAsia="zh-CN"/>
        </w:rPr>
      </w:pP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4</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员“进场”数量未满足本</w:t>
      </w:r>
      <w:r>
        <w:rPr>
          <w:rStyle w:val="57"/>
          <w:rFonts w:hint="eastAsia" w:ascii="宋体" w:hAnsi="宋体"/>
          <w:b w:val="0"/>
          <w:bCs w:val="0"/>
          <w:color w:val="auto"/>
          <w:szCs w:val="21"/>
          <w:highlight w:val="none"/>
          <w:u w:val="single"/>
          <w:lang w:eastAsia="zh-CN"/>
        </w:rPr>
        <w:t>补充条款</w:t>
      </w:r>
      <w:r>
        <w:rPr>
          <w:rStyle w:val="57"/>
          <w:rFonts w:hint="eastAsia" w:ascii="宋体" w:hAnsi="宋体"/>
          <w:b w:val="0"/>
          <w:bCs w:val="0"/>
          <w:color w:val="auto"/>
          <w:szCs w:val="21"/>
          <w:highlight w:val="none"/>
          <w:u w:val="single"/>
        </w:rPr>
        <w:t>第</w:t>
      </w:r>
      <w:r>
        <w:rPr>
          <w:rStyle w:val="57"/>
          <w:rFonts w:ascii="宋体" w:hAnsi="宋体"/>
          <w:b w:val="0"/>
          <w:bCs w:val="0"/>
          <w:color w:val="auto"/>
          <w:szCs w:val="21"/>
          <w:highlight w:val="none"/>
          <w:u w:val="single"/>
        </w:rPr>
        <w:t>2.3</w:t>
      </w:r>
      <w:r>
        <w:rPr>
          <w:rStyle w:val="57"/>
          <w:rFonts w:hint="eastAsia" w:ascii="宋体" w:hAnsi="宋体"/>
          <w:b w:val="0"/>
          <w:bCs w:val="0"/>
          <w:color w:val="auto"/>
          <w:szCs w:val="21"/>
          <w:highlight w:val="none"/>
          <w:u w:val="single"/>
        </w:rPr>
        <w:t>条规定的，视</w:t>
      </w:r>
      <w:r>
        <w:rPr>
          <w:rStyle w:val="57"/>
          <w:rFonts w:hint="eastAsia" w:ascii="宋体" w:hAnsi="宋体"/>
          <w:b w:val="0"/>
          <w:bCs w:val="0"/>
          <w:color w:val="auto"/>
          <w:szCs w:val="21"/>
          <w:highlight w:val="none"/>
          <w:u w:val="single"/>
          <w:lang w:val="en-US" w:eastAsia="zh-CN"/>
        </w:rPr>
        <w:t>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违约，委托人除将扣除未到位人员相应的监理酬金，还有权按未到人员</w:t>
      </w:r>
      <w:r>
        <w:rPr>
          <w:rStyle w:val="57"/>
          <w:rFonts w:ascii="宋体" w:hAnsi="宋体"/>
          <w:b w:val="0"/>
          <w:bCs w:val="0"/>
          <w:color w:val="auto"/>
          <w:szCs w:val="21"/>
          <w:highlight w:val="none"/>
          <w:u w:val="single"/>
        </w:rPr>
        <w:t>200</w:t>
      </w:r>
      <w:r>
        <w:rPr>
          <w:rStyle w:val="57"/>
          <w:rFonts w:hint="eastAsia" w:ascii="宋体" w:hAnsi="宋体"/>
          <w:b w:val="0"/>
          <w:bCs w:val="0"/>
          <w:color w:val="auto"/>
          <w:szCs w:val="21"/>
          <w:highlight w:val="none"/>
          <w:u w:val="single"/>
        </w:rPr>
        <w:t>元</w:t>
      </w:r>
      <w:r>
        <w:rPr>
          <w:rStyle w:val="57"/>
          <w:rFonts w:ascii="宋体" w:hAnsi="宋体"/>
          <w:b w:val="0"/>
          <w:bCs w:val="0"/>
          <w:color w:val="auto"/>
          <w:szCs w:val="21"/>
          <w:highlight w:val="none"/>
          <w:u w:val="single"/>
        </w:rPr>
        <w:t>/</w:t>
      </w:r>
      <w:r>
        <w:rPr>
          <w:rStyle w:val="57"/>
          <w:rFonts w:hint="eastAsia" w:ascii="宋体" w:hAnsi="宋体"/>
          <w:b w:val="0"/>
          <w:bCs w:val="0"/>
          <w:color w:val="auto"/>
          <w:szCs w:val="21"/>
          <w:highlight w:val="none"/>
          <w:u w:val="single"/>
        </w:rPr>
        <w:t>人·天的标准收取</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违约金，未到位每人每天的监理酬金按如下计算：各阶段监理酬金÷应投入的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员数量÷本阶段监理期限，其中应投入的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员数量按</w:t>
      </w:r>
      <w:r>
        <w:rPr>
          <w:rStyle w:val="57"/>
          <w:rFonts w:hint="eastAsia" w:ascii="宋体" w:hAnsi="宋体"/>
          <w:b w:val="0"/>
          <w:bCs w:val="0"/>
          <w:color w:val="auto"/>
          <w:szCs w:val="21"/>
          <w:highlight w:val="none"/>
          <w:u w:val="single"/>
          <w:lang w:val="en-US" w:eastAsia="zh-CN"/>
        </w:rPr>
        <w:t>补充条款2.1条确定。</w:t>
      </w:r>
    </w:p>
    <w:p w14:paraId="4653EC59">
      <w:pPr>
        <w:pStyle w:val="167"/>
        <w:keepNext w:val="0"/>
        <w:keepLines w:val="0"/>
        <w:pageBreakBefore w:val="0"/>
        <w:widowControl w:val="0"/>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5</w:t>
      </w:r>
      <w:r>
        <w:rPr>
          <w:rStyle w:val="57"/>
          <w:rFonts w:hint="eastAsia" w:ascii="宋体" w:hAnsi="宋体"/>
          <w:b w:val="0"/>
          <w:bCs w:val="0"/>
          <w:color w:val="auto"/>
          <w:szCs w:val="21"/>
          <w:highlight w:val="none"/>
          <w:u w:val="single"/>
        </w:rPr>
        <w:t>当政府主管部门、委托人等认为项目</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员配置不能满足施工实际需要时，</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应按委托人要求增加</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员数量或调整监理专业以满足需要，由此引起的费用增加已包含在本工程监理合同价中，不另行支付。</w:t>
      </w:r>
    </w:p>
    <w:p w14:paraId="488AB196">
      <w:pPr>
        <w:pStyle w:val="167"/>
        <w:keepNext w:val="0"/>
        <w:keepLines w:val="0"/>
        <w:pageBreakBefore w:val="0"/>
        <w:widowControl/>
        <w:kinsoku/>
        <w:wordWrap/>
        <w:overflowPunct/>
        <w:topLinePunct w:val="0"/>
        <w:autoSpaceDE/>
        <w:autoSpaceDN/>
        <w:bidi w:val="0"/>
        <w:spacing w:line="560" w:lineRule="exact"/>
        <w:ind w:firstLine="420" w:firstLineChars="200"/>
        <w:textAlignment w:val="auto"/>
        <w:rPr>
          <w:rStyle w:val="57"/>
          <w:rFonts w:hint="eastAsia" w:ascii="宋体" w:hAnsi="宋体" w:eastAsia="宋体"/>
          <w:b w:val="0"/>
          <w:bCs w:val="0"/>
          <w:color w:val="auto"/>
          <w:szCs w:val="21"/>
          <w:highlight w:val="none"/>
          <w:u w:val="single"/>
          <w:lang w:eastAsia="zh-CN"/>
        </w:rPr>
      </w:pPr>
      <w:r>
        <w:rPr>
          <w:rStyle w:val="57"/>
          <w:rFonts w:hint="eastAsia"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6</w:t>
      </w:r>
      <w:r>
        <w:rPr>
          <w:rStyle w:val="57"/>
          <w:rFonts w:hint="eastAsia" w:ascii="宋体" w:hAnsi="宋体"/>
          <w:b w:val="0"/>
          <w:bCs w:val="0"/>
          <w:color w:val="auto"/>
          <w:szCs w:val="21"/>
          <w:highlight w:val="none"/>
          <w:u w:val="single"/>
        </w:rPr>
        <w:t>根据经批准的监理规划中项目监理机构人员进场计划，如果</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员不在岗，一般</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员按500元/天·人、总监理工程师按1200元/天·人、专业监理工程师按800元/天·人支付违约金；如果</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对承诺的人员数及安排擅自作了变化，则就变动总人数按照不在岗的办法予以处罚（事后征得委托人书面追认同意的情况除外）。如果不在岗的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员一天超过两人或不在岗的记录超过10人次，视为重大违约，委托人有权发出整改通知。若委托人第二次以书面形式发出整改通知后7天内未收到</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书面形式的合理解释，有权提前解除合同</w:t>
      </w:r>
      <w:r>
        <w:rPr>
          <w:rStyle w:val="57"/>
          <w:rFonts w:hint="eastAsia" w:ascii="宋体" w:hAnsi="宋体"/>
          <w:b w:val="0"/>
          <w:bCs w:val="0"/>
          <w:color w:val="auto"/>
          <w:szCs w:val="21"/>
          <w:highlight w:val="none"/>
          <w:u w:val="single"/>
          <w:lang w:eastAsia="zh-CN"/>
        </w:rPr>
        <w:t>。</w:t>
      </w:r>
    </w:p>
    <w:p w14:paraId="64808A4E">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四、工程管理的要求</w:t>
      </w:r>
    </w:p>
    <w:p w14:paraId="586646F9">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4.1</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应按委托人的工程变更管理办法履行相关职责，处理变更事项，并对实施的变更量进行确认。收到变更提议单后3日内，应从其真实性、必要性、可行性（经济上）方面对变更</w:t>
      </w:r>
      <w:r>
        <w:rPr>
          <w:rStyle w:val="57"/>
          <w:rFonts w:hint="eastAsia" w:ascii="宋体" w:hAnsi="宋体"/>
          <w:b w:val="0"/>
          <w:bCs w:val="0"/>
          <w:color w:val="auto"/>
          <w:szCs w:val="21"/>
          <w:highlight w:val="none"/>
          <w:u w:val="single"/>
          <w:lang w:val="en-US" w:eastAsia="zh-CN"/>
        </w:rPr>
        <w:t>提议</w:t>
      </w:r>
      <w:r>
        <w:rPr>
          <w:rStyle w:val="57"/>
          <w:rFonts w:hint="eastAsia" w:ascii="宋体" w:hAnsi="宋体"/>
          <w:b w:val="0"/>
          <w:bCs w:val="0"/>
          <w:color w:val="auto"/>
          <w:szCs w:val="21"/>
          <w:highlight w:val="none"/>
          <w:u w:val="single"/>
        </w:rPr>
        <w:t>提出意见，资料备齐后报</w:t>
      </w:r>
      <w:r>
        <w:rPr>
          <w:rStyle w:val="57"/>
          <w:rFonts w:hint="eastAsia" w:ascii="宋体" w:hAnsi="宋体"/>
          <w:b w:val="0"/>
          <w:bCs w:val="0"/>
          <w:color w:val="auto"/>
          <w:szCs w:val="21"/>
          <w:highlight w:val="none"/>
          <w:u w:val="single"/>
          <w:lang w:val="en-US" w:eastAsia="zh-CN"/>
        </w:rPr>
        <w:t>委托</w:t>
      </w:r>
      <w:r>
        <w:rPr>
          <w:rStyle w:val="57"/>
          <w:rFonts w:hint="eastAsia" w:ascii="宋体" w:hAnsi="宋体"/>
          <w:b w:val="0"/>
          <w:bCs w:val="0"/>
          <w:color w:val="auto"/>
          <w:szCs w:val="21"/>
          <w:highlight w:val="none"/>
          <w:u w:val="single"/>
        </w:rPr>
        <w:t>人审批。如未按时限处理工程变更事宜，</w:t>
      </w:r>
      <w:r>
        <w:rPr>
          <w:rStyle w:val="57"/>
          <w:rFonts w:hint="eastAsia" w:ascii="宋体" w:hAnsi="宋体"/>
          <w:b w:val="0"/>
          <w:bCs w:val="0"/>
          <w:color w:val="auto"/>
          <w:szCs w:val="21"/>
          <w:highlight w:val="none"/>
          <w:u w:val="single"/>
          <w:lang w:val="en-US" w:eastAsia="zh-CN"/>
        </w:rPr>
        <w:t>委托</w:t>
      </w:r>
      <w:r>
        <w:rPr>
          <w:rStyle w:val="57"/>
          <w:rFonts w:hint="eastAsia" w:ascii="宋体" w:hAnsi="宋体"/>
          <w:b w:val="0"/>
          <w:bCs w:val="0"/>
          <w:color w:val="auto"/>
          <w:szCs w:val="21"/>
          <w:highlight w:val="none"/>
          <w:u w:val="single"/>
        </w:rPr>
        <w:t>人有权对现场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员给予警告记过处分，情节严重的，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应按拖延天数支付1000元/天的违约金。</w:t>
      </w:r>
    </w:p>
    <w:p w14:paraId="5D46B0E5">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且</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对审核施工单位上报的工程变更造价金额负责，如因</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lang w:val="en-US" w:eastAsia="zh-CN"/>
        </w:rPr>
        <w:t>原因</w:t>
      </w:r>
      <w:r>
        <w:rPr>
          <w:rStyle w:val="57"/>
          <w:rFonts w:hint="eastAsia" w:ascii="宋体" w:hAnsi="宋体"/>
          <w:b w:val="0"/>
          <w:bCs w:val="0"/>
          <w:color w:val="auto"/>
          <w:szCs w:val="21"/>
          <w:highlight w:val="none"/>
          <w:u w:val="single"/>
        </w:rPr>
        <w:t>，造成申报变更造价与</w:t>
      </w:r>
      <w:r>
        <w:rPr>
          <w:rStyle w:val="57"/>
          <w:rFonts w:hint="eastAsia" w:ascii="宋体" w:hAnsi="宋体"/>
          <w:b w:val="0"/>
          <w:bCs w:val="0"/>
          <w:color w:val="auto"/>
          <w:szCs w:val="21"/>
          <w:highlight w:val="none"/>
          <w:u w:val="single"/>
          <w:lang w:val="en-US" w:eastAsia="zh-CN"/>
        </w:rPr>
        <w:t>委托</w:t>
      </w:r>
      <w:r>
        <w:rPr>
          <w:rStyle w:val="57"/>
          <w:rFonts w:hint="eastAsia" w:ascii="宋体" w:hAnsi="宋体"/>
          <w:b w:val="0"/>
          <w:bCs w:val="0"/>
          <w:color w:val="auto"/>
          <w:szCs w:val="21"/>
          <w:highlight w:val="none"/>
          <w:u w:val="single"/>
        </w:rPr>
        <w:t>人委托的造价咨询公司审核造价偏差在</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5%以上的，视为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违约，在</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5%-</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10%（含10%）的，处以3000元/次的违约金；审核造价偏差在</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10%-</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20%（含20%）的，处以10000元/次的违约金，并给予</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不良行为记录或履约评价不合格；审核造价偏差超过</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20%的，视为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严重违约，处以50000元/次的违约金，并给予</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履约评价不合格，造成经济损失的，由</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赔偿。</w:t>
      </w:r>
    </w:p>
    <w:p w14:paraId="528BF901">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4.2监理定期每周和每月分别以周报、月报形式，向委托人书面汇报工程的质量、安全、进度、投资、安全文明施工、信息管理、合同管理情况，农民工、劳务工的工资发放情况、工作协调及存在问题，并附情况总结分析及预测，找出进度偏差，分析原因并提出拟采取的对策及需委托人协调或答复的问题，其中质量、安全、进度、安全文明施工应作为周报及月报的重要内容；如遇特殊情况或重大事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需随时向委托人报告。如未按规定时限和要求上报（发包人同意延期的除外），发包人给予书面警告，警告后仍不按要求上报的，视为违约，按1000元/天的违约金处罚。</w:t>
      </w:r>
    </w:p>
    <w:p w14:paraId="74C0E055">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3</w:t>
      </w:r>
      <w:r>
        <w:rPr>
          <w:rStyle w:val="57"/>
          <w:rFonts w:hint="eastAsia" w:ascii="宋体" w:hAnsi="宋体"/>
          <w:b w:val="0"/>
          <w:bCs w:val="0"/>
          <w:color w:val="auto"/>
          <w:szCs w:val="21"/>
          <w:highlight w:val="none"/>
          <w:u w:val="single"/>
        </w:rPr>
        <w:t>工程竣工阶段，</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须对施工单位所报的竣工图纸、结算进行严格审核，并负责与承包单位进行结算核对工作，提出书面审核和核对意见。</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应保证竣工图纸的正确性，应保证竣工结（决）算的准确性。</w:t>
      </w:r>
    </w:p>
    <w:p w14:paraId="09E71CDB">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4</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须按委托人要求时限审核和报送施工单位申报的竣工结算资料和竣工存档资料，其中资料含所有照片、视频等工作痕迹电子资料。</w:t>
      </w:r>
    </w:p>
    <w:p w14:paraId="361CEC9C">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5</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应督促各施工单位按照深圳市档案馆的档案管理要求及时整理各项资料，并及时整理完成城建档案馆要求提交的监理资料，同时协助委托人整理相关的资料，并取得档案验收许可文件。</w:t>
      </w:r>
    </w:p>
    <w:p w14:paraId="3D96613D">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6</w:t>
      </w:r>
      <w:r>
        <w:rPr>
          <w:rStyle w:val="57"/>
          <w:rFonts w:hint="eastAsia" w:ascii="宋体" w:hAnsi="宋体"/>
          <w:b w:val="0"/>
          <w:bCs w:val="0"/>
          <w:color w:val="auto"/>
          <w:szCs w:val="21"/>
          <w:highlight w:val="none"/>
          <w:u w:val="single"/>
        </w:rPr>
        <w:t>对于委托人和第三方提交的有关工程的指令、通知和各种报表，需要</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填报、转达、审核或确认的，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应在2天内填写、转达、审核和确认。超过约定的期限未填报、转达、审核和确认，由此造成的不良后果的，由</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承担相应的责任。</w:t>
      </w:r>
    </w:p>
    <w:p w14:paraId="067800EB">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7</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员工作时间需根据施工现场实际作业时间随时调整，并不定时进行现场巡视。</w:t>
      </w:r>
    </w:p>
    <w:p w14:paraId="0D38AA7D">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8</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应监管工人工资“分账制”管理工作情况，建立日常监理台账。</w:t>
      </w:r>
    </w:p>
    <w:p w14:paraId="1587E096">
      <w:pPr>
        <w:pStyle w:val="170"/>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五、</w:t>
      </w:r>
      <w:r>
        <w:rPr>
          <w:rStyle w:val="57"/>
          <w:rFonts w:hint="eastAsia" w:ascii="宋体" w:hAnsi="宋体"/>
          <w:b w:val="0"/>
          <w:bCs w:val="0"/>
          <w:color w:val="auto"/>
          <w:szCs w:val="21"/>
          <w:highlight w:val="none"/>
          <w:lang w:eastAsia="zh-CN"/>
        </w:rPr>
        <w:t>监理人</w:t>
      </w:r>
      <w:r>
        <w:rPr>
          <w:rStyle w:val="57"/>
          <w:rFonts w:hint="eastAsia" w:ascii="宋体" w:hAnsi="宋体"/>
          <w:b w:val="0"/>
          <w:bCs w:val="0"/>
          <w:color w:val="auto"/>
          <w:szCs w:val="21"/>
          <w:highlight w:val="none"/>
        </w:rPr>
        <w:t>其它的违约责任约定</w:t>
      </w:r>
    </w:p>
    <w:p w14:paraId="7172CCEE">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kern w:val="0"/>
          <w:szCs w:val="21"/>
          <w:highlight w:val="none"/>
          <w:u w:val="single"/>
        </w:rPr>
      </w:pPr>
      <w:r>
        <w:rPr>
          <w:rStyle w:val="57"/>
          <w:rFonts w:ascii="宋体" w:hAnsi="宋体"/>
          <w:b w:val="0"/>
          <w:bCs w:val="0"/>
          <w:color w:val="auto"/>
          <w:szCs w:val="21"/>
          <w:highlight w:val="none"/>
          <w:u w:val="single"/>
        </w:rPr>
        <w:t>5.1</w:t>
      </w:r>
      <w:r>
        <w:rPr>
          <w:rStyle w:val="57"/>
          <w:rFonts w:hint="eastAsia" w:ascii="宋体" w:hAnsi="宋体"/>
          <w:b w:val="0"/>
          <w:bCs w:val="0"/>
          <w:color w:val="auto"/>
          <w:szCs w:val="21"/>
          <w:highlight w:val="none"/>
          <w:u w:val="single"/>
        </w:rPr>
        <w:t>若委托人检查发现</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员服务不到位，未按现行《建设工程监理规范》（</w:t>
      </w:r>
      <w:r>
        <w:rPr>
          <w:rStyle w:val="57"/>
          <w:rFonts w:ascii="宋体" w:hAnsi="宋体"/>
          <w:b w:val="0"/>
          <w:bCs w:val="0"/>
          <w:color w:val="auto"/>
          <w:szCs w:val="21"/>
          <w:highlight w:val="none"/>
          <w:u w:val="single"/>
        </w:rPr>
        <w:t>GB50319-2013</w:t>
      </w:r>
      <w:r>
        <w:rPr>
          <w:rStyle w:val="57"/>
          <w:rFonts w:hint="eastAsia" w:ascii="宋体" w:hAnsi="宋体"/>
          <w:b w:val="0"/>
          <w:bCs w:val="0"/>
          <w:color w:val="auto"/>
          <w:szCs w:val="21"/>
          <w:highlight w:val="none"/>
          <w:u w:val="single"/>
        </w:rPr>
        <w:t>）实施过程控制，在书面警告后</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仍没按要求落实的，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ascii="宋体" w:hAnsi="宋体"/>
          <w:b w:val="0"/>
          <w:bCs w:val="0"/>
          <w:color w:val="auto"/>
          <w:kern w:val="0"/>
          <w:szCs w:val="21"/>
          <w:highlight w:val="none"/>
          <w:u w:val="single"/>
        </w:rPr>
        <w:t>2000</w:t>
      </w:r>
      <w:r>
        <w:rPr>
          <w:rStyle w:val="57"/>
          <w:rFonts w:hint="eastAsia" w:ascii="宋体" w:hAnsi="宋体"/>
          <w:b w:val="0"/>
          <w:bCs w:val="0"/>
          <w:color w:val="auto"/>
          <w:kern w:val="0"/>
          <w:szCs w:val="21"/>
          <w:highlight w:val="none"/>
          <w:u w:val="single"/>
        </w:rPr>
        <w:t>元</w:t>
      </w:r>
      <w:r>
        <w:rPr>
          <w:rStyle w:val="57"/>
          <w:rFonts w:ascii="宋体" w:hAnsi="宋体"/>
          <w:b w:val="0"/>
          <w:bCs w:val="0"/>
          <w:color w:val="auto"/>
          <w:kern w:val="0"/>
          <w:szCs w:val="21"/>
          <w:highlight w:val="none"/>
          <w:u w:val="single"/>
        </w:rPr>
        <w:t>/</w:t>
      </w:r>
      <w:r>
        <w:rPr>
          <w:rStyle w:val="57"/>
          <w:rFonts w:hint="eastAsia" w:ascii="宋体" w:hAnsi="宋体"/>
          <w:b w:val="0"/>
          <w:bCs w:val="0"/>
          <w:color w:val="auto"/>
          <w:kern w:val="0"/>
          <w:szCs w:val="21"/>
          <w:highlight w:val="none"/>
          <w:u w:val="single"/>
        </w:rPr>
        <w:t>次。违约金累计计算。</w:t>
      </w:r>
    </w:p>
    <w:p w14:paraId="28B85275">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kern w:val="0"/>
          <w:szCs w:val="21"/>
          <w:highlight w:val="none"/>
          <w:u w:val="single"/>
        </w:rPr>
      </w:pPr>
      <w:r>
        <w:rPr>
          <w:rStyle w:val="57"/>
          <w:rFonts w:ascii="宋体" w:hAnsi="宋体"/>
          <w:b w:val="0"/>
          <w:bCs w:val="0"/>
          <w:color w:val="auto"/>
          <w:kern w:val="0"/>
          <w:szCs w:val="21"/>
          <w:highlight w:val="none"/>
          <w:u w:val="single"/>
        </w:rPr>
        <w:t>5.2</w:t>
      </w:r>
      <w:r>
        <w:rPr>
          <w:rStyle w:val="57"/>
          <w:rFonts w:hint="eastAsia" w:ascii="宋体" w:hAnsi="宋体"/>
          <w:b w:val="0"/>
          <w:bCs w:val="0"/>
          <w:color w:val="auto"/>
          <w:kern w:val="0"/>
          <w:szCs w:val="21"/>
          <w:highlight w:val="none"/>
          <w:u w:val="single"/>
        </w:rPr>
        <w:t>若发现</w:t>
      </w:r>
      <w:r>
        <w:rPr>
          <w:rStyle w:val="57"/>
          <w:rFonts w:hint="eastAsia" w:ascii="宋体" w:hAnsi="宋体"/>
          <w:b w:val="0"/>
          <w:bCs w:val="0"/>
          <w:color w:val="auto"/>
          <w:kern w:val="0"/>
          <w:szCs w:val="21"/>
          <w:highlight w:val="none"/>
          <w:u w:val="single"/>
          <w:lang w:eastAsia="zh-CN"/>
        </w:rPr>
        <w:t>监理人</w:t>
      </w:r>
      <w:r>
        <w:rPr>
          <w:rStyle w:val="57"/>
          <w:rFonts w:hint="eastAsia" w:ascii="宋体" w:hAnsi="宋体"/>
          <w:b w:val="0"/>
          <w:bCs w:val="0"/>
          <w:color w:val="auto"/>
          <w:kern w:val="0"/>
          <w:szCs w:val="21"/>
          <w:highlight w:val="none"/>
          <w:u w:val="single"/>
        </w:rPr>
        <w:t>对工程变更实施量情况把关不严，未监督承包人按变更图纸和要求实施，或减量变更未监督承包人按减量进行申报的，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ascii="宋体" w:hAnsi="宋体"/>
          <w:b w:val="0"/>
          <w:bCs w:val="0"/>
          <w:color w:val="auto"/>
          <w:kern w:val="0"/>
          <w:szCs w:val="21"/>
          <w:highlight w:val="none"/>
          <w:u w:val="single"/>
        </w:rPr>
        <w:t>2000</w:t>
      </w:r>
      <w:r>
        <w:rPr>
          <w:rStyle w:val="57"/>
          <w:rFonts w:hint="eastAsia" w:ascii="宋体" w:hAnsi="宋体"/>
          <w:b w:val="0"/>
          <w:bCs w:val="0"/>
          <w:color w:val="auto"/>
          <w:kern w:val="0"/>
          <w:szCs w:val="21"/>
          <w:highlight w:val="none"/>
          <w:u w:val="single"/>
        </w:rPr>
        <w:t>元</w:t>
      </w:r>
      <w:r>
        <w:rPr>
          <w:rStyle w:val="57"/>
          <w:rFonts w:ascii="宋体" w:hAnsi="宋体"/>
          <w:b w:val="0"/>
          <w:bCs w:val="0"/>
          <w:color w:val="auto"/>
          <w:kern w:val="0"/>
          <w:szCs w:val="21"/>
          <w:highlight w:val="none"/>
          <w:u w:val="single"/>
        </w:rPr>
        <w:t>/</w:t>
      </w:r>
      <w:r>
        <w:rPr>
          <w:rStyle w:val="57"/>
          <w:rFonts w:hint="eastAsia" w:ascii="宋体" w:hAnsi="宋体"/>
          <w:b w:val="0"/>
          <w:bCs w:val="0"/>
          <w:color w:val="auto"/>
          <w:kern w:val="0"/>
          <w:szCs w:val="21"/>
          <w:highlight w:val="none"/>
          <w:u w:val="single"/>
        </w:rPr>
        <w:t>单。违约金累计计算。</w:t>
      </w:r>
    </w:p>
    <w:p w14:paraId="4E93F08C">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kern w:val="0"/>
          <w:szCs w:val="21"/>
          <w:highlight w:val="none"/>
          <w:u w:val="single"/>
        </w:rPr>
        <w:t>5.3</w:t>
      </w:r>
      <w:r>
        <w:rPr>
          <w:rStyle w:val="57"/>
          <w:rFonts w:hint="eastAsia" w:ascii="宋体" w:hAnsi="宋体"/>
          <w:b w:val="0"/>
          <w:bCs w:val="0"/>
          <w:color w:val="auto"/>
          <w:kern w:val="0"/>
          <w:szCs w:val="21"/>
          <w:highlight w:val="none"/>
          <w:u w:val="single"/>
        </w:rPr>
        <w:t>施工现场若发生重伤</w:t>
      </w:r>
      <w:r>
        <w:rPr>
          <w:rStyle w:val="57"/>
          <w:rFonts w:ascii="宋体" w:hAnsi="宋体"/>
          <w:b w:val="0"/>
          <w:bCs w:val="0"/>
          <w:color w:val="auto"/>
          <w:kern w:val="0"/>
          <w:szCs w:val="21"/>
          <w:highlight w:val="none"/>
          <w:u w:val="single"/>
        </w:rPr>
        <w:t>1</w:t>
      </w:r>
      <w:r>
        <w:rPr>
          <w:rStyle w:val="57"/>
          <w:rFonts w:hint="eastAsia" w:ascii="宋体" w:hAnsi="宋体"/>
          <w:b w:val="0"/>
          <w:bCs w:val="0"/>
          <w:color w:val="auto"/>
          <w:kern w:val="0"/>
          <w:szCs w:val="21"/>
          <w:highlight w:val="none"/>
          <w:u w:val="single"/>
        </w:rPr>
        <w:t>人以上、</w:t>
      </w:r>
      <w:r>
        <w:rPr>
          <w:rStyle w:val="57"/>
          <w:rFonts w:ascii="宋体" w:hAnsi="宋体"/>
          <w:b w:val="0"/>
          <w:bCs w:val="0"/>
          <w:color w:val="auto"/>
          <w:kern w:val="0"/>
          <w:szCs w:val="21"/>
          <w:highlight w:val="none"/>
          <w:u w:val="single"/>
        </w:rPr>
        <w:t>3</w:t>
      </w:r>
      <w:r>
        <w:rPr>
          <w:rStyle w:val="57"/>
          <w:rFonts w:hint="eastAsia" w:ascii="宋体" w:hAnsi="宋体"/>
          <w:b w:val="0"/>
          <w:bCs w:val="0"/>
          <w:color w:val="auto"/>
          <w:kern w:val="0"/>
          <w:szCs w:val="21"/>
          <w:highlight w:val="none"/>
          <w:u w:val="single"/>
        </w:rPr>
        <w:t>人以下的安全或质量事故，每发生一次，</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。但该次安全或质量事故</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无明确过失</w:t>
      </w:r>
      <w:r>
        <w:rPr>
          <w:rStyle w:val="57"/>
          <w:rFonts w:hint="eastAsia" w:ascii="宋体" w:hAnsi="宋体"/>
          <w:b w:val="0"/>
          <w:bCs w:val="0"/>
          <w:color w:val="auto"/>
          <w:szCs w:val="21"/>
          <w:highlight w:val="none"/>
          <w:u w:val="single"/>
          <w:lang w:val="en-US" w:eastAsia="zh-CN"/>
        </w:rPr>
        <w:t>以上</w:t>
      </w:r>
      <w:r>
        <w:rPr>
          <w:rStyle w:val="57"/>
          <w:rFonts w:hint="eastAsia" w:ascii="宋体" w:hAnsi="宋体"/>
          <w:b w:val="0"/>
          <w:bCs w:val="0"/>
          <w:color w:val="auto"/>
          <w:szCs w:val="21"/>
          <w:highlight w:val="none"/>
          <w:u w:val="single"/>
        </w:rPr>
        <w:t>责任的除外（以相关建设主管部门文件认定结果为准。）</w:t>
      </w:r>
    </w:p>
    <w:p w14:paraId="042DA151">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若发生重伤</w:t>
      </w: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人及以上的</w:t>
      </w:r>
      <w:r>
        <w:rPr>
          <w:rStyle w:val="57"/>
          <w:rFonts w:hint="eastAsia" w:ascii="宋体" w:hAnsi="宋体"/>
          <w:b w:val="0"/>
          <w:bCs w:val="0"/>
          <w:color w:val="auto"/>
          <w:kern w:val="0"/>
          <w:szCs w:val="21"/>
          <w:highlight w:val="none"/>
          <w:u w:val="single"/>
        </w:rPr>
        <w:t>安全或质量事故，每发生一次，</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ascii="宋体" w:hAnsi="宋体"/>
          <w:b w:val="0"/>
          <w:bCs w:val="0"/>
          <w:color w:val="auto"/>
          <w:szCs w:val="21"/>
          <w:highlight w:val="none"/>
          <w:u w:val="single"/>
        </w:rPr>
        <w:t>5%</w:t>
      </w:r>
      <w:r>
        <w:rPr>
          <w:rStyle w:val="57"/>
          <w:rFonts w:hint="eastAsia" w:ascii="宋体" w:hAnsi="宋体"/>
          <w:b w:val="0"/>
          <w:bCs w:val="0"/>
          <w:color w:val="auto"/>
          <w:szCs w:val="21"/>
          <w:highlight w:val="none"/>
          <w:u w:val="single"/>
        </w:rPr>
        <w:t>，同时将拒绝</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参与委托人招标项目的投标。但该次安全或质量事故</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无明确过失</w:t>
      </w:r>
      <w:r>
        <w:rPr>
          <w:rStyle w:val="57"/>
          <w:rFonts w:hint="eastAsia" w:ascii="宋体" w:hAnsi="宋体"/>
          <w:b w:val="0"/>
          <w:bCs w:val="0"/>
          <w:color w:val="auto"/>
          <w:szCs w:val="21"/>
          <w:highlight w:val="none"/>
          <w:u w:val="single"/>
          <w:lang w:val="en-US" w:eastAsia="zh-CN"/>
        </w:rPr>
        <w:t>以上</w:t>
      </w:r>
      <w:r>
        <w:rPr>
          <w:rStyle w:val="57"/>
          <w:rFonts w:hint="eastAsia" w:ascii="宋体" w:hAnsi="宋体"/>
          <w:b w:val="0"/>
          <w:bCs w:val="0"/>
          <w:color w:val="auto"/>
          <w:szCs w:val="21"/>
          <w:highlight w:val="none"/>
          <w:u w:val="single"/>
        </w:rPr>
        <w:t>责任的除外（以相关建设主管部门文件认定结果为准。）</w:t>
      </w:r>
    </w:p>
    <w:p w14:paraId="7911CD95">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若发生造成死亡的安全或质量事故，每死亡</w:t>
      </w:r>
      <w:r>
        <w:rPr>
          <w:rStyle w:val="57"/>
          <w:rFonts w:ascii="宋体" w:hAnsi="宋体"/>
          <w:b w:val="0"/>
          <w:bCs w:val="0"/>
          <w:color w:val="auto"/>
          <w:szCs w:val="21"/>
          <w:highlight w:val="none"/>
          <w:u w:val="single"/>
        </w:rPr>
        <w:t>1</w:t>
      </w:r>
      <w:r>
        <w:rPr>
          <w:rStyle w:val="57"/>
          <w:rFonts w:hint="eastAsia" w:ascii="宋体" w:hAnsi="宋体"/>
          <w:b w:val="0"/>
          <w:bCs w:val="0"/>
          <w:color w:val="auto"/>
          <w:szCs w:val="21"/>
          <w:highlight w:val="none"/>
          <w:u w:val="single"/>
        </w:rPr>
        <w:t>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ascii="宋体" w:hAnsi="宋体"/>
          <w:b w:val="0"/>
          <w:bCs w:val="0"/>
          <w:color w:val="auto"/>
          <w:szCs w:val="21"/>
          <w:highlight w:val="none"/>
          <w:u w:val="single"/>
        </w:rPr>
        <w:t>5%</w:t>
      </w:r>
      <w:r>
        <w:rPr>
          <w:rStyle w:val="57"/>
          <w:rFonts w:hint="eastAsia" w:ascii="宋体" w:hAnsi="宋体"/>
          <w:b w:val="0"/>
          <w:bCs w:val="0"/>
          <w:color w:val="auto"/>
          <w:szCs w:val="21"/>
          <w:highlight w:val="none"/>
          <w:u w:val="single"/>
        </w:rPr>
        <w:t>，同时将拒绝</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参与委托人招标项目的投标。但该次安全或质量事故</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无明确过失</w:t>
      </w:r>
      <w:r>
        <w:rPr>
          <w:rStyle w:val="57"/>
          <w:rFonts w:hint="eastAsia" w:ascii="宋体" w:hAnsi="宋体"/>
          <w:b w:val="0"/>
          <w:bCs w:val="0"/>
          <w:color w:val="auto"/>
          <w:szCs w:val="21"/>
          <w:highlight w:val="none"/>
          <w:u w:val="single"/>
          <w:lang w:val="en-US" w:eastAsia="zh-CN"/>
        </w:rPr>
        <w:t>以上</w:t>
      </w:r>
      <w:r>
        <w:rPr>
          <w:rStyle w:val="57"/>
          <w:rFonts w:hint="eastAsia" w:ascii="宋体" w:hAnsi="宋体"/>
          <w:b w:val="0"/>
          <w:bCs w:val="0"/>
          <w:color w:val="auto"/>
          <w:szCs w:val="21"/>
          <w:highlight w:val="none"/>
          <w:u w:val="single"/>
        </w:rPr>
        <w:t>责任的除外（以相关建设主管部门文件认定结果为准。）</w:t>
      </w:r>
    </w:p>
    <w:p w14:paraId="6D7DA25D">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5.4</w:t>
      </w:r>
      <w:r>
        <w:rPr>
          <w:rStyle w:val="57"/>
          <w:rFonts w:hint="eastAsia" w:ascii="宋体" w:hAnsi="宋体"/>
          <w:b w:val="0"/>
          <w:bCs w:val="0"/>
          <w:color w:val="auto"/>
          <w:szCs w:val="21"/>
          <w:highlight w:val="none"/>
          <w:u w:val="single"/>
        </w:rPr>
        <w:t>监理工程师应加强对施工现场巡视、检查，及时发现质量和安全隐患，督促施工单位整改。对发现的质量和安全隐患，监理工程师须在</w:t>
      </w:r>
      <w:r>
        <w:rPr>
          <w:rStyle w:val="57"/>
          <w:rFonts w:ascii="宋体" w:hAnsi="宋体"/>
          <w:b w:val="0"/>
          <w:bCs w:val="0"/>
          <w:color w:val="auto"/>
          <w:szCs w:val="21"/>
          <w:highlight w:val="none"/>
          <w:u w:val="single"/>
        </w:rPr>
        <w:t>24</w:t>
      </w:r>
      <w:r>
        <w:rPr>
          <w:rStyle w:val="57"/>
          <w:rFonts w:hint="eastAsia" w:ascii="宋体" w:hAnsi="宋体"/>
          <w:b w:val="0"/>
          <w:bCs w:val="0"/>
          <w:color w:val="auto"/>
          <w:szCs w:val="21"/>
          <w:highlight w:val="none"/>
          <w:u w:val="single"/>
        </w:rPr>
        <w:t>小时内向委托人进行书面报告。如委托人或建设行政主管部门发现现场工程质量问题或存在施工安全隐患而监理工程师没有书面记录并书面督促施工单位整改的，或未在规定时间内向委托人书面报告的，委托人可给予</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书面警告，若</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拒不整改或不按要求整改的，委托人有权按</w:t>
      </w:r>
      <w:r>
        <w:rPr>
          <w:rStyle w:val="57"/>
          <w:rFonts w:ascii="宋体" w:hAnsi="宋体"/>
          <w:b w:val="0"/>
          <w:bCs w:val="0"/>
          <w:color w:val="auto"/>
          <w:szCs w:val="21"/>
          <w:highlight w:val="none"/>
          <w:u w:val="single"/>
        </w:rPr>
        <w:t>1000</w:t>
      </w:r>
      <w:r>
        <w:rPr>
          <w:rStyle w:val="57"/>
          <w:rFonts w:hint="eastAsia" w:ascii="宋体" w:hAnsi="宋体"/>
          <w:b w:val="0"/>
          <w:bCs w:val="0"/>
          <w:color w:val="auto"/>
          <w:szCs w:val="21"/>
          <w:highlight w:val="none"/>
          <w:u w:val="single"/>
        </w:rPr>
        <w:t>元／次对其进行处罚，支付罚金后</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应仍有义务负责督促施工单位及时纠正、处理、消除有关质量问题和安全隐患直至整改合格为止。</w:t>
      </w:r>
    </w:p>
    <w:p w14:paraId="6E8CB1B9">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5.5</w:t>
      </w:r>
      <w:r>
        <w:rPr>
          <w:rStyle w:val="57"/>
          <w:rFonts w:hint="eastAsia" w:ascii="宋体" w:hAnsi="宋体" w:cs="Times New Roman"/>
          <w:b w:val="0"/>
          <w:bCs w:val="0"/>
          <w:color w:val="auto"/>
          <w:szCs w:val="21"/>
          <w:highlight w:val="none"/>
          <w:u w:val="single"/>
          <w:lang w:val="en-US" w:eastAsia="zh-CN"/>
        </w:rPr>
        <w:t>监理人应</w:t>
      </w:r>
      <w:r>
        <w:rPr>
          <w:rStyle w:val="57"/>
          <w:rFonts w:hint="eastAsia" w:ascii="宋体" w:hAnsi="宋体" w:cs="Times New Roman"/>
          <w:b w:val="0"/>
          <w:bCs w:val="0"/>
          <w:color w:val="auto"/>
          <w:szCs w:val="21"/>
          <w:highlight w:val="none"/>
          <w:u w:val="single"/>
          <w:lang w:eastAsia="zh-CN"/>
        </w:rPr>
        <w:t>严把检查验收关并认真作好各项检查、验收记录，若</w:t>
      </w:r>
      <w:r>
        <w:rPr>
          <w:rStyle w:val="57"/>
          <w:rFonts w:hint="eastAsia" w:ascii="宋体" w:hAnsi="宋体" w:cs="Times New Roman"/>
          <w:b w:val="0"/>
          <w:bCs w:val="0"/>
          <w:color w:val="auto"/>
          <w:szCs w:val="21"/>
          <w:highlight w:val="none"/>
          <w:u w:val="single"/>
          <w:lang w:val="en-US" w:eastAsia="zh-CN"/>
        </w:rPr>
        <w:t>监理人</w:t>
      </w:r>
      <w:r>
        <w:rPr>
          <w:rStyle w:val="57"/>
          <w:rFonts w:hint="eastAsia" w:ascii="宋体" w:hAnsi="宋体" w:cs="Times New Roman"/>
          <w:b w:val="0"/>
          <w:bCs w:val="0"/>
          <w:color w:val="auto"/>
          <w:szCs w:val="21"/>
          <w:highlight w:val="none"/>
          <w:u w:val="single"/>
          <w:lang w:eastAsia="zh-CN"/>
        </w:rPr>
        <w:t>与施工单位串通，弄虚作假、降低工程质量或将不合格的建设工程、建筑材料、建筑构配件和设备按照合格签字的，对</w:t>
      </w:r>
      <w:r>
        <w:rPr>
          <w:rStyle w:val="57"/>
          <w:rFonts w:hint="eastAsia" w:ascii="宋体" w:hAnsi="宋体" w:cs="Times New Roman"/>
          <w:b w:val="0"/>
          <w:bCs w:val="0"/>
          <w:color w:val="auto"/>
          <w:szCs w:val="21"/>
          <w:highlight w:val="none"/>
          <w:u w:val="single"/>
          <w:lang w:val="en-US" w:eastAsia="zh-CN"/>
        </w:rPr>
        <w:t>监理人</w:t>
      </w:r>
      <w:r>
        <w:rPr>
          <w:rStyle w:val="57"/>
          <w:rFonts w:hint="eastAsia" w:ascii="宋体" w:hAnsi="宋体" w:cs="Times New Roman"/>
          <w:b w:val="0"/>
          <w:bCs w:val="0"/>
          <w:color w:val="auto"/>
          <w:szCs w:val="21"/>
          <w:highlight w:val="none"/>
          <w:u w:val="single"/>
          <w:lang w:eastAsia="zh-CN"/>
        </w:rPr>
        <w:t>处额度为涉案材料设备价款10%的违约金，但不超过本合同签约酬金总价的30%，且委托人有权要求监理人更换监理人员并向建设主管部门报告，并将其不良行为予以公告，直至终止合同，且</w:t>
      </w:r>
      <w:r>
        <w:rPr>
          <w:rStyle w:val="57"/>
          <w:rFonts w:hint="eastAsia" w:ascii="宋体" w:hAnsi="宋体" w:cs="Times New Roman"/>
          <w:b w:val="0"/>
          <w:bCs w:val="0"/>
          <w:color w:val="auto"/>
          <w:szCs w:val="21"/>
          <w:highlight w:val="none"/>
          <w:u w:val="single"/>
          <w:lang w:val="en-US" w:eastAsia="zh-CN"/>
        </w:rPr>
        <w:t>监理人</w:t>
      </w:r>
      <w:r>
        <w:rPr>
          <w:rStyle w:val="57"/>
          <w:rFonts w:hint="eastAsia" w:ascii="宋体" w:hAnsi="宋体" w:cs="Times New Roman"/>
          <w:b w:val="0"/>
          <w:bCs w:val="0"/>
          <w:color w:val="auto"/>
          <w:szCs w:val="21"/>
          <w:highlight w:val="none"/>
          <w:u w:val="single"/>
          <w:lang w:eastAsia="zh-CN"/>
        </w:rPr>
        <w:t>应当向委托人承担违约责任，免收部分或全部监理酬金，支付违约金并承担赔偿责任，由此产生的其他后果由监理人承担相应法律责任</w:t>
      </w:r>
      <w:r>
        <w:rPr>
          <w:rStyle w:val="57"/>
          <w:rFonts w:hint="eastAsia" w:ascii="宋体" w:hAnsi="宋体"/>
          <w:b w:val="0"/>
          <w:bCs w:val="0"/>
          <w:color w:val="auto"/>
          <w:szCs w:val="21"/>
          <w:highlight w:val="none"/>
          <w:u w:val="single"/>
        </w:rPr>
        <w:t>。</w:t>
      </w:r>
    </w:p>
    <w:p w14:paraId="02147DC2">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5.6</w:t>
      </w:r>
      <w:r>
        <w:rPr>
          <w:rStyle w:val="57"/>
          <w:rFonts w:hint="eastAsia" w:ascii="宋体" w:hAnsi="宋体"/>
          <w:b w:val="0"/>
          <w:bCs w:val="0"/>
          <w:color w:val="auto"/>
          <w:szCs w:val="21"/>
          <w:highlight w:val="none"/>
          <w:u w:val="single"/>
          <w:lang w:val="en-US" w:eastAsia="zh-CN"/>
        </w:rPr>
        <w:t>监理人</w:t>
      </w:r>
      <w:r>
        <w:rPr>
          <w:rStyle w:val="57"/>
          <w:rFonts w:hint="eastAsia" w:ascii="宋体" w:hAnsi="宋体"/>
          <w:b w:val="0"/>
          <w:bCs w:val="0"/>
          <w:color w:val="auto"/>
          <w:szCs w:val="21"/>
          <w:highlight w:val="none"/>
          <w:u w:val="single"/>
        </w:rPr>
        <w:t>因下列原因：</w:t>
      </w:r>
    </w:p>
    <w:p w14:paraId="377B880F">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⑴</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在施工过程中，监理工程师发出错误指令；</w:t>
      </w:r>
    </w:p>
    <w:p w14:paraId="0B5308D6">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⑵</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监理工程师越权审批设计变更；</w:t>
      </w:r>
    </w:p>
    <w:p w14:paraId="372C991A">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⑶</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其它因监理工程师自身失误造成的原因。</w:t>
      </w:r>
    </w:p>
    <w:p w14:paraId="448728D2">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使本工程在投资、工期、质量等方面给委托人造成损失的，委托人将要求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进行赔偿，累计赔偿总额不应超过监理报酬总额（除去税金）。具体约定为：</w:t>
      </w:r>
    </w:p>
    <w:p w14:paraId="04CAB48A">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u w:val="single"/>
        </w:rPr>
        <w:t>5.6.</w:t>
      </w:r>
      <w:r>
        <w:rPr>
          <w:rStyle w:val="57"/>
          <w:rFonts w:hint="eastAsia" w:ascii="宋体" w:hAnsi="宋体"/>
          <w:b w:val="0"/>
          <w:bCs w:val="0"/>
          <w:color w:val="auto"/>
          <w:szCs w:val="21"/>
          <w:highlight w:val="none"/>
          <w:u w:val="single"/>
          <w:lang w:val="en-US" w:eastAsia="zh-CN"/>
        </w:rPr>
        <w:t>1</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因</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责任造成质量事故，需要返工的，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应承担</w:t>
      </w:r>
      <w:r>
        <w:rPr>
          <w:rStyle w:val="57"/>
          <w:rFonts w:hint="eastAsia" w:ascii="宋体" w:hAnsi="宋体"/>
          <w:b w:val="0"/>
          <w:bCs w:val="0"/>
          <w:color w:val="auto"/>
          <w:szCs w:val="21"/>
          <w:highlight w:val="none"/>
          <w:u w:val="single"/>
          <w:lang w:val="en-US" w:eastAsia="zh-CN"/>
        </w:rPr>
        <w:t>相应</w:t>
      </w:r>
      <w:r>
        <w:rPr>
          <w:rStyle w:val="57"/>
          <w:rFonts w:hint="eastAsia" w:ascii="宋体" w:hAnsi="宋体"/>
          <w:b w:val="0"/>
          <w:bCs w:val="0"/>
          <w:color w:val="auto"/>
          <w:szCs w:val="21"/>
          <w:highlight w:val="none"/>
          <w:u w:val="single"/>
        </w:rPr>
        <w:t>违约责任，</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应赔偿委托人的实际损失；情节严重的（超过合同价</w:t>
      </w:r>
      <w:r>
        <w:rPr>
          <w:rStyle w:val="57"/>
          <w:rFonts w:ascii="宋体" w:hAnsi="宋体"/>
          <w:b w:val="0"/>
          <w:bCs w:val="0"/>
          <w:color w:val="auto"/>
          <w:szCs w:val="21"/>
          <w:highlight w:val="none"/>
          <w:u w:val="single"/>
        </w:rPr>
        <w:t>10</w:t>
      </w:r>
      <w:r>
        <w:rPr>
          <w:rStyle w:val="57"/>
          <w:rFonts w:hint="eastAsia" w:ascii="宋体" w:hAnsi="宋体"/>
          <w:b w:val="0"/>
          <w:bCs w:val="0"/>
          <w:color w:val="auto"/>
          <w:szCs w:val="21"/>
          <w:highlight w:val="none"/>
          <w:u w:val="single"/>
        </w:rPr>
        <w:t>％），委托人有权单方面解除合同。</w:t>
      </w:r>
    </w:p>
    <w:p w14:paraId="37E9126D">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 xml:space="preserve">5.7 </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应对结算计量的准确性负责，</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审核的结算价审核误差率不得大于</w:t>
      </w:r>
      <w:r>
        <w:rPr>
          <w:rStyle w:val="57"/>
          <w:rFonts w:hint="eastAsia" w:ascii="宋体" w:hAnsi="宋体" w:eastAsia="宋体" w:cs="Times New Roman"/>
          <w:b w:val="0"/>
          <w:bCs w:val="0"/>
          <w:color w:val="auto"/>
          <w:spacing w:val="0"/>
          <w:sz w:val="21"/>
          <w:szCs w:val="21"/>
          <w:highlight w:val="none"/>
          <w:u w:val="single"/>
        </w:rPr>
        <w:t>±</w:t>
      </w:r>
      <w:r>
        <w:rPr>
          <w:rStyle w:val="57"/>
          <w:rFonts w:hint="eastAsia" w:ascii="宋体" w:hAnsi="宋体"/>
          <w:b w:val="0"/>
          <w:bCs w:val="0"/>
          <w:color w:val="auto"/>
          <w:szCs w:val="21"/>
          <w:highlight w:val="none"/>
          <w:u w:val="single"/>
        </w:rPr>
        <w:t>5%（相对委托人审定结果），否则对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处违约金，额度为误差部分工程价款的30%且不超过本合同签约酬金的30%。</w:t>
      </w:r>
    </w:p>
    <w:p w14:paraId="698EE951">
      <w:pPr>
        <w:pStyle w:val="170"/>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5.8在保修服务阶段，因保修服务不到位等原因造成使用单位投诉且</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需承担相关责任时，对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处违约金2000元/次。</w:t>
      </w:r>
    </w:p>
    <w:p w14:paraId="294FA6C8">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六、对</w:t>
      </w:r>
      <w:r>
        <w:rPr>
          <w:rStyle w:val="57"/>
          <w:rFonts w:hint="eastAsia" w:ascii="宋体" w:hAnsi="宋体"/>
          <w:b w:val="0"/>
          <w:bCs w:val="0"/>
          <w:color w:val="auto"/>
          <w:szCs w:val="21"/>
          <w:highlight w:val="none"/>
          <w:lang w:eastAsia="zh-CN"/>
        </w:rPr>
        <w:t>监理人</w:t>
      </w:r>
      <w:r>
        <w:rPr>
          <w:rStyle w:val="57"/>
          <w:rFonts w:hint="eastAsia" w:ascii="宋体" w:hAnsi="宋体"/>
          <w:b w:val="0"/>
          <w:bCs w:val="0"/>
          <w:color w:val="auto"/>
          <w:szCs w:val="21"/>
          <w:highlight w:val="none"/>
        </w:rPr>
        <w:t>就餐的要求</w:t>
      </w:r>
    </w:p>
    <w:p w14:paraId="23A6EBFF">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6.1</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须自行解决现场班子人员就餐问题，</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不得到施工单位进行搭伙就餐。</w:t>
      </w:r>
    </w:p>
    <w:p w14:paraId="3C1778A1">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七、合同履约评价</w:t>
      </w:r>
    </w:p>
    <w:p w14:paraId="4908A9A4">
      <w:pPr>
        <w:pStyle w:val="170"/>
        <w:keepNext w:val="0"/>
        <w:keepLines w:val="0"/>
        <w:pageBreakBefore w:val="0"/>
        <w:widowControl w:val="0"/>
        <w:kinsoku/>
        <w:wordWrap/>
        <w:overflowPunct/>
        <w:topLinePunct w:val="0"/>
        <w:autoSpaceDE/>
        <w:autoSpaceDN/>
        <w:bidi w:val="0"/>
        <w:spacing w:line="560" w:lineRule="exact"/>
        <w:ind w:firstLine="411" w:firstLineChars="196"/>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u w:val="single"/>
        </w:rPr>
        <w:t>7.1</w:t>
      </w:r>
      <w:r>
        <w:rPr>
          <w:rStyle w:val="57"/>
          <w:rFonts w:hint="eastAsia" w:ascii="宋体" w:hAnsi="宋体"/>
          <w:b w:val="0"/>
          <w:bCs w:val="0"/>
          <w:color w:val="auto"/>
          <w:szCs w:val="21"/>
          <w:highlight w:val="none"/>
          <w:u w:val="single"/>
        </w:rPr>
        <w:t>委托人按集团公司现行履约评价管理办法对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进行履约评价，若</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lang w:val="en-US" w:eastAsia="zh-CN"/>
        </w:rPr>
        <w:t>季度评价平均分为60分以下（不含）</w:t>
      </w:r>
      <w:r>
        <w:rPr>
          <w:rStyle w:val="57"/>
          <w:rFonts w:hint="eastAsia" w:ascii="宋体" w:hAnsi="宋体"/>
          <w:b w:val="0"/>
          <w:bCs w:val="0"/>
          <w:color w:val="auto"/>
          <w:szCs w:val="21"/>
          <w:highlight w:val="none"/>
          <w:u w:val="single"/>
        </w:rPr>
        <w:t>，</w:t>
      </w:r>
      <w:r>
        <w:rPr>
          <w:rStyle w:val="57"/>
          <w:rFonts w:hint="eastAsia" w:ascii="宋体" w:hAnsi="宋体"/>
          <w:b w:val="0"/>
          <w:bCs w:val="0"/>
          <w:color w:val="auto"/>
          <w:szCs w:val="21"/>
          <w:highlight w:val="none"/>
          <w:u w:val="single"/>
          <w:lang w:val="en-US" w:eastAsia="zh-CN"/>
        </w:rPr>
        <w:t>视为监理人违约，</w:t>
      </w:r>
      <w:r>
        <w:rPr>
          <w:rStyle w:val="57"/>
          <w:rFonts w:hint="eastAsia" w:ascii="宋体" w:hAnsi="宋体"/>
          <w:b w:val="0"/>
          <w:bCs w:val="0"/>
          <w:color w:val="auto"/>
          <w:szCs w:val="21"/>
          <w:highlight w:val="none"/>
          <w:u w:val="single"/>
        </w:rPr>
        <w:t>委托人有权扣除监理服务费结算金额的5%，且委托人有权拒绝本</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再参与委托人招标项目的投标。</w:t>
      </w:r>
    </w:p>
    <w:p w14:paraId="42092F8E">
      <w:pPr>
        <w:pStyle w:val="170"/>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八、其它</w:t>
      </w:r>
    </w:p>
    <w:p w14:paraId="34E06B7F">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8.1</w:t>
      </w:r>
      <w:r>
        <w:rPr>
          <w:rStyle w:val="57"/>
          <w:rFonts w:hint="eastAsia" w:ascii="宋体" w:hAnsi="宋体"/>
          <w:b w:val="0"/>
          <w:bCs w:val="0"/>
          <w:color w:val="auto"/>
          <w:szCs w:val="21"/>
          <w:highlight w:val="none"/>
          <w:u w:val="single"/>
        </w:rPr>
        <w:t>监理酬金额包括了为实施和完成本工程全部监理工作所需的监理成本、税金和利润等全部费用。如果出现监理期限逾期、监理工作受阻或延误而暂停或终止执行监理业务，以及通货膨胀、货币贬值、利率调整、税率变动等任何经济环境的改变和国家、省、市法规允许调整监理酬金计取费率的变化，</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均不得要求追加监理酬金额。</w:t>
      </w:r>
    </w:p>
    <w:p w14:paraId="6DFA29C9">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8.2</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应向委托人偿付的违约金均由委托人在应付监理酬金进度款中即时扣除，不足部分委托人将进行追偿。</w:t>
      </w:r>
    </w:p>
    <w:p w14:paraId="2604F2AB">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default" w:ascii="宋体" w:eastAsia="宋体"/>
          <w:b w:val="0"/>
          <w:bCs w:val="0"/>
          <w:color w:val="auto"/>
          <w:szCs w:val="21"/>
          <w:highlight w:val="none"/>
          <w:u w:val="single"/>
          <w:lang w:val="en-US" w:eastAsia="zh-CN"/>
        </w:rPr>
      </w:pPr>
      <w:r>
        <w:rPr>
          <w:rStyle w:val="57"/>
          <w:rFonts w:ascii="宋体" w:hAnsi="宋体"/>
          <w:b w:val="0"/>
          <w:bCs w:val="0"/>
          <w:color w:val="auto"/>
          <w:szCs w:val="21"/>
          <w:highlight w:val="none"/>
          <w:u w:val="single"/>
        </w:rPr>
        <w:t>8.3</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派出的现场监理班子人员应廉洁自律，不索取、收受委托合同约定以外的礼金和其他财物，不与施工单位等有利益关系的单位或个人进行任何不正当的接触，不利用职务之便谋取其他不正当的利益。如发现</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员有不廉洁的行为，每查实一次，委托人按</w:t>
      </w:r>
      <w:r>
        <w:rPr>
          <w:rStyle w:val="57"/>
          <w:rFonts w:ascii="宋体" w:hAnsi="宋体"/>
          <w:b w:val="0"/>
          <w:bCs w:val="0"/>
          <w:color w:val="auto"/>
          <w:szCs w:val="21"/>
          <w:highlight w:val="none"/>
          <w:u w:val="single"/>
        </w:rPr>
        <w:t>1000</w:t>
      </w:r>
      <w:r>
        <w:rPr>
          <w:rStyle w:val="57"/>
          <w:rFonts w:hint="eastAsia" w:ascii="宋体" w:hAnsi="宋体"/>
          <w:b w:val="0"/>
          <w:bCs w:val="0"/>
          <w:color w:val="auto"/>
          <w:szCs w:val="21"/>
          <w:highlight w:val="none"/>
          <w:u w:val="single"/>
        </w:rPr>
        <w:t>元／人次进行处罚，并向建设行政主管部门通报，最高罚款不超过总监理费的</w:t>
      </w:r>
      <w:r>
        <w:rPr>
          <w:rStyle w:val="57"/>
          <w:rFonts w:ascii="宋体" w:hAnsi="宋体"/>
          <w:b w:val="0"/>
          <w:bCs w:val="0"/>
          <w:color w:val="auto"/>
          <w:szCs w:val="21"/>
          <w:highlight w:val="none"/>
          <w:u w:val="single"/>
        </w:rPr>
        <w:t>10%</w:t>
      </w:r>
      <w:r>
        <w:rPr>
          <w:rStyle w:val="57"/>
          <w:rFonts w:hint="eastAsia" w:ascii="宋体" w:hAnsi="宋体"/>
          <w:b w:val="0"/>
          <w:bCs w:val="0"/>
          <w:color w:val="auto"/>
          <w:szCs w:val="21"/>
          <w:highlight w:val="none"/>
          <w:u w:val="single"/>
        </w:rPr>
        <w:t>。</w:t>
      </w:r>
      <w:r>
        <w:rPr>
          <w:rStyle w:val="57"/>
          <w:rFonts w:hint="eastAsia" w:ascii="宋体" w:hAnsi="宋体"/>
          <w:b w:val="0"/>
          <w:bCs w:val="0"/>
          <w:color w:val="auto"/>
          <w:szCs w:val="21"/>
          <w:highlight w:val="none"/>
          <w:u w:val="single"/>
          <w:lang w:val="en-US" w:eastAsia="zh-CN"/>
        </w:rPr>
        <w:t>涉嫌违法犯罪将移交司法机关处理。</w:t>
      </w:r>
    </w:p>
    <w:p w14:paraId="0A49C01F">
      <w:pPr>
        <w:pStyle w:val="170"/>
        <w:adjustRightInd w:val="0"/>
        <w:snapToGrid w:val="0"/>
        <w:spacing w:line="560" w:lineRule="exact"/>
        <w:ind w:firstLine="420" w:firstLineChars="200"/>
        <w:jc w:val="both"/>
        <w:outlineLvl w:val="2"/>
        <w:rPr>
          <w:rStyle w:val="57"/>
          <w:rFonts w:hint="default" w:ascii="宋体" w:hAnsi="宋体"/>
          <w:b w:val="0"/>
          <w:bCs w:val="0"/>
          <w:color w:val="auto"/>
          <w:szCs w:val="21"/>
          <w:highlight w:val="none"/>
          <w:u w:val="single"/>
          <w:lang w:val="en-US" w:eastAsia="zh-CN"/>
        </w:rPr>
      </w:pPr>
      <w:r>
        <w:rPr>
          <w:rStyle w:val="57"/>
          <w:rFonts w:ascii="宋体" w:hAnsi="宋体"/>
          <w:b w:val="0"/>
          <w:bCs w:val="0"/>
          <w:color w:val="auto"/>
          <w:szCs w:val="21"/>
          <w:highlight w:val="none"/>
          <w:u w:val="single"/>
        </w:rPr>
        <w:t>8.4</w:t>
      </w:r>
      <w:r>
        <w:rPr>
          <w:rStyle w:val="57"/>
          <w:rFonts w:hint="default" w:ascii="宋体" w:hAnsi="宋体"/>
          <w:b w:val="0"/>
          <w:bCs w:val="0"/>
          <w:color w:val="auto"/>
          <w:szCs w:val="21"/>
          <w:highlight w:val="none"/>
          <w:u w:val="single"/>
        </w:rPr>
        <w:t>若因政府</w:t>
      </w:r>
      <w:r>
        <w:rPr>
          <w:rStyle w:val="57"/>
          <w:rFonts w:hint="eastAsia" w:ascii="宋体" w:hAnsi="宋体"/>
          <w:b w:val="0"/>
          <w:bCs w:val="0"/>
          <w:color w:val="auto"/>
          <w:szCs w:val="21"/>
          <w:highlight w:val="none"/>
          <w:u w:val="single"/>
          <w:lang w:val="en-US" w:eastAsia="zh-CN"/>
        </w:rPr>
        <w:t>或项目调整</w:t>
      </w:r>
      <w:r>
        <w:rPr>
          <w:rStyle w:val="57"/>
          <w:rFonts w:hint="default" w:ascii="宋体" w:hAnsi="宋体"/>
          <w:b w:val="0"/>
          <w:bCs w:val="0"/>
          <w:color w:val="auto"/>
          <w:szCs w:val="21"/>
          <w:highlight w:val="none"/>
          <w:u w:val="single"/>
        </w:rPr>
        <w:t>原因，导致实际实施的监理范围、监理内容与原合同约定发生了较大变化（主要指缩减规模、建设标准等），委托人、</w:t>
      </w:r>
      <w:r>
        <w:rPr>
          <w:rStyle w:val="57"/>
          <w:rFonts w:hint="eastAsia" w:ascii="宋体" w:hAnsi="宋体"/>
          <w:b w:val="0"/>
          <w:bCs w:val="0"/>
          <w:color w:val="auto"/>
          <w:szCs w:val="21"/>
          <w:highlight w:val="none"/>
          <w:u w:val="single"/>
          <w:lang w:eastAsia="zh-CN"/>
        </w:rPr>
        <w:t>监理人</w:t>
      </w:r>
      <w:r>
        <w:rPr>
          <w:rStyle w:val="57"/>
          <w:rFonts w:hint="default" w:ascii="宋体" w:hAnsi="宋体"/>
          <w:b w:val="0"/>
          <w:bCs w:val="0"/>
          <w:color w:val="auto"/>
          <w:szCs w:val="21"/>
          <w:highlight w:val="none"/>
          <w:u w:val="single"/>
        </w:rPr>
        <w:t>遵循实事求是、诚实信用原则，签订相关补充协议，重新约定监理酬金额的结算原则；若因政府决定</w:t>
      </w:r>
      <w:r>
        <w:rPr>
          <w:rStyle w:val="57"/>
          <w:rFonts w:hint="eastAsia" w:ascii="宋体" w:hAnsi="宋体"/>
          <w:b w:val="0"/>
          <w:bCs w:val="0"/>
          <w:color w:val="auto"/>
          <w:szCs w:val="21"/>
          <w:highlight w:val="none"/>
          <w:u w:val="single"/>
          <w:lang w:val="en-US" w:eastAsia="zh-CN"/>
        </w:rPr>
        <w:t>或项目调整原因</w:t>
      </w:r>
      <w:r>
        <w:rPr>
          <w:rStyle w:val="57"/>
          <w:rFonts w:hint="default" w:ascii="宋体" w:hAnsi="宋体"/>
          <w:b w:val="0"/>
          <w:bCs w:val="0"/>
          <w:color w:val="auto"/>
          <w:szCs w:val="21"/>
          <w:highlight w:val="none"/>
          <w:u w:val="single"/>
        </w:rPr>
        <w:t>终止</w:t>
      </w:r>
      <w:r>
        <w:rPr>
          <w:rStyle w:val="57"/>
          <w:rFonts w:hint="eastAsia" w:ascii="宋体" w:hAnsi="宋体"/>
          <w:b w:val="0"/>
          <w:bCs w:val="0"/>
          <w:color w:val="auto"/>
          <w:szCs w:val="21"/>
          <w:highlight w:val="none"/>
          <w:u w:val="single"/>
          <w:lang w:val="en-US" w:eastAsia="zh-CN"/>
        </w:rPr>
        <w:t>或解除</w:t>
      </w:r>
      <w:r>
        <w:rPr>
          <w:rStyle w:val="57"/>
          <w:rFonts w:hint="default" w:ascii="宋体" w:hAnsi="宋体"/>
          <w:b w:val="0"/>
          <w:bCs w:val="0"/>
          <w:color w:val="auto"/>
          <w:szCs w:val="21"/>
          <w:highlight w:val="none"/>
          <w:u w:val="single"/>
        </w:rPr>
        <w:t>本合同工程，而本合同尚未实施的，本合同自动</w:t>
      </w:r>
      <w:r>
        <w:rPr>
          <w:rStyle w:val="57"/>
          <w:rFonts w:hint="eastAsia" w:ascii="宋体" w:hAnsi="宋体"/>
          <w:b w:val="0"/>
          <w:bCs w:val="0"/>
          <w:color w:val="auto"/>
          <w:szCs w:val="21"/>
          <w:highlight w:val="none"/>
          <w:u w:val="single"/>
          <w:lang w:val="en-US" w:eastAsia="zh-CN"/>
        </w:rPr>
        <w:t>终止或</w:t>
      </w:r>
      <w:r>
        <w:rPr>
          <w:rStyle w:val="57"/>
          <w:rFonts w:hint="default" w:ascii="宋体" w:hAnsi="宋体"/>
          <w:b w:val="0"/>
          <w:bCs w:val="0"/>
          <w:color w:val="auto"/>
          <w:szCs w:val="21"/>
          <w:highlight w:val="none"/>
          <w:u w:val="single"/>
        </w:rPr>
        <w:t>解除，合同签订双方均无须承担任何违约责任。本合同</w:t>
      </w:r>
      <w:r>
        <w:rPr>
          <w:rStyle w:val="57"/>
          <w:rFonts w:hint="default" w:ascii="宋体" w:hAnsi="宋体"/>
          <w:b w:val="0"/>
          <w:bCs w:val="0"/>
          <w:color w:val="auto"/>
          <w:szCs w:val="21"/>
          <w:highlight w:val="none"/>
          <w:u w:val="single"/>
          <w:lang w:val="en-US" w:eastAsia="zh-CN"/>
        </w:rPr>
        <w:t>已开始</w:t>
      </w:r>
      <w:r>
        <w:rPr>
          <w:rStyle w:val="57"/>
          <w:rFonts w:hint="default" w:ascii="宋体" w:hAnsi="宋体"/>
          <w:b w:val="0"/>
          <w:bCs w:val="0"/>
          <w:color w:val="auto"/>
          <w:szCs w:val="21"/>
          <w:highlight w:val="none"/>
          <w:u w:val="single"/>
        </w:rPr>
        <w:t>实施</w:t>
      </w:r>
      <w:r>
        <w:rPr>
          <w:rStyle w:val="57"/>
          <w:rFonts w:hint="default" w:ascii="宋体" w:hAnsi="宋体"/>
          <w:b w:val="0"/>
          <w:bCs w:val="0"/>
          <w:color w:val="auto"/>
          <w:szCs w:val="21"/>
          <w:highlight w:val="none"/>
          <w:u w:val="single"/>
          <w:lang w:val="en-US" w:eastAsia="zh-CN"/>
        </w:rPr>
        <w:t>的，按专用条款第</w:t>
      </w:r>
      <w:r>
        <w:rPr>
          <w:rStyle w:val="57"/>
          <w:rFonts w:hint="default" w:ascii="宋体" w:hAnsi="宋体" w:eastAsia="宋体"/>
          <w:b w:val="0"/>
          <w:bCs w:val="0"/>
          <w:snapToGrid/>
          <w:color w:val="auto"/>
          <w:kern w:val="2"/>
          <w:sz w:val="21"/>
          <w:szCs w:val="21"/>
          <w:highlight w:val="none"/>
          <w:u w:val="single"/>
        </w:rPr>
        <w:t>5</w:t>
      </w:r>
      <w:r>
        <w:rPr>
          <w:rStyle w:val="57"/>
          <w:rFonts w:hint="default" w:ascii="宋体" w:hAnsi="宋体"/>
          <w:b w:val="0"/>
          <w:bCs w:val="0"/>
          <w:color w:val="auto"/>
          <w:szCs w:val="21"/>
          <w:highlight w:val="none"/>
          <w:u w:val="single"/>
          <w:lang w:val="en-US" w:eastAsia="zh-CN"/>
        </w:rPr>
        <w:t>条</w:t>
      </w:r>
      <w:r>
        <w:rPr>
          <w:rStyle w:val="57"/>
          <w:rFonts w:hint="default" w:ascii="宋体" w:hAnsi="宋体" w:eastAsia="宋体"/>
          <w:b w:val="0"/>
          <w:bCs w:val="0"/>
          <w:snapToGrid/>
          <w:color w:val="auto"/>
          <w:kern w:val="2"/>
          <w:sz w:val="21"/>
          <w:szCs w:val="21"/>
          <w:highlight w:val="none"/>
          <w:u w:val="single"/>
        </w:rPr>
        <w:t>酬金的计取与支付</w:t>
      </w:r>
      <w:r>
        <w:rPr>
          <w:rStyle w:val="57"/>
          <w:rFonts w:hint="default" w:ascii="宋体" w:hAnsi="宋体" w:eastAsia="宋体"/>
          <w:b w:val="0"/>
          <w:bCs w:val="0"/>
          <w:snapToGrid/>
          <w:color w:val="auto"/>
          <w:kern w:val="2"/>
          <w:sz w:val="21"/>
          <w:szCs w:val="21"/>
          <w:highlight w:val="none"/>
          <w:u w:val="single"/>
          <w:lang w:val="en-US" w:eastAsia="zh-CN"/>
        </w:rPr>
        <w:t>结算</w:t>
      </w:r>
      <w:r>
        <w:rPr>
          <w:rStyle w:val="57"/>
          <w:rFonts w:hint="eastAsia" w:ascii="宋体" w:hAnsi="宋体"/>
          <w:b w:val="0"/>
          <w:bCs w:val="0"/>
          <w:snapToGrid/>
          <w:color w:val="auto"/>
          <w:kern w:val="2"/>
          <w:sz w:val="21"/>
          <w:szCs w:val="21"/>
          <w:highlight w:val="none"/>
          <w:u w:val="single"/>
          <w:lang w:val="en-US" w:eastAsia="zh-CN"/>
        </w:rPr>
        <w:t>监理人</w:t>
      </w:r>
      <w:r>
        <w:rPr>
          <w:rStyle w:val="57"/>
          <w:rFonts w:hint="default" w:ascii="宋体" w:hAnsi="宋体" w:eastAsia="宋体"/>
          <w:b w:val="0"/>
          <w:bCs w:val="0"/>
          <w:snapToGrid/>
          <w:color w:val="auto"/>
          <w:kern w:val="2"/>
          <w:sz w:val="21"/>
          <w:szCs w:val="21"/>
          <w:highlight w:val="none"/>
          <w:u w:val="single"/>
          <w:lang w:val="en-US" w:eastAsia="zh-CN"/>
        </w:rPr>
        <w:t>已完成</w:t>
      </w:r>
      <w:r>
        <w:rPr>
          <w:rStyle w:val="57"/>
          <w:rFonts w:hint="eastAsia" w:ascii="宋体" w:hAnsi="宋体"/>
          <w:b w:val="0"/>
          <w:bCs w:val="0"/>
          <w:snapToGrid/>
          <w:color w:val="auto"/>
          <w:kern w:val="2"/>
          <w:sz w:val="21"/>
          <w:szCs w:val="21"/>
          <w:highlight w:val="none"/>
          <w:u w:val="single"/>
          <w:lang w:val="en-US" w:eastAsia="zh-CN"/>
        </w:rPr>
        <w:t>且经委托人确认</w:t>
      </w:r>
      <w:r>
        <w:rPr>
          <w:rStyle w:val="57"/>
          <w:rFonts w:hint="default" w:ascii="宋体" w:hAnsi="宋体" w:eastAsia="宋体"/>
          <w:b w:val="0"/>
          <w:bCs w:val="0"/>
          <w:snapToGrid/>
          <w:color w:val="auto"/>
          <w:kern w:val="2"/>
          <w:sz w:val="21"/>
          <w:szCs w:val="21"/>
          <w:highlight w:val="none"/>
          <w:u w:val="single"/>
          <w:lang w:val="en-US" w:eastAsia="zh-CN"/>
        </w:rPr>
        <w:t>的工作量</w:t>
      </w:r>
      <w:r>
        <w:rPr>
          <w:rStyle w:val="57"/>
          <w:rFonts w:hint="default" w:ascii="宋体" w:hAnsi="宋体"/>
          <w:b w:val="0"/>
          <w:bCs w:val="0"/>
          <w:color w:val="auto"/>
          <w:szCs w:val="21"/>
          <w:highlight w:val="none"/>
          <w:u w:val="single"/>
          <w:lang w:eastAsia="zh-CN"/>
        </w:rPr>
        <w:t>，</w:t>
      </w:r>
      <w:r>
        <w:rPr>
          <w:rStyle w:val="57"/>
          <w:rFonts w:hint="default" w:ascii="宋体" w:hAnsi="宋体"/>
          <w:b w:val="0"/>
          <w:bCs w:val="0"/>
          <w:color w:val="auto"/>
          <w:szCs w:val="21"/>
          <w:highlight w:val="none"/>
          <w:u w:val="single"/>
          <w:lang w:val="en-US" w:eastAsia="zh-CN"/>
        </w:rPr>
        <w:t>且委托人不再</w:t>
      </w:r>
      <w:r>
        <w:rPr>
          <w:rStyle w:val="57"/>
          <w:rFonts w:hint="eastAsia" w:ascii="宋体" w:hAnsi="宋体"/>
          <w:b w:val="0"/>
          <w:bCs w:val="0"/>
          <w:color w:val="auto"/>
          <w:szCs w:val="21"/>
          <w:highlight w:val="none"/>
          <w:u w:val="single"/>
          <w:lang w:val="en-US" w:eastAsia="zh-CN"/>
        </w:rPr>
        <w:t>承担</w:t>
      </w:r>
      <w:r>
        <w:rPr>
          <w:rStyle w:val="57"/>
          <w:rFonts w:hint="default" w:ascii="宋体" w:hAnsi="宋体"/>
          <w:b w:val="0"/>
          <w:bCs w:val="0"/>
          <w:color w:val="auto"/>
          <w:szCs w:val="21"/>
          <w:highlight w:val="none"/>
          <w:u w:val="single"/>
          <w:lang w:val="en-US" w:eastAsia="zh-CN"/>
        </w:rPr>
        <w:t>支付任何违约金、赔偿金、补偿金</w:t>
      </w:r>
      <w:r>
        <w:rPr>
          <w:rStyle w:val="57"/>
          <w:rFonts w:hint="eastAsia" w:ascii="宋体" w:hAnsi="宋体"/>
          <w:b w:val="0"/>
          <w:bCs w:val="0"/>
          <w:color w:val="auto"/>
          <w:szCs w:val="21"/>
          <w:highlight w:val="none"/>
          <w:u w:val="single"/>
          <w:lang w:val="en-US" w:eastAsia="zh-CN"/>
        </w:rPr>
        <w:t>等经济责任</w:t>
      </w:r>
      <w:r>
        <w:rPr>
          <w:rStyle w:val="57"/>
          <w:rFonts w:hint="default" w:ascii="宋体" w:hAnsi="宋体"/>
          <w:b w:val="0"/>
          <w:bCs w:val="0"/>
          <w:color w:val="auto"/>
          <w:szCs w:val="21"/>
          <w:highlight w:val="none"/>
          <w:u w:val="single"/>
          <w:lang w:val="en-US" w:eastAsia="zh-CN"/>
        </w:rPr>
        <w:t>。</w:t>
      </w:r>
    </w:p>
    <w:p w14:paraId="6070F4BC">
      <w:pPr>
        <w:pStyle w:val="170"/>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lang w:val="en-US" w:eastAsia="zh-CN"/>
        </w:rPr>
        <w:t xml:space="preserve">    </w:t>
      </w:r>
      <w:r>
        <w:rPr>
          <w:rStyle w:val="57"/>
          <w:rFonts w:ascii="宋体" w:hAnsi="宋体"/>
          <w:b w:val="0"/>
          <w:bCs w:val="0"/>
          <w:color w:val="auto"/>
          <w:szCs w:val="21"/>
          <w:highlight w:val="none"/>
          <w:u w:val="single"/>
        </w:rPr>
        <w:t>8.</w:t>
      </w:r>
      <w:r>
        <w:rPr>
          <w:rStyle w:val="57"/>
          <w:rFonts w:hint="eastAsia" w:ascii="宋体" w:hAnsi="宋体"/>
          <w:b w:val="0"/>
          <w:bCs w:val="0"/>
          <w:color w:val="auto"/>
          <w:szCs w:val="21"/>
          <w:highlight w:val="none"/>
          <w:u w:val="single"/>
          <w:lang w:val="en-US" w:eastAsia="zh-CN"/>
        </w:rPr>
        <w:t>5</w:t>
      </w:r>
      <w:r>
        <w:rPr>
          <w:rStyle w:val="57"/>
          <w:rFonts w:hint="eastAsia" w:ascii="宋体" w:hAnsi="宋体"/>
          <w:b w:val="0"/>
          <w:bCs w:val="0"/>
          <w:color w:val="auto"/>
          <w:szCs w:val="21"/>
          <w:highlight w:val="none"/>
          <w:u w:val="single"/>
        </w:rPr>
        <w:t>工程实施过程中，如发生施工承包人违约，</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积极配合委托人开展索赔工作，按照工程承包合同的约定，及时向委托人提供向承包人索赔的有效依据，并在工程承包合同约定的时限内提前提示委托人及时向承包人发出相关的答复或要求承包人进一步补充索赔理由和证据等文件。</w:t>
      </w:r>
    </w:p>
    <w:p w14:paraId="4A4437C8">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hAnsi="宋体"/>
          <w:b w:val="0"/>
          <w:bCs w:val="0"/>
          <w:color w:val="auto"/>
          <w:szCs w:val="21"/>
          <w:highlight w:val="none"/>
          <w:u w:val="single"/>
        </w:rPr>
      </w:pPr>
      <w:r>
        <w:rPr>
          <w:rStyle w:val="57"/>
          <w:rFonts w:ascii="宋体" w:hAnsi="宋体"/>
          <w:b w:val="0"/>
          <w:bCs w:val="0"/>
          <w:color w:val="auto"/>
          <w:szCs w:val="21"/>
          <w:highlight w:val="none"/>
          <w:u w:val="single"/>
        </w:rPr>
        <w:t>8.</w:t>
      </w:r>
      <w:r>
        <w:rPr>
          <w:rStyle w:val="57"/>
          <w:rFonts w:hint="eastAsia" w:ascii="宋体" w:hAnsi="宋体"/>
          <w:b w:val="0"/>
          <w:bCs w:val="0"/>
          <w:color w:val="auto"/>
          <w:szCs w:val="21"/>
          <w:highlight w:val="none"/>
          <w:u w:val="single"/>
          <w:lang w:val="en-US" w:eastAsia="zh-CN"/>
        </w:rPr>
        <w:t>6</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违约需向委托人支付违约金时，委托人有权从应支付</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的监理费中直接抵扣。</w:t>
      </w:r>
    </w:p>
    <w:p w14:paraId="5A366E43">
      <w:pPr>
        <w:pStyle w:val="170"/>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default"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8.</w:t>
      </w:r>
      <w:r>
        <w:rPr>
          <w:rStyle w:val="57"/>
          <w:rFonts w:hint="eastAsia" w:ascii="宋体" w:hAnsi="宋体"/>
          <w:b w:val="0"/>
          <w:bCs w:val="0"/>
          <w:color w:val="auto"/>
          <w:szCs w:val="21"/>
          <w:highlight w:val="none"/>
          <w:u w:val="single"/>
          <w:lang w:val="en-US" w:eastAsia="zh-CN"/>
        </w:rPr>
        <w:t>7</w:t>
      </w:r>
      <w:r>
        <w:rPr>
          <w:rStyle w:val="57"/>
          <w:rFonts w:hint="eastAsia" w:ascii="宋体" w:hAnsi="宋体"/>
          <w:b w:val="0"/>
          <w:bCs w:val="0"/>
          <w:color w:val="auto"/>
          <w:szCs w:val="21"/>
          <w:highlight w:val="none"/>
          <w:u w:val="single"/>
        </w:rPr>
        <w:t>根据本项目可能会产生技术方案评审和方案论证（除由施工单位承担外）、外出考</w:t>
      </w:r>
      <w:r>
        <w:rPr>
          <w:rStyle w:val="57"/>
          <w:rFonts w:hint="default" w:ascii="宋体" w:hAnsi="宋体"/>
          <w:b w:val="0"/>
          <w:bCs w:val="0"/>
          <w:color w:val="auto"/>
          <w:szCs w:val="21"/>
          <w:highlight w:val="none"/>
          <w:u w:val="single"/>
        </w:rPr>
        <w:t>察需要等，</w:t>
      </w:r>
      <w:r>
        <w:rPr>
          <w:rStyle w:val="57"/>
          <w:rFonts w:hint="eastAsia" w:ascii="宋体" w:hAnsi="宋体"/>
          <w:b w:val="0"/>
          <w:bCs w:val="0"/>
          <w:color w:val="auto"/>
          <w:szCs w:val="21"/>
          <w:highlight w:val="none"/>
          <w:u w:val="single"/>
          <w:lang w:eastAsia="zh-CN"/>
        </w:rPr>
        <w:t>监理人</w:t>
      </w:r>
      <w:r>
        <w:rPr>
          <w:rStyle w:val="57"/>
          <w:rFonts w:hint="default" w:ascii="宋体" w:hAnsi="宋体"/>
          <w:b w:val="0"/>
          <w:bCs w:val="0"/>
          <w:color w:val="auto"/>
          <w:szCs w:val="21"/>
          <w:highlight w:val="none"/>
          <w:u w:val="single"/>
        </w:rPr>
        <w:t>应组织相关各方进行论证或考察工作，所产生费用包含在合同总价中。</w:t>
      </w:r>
    </w:p>
    <w:p w14:paraId="401F7C94">
      <w:pPr>
        <w:pStyle w:val="170"/>
        <w:adjustRightInd/>
        <w:snapToGrid/>
        <w:spacing w:line="560" w:lineRule="exact"/>
        <w:ind w:firstLine="420" w:firstLineChars="200"/>
        <w:jc w:val="both"/>
        <w:outlineLvl w:val="9"/>
        <w:rPr>
          <w:rStyle w:val="57"/>
          <w:rFonts w:hint="default" w:ascii="宋体" w:hAnsi="宋体"/>
          <w:b w:val="0"/>
          <w:bCs w:val="0"/>
          <w:color w:val="auto"/>
          <w:sz w:val="21"/>
          <w:szCs w:val="21"/>
          <w:highlight w:val="none"/>
          <w:u w:val="single"/>
        </w:rPr>
      </w:pPr>
      <w:r>
        <w:rPr>
          <w:rStyle w:val="57"/>
          <w:rFonts w:hint="default" w:ascii="宋体" w:hAnsi="宋体"/>
          <w:b w:val="0"/>
          <w:bCs w:val="0"/>
          <w:color w:val="auto"/>
          <w:szCs w:val="21"/>
          <w:highlight w:val="none"/>
          <w:u w:val="single"/>
          <w:lang w:val="en-US" w:eastAsia="zh-CN"/>
        </w:rPr>
        <w:t>8.8</w:t>
      </w:r>
      <w:r>
        <w:rPr>
          <w:rStyle w:val="57"/>
          <w:rFonts w:hint="default" w:ascii="宋体" w:hAnsi="宋体"/>
          <w:b w:val="0"/>
          <w:bCs w:val="0"/>
          <w:color w:val="auto"/>
          <w:sz w:val="21"/>
          <w:szCs w:val="21"/>
          <w:highlight w:val="none"/>
          <w:u w:val="single"/>
        </w:rPr>
        <w:t>项目总监理工程师必须在本项目竣工验收完成后，且项目所有档案资料（含施工单位资料）在城建档案馆及甲方归档，并取得城建档馆及甲方档案移交书后方能在住建系统内解锁。</w:t>
      </w:r>
    </w:p>
    <w:p w14:paraId="2AD6219D">
      <w:pPr>
        <w:pStyle w:val="170"/>
        <w:keepNext w:val="0"/>
        <w:keepLines w:val="0"/>
        <w:pageBreakBefore w:val="0"/>
        <w:widowControl w:val="0"/>
        <w:kinsoku/>
        <w:wordWrap/>
        <w:overflowPunct/>
        <w:topLinePunct w:val="0"/>
        <w:autoSpaceDE/>
        <w:autoSpaceDN/>
        <w:bidi w:val="0"/>
        <w:spacing w:line="560" w:lineRule="exact"/>
        <w:ind w:firstLine="210" w:firstLineChars="100"/>
        <w:jc w:val="both"/>
        <w:textAlignment w:val="auto"/>
        <w:rPr>
          <w:rFonts w:hint="default" w:ascii="宋体" w:hAnsi="宋体" w:eastAsia="宋体"/>
          <w:b w:val="0"/>
          <w:bCs w:val="0"/>
          <w:color w:val="auto"/>
          <w:szCs w:val="21"/>
          <w:highlight w:val="none"/>
          <w:lang w:val="en-US" w:eastAsia="zh-CN"/>
        </w:rPr>
      </w:pPr>
      <w:r>
        <w:rPr>
          <w:rStyle w:val="57"/>
          <w:rFonts w:hint="eastAsia" w:ascii="宋体" w:hAnsi="宋体"/>
          <w:b w:val="0"/>
          <w:bCs w:val="0"/>
          <w:color w:val="auto"/>
          <w:szCs w:val="21"/>
          <w:highlight w:val="none"/>
          <w:lang w:val="en-US" w:eastAsia="zh-CN"/>
        </w:rPr>
        <w:t>九</w:t>
      </w:r>
      <w:r>
        <w:rPr>
          <w:rStyle w:val="57"/>
          <w:rFonts w:hint="eastAsia" w:ascii="宋体" w:hAnsi="宋体"/>
          <w:b w:val="0"/>
          <w:bCs w:val="0"/>
          <w:color w:val="auto"/>
          <w:szCs w:val="21"/>
          <w:highlight w:val="none"/>
        </w:rPr>
        <w:t>、</w:t>
      </w:r>
      <w:r>
        <w:rPr>
          <w:rStyle w:val="57"/>
          <w:rFonts w:hint="eastAsia" w:ascii="宋体" w:hAnsi="宋体"/>
          <w:b w:val="0"/>
          <w:bCs w:val="0"/>
          <w:color w:val="auto"/>
          <w:szCs w:val="21"/>
          <w:highlight w:val="none"/>
          <w:lang w:val="en-US" w:eastAsia="zh-CN"/>
        </w:rPr>
        <w:t>考核办法</w:t>
      </w:r>
    </w:p>
    <w:p w14:paraId="21FC0A17">
      <w:pPr>
        <w:pStyle w:val="147"/>
        <w:spacing w:line="360" w:lineRule="auto"/>
        <w:ind w:firstLine="420" w:firstLineChars="200"/>
        <w:rPr>
          <w:rFonts w:ascii="宋体"/>
          <w:b w:val="0"/>
          <w:bCs w:val="0"/>
          <w:color w:val="auto"/>
          <w:szCs w:val="21"/>
          <w:highlight w:val="none"/>
          <w:u w:val="single"/>
        </w:rPr>
      </w:pPr>
      <w:r>
        <w:rPr>
          <w:rFonts w:hint="eastAsia" w:ascii="宋体"/>
          <w:b w:val="0"/>
          <w:bCs w:val="0"/>
          <w:color w:val="auto"/>
          <w:szCs w:val="21"/>
          <w:highlight w:val="none"/>
          <w:u w:val="single"/>
        </w:rPr>
        <w:t>1、本办法以承包人的实际工作为根据，通过量化的方式对其工作进行全面检查考核，以提高承包人合同履约工作整体质量。</w:t>
      </w:r>
    </w:p>
    <w:p w14:paraId="419A36A1">
      <w:pPr>
        <w:pStyle w:val="147"/>
        <w:spacing w:line="360" w:lineRule="auto"/>
        <w:ind w:firstLine="420" w:firstLineChars="200"/>
        <w:rPr>
          <w:rFonts w:ascii="宋体"/>
          <w:b w:val="0"/>
          <w:bCs w:val="0"/>
          <w:color w:val="auto"/>
          <w:szCs w:val="21"/>
          <w:highlight w:val="none"/>
          <w:u w:val="single"/>
        </w:rPr>
      </w:pPr>
      <w:r>
        <w:rPr>
          <w:rFonts w:hint="eastAsia" w:ascii="宋体"/>
          <w:b w:val="0"/>
          <w:bCs w:val="0"/>
          <w:color w:val="auto"/>
          <w:szCs w:val="21"/>
          <w:highlight w:val="none"/>
          <w:u w:val="single"/>
        </w:rPr>
        <w:t>2、发包人有权在实施阶段根据具体情况对此考核办法进行修订、补充和完善，承包人应无条件根据修订后的考核办法接受考核。</w:t>
      </w:r>
    </w:p>
    <w:p w14:paraId="21AB7714">
      <w:pPr>
        <w:pStyle w:val="147"/>
        <w:spacing w:line="360" w:lineRule="auto"/>
        <w:ind w:firstLine="420" w:firstLineChars="200"/>
        <w:rPr>
          <w:rFonts w:hint="eastAsia" w:ascii="宋体" w:eastAsia="宋体"/>
          <w:b w:val="0"/>
          <w:bCs w:val="0"/>
          <w:color w:val="auto"/>
          <w:szCs w:val="21"/>
          <w:highlight w:val="none"/>
          <w:u w:val="single"/>
          <w:lang w:eastAsia="zh-CN"/>
        </w:rPr>
      </w:pPr>
      <w:r>
        <w:rPr>
          <w:rFonts w:hint="eastAsia" w:ascii="宋体"/>
          <w:b w:val="0"/>
          <w:bCs w:val="0"/>
          <w:color w:val="auto"/>
          <w:szCs w:val="21"/>
          <w:highlight w:val="none"/>
          <w:u w:val="single"/>
        </w:rPr>
        <w:t>3、</w:t>
      </w:r>
      <w:r>
        <w:rPr>
          <w:rFonts w:hint="eastAsia" w:ascii="宋体" w:hAnsi="宋体"/>
          <w:b w:val="0"/>
          <w:bCs w:val="0"/>
          <w:color w:val="auto"/>
          <w:szCs w:val="21"/>
          <w:highlight w:val="none"/>
          <w:u w:val="single"/>
        </w:rPr>
        <w:t>监理工作考核由</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牵头，</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及监理人员应配合检查考核，无条件接受检查考核结果，并不会因此提出任何延期、索赔的要求</w:t>
      </w:r>
      <w:r>
        <w:rPr>
          <w:rFonts w:hint="eastAsia" w:ascii="宋体" w:hAnsi="宋体"/>
          <w:b w:val="0"/>
          <w:bCs w:val="0"/>
          <w:color w:val="auto"/>
          <w:szCs w:val="21"/>
          <w:highlight w:val="none"/>
          <w:u w:val="single"/>
          <w:lang w:eastAsia="zh-CN"/>
        </w:rPr>
        <w:t>，</w:t>
      </w:r>
    </w:p>
    <w:p w14:paraId="135BC38E">
      <w:pPr>
        <w:pStyle w:val="147"/>
        <w:spacing w:line="360" w:lineRule="auto"/>
        <w:ind w:firstLine="420" w:firstLineChars="200"/>
        <w:rPr>
          <w:rFonts w:hint="eastAsia" w:ascii="宋体"/>
          <w:b w:val="0"/>
          <w:bCs w:val="0"/>
          <w:color w:val="auto"/>
          <w:szCs w:val="21"/>
          <w:highlight w:val="none"/>
          <w:u w:val="single"/>
          <w:lang w:val="en-US" w:eastAsia="zh-CN"/>
        </w:rPr>
      </w:pPr>
      <w:r>
        <w:rPr>
          <w:rFonts w:hint="eastAsia" w:ascii="宋体"/>
          <w:b w:val="0"/>
          <w:bCs w:val="0"/>
          <w:color w:val="auto"/>
          <w:szCs w:val="21"/>
          <w:highlight w:val="none"/>
          <w:u w:val="single"/>
        </w:rPr>
        <w:t>4、考核范围为</w:t>
      </w:r>
      <w:r>
        <w:rPr>
          <w:rFonts w:hint="eastAsia" w:ascii="宋体"/>
          <w:b w:val="0"/>
          <w:bCs w:val="0"/>
          <w:color w:val="auto"/>
          <w:szCs w:val="21"/>
          <w:highlight w:val="none"/>
          <w:u w:val="single"/>
          <w:lang w:val="en-US" w:eastAsia="zh-CN"/>
        </w:rPr>
        <w:t>按《监</w:t>
      </w:r>
      <w:r>
        <w:rPr>
          <w:rFonts w:hint="eastAsia" w:ascii="宋体" w:hAnsi="宋体"/>
          <w:b w:val="0"/>
          <w:bCs w:val="0"/>
          <w:color w:val="auto"/>
          <w:szCs w:val="21"/>
          <w:highlight w:val="none"/>
          <w:u w:val="single"/>
          <w:lang w:val="en-US" w:eastAsia="zh-CN"/>
        </w:rPr>
        <w:t>理</w:t>
      </w:r>
      <w:r>
        <w:rPr>
          <w:rFonts w:hint="eastAsia" w:ascii="宋体" w:hAnsi="宋体"/>
          <w:b w:val="0"/>
          <w:bCs w:val="0"/>
          <w:color w:val="auto"/>
          <w:szCs w:val="21"/>
          <w:highlight w:val="none"/>
          <w:u w:val="single"/>
        </w:rPr>
        <w:t>工作考核表</w:t>
      </w:r>
      <w:r>
        <w:rPr>
          <w:rFonts w:hint="eastAsia" w:ascii="宋体" w:hAnsi="宋体"/>
          <w:b w:val="0"/>
          <w:bCs w:val="0"/>
          <w:color w:val="auto"/>
          <w:szCs w:val="21"/>
          <w:highlight w:val="none"/>
          <w:u w:val="single"/>
          <w:lang w:val="en-US" w:eastAsia="zh-CN"/>
        </w:rPr>
        <w:t>》</w:t>
      </w:r>
      <w:r>
        <w:rPr>
          <w:rFonts w:hint="eastAsia" w:ascii="宋体"/>
          <w:b w:val="0"/>
          <w:bCs w:val="0"/>
          <w:color w:val="auto"/>
          <w:szCs w:val="21"/>
          <w:highlight w:val="none"/>
          <w:u w:val="single"/>
          <w:lang w:val="en-US" w:eastAsia="zh-CN"/>
        </w:rPr>
        <w:t>进行考核，</w:t>
      </w:r>
    </w:p>
    <w:p w14:paraId="1E9E8BE2">
      <w:pPr>
        <w:pStyle w:val="147"/>
        <w:spacing w:line="360" w:lineRule="auto"/>
        <w:ind w:firstLine="420" w:firstLineChars="200"/>
        <w:rPr>
          <w:rFonts w:ascii="宋体"/>
          <w:b w:val="0"/>
          <w:bCs w:val="0"/>
          <w:color w:val="auto"/>
          <w:szCs w:val="21"/>
          <w:highlight w:val="none"/>
        </w:rPr>
      </w:pPr>
      <w:r>
        <w:rPr>
          <w:rFonts w:hint="eastAsia" w:ascii="宋体"/>
          <w:b w:val="0"/>
          <w:bCs w:val="0"/>
          <w:color w:val="auto"/>
          <w:szCs w:val="21"/>
          <w:highlight w:val="none"/>
        </w:rPr>
        <w:t>5、评分细则</w:t>
      </w:r>
    </w:p>
    <w:p w14:paraId="7E7B41BE">
      <w:pPr>
        <w:pStyle w:val="147"/>
        <w:spacing w:line="360" w:lineRule="auto"/>
        <w:ind w:firstLine="420" w:firstLineChars="200"/>
        <w:rPr>
          <w:rFonts w:ascii="宋体"/>
          <w:b w:val="0"/>
          <w:bCs w:val="0"/>
          <w:color w:val="auto"/>
          <w:szCs w:val="21"/>
          <w:highlight w:val="none"/>
          <w:u w:val="single"/>
        </w:rPr>
      </w:pPr>
      <w:r>
        <w:rPr>
          <w:rFonts w:hint="eastAsia" w:ascii="宋体"/>
          <w:b w:val="0"/>
          <w:bCs w:val="0"/>
          <w:color w:val="auto"/>
          <w:szCs w:val="21"/>
          <w:highlight w:val="none"/>
          <w:u w:val="single"/>
          <w:lang w:val="en-US" w:eastAsia="zh-CN"/>
        </w:rPr>
        <w:t>5.1</w:t>
      </w:r>
      <w:r>
        <w:rPr>
          <w:rFonts w:hint="eastAsia" w:ascii="宋体"/>
          <w:b w:val="0"/>
          <w:bCs w:val="0"/>
          <w:color w:val="auto"/>
          <w:szCs w:val="21"/>
          <w:highlight w:val="none"/>
          <w:u w:val="single"/>
        </w:rPr>
        <w:t>每个类别根据各评分项目规定的评分细则进行打分。</w:t>
      </w:r>
    </w:p>
    <w:p w14:paraId="0F29A714">
      <w:pPr>
        <w:pStyle w:val="147"/>
        <w:spacing w:line="360" w:lineRule="auto"/>
        <w:ind w:firstLine="420" w:firstLineChars="200"/>
        <w:rPr>
          <w:rFonts w:ascii="宋体"/>
          <w:b w:val="0"/>
          <w:bCs w:val="0"/>
          <w:color w:val="auto"/>
          <w:szCs w:val="21"/>
          <w:highlight w:val="none"/>
          <w:u w:val="single"/>
        </w:rPr>
      </w:pPr>
      <w:r>
        <w:rPr>
          <w:rFonts w:hint="eastAsia" w:ascii="宋体"/>
          <w:b w:val="0"/>
          <w:bCs w:val="0"/>
          <w:color w:val="auto"/>
          <w:szCs w:val="21"/>
          <w:highlight w:val="none"/>
          <w:u w:val="single"/>
          <w:lang w:val="en-US" w:eastAsia="zh-CN"/>
        </w:rPr>
        <w:t>5.2</w:t>
      </w:r>
      <w:r>
        <w:rPr>
          <w:rFonts w:hint="eastAsia" w:ascii="宋体"/>
          <w:b w:val="0"/>
          <w:bCs w:val="0"/>
          <w:color w:val="auto"/>
          <w:szCs w:val="21"/>
          <w:highlight w:val="none"/>
          <w:u w:val="single"/>
        </w:rPr>
        <w:t>每个评分项目的打分不得超过该项目的标准分，每个项目的扣分按评分项目直至扣到零分为止。</w:t>
      </w:r>
    </w:p>
    <w:p w14:paraId="5971FE23">
      <w:pPr>
        <w:pStyle w:val="147"/>
        <w:spacing w:line="360" w:lineRule="auto"/>
        <w:ind w:firstLine="420" w:firstLineChars="200"/>
        <w:rPr>
          <w:rFonts w:hint="eastAsia" w:ascii="宋体" w:eastAsia="宋体"/>
          <w:b w:val="0"/>
          <w:bCs w:val="0"/>
          <w:color w:val="auto"/>
          <w:szCs w:val="21"/>
          <w:highlight w:val="none"/>
          <w:u w:val="single"/>
          <w:lang w:val="en-US" w:eastAsia="zh-CN"/>
        </w:rPr>
      </w:pPr>
      <w:r>
        <w:rPr>
          <w:rFonts w:hint="eastAsia" w:ascii="宋体"/>
          <w:b w:val="0"/>
          <w:bCs w:val="0"/>
          <w:color w:val="auto"/>
          <w:szCs w:val="21"/>
          <w:highlight w:val="none"/>
          <w:u w:val="single"/>
        </w:rPr>
        <w:t>6、考核</w:t>
      </w:r>
      <w:r>
        <w:rPr>
          <w:rFonts w:hint="eastAsia" w:ascii="宋体"/>
          <w:b w:val="0"/>
          <w:bCs w:val="0"/>
          <w:color w:val="auto"/>
          <w:szCs w:val="21"/>
          <w:highlight w:val="none"/>
          <w:u w:val="single"/>
          <w:lang w:val="en-US" w:eastAsia="zh-CN"/>
        </w:rPr>
        <w:t>时间及金额</w:t>
      </w:r>
    </w:p>
    <w:p w14:paraId="0486DE4A">
      <w:pPr>
        <w:pStyle w:val="98"/>
        <w:spacing w:line="360" w:lineRule="auto"/>
        <w:ind w:firstLine="480"/>
        <w:jc w:val="left"/>
        <w:rPr>
          <w:rFonts w:hint="default" w:ascii="宋体" w:hAnsi="宋体" w:cs="Times New Roman"/>
          <w:b w:val="0"/>
          <w:bCs w:val="0"/>
          <w:snapToGrid w:val="0"/>
          <w:color w:val="auto"/>
          <w:kern w:val="0"/>
          <w:sz w:val="21"/>
          <w:szCs w:val="21"/>
          <w:highlight w:val="none"/>
          <w:u w:val="single"/>
          <w:lang w:val="en-US" w:eastAsia="zh-CN" w:bidi="ar-SA"/>
        </w:rPr>
      </w:pPr>
      <w:r>
        <w:rPr>
          <w:rFonts w:hint="eastAsia" w:ascii="宋体" w:hAnsi="宋体" w:cs="Times New Roman"/>
          <w:b w:val="0"/>
          <w:bCs w:val="0"/>
          <w:snapToGrid w:val="0"/>
          <w:color w:val="auto"/>
          <w:kern w:val="0"/>
          <w:sz w:val="21"/>
          <w:szCs w:val="21"/>
          <w:highlight w:val="none"/>
          <w:u w:val="single"/>
          <w:lang w:val="en-US" w:eastAsia="zh-CN" w:bidi="ar-SA"/>
        </w:rPr>
        <w:t>自工程开工起，按付款节点考核两次，项目开工后第一次支付进度款前（除预付款外）完成考核一次，项目竣工验收付款前完成考核一次，若逾期未组织考核，则默认本阶段考核结果为合格。</w:t>
      </w:r>
    </w:p>
    <w:p w14:paraId="09CDF4A5">
      <w:pPr>
        <w:pStyle w:val="147"/>
        <w:spacing w:line="360" w:lineRule="auto"/>
        <w:ind w:firstLine="420" w:firstLineChars="200"/>
        <w:rPr>
          <w:rFonts w:hint="default" w:ascii="宋体" w:hAnsi="宋体" w:cs="Times New Roman"/>
          <w:b w:val="0"/>
          <w:bCs w:val="0"/>
          <w:snapToGrid w:val="0"/>
          <w:color w:val="auto"/>
          <w:kern w:val="0"/>
          <w:sz w:val="21"/>
          <w:szCs w:val="21"/>
          <w:highlight w:val="none"/>
          <w:u w:val="single"/>
          <w:lang w:val="en-US" w:eastAsia="zh-CN" w:bidi="ar-SA"/>
        </w:rPr>
      </w:pPr>
      <w:r>
        <w:rPr>
          <w:rFonts w:hint="eastAsia" w:ascii="宋体" w:hAnsi="宋体" w:eastAsia="宋体" w:cs="Times New Roman"/>
          <w:b w:val="0"/>
          <w:bCs w:val="0"/>
          <w:snapToGrid w:val="0"/>
          <w:color w:val="auto"/>
          <w:kern w:val="0"/>
          <w:sz w:val="21"/>
          <w:szCs w:val="21"/>
          <w:highlight w:val="none"/>
          <w:u w:val="single"/>
          <w:lang w:val="en-US" w:eastAsia="zh-CN" w:bidi="ar-SA"/>
        </w:rPr>
        <w:t>施工阶段监理酬金</w:t>
      </w:r>
      <w:r>
        <w:rPr>
          <w:rFonts w:hint="eastAsia" w:ascii="宋体" w:hAnsi="宋体" w:cs="Times New Roman"/>
          <w:b w:val="0"/>
          <w:bCs w:val="0"/>
          <w:snapToGrid w:val="0"/>
          <w:color w:val="auto"/>
          <w:kern w:val="0"/>
          <w:sz w:val="21"/>
          <w:szCs w:val="21"/>
          <w:highlight w:val="none"/>
          <w:u w:val="single"/>
          <w:lang w:val="en-US" w:eastAsia="zh-CN" w:bidi="ar-SA"/>
        </w:rPr>
        <w:t>（暂定）</w:t>
      </w:r>
      <w:r>
        <w:rPr>
          <w:rFonts w:hint="eastAsia" w:ascii="宋体" w:hAnsi="宋体" w:eastAsia="宋体" w:cs="Times New Roman"/>
          <w:b w:val="0"/>
          <w:bCs w:val="0"/>
          <w:snapToGrid w:val="0"/>
          <w:color w:val="auto"/>
          <w:kern w:val="0"/>
          <w:sz w:val="21"/>
          <w:szCs w:val="21"/>
          <w:highlight w:val="none"/>
          <w:u w:val="single"/>
          <w:lang w:val="en-US" w:eastAsia="zh-CN" w:bidi="ar-SA"/>
        </w:rPr>
        <w:t>*</w:t>
      </w:r>
      <w:r>
        <w:rPr>
          <w:rFonts w:hint="eastAsia" w:ascii="宋体" w:hAnsi="宋体" w:cs="Times New Roman"/>
          <w:b w:val="0"/>
          <w:bCs w:val="0"/>
          <w:snapToGrid w:val="0"/>
          <w:color w:val="auto"/>
          <w:kern w:val="0"/>
          <w:sz w:val="21"/>
          <w:szCs w:val="21"/>
          <w:highlight w:val="none"/>
          <w:u w:val="single"/>
          <w:lang w:val="en-US" w:eastAsia="zh-CN" w:bidi="ar-SA"/>
        </w:rPr>
        <w:t>24</w:t>
      </w:r>
      <w:r>
        <w:rPr>
          <w:rFonts w:hint="eastAsia" w:ascii="宋体" w:hAnsi="宋体" w:eastAsia="宋体" w:cs="Times New Roman"/>
          <w:b w:val="0"/>
          <w:bCs w:val="0"/>
          <w:snapToGrid w:val="0"/>
          <w:color w:val="auto"/>
          <w:kern w:val="0"/>
          <w:sz w:val="21"/>
          <w:szCs w:val="21"/>
          <w:highlight w:val="none"/>
          <w:u w:val="single"/>
          <w:lang w:val="en-US" w:eastAsia="zh-CN" w:bidi="ar-SA"/>
        </w:rPr>
        <w:t>%</w:t>
      </w:r>
      <w:r>
        <w:rPr>
          <w:rFonts w:hint="eastAsia" w:ascii="宋体" w:hAnsi="宋体" w:cs="Times New Roman"/>
          <w:b w:val="0"/>
          <w:bCs w:val="0"/>
          <w:snapToGrid w:val="0"/>
          <w:color w:val="auto"/>
          <w:kern w:val="0"/>
          <w:sz w:val="21"/>
          <w:szCs w:val="21"/>
          <w:highlight w:val="none"/>
          <w:u w:val="single"/>
          <w:lang w:val="en-US" w:eastAsia="zh-CN" w:bidi="ar-SA"/>
        </w:rPr>
        <w:t>/2 =每个月度考核金额，该金额已包含在签约酬金暂定总金额中，委托人不再另行支付。</w:t>
      </w:r>
    </w:p>
    <w:p w14:paraId="04DE20E8">
      <w:pPr>
        <w:pStyle w:val="147"/>
        <w:spacing w:line="360" w:lineRule="auto"/>
        <w:ind w:firstLine="420" w:firstLineChars="200"/>
        <w:rPr>
          <w:rFonts w:hint="default"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7.考核款的支付及违约金扣除</w:t>
      </w:r>
    </w:p>
    <w:p w14:paraId="0271C872">
      <w:pPr>
        <w:pStyle w:val="147"/>
        <w:spacing w:line="360" w:lineRule="auto"/>
        <w:ind w:firstLine="420" w:firstLineChars="200"/>
        <w:rPr>
          <w:rFonts w:hint="default" w:ascii="宋体" w:hAnsi="宋体" w:cs="Times New Roman"/>
          <w:b w:val="0"/>
          <w:bCs w:val="0"/>
          <w:snapToGrid w:val="0"/>
          <w:color w:val="auto"/>
          <w:kern w:val="0"/>
          <w:sz w:val="21"/>
          <w:szCs w:val="21"/>
          <w:highlight w:val="none"/>
          <w:u w:val="none"/>
          <w:lang w:val="en-US" w:eastAsia="zh-CN" w:bidi="ar-SA"/>
        </w:rPr>
      </w:pPr>
      <w:r>
        <w:rPr>
          <w:rFonts w:hint="eastAsia" w:ascii="宋体" w:hAnsi="宋体" w:cs="Times New Roman"/>
          <w:b w:val="0"/>
          <w:bCs w:val="0"/>
          <w:color w:val="auto"/>
          <w:kern w:val="2"/>
          <w:sz w:val="21"/>
          <w:szCs w:val="21"/>
          <w:highlight w:val="none"/>
          <w:lang w:val="en-US" w:eastAsia="zh-CN" w:bidi="ar-SA"/>
        </w:rPr>
        <w:t>7.1考核款的支付方式</w:t>
      </w:r>
    </w:p>
    <w:p w14:paraId="1D19836D">
      <w:pPr>
        <w:pStyle w:val="145"/>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firstLine="420" w:firstLineChars="200"/>
        <w:textAlignment w:val="auto"/>
        <w:rPr>
          <w:rFonts w:hint="default" w:ascii="宋体" w:hAnsi="Times New Roman" w:eastAsia="宋体" w:cs="Times New Roman"/>
          <w:b w:val="0"/>
          <w:bCs w:val="0"/>
          <w:color w:val="auto"/>
          <w:kern w:val="2"/>
          <w:sz w:val="21"/>
          <w:szCs w:val="21"/>
          <w:highlight w:val="none"/>
          <w:u w:val="single"/>
          <w:lang w:val="en-US" w:eastAsia="zh-CN" w:bidi="ar-SA"/>
        </w:rPr>
      </w:pPr>
      <w:r>
        <w:rPr>
          <w:rFonts w:hint="default" w:ascii="宋体" w:hAnsi="Times New Roman" w:eastAsia="宋体" w:cs="Times New Roman"/>
          <w:b w:val="0"/>
          <w:bCs w:val="0"/>
          <w:color w:val="auto"/>
          <w:kern w:val="2"/>
          <w:sz w:val="21"/>
          <w:szCs w:val="21"/>
          <w:highlight w:val="none"/>
          <w:u w:val="single"/>
          <w:lang w:val="en-US" w:eastAsia="zh-CN" w:bidi="ar-SA"/>
        </w:rPr>
        <w:t>结果</w:t>
      </w:r>
      <w:r>
        <w:rPr>
          <w:rFonts w:hint="eastAsia" w:ascii="宋体" w:hAnsi="Times New Roman" w:eastAsia="宋体" w:cs="Times New Roman"/>
          <w:b w:val="0"/>
          <w:bCs w:val="0"/>
          <w:color w:val="auto"/>
          <w:kern w:val="2"/>
          <w:sz w:val="21"/>
          <w:szCs w:val="21"/>
          <w:highlight w:val="none"/>
          <w:u w:val="single"/>
          <w:lang w:val="en-US" w:eastAsia="zh-CN" w:bidi="ar-SA"/>
        </w:rPr>
        <w:t>每满</w:t>
      </w:r>
      <w:r>
        <w:rPr>
          <w:rFonts w:hint="default" w:ascii="宋体" w:hAnsi="Times New Roman" w:eastAsia="宋体" w:cs="Times New Roman"/>
          <w:b w:val="0"/>
          <w:bCs w:val="0"/>
          <w:color w:val="auto"/>
          <w:kern w:val="2"/>
          <w:sz w:val="21"/>
          <w:szCs w:val="21"/>
          <w:highlight w:val="none"/>
          <w:u w:val="single"/>
          <w:lang w:val="en-US" w:eastAsia="zh-CN" w:bidi="ar-SA"/>
        </w:rPr>
        <w:t>为80分（含）以上时，</w:t>
      </w:r>
      <w:r>
        <w:rPr>
          <w:rFonts w:hint="eastAsia" w:ascii="宋体" w:hAnsi="Times New Roman" w:eastAsia="宋体" w:cs="Times New Roman"/>
          <w:b w:val="0"/>
          <w:bCs w:val="0"/>
          <w:color w:val="auto"/>
          <w:kern w:val="2"/>
          <w:sz w:val="21"/>
          <w:szCs w:val="21"/>
          <w:highlight w:val="none"/>
          <w:u w:val="single"/>
          <w:lang w:val="en-US" w:eastAsia="zh-CN" w:bidi="ar-SA"/>
        </w:rPr>
        <w:t>考核完毕，</w:t>
      </w:r>
      <w:r>
        <w:rPr>
          <w:rFonts w:hint="eastAsia" w:ascii="宋体" w:hAnsi="宋体" w:eastAsia="宋体" w:cs="Times New Roman"/>
          <w:b w:val="0"/>
          <w:bCs w:val="0"/>
          <w:color w:val="auto"/>
          <w:kern w:val="2"/>
          <w:sz w:val="21"/>
          <w:szCs w:val="21"/>
          <w:highlight w:val="none"/>
          <w:u w:val="single"/>
          <w:lang w:val="en-US" w:eastAsia="zh-CN" w:bidi="ar-SA"/>
        </w:rPr>
        <w:t>由</w:t>
      </w:r>
      <w:r>
        <w:rPr>
          <w:rFonts w:hint="eastAsia" w:ascii="宋体" w:hAnsi="宋体" w:cs="Times New Roman"/>
          <w:b w:val="0"/>
          <w:bCs w:val="0"/>
          <w:color w:val="auto"/>
          <w:kern w:val="2"/>
          <w:sz w:val="21"/>
          <w:szCs w:val="21"/>
          <w:highlight w:val="none"/>
          <w:u w:val="single"/>
          <w:lang w:val="en-US" w:eastAsia="zh-CN" w:bidi="ar-SA"/>
        </w:rPr>
        <w:t>监理人</w:t>
      </w:r>
      <w:r>
        <w:rPr>
          <w:rFonts w:hint="eastAsia" w:ascii="宋体" w:hAnsi="宋体" w:eastAsia="宋体" w:cs="Times New Roman"/>
          <w:b w:val="0"/>
          <w:bCs w:val="0"/>
          <w:color w:val="auto"/>
          <w:kern w:val="2"/>
          <w:sz w:val="21"/>
          <w:szCs w:val="21"/>
          <w:highlight w:val="none"/>
          <w:u w:val="single"/>
          <w:lang w:val="en-US" w:eastAsia="zh-CN" w:bidi="ar-SA"/>
        </w:rPr>
        <w:t>向</w:t>
      </w:r>
      <w:r>
        <w:rPr>
          <w:rFonts w:hint="eastAsia" w:ascii="宋体" w:hAnsi="宋体" w:cs="Times New Roman"/>
          <w:b w:val="0"/>
          <w:bCs w:val="0"/>
          <w:color w:val="auto"/>
          <w:kern w:val="2"/>
          <w:sz w:val="21"/>
          <w:szCs w:val="21"/>
          <w:highlight w:val="none"/>
          <w:u w:val="single"/>
          <w:lang w:val="en-US" w:eastAsia="zh-CN" w:bidi="ar-SA"/>
        </w:rPr>
        <w:t>委托人方</w:t>
      </w:r>
      <w:r>
        <w:rPr>
          <w:rFonts w:hint="eastAsia" w:ascii="宋体" w:hAnsi="宋体" w:eastAsia="宋体" w:cs="Times New Roman"/>
          <w:b w:val="0"/>
          <w:bCs w:val="0"/>
          <w:color w:val="auto"/>
          <w:kern w:val="2"/>
          <w:sz w:val="21"/>
          <w:szCs w:val="21"/>
          <w:highlight w:val="none"/>
          <w:u w:val="single"/>
          <w:lang w:val="en-US" w:eastAsia="zh-CN" w:bidi="ar-SA"/>
        </w:rPr>
        <w:t>提出申请，经</w:t>
      </w:r>
      <w:r>
        <w:rPr>
          <w:rFonts w:hint="eastAsia" w:ascii="宋体" w:hAnsi="宋体" w:cs="Times New Roman"/>
          <w:b w:val="0"/>
          <w:bCs w:val="0"/>
          <w:color w:val="auto"/>
          <w:kern w:val="2"/>
          <w:sz w:val="21"/>
          <w:szCs w:val="21"/>
          <w:highlight w:val="none"/>
          <w:u w:val="single"/>
          <w:lang w:val="en-US" w:eastAsia="zh-CN" w:bidi="ar-SA"/>
        </w:rPr>
        <w:t>委托人</w:t>
      </w:r>
      <w:r>
        <w:rPr>
          <w:rFonts w:hint="eastAsia" w:ascii="宋体" w:hAnsi="宋体" w:eastAsia="宋体" w:cs="Times New Roman"/>
          <w:b w:val="0"/>
          <w:bCs w:val="0"/>
          <w:color w:val="auto"/>
          <w:kern w:val="2"/>
          <w:sz w:val="21"/>
          <w:szCs w:val="21"/>
          <w:highlight w:val="none"/>
          <w:u w:val="single"/>
          <w:lang w:val="en-US" w:eastAsia="zh-CN" w:bidi="ar-SA"/>
        </w:rPr>
        <w:t>核准后随就近一次付款一并支付。</w:t>
      </w:r>
    </w:p>
    <w:p w14:paraId="5846D8E9">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Times New Roman"/>
          <w:b w:val="0"/>
          <w:bCs w:val="0"/>
          <w:color w:val="auto"/>
          <w:kern w:val="2"/>
          <w:sz w:val="21"/>
          <w:szCs w:val="21"/>
          <w:highlight w:val="none"/>
          <w:u w:val="single"/>
          <w:lang w:val="en-US" w:eastAsia="zh-CN" w:bidi="ar-SA"/>
        </w:rPr>
      </w:pPr>
      <w:r>
        <w:rPr>
          <w:rFonts w:hint="eastAsia" w:ascii="宋体" w:hAnsi="宋体" w:cs="Times New Roman"/>
          <w:b w:val="0"/>
          <w:bCs w:val="0"/>
          <w:color w:val="auto"/>
          <w:kern w:val="2"/>
          <w:sz w:val="21"/>
          <w:szCs w:val="21"/>
          <w:highlight w:val="none"/>
          <w:u w:val="single"/>
          <w:lang w:val="en-US" w:eastAsia="zh-CN" w:bidi="ar-SA"/>
        </w:rPr>
        <w:t>（2）</w:t>
      </w:r>
      <w:r>
        <w:rPr>
          <w:rFonts w:hint="eastAsia" w:ascii="宋体" w:hAnsi="宋体" w:eastAsia="宋体" w:cs="Times New Roman"/>
          <w:b w:val="0"/>
          <w:bCs w:val="0"/>
          <w:color w:val="auto"/>
          <w:kern w:val="2"/>
          <w:sz w:val="21"/>
          <w:szCs w:val="21"/>
          <w:highlight w:val="none"/>
          <w:u w:val="single"/>
          <w:lang w:val="en-US" w:eastAsia="zh-CN" w:bidi="ar-SA"/>
        </w:rPr>
        <w:t>当</w:t>
      </w:r>
      <w:r>
        <w:rPr>
          <w:rFonts w:hint="eastAsia" w:ascii="宋体" w:hAnsi="宋体" w:cs="Times New Roman"/>
          <w:b w:val="0"/>
          <w:bCs w:val="0"/>
          <w:color w:val="auto"/>
          <w:kern w:val="2"/>
          <w:sz w:val="21"/>
          <w:szCs w:val="21"/>
          <w:highlight w:val="none"/>
          <w:u w:val="single"/>
          <w:lang w:val="en-US" w:eastAsia="zh-CN" w:bidi="ar-SA"/>
        </w:rPr>
        <w:t>第一次</w:t>
      </w:r>
      <w:r>
        <w:rPr>
          <w:rFonts w:hint="eastAsia" w:ascii="宋体" w:hAnsi="宋体" w:eastAsia="宋体" w:cs="Times New Roman"/>
          <w:b w:val="0"/>
          <w:bCs w:val="0"/>
          <w:color w:val="auto"/>
          <w:kern w:val="2"/>
          <w:sz w:val="21"/>
          <w:szCs w:val="21"/>
          <w:highlight w:val="none"/>
          <w:u w:val="single"/>
          <w:lang w:val="en-US" w:eastAsia="zh-CN" w:bidi="ar-SA"/>
        </w:rPr>
        <w:t>考核结果低于80分（不含）时，</w:t>
      </w:r>
      <w:r>
        <w:rPr>
          <w:rFonts w:hint="eastAsia" w:ascii="宋体" w:hAnsi="宋体" w:cs="Times New Roman"/>
          <w:b w:val="0"/>
          <w:bCs w:val="0"/>
          <w:color w:val="auto"/>
          <w:kern w:val="2"/>
          <w:sz w:val="21"/>
          <w:szCs w:val="21"/>
          <w:highlight w:val="none"/>
          <w:u w:val="single"/>
          <w:lang w:val="en-US" w:eastAsia="zh-CN" w:bidi="ar-SA"/>
        </w:rPr>
        <w:t>本次</w:t>
      </w:r>
      <w:r>
        <w:rPr>
          <w:rFonts w:hint="eastAsia" w:ascii="宋体" w:hAnsi="宋体" w:eastAsia="宋体" w:cs="Times New Roman"/>
          <w:b w:val="0"/>
          <w:bCs w:val="0"/>
          <w:color w:val="auto"/>
          <w:kern w:val="2"/>
          <w:sz w:val="21"/>
          <w:szCs w:val="21"/>
          <w:highlight w:val="none"/>
          <w:u w:val="single"/>
          <w:lang w:val="en-US" w:eastAsia="zh-CN" w:bidi="ar-SA"/>
        </w:rPr>
        <w:t>考核费用暂不支付。在下</w:t>
      </w:r>
      <w:r>
        <w:rPr>
          <w:rFonts w:hint="eastAsia" w:ascii="宋体" w:hAnsi="宋体" w:cs="Times New Roman"/>
          <w:b w:val="0"/>
          <w:bCs w:val="0"/>
          <w:color w:val="auto"/>
          <w:kern w:val="2"/>
          <w:sz w:val="21"/>
          <w:szCs w:val="21"/>
          <w:highlight w:val="none"/>
          <w:u w:val="single"/>
          <w:lang w:val="en-US" w:eastAsia="zh-CN" w:bidi="ar-SA"/>
        </w:rPr>
        <w:t>次</w:t>
      </w:r>
      <w:r>
        <w:rPr>
          <w:rFonts w:hint="eastAsia" w:ascii="宋体" w:hAnsi="宋体" w:eastAsia="宋体" w:cs="Times New Roman"/>
          <w:b w:val="0"/>
          <w:bCs w:val="0"/>
          <w:color w:val="auto"/>
          <w:kern w:val="2"/>
          <w:sz w:val="21"/>
          <w:szCs w:val="21"/>
          <w:highlight w:val="none"/>
          <w:u w:val="single"/>
          <w:lang w:val="en-US" w:eastAsia="zh-CN" w:bidi="ar-SA"/>
        </w:rPr>
        <w:t>考核结束并为80分（含）以上时，由</w:t>
      </w:r>
      <w:r>
        <w:rPr>
          <w:rFonts w:hint="eastAsia" w:ascii="宋体" w:hAnsi="宋体" w:cs="Times New Roman"/>
          <w:b w:val="0"/>
          <w:bCs w:val="0"/>
          <w:color w:val="auto"/>
          <w:kern w:val="2"/>
          <w:sz w:val="21"/>
          <w:szCs w:val="21"/>
          <w:highlight w:val="none"/>
          <w:u w:val="single"/>
          <w:lang w:val="en-US" w:eastAsia="zh-CN" w:bidi="ar-SA"/>
        </w:rPr>
        <w:t>监理人</w:t>
      </w:r>
      <w:r>
        <w:rPr>
          <w:rFonts w:hint="eastAsia" w:ascii="宋体" w:hAnsi="宋体" w:eastAsia="宋体" w:cs="Times New Roman"/>
          <w:b w:val="0"/>
          <w:bCs w:val="0"/>
          <w:color w:val="auto"/>
          <w:kern w:val="2"/>
          <w:sz w:val="21"/>
          <w:szCs w:val="21"/>
          <w:highlight w:val="none"/>
          <w:u w:val="single"/>
          <w:lang w:val="en-US" w:eastAsia="zh-CN" w:bidi="ar-SA"/>
        </w:rPr>
        <w:t>再次向</w:t>
      </w:r>
      <w:r>
        <w:rPr>
          <w:rFonts w:hint="eastAsia" w:ascii="宋体" w:hAnsi="宋体" w:cs="Times New Roman"/>
          <w:b w:val="0"/>
          <w:bCs w:val="0"/>
          <w:color w:val="auto"/>
          <w:kern w:val="2"/>
          <w:sz w:val="21"/>
          <w:szCs w:val="21"/>
          <w:highlight w:val="none"/>
          <w:u w:val="single"/>
          <w:lang w:val="en-US" w:eastAsia="zh-CN" w:bidi="ar-SA"/>
        </w:rPr>
        <w:t>委托人</w:t>
      </w:r>
      <w:r>
        <w:rPr>
          <w:rFonts w:hint="eastAsia" w:ascii="宋体" w:hAnsi="宋体" w:eastAsia="宋体" w:cs="Times New Roman"/>
          <w:b w:val="0"/>
          <w:bCs w:val="0"/>
          <w:color w:val="auto"/>
          <w:kern w:val="2"/>
          <w:sz w:val="21"/>
          <w:szCs w:val="21"/>
          <w:highlight w:val="none"/>
          <w:u w:val="single"/>
          <w:lang w:val="en-US" w:eastAsia="zh-CN" w:bidi="ar-SA"/>
        </w:rPr>
        <w:t>提请，</w:t>
      </w:r>
      <w:r>
        <w:rPr>
          <w:rFonts w:hint="eastAsia" w:ascii="宋体" w:hAnsi="宋体" w:cs="Times New Roman"/>
          <w:b w:val="0"/>
          <w:bCs w:val="0"/>
          <w:color w:val="auto"/>
          <w:kern w:val="2"/>
          <w:sz w:val="21"/>
          <w:szCs w:val="21"/>
          <w:highlight w:val="none"/>
          <w:u w:val="single"/>
          <w:lang w:val="en-US" w:eastAsia="zh-CN" w:bidi="ar-SA"/>
        </w:rPr>
        <w:t>随</w:t>
      </w:r>
      <w:r>
        <w:rPr>
          <w:rFonts w:hint="eastAsia" w:ascii="宋体" w:hAnsi="宋体" w:eastAsia="宋体" w:cs="Times New Roman"/>
          <w:b w:val="0"/>
          <w:bCs w:val="0"/>
          <w:color w:val="auto"/>
          <w:kern w:val="2"/>
          <w:sz w:val="21"/>
          <w:szCs w:val="21"/>
          <w:highlight w:val="none"/>
          <w:u w:val="single"/>
          <w:lang w:val="en-US" w:eastAsia="zh-CN" w:bidi="ar-SA"/>
        </w:rPr>
        <w:t>就近一次付款一并支付两次考核款。如下</w:t>
      </w:r>
      <w:r>
        <w:rPr>
          <w:rFonts w:hint="eastAsia" w:ascii="宋体" w:hAnsi="宋体" w:cs="Times New Roman"/>
          <w:b w:val="0"/>
          <w:bCs w:val="0"/>
          <w:color w:val="auto"/>
          <w:kern w:val="2"/>
          <w:sz w:val="21"/>
          <w:szCs w:val="21"/>
          <w:highlight w:val="none"/>
          <w:u w:val="single"/>
          <w:lang w:val="en-US" w:eastAsia="zh-CN" w:bidi="ar-SA"/>
        </w:rPr>
        <w:t>次</w:t>
      </w:r>
      <w:r>
        <w:rPr>
          <w:rFonts w:hint="eastAsia" w:ascii="宋体" w:hAnsi="宋体" w:eastAsia="宋体" w:cs="Times New Roman"/>
          <w:b w:val="0"/>
          <w:bCs w:val="0"/>
          <w:color w:val="auto"/>
          <w:kern w:val="2"/>
          <w:sz w:val="21"/>
          <w:szCs w:val="21"/>
          <w:highlight w:val="none"/>
          <w:u w:val="single"/>
          <w:lang w:val="en-US" w:eastAsia="zh-CN" w:bidi="ar-SA"/>
        </w:rPr>
        <w:t>考核仍低于80分（不含），则</w:t>
      </w:r>
      <w:r>
        <w:rPr>
          <w:rFonts w:hint="eastAsia" w:ascii="宋体" w:hAnsi="宋体" w:cs="Times New Roman"/>
          <w:b w:val="0"/>
          <w:bCs w:val="0"/>
          <w:color w:val="auto"/>
          <w:kern w:val="2"/>
          <w:sz w:val="21"/>
          <w:szCs w:val="21"/>
          <w:highlight w:val="none"/>
          <w:u w:val="single"/>
          <w:lang w:val="en-US" w:eastAsia="zh-CN" w:bidi="ar-SA"/>
        </w:rPr>
        <w:t>仅支付其中一次考核款，扣除另一次考核款，委托人</w:t>
      </w:r>
      <w:r>
        <w:rPr>
          <w:rFonts w:hint="eastAsia" w:ascii="宋体" w:hAnsi="宋体" w:eastAsia="宋体" w:cs="Times New Roman"/>
          <w:b w:val="0"/>
          <w:bCs w:val="0"/>
          <w:color w:val="auto"/>
          <w:kern w:val="2"/>
          <w:sz w:val="21"/>
          <w:szCs w:val="21"/>
          <w:highlight w:val="none"/>
          <w:u w:val="single"/>
          <w:lang w:val="en-US" w:eastAsia="zh-CN" w:bidi="ar-SA"/>
        </w:rPr>
        <w:t>将专文予以通报批评</w:t>
      </w:r>
      <w:r>
        <w:rPr>
          <w:rFonts w:hint="eastAsia" w:ascii="宋体" w:hAnsi="宋体" w:cs="Times New Roman"/>
          <w:b w:val="0"/>
          <w:bCs w:val="0"/>
          <w:color w:val="auto"/>
          <w:kern w:val="2"/>
          <w:sz w:val="21"/>
          <w:szCs w:val="21"/>
          <w:highlight w:val="none"/>
          <w:u w:val="single"/>
          <w:lang w:val="en-US" w:eastAsia="zh-CN" w:bidi="ar-SA"/>
        </w:rPr>
        <w:t>，</w:t>
      </w:r>
      <w:r>
        <w:rPr>
          <w:rFonts w:hint="eastAsia" w:ascii="宋体" w:hAnsi="宋体" w:eastAsia="宋体" w:cs="Times New Roman"/>
          <w:b w:val="0"/>
          <w:bCs w:val="0"/>
          <w:color w:val="auto"/>
          <w:kern w:val="2"/>
          <w:sz w:val="21"/>
          <w:szCs w:val="21"/>
          <w:highlight w:val="none"/>
          <w:u w:val="single"/>
          <w:lang w:val="en-US" w:eastAsia="zh-CN" w:bidi="ar-SA"/>
        </w:rPr>
        <w:t>直至终止本</w:t>
      </w:r>
      <w:r>
        <w:rPr>
          <w:rFonts w:hint="eastAsia" w:ascii="宋体" w:hAnsi="宋体" w:cs="Times New Roman"/>
          <w:b w:val="0"/>
          <w:bCs w:val="0"/>
          <w:color w:val="auto"/>
          <w:kern w:val="2"/>
          <w:sz w:val="21"/>
          <w:szCs w:val="21"/>
          <w:highlight w:val="none"/>
          <w:u w:val="single"/>
          <w:lang w:val="en-US" w:eastAsia="zh-CN" w:bidi="ar-SA"/>
        </w:rPr>
        <w:t>监理</w:t>
      </w:r>
      <w:r>
        <w:rPr>
          <w:rFonts w:hint="eastAsia" w:ascii="宋体" w:hAnsi="宋体" w:eastAsia="宋体" w:cs="Times New Roman"/>
          <w:b w:val="0"/>
          <w:bCs w:val="0"/>
          <w:color w:val="auto"/>
          <w:kern w:val="2"/>
          <w:sz w:val="21"/>
          <w:szCs w:val="21"/>
          <w:highlight w:val="none"/>
          <w:u w:val="single"/>
          <w:lang w:val="en-US" w:eastAsia="zh-CN" w:bidi="ar-SA"/>
        </w:rPr>
        <w:t>合同。</w:t>
      </w:r>
    </w:p>
    <w:p w14:paraId="0FC09DC1">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宋体" w:hAnsi="宋体" w:cs="Times New Roman"/>
          <w:b w:val="0"/>
          <w:bCs w:val="0"/>
          <w:color w:val="auto"/>
          <w:kern w:val="2"/>
          <w:sz w:val="21"/>
          <w:szCs w:val="21"/>
          <w:highlight w:val="none"/>
          <w:lang w:val="en-US" w:eastAsia="zh-CN" w:bidi="ar-SA"/>
        </w:rPr>
      </w:pPr>
      <w:r>
        <w:rPr>
          <w:rFonts w:hint="eastAsia" w:ascii="宋体" w:hAnsi="宋体" w:cs="Times New Roman"/>
          <w:b w:val="0"/>
          <w:bCs w:val="0"/>
          <w:color w:val="auto"/>
          <w:kern w:val="2"/>
          <w:sz w:val="21"/>
          <w:szCs w:val="21"/>
          <w:highlight w:val="none"/>
          <w:lang w:val="en-US" w:eastAsia="zh-CN" w:bidi="ar-SA"/>
        </w:rPr>
        <w:t>7.2违约金扣除</w:t>
      </w:r>
    </w:p>
    <w:p w14:paraId="55DFDB9D">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若</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lang w:val="en-US" w:eastAsia="zh-CN"/>
        </w:rPr>
        <w:t>考核平均分为60分以下（不含）</w:t>
      </w:r>
      <w:r>
        <w:rPr>
          <w:rStyle w:val="57"/>
          <w:rFonts w:hint="eastAsia" w:ascii="宋体" w:hAnsi="宋体"/>
          <w:b w:val="0"/>
          <w:bCs w:val="0"/>
          <w:color w:val="auto"/>
          <w:szCs w:val="21"/>
          <w:highlight w:val="none"/>
          <w:u w:val="single"/>
        </w:rPr>
        <w:t>，</w:t>
      </w:r>
      <w:r>
        <w:rPr>
          <w:rStyle w:val="57"/>
          <w:rFonts w:hint="eastAsia" w:ascii="宋体" w:hAnsi="宋体"/>
          <w:b w:val="0"/>
          <w:bCs w:val="0"/>
          <w:color w:val="auto"/>
          <w:szCs w:val="21"/>
          <w:highlight w:val="none"/>
          <w:u w:val="single"/>
          <w:lang w:val="en-US" w:eastAsia="zh-CN"/>
        </w:rPr>
        <w:t>视为监理人违约，</w:t>
      </w:r>
      <w:r>
        <w:rPr>
          <w:rStyle w:val="57"/>
          <w:rFonts w:hint="eastAsia" w:ascii="宋体" w:hAnsi="宋体"/>
          <w:b w:val="0"/>
          <w:bCs w:val="0"/>
          <w:color w:val="auto"/>
          <w:szCs w:val="21"/>
          <w:highlight w:val="none"/>
          <w:u w:val="single"/>
        </w:rPr>
        <w:t>委托人</w:t>
      </w:r>
      <w:r>
        <w:rPr>
          <w:rStyle w:val="57"/>
          <w:rFonts w:hint="eastAsia" w:ascii="宋体" w:hAnsi="宋体"/>
          <w:b w:val="0"/>
          <w:bCs w:val="0"/>
          <w:color w:val="auto"/>
          <w:szCs w:val="21"/>
          <w:highlight w:val="none"/>
          <w:u w:val="single"/>
          <w:lang w:val="en-US" w:eastAsia="zh-CN"/>
        </w:rPr>
        <w:t>除按7.1条执行外，委托人还有权扣除</w:t>
      </w:r>
      <w:r>
        <w:rPr>
          <w:rStyle w:val="57"/>
          <w:rFonts w:hint="eastAsia" w:ascii="宋体" w:hAnsi="宋体"/>
          <w:b w:val="0"/>
          <w:bCs w:val="0"/>
          <w:color w:val="auto"/>
          <w:szCs w:val="21"/>
          <w:highlight w:val="none"/>
          <w:u w:val="single"/>
        </w:rPr>
        <w:t>监理服务费结算金额的5%</w:t>
      </w:r>
      <w:r>
        <w:rPr>
          <w:rStyle w:val="57"/>
          <w:rFonts w:hint="eastAsia" w:ascii="宋体" w:hAnsi="宋体"/>
          <w:b w:val="0"/>
          <w:bCs w:val="0"/>
          <w:color w:val="auto"/>
          <w:szCs w:val="21"/>
          <w:highlight w:val="none"/>
          <w:u w:val="single"/>
          <w:lang w:val="en-US" w:eastAsia="zh-CN"/>
        </w:rPr>
        <w:t>作为违约金</w:t>
      </w:r>
      <w:r>
        <w:rPr>
          <w:rStyle w:val="57"/>
          <w:rFonts w:hint="eastAsia" w:ascii="宋体" w:hAnsi="宋体"/>
          <w:b w:val="0"/>
          <w:bCs w:val="0"/>
          <w:color w:val="auto"/>
          <w:szCs w:val="21"/>
          <w:highlight w:val="none"/>
          <w:u w:val="single"/>
        </w:rPr>
        <w:t>，</w:t>
      </w:r>
      <w:r>
        <w:rPr>
          <w:rFonts w:hint="eastAsia" w:ascii="宋体" w:hAnsi="宋体" w:eastAsia="宋体" w:cs="Times New Roman"/>
          <w:b w:val="0"/>
          <w:bCs w:val="0"/>
          <w:snapToGrid w:val="0"/>
          <w:color w:val="auto"/>
          <w:kern w:val="0"/>
          <w:sz w:val="21"/>
          <w:szCs w:val="21"/>
          <w:highlight w:val="none"/>
          <w:u w:val="single"/>
          <w:lang w:val="en-US" w:eastAsia="zh-CN" w:bidi="ar-SA"/>
        </w:rPr>
        <w:t>委托人有权</w:t>
      </w:r>
      <w:r>
        <w:rPr>
          <w:rFonts w:hint="eastAsia" w:ascii="宋体" w:hAnsi="宋体" w:cs="Times New Roman"/>
          <w:b w:val="0"/>
          <w:bCs w:val="0"/>
          <w:snapToGrid w:val="0"/>
          <w:color w:val="auto"/>
          <w:kern w:val="0"/>
          <w:sz w:val="21"/>
          <w:szCs w:val="21"/>
          <w:highlight w:val="none"/>
          <w:u w:val="single"/>
          <w:lang w:val="en-US" w:eastAsia="zh-CN" w:bidi="ar-SA"/>
        </w:rPr>
        <w:t>在后续项目采购中对监理人设置风险提示</w:t>
      </w:r>
      <w:r>
        <w:rPr>
          <w:rStyle w:val="57"/>
          <w:rFonts w:hint="eastAsia" w:ascii="宋体" w:hAnsi="宋体"/>
          <w:b w:val="0"/>
          <w:bCs w:val="0"/>
          <w:color w:val="auto"/>
          <w:szCs w:val="21"/>
          <w:highlight w:val="none"/>
          <w:u w:val="single"/>
        </w:rPr>
        <w:t>。</w:t>
      </w:r>
    </w:p>
    <w:p w14:paraId="37466394">
      <w:pPr>
        <w:spacing w:line="336" w:lineRule="auto"/>
        <w:jc w:val="center"/>
        <w:rPr>
          <w:rFonts w:hint="eastAsia" w:ascii="宋体" w:hAnsi="宋体"/>
          <w:b w:val="0"/>
          <w:bCs w:val="0"/>
          <w:color w:val="auto"/>
          <w:szCs w:val="21"/>
          <w:highlight w:val="none"/>
        </w:rPr>
      </w:pPr>
    </w:p>
    <w:p w14:paraId="15736B38">
      <w:pPr>
        <w:spacing w:line="336" w:lineRule="auto"/>
        <w:jc w:val="center"/>
        <w:rPr>
          <w:rFonts w:hint="eastAsia" w:ascii="宋体" w:hAnsi="宋体"/>
          <w:b w:val="0"/>
          <w:bCs w:val="0"/>
          <w:color w:val="auto"/>
          <w:szCs w:val="21"/>
          <w:highlight w:val="none"/>
        </w:rPr>
      </w:pPr>
      <w:r>
        <w:rPr>
          <w:rFonts w:hint="eastAsia" w:ascii="宋体" w:hAnsi="宋体"/>
          <w:b w:val="0"/>
          <w:bCs w:val="0"/>
          <w:color w:val="auto"/>
          <w:szCs w:val="21"/>
          <w:highlight w:val="none"/>
        </w:rPr>
        <w:t>监理工作考核表</w:t>
      </w:r>
    </w:p>
    <w:tbl>
      <w:tblPr>
        <w:tblStyle w:val="53"/>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780"/>
        <w:gridCol w:w="1260"/>
        <w:gridCol w:w="2893"/>
      </w:tblGrid>
      <w:tr w14:paraId="1E2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7" w:type="dxa"/>
            <w:noWrap w:val="0"/>
            <w:vAlign w:val="center"/>
          </w:tcPr>
          <w:p w14:paraId="52623D3A">
            <w:pPr>
              <w:rPr>
                <w:rFonts w:ascii="宋体" w:hAnsi="宋体"/>
                <w:b w:val="0"/>
                <w:bCs w:val="0"/>
                <w:color w:val="auto"/>
                <w:sz w:val="18"/>
                <w:szCs w:val="18"/>
              </w:rPr>
            </w:pPr>
            <w:r>
              <w:rPr>
                <w:rFonts w:hint="eastAsia" w:ascii="宋体" w:hAnsi="宋体"/>
                <w:b w:val="0"/>
                <w:bCs w:val="0"/>
                <w:color w:val="auto"/>
                <w:sz w:val="18"/>
                <w:szCs w:val="18"/>
                <w:lang w:val="en-US" w:eastAsia="zh-CN"/>
              </w:rPr>
              <w:t>合同</w:t>
            </w:r>
            <w:r>
              <w:rPr>
                <w:rFonts w:hint="eastAsia" w:ascii="宋体" w:hAnsi="宋体"/>
                <w:b w:val="0"/>
                <w:bCs w:val="0"/>
                <w:color w:val="auto"/>
                <w:sz w:val="18"/>
                <w:szCs w:val="18"/>
              </w:rPr>
              <w:t>名称</w:t>
            </w:r>
          </w:p>
        </w:tc>
        <w:tc>
          <w:tcPr>
            <w:tcW w:w="3780" w:type="dxa"/>
            <w:noWrap w:val="0"/>
            <w:vAlign w:val="center"/>
          </w:tcPr>
          <w:p w14:paraId="4229D2A4">
            <w:pPr>
              <w:rPr>
                <w:rFonts w:ascii="宋体" w:hAnsi="宋体"/>
                <w:b w:val="0"/>
                <w:bCs w:val="0"/>
                <w:color w:val="auto"/>
                <w:sz w:val="18"/>
                <w:szCs w:val="18"/>
              </w:rPr>
            </w:pPr>
          </w:p>
        </w:tc>
        <w:tc>
          <w:tcPr>
            <w:tcW w:w="1260" w:type="dxa"/>
            <w:noWrap w:val="0"/>
            <w:vAlign w:val="center"/>
          </w:tcPr>
          <w:p w14:paraId="231F2D8B">
            <w:pPr>
              <w:rPr>
                <w:rFonts w:ascii="宋体" w:hAnsi="宋体"/>
                <w:b w:val="0"/>
                <w:bCs w:val="0"/>
                <w:color w:val="auto"/>
                <w:sz w:val="18"/>
                <w:szCs w:val="18"/>
              </w:rPr>
            </w:pPr>
            <w:r>
              <w:rPr>
                <w:rFonts w:hint="eastAsia" w:ascii="宋体" w:hAnsi="宋体"/>
                <w:b w:val="0"/>
                <w:bCs w:val="0"/>
                <w:color w:val="auto"/>
                <w:sz w:val="18"/>
                <w:szCs w:val="18"/>
              </w:rPr>
              <w:t>承 包 商</w:t>
            </w:r>
          </w:p>
        </w:tc>
        <w:tc>
          <w:tcPr>
            <w:tcW w:w="2893" w:type="dxa"/>
            <w:noWrap w:val="0"/>
            <w:vAlign w:val="center"/>
          </w:tcPr>
          <w:p w14:paraId="7A52DA97">
            <w:pPr>
              <w:rPr>
                <w:rFonts w:ascii="宋体" w:hAnsi="宋体"/>
                <w:b w:val="0"/>
                <w:bCs w:val="0"/>
                <w:color w:val="auto"/>
                <w:sz w:val="18"/>
                <w:szCs w:val="18"/>
              </w:rPr>
            </w:pPr>
          </w:p>
        </w:tc>
      </w:tr>
      <w:tr w14:paraId="0CB6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296B1A98">
            <w:pPr>
              <w:rPr>
                <w:rFonts w:hint="default" w:ascii="宋体" w:hAnsi="宋体" w:eastAsia="宋体"/>
                <w:b w:val="0"/>
                <w:bCs w:val="0"/>
                <w:color w:val="auto"/>
                <w:sz w:val="18"/>
                <w:szCs w:val="18"/>
                <w:lang w:val="en-US" w:eastAsia="zh-CN"/>
              </w:rPr>
            </w:pPr>
            <w:r>
              <w:rPr>
                <w:rFonts w:hint="eastAsia" w:ascii="宋体" w:hAnsi="宋体"/>
                <w:b w:val="0"/>
                <w:bCs w:val="0"/>
                <w:color w:val="auto"/>
                <w:sz w:val="18"/>
                <w:szCs w:val="18"/>
                <w:lang w:val="en-US" w:eastAsia="zh-CN"/>
              </w:rPr>
              <w:t>合同编号</w:t>
            </w:r>
          </w:p>
        </w:tc>
        <w:tc>
          <w:tcPr>
            <w:tcW w:w="3780" w:type="dxa"/>
            <w:noWrap w:val="0"/>
            <w:vAlign w:val="center"/>
          </w:tcPr>
          <w:p w14:paraId="444D4116">
            <w:pPr>
              <w:rPr>
                <w:rFonts w:ascii="宋体" w:hAnsi="宋体"/>
                <w:b w:val="0"/>
                <w:bCs w:val="0"/>
                <w:color w:val="auto"/>
                <w:sz w:val="18"/>
                <w:szCs w:val="18"/>
              </w:rPr>
            </w:pPr>
          </w:p>
        </w:tc>
        <w:tc>
          <w:tcPr>
            <w:tcW w:w="1260" w:type="dxa"/>
            <w:noWrap w:val="0"/>
            <w:vAlign w:val="center"/>
          </w:tcPr>
          <w:p w14:paraId="3B2B31C0">
            <w:pPr>
              <w:rPr>
                <w:rFonts w:hint="default" w:ascii="宋体" w:hAnsi="宋体" w:eastAsia="宋体"/>
                <w:b w:val="0"/>
                <w:bCs w:val="0"/>
                <w:color w:val="auto"/>
                <w:sz w:val="18"/>
                <w:szCs w:val="18"/>
                <w:lang w:val="en-US" w:eastAsia="zh-CN"/>
              </w:rPr>
            </w:pPr>
            <w:r>
              <w:rPr>
                <w:rFonts w:hint="eastAsia" w:ascii="宋体" w:hAnsi="宋体"/>
                <w:b w:val="0"/>
                <w:bCs w:val="0"/>
                <w:color w:val="auto"/>
                <w:sz w:val="18"/>
                <w:szCs w:val="18"/>
                <w:lang w:val="en-US" w:eastAsia="zh-CN"/>
              </w:rPr>
              <w:t>组织单位</w:t>
            </w:r>
          </w:p>
        </w:tc>
        <w:tc>
          <w:tcPr>
            <w:tcW w:w="2893" w:type="dxa"/>
            <w:noWrap w:val="0"/>
            <w:vAlign w:val="center"/>
          </w:tcPr>
          <w:p w14:paraId="58DE6097">
            <w:pPr>
              <w:rPr>
                <w:rFonts w:ascii="宋体" w:hAnsi="宋体"/>
                <w:b w:val="0"/>
                <w:bCs w:val="0"/>
                <w:color w:val="auto"/>
                <w:sz w:val="18"/>
                <w:szCs w:val="18"/>
              </w:rPr>
            </w:pPr>
          </w:p>
        </w:tc>
      </w:tr>
      <w:tr w14:paraId="79B4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87" w:type="dxa"/>
            <w:noWrap w:val="0"/>
            <w:vAlign w:val="center"/>
          </w:tcPr>
          <w:p w14:paraId="5C8E48C0">
            <w:pPr>
              <w:rPr>
                <w:rFonts w:hint="default" w:ascii="宋体" w:hAnsi="宋体" w:eastAsia="宋体"/>
                <w:b w:val="0"/>
                <w:bCs w:val="0"/>
                <w:color w:val="auto"/>
                <w:sz w:val="18"/>
                <w:szCs w:val="18"/>
                <w:lang w:val="en-US" w:eastAsia="zh-CN"/>
              </w:rPr>
            </w:pPr>
            <w:r>
              <w:rPr>
                <w:rFonts w:hint="eastAsia" w:ascii="宋体" w:hAnsi="宋体"/>
                <w:b w:val="0"/>
                <w:bCs w:val="0"/>
                <w:color w:val="auto"/>
                <w:sz w:val="18"/>
                <w:szCs w:val="18"/>
                <w:lang w:val="en-US" w:eastAsia="zh-CN"/>
              </w:rPr>
              <w:t>评价类型</w:t>
            </w:r>
          </w:p>
        </w:tc>
        <w:tc>
          <w:tcPr>
            <w:tcW w:w="3780" w:type="dxa"/>
            <w:noWrap w:val="0"/>
            <w:vAlign w:val="center"/>
          </w:tcPr>
          <w:p w14:paraId="26515576">
            <w:pPr>
              <w:rPr>
                <w:rFonts w:ascii="宋体" w:hAnsi="宋体"/>
                <w:b w:val="0"/>
                <w:bCs w:val="0"/>
                <w:color w:val="auto"/>
                <w:sz w:val="18"/>
                <w:szCs w:val="18"/>
              </w:rPr>
            </w:pPr>
          </w:p>
        </w:tc>
        <w:tc>
          <w:tcPr>
            <w:tcW w:w="1260" w:type="dxa"/>
            <w:noWrap w:val="0"/>
            <w:vAlign w:val="center"/>
          </w:tcPr>
          <w:p w14:paraId="11E033AC">
            <w:pPr>
              <w:rPr>
                <w:rFonts w:ascii="宋体" w:hAnsi="宋体"/>
                <w:b w:val="0"/>
                <w:bCs w:val="0"/>
                <w:color w:val="auto"/>
                <w:sz w:val="18"/>
                <w:szCs w:val="18"/>
              </w:rPr>
            </w:pPr>
            <w:r>
              <w:rPr>
                <w:rFonts w:hint="eastAsia" w:ascii="宋体" w:hAnsi="宋体"/>
                <w:b w:val="0"/>
                <w:bCs w:val="0"/>
                <w:color w:val="auto"/>
                <w:sz w:val="18"/>
                <w:szCs w:val="18"/>
              </w:rPr>
              <w:t>评价时间</w:t>
            </w:r>
          </w:p>
        </w:tc>
        <w:tc>
          <w:tcPr>
            <w:tcW w:w="2893" w:type="dxa"/>
            <w:noWrap w:val="0"/>
            <w:vAlign w:val="center"/>
          </w:tcPr>
          <w:p w14:paraId="4ADF81F2">
            <w:pPr>
              <w:ind w:firstLine="1080" w:firstLineChars="600"/>
              <w:rPr>
                <w:rFonts w:ascii="宋体" w:hAnsi="宋体"/>
                <w:b w:val="0"/>
                <w:bCs w:val="0"/>
                <w:color w:val="auto"/>
                <w:sz w:val="18"/>
                <w:szCs w:val="18"/>
              </w:rPr>
            </w:pPr>
            <w:r>
              <w:rPr>
                <w:rFonts w:hint="eastAsia" w:ascii="宋体" w:hAnsi="宋体"/>
                <w:b w:val="0"/>
                <w:bCs w:val="0"/>
                <w:color w:val="auto"/>
                <w:sz w:val="18"/>
                <w:szCs w:val="18"/>
              </w:rPr>
              <w:t>年   月   日</w:t>
            </w:r>
          </w:p>
        </w:tc>
      </w:tr>
    </w:tbl>
    <w:tbl>
      <w:tblPr>
        <w:tblStyle w:val="53"/>
        <w:tblpPr w:leftFromText="180" w:rightFromText="180" w:vertAnchor="text" w:horzAnchor="page" w:tblpX="1410" w:tblpY="2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5"/>
        <w:gridCol w:w="5782"/>
        <w:gridCol w:w="903"/>
        <w:gridCol w:w="795"/>
      </w:tblGrid>
      <w:tr w14:paraId="0EE8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20" w:type="dxa"/>
            <w:noWrap w:val="0"/>
            <w:vAlign w:val="center"/>
          </w:tcPr>
          <w:p w14:paraId="434570B0">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序号</w:t>
            </w:r>
          </w:p>
        </w:tc>
        <w:tc>
          <w:tcPr>
            <w:tcW w:w="1085" w:type="dxa"/>
            <w:noWrap w:val="0"/>
            <w:vAlign w:val="center"/>
          </w:tcPr>
          <w:p w14:paraId="0DE1F2A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分类</w:t>
            </w:r>
          </w:p>
        </w:tc>
        <w:tc>
          <w:tcPr>
            <w:tcW w:w="5782" w:type="dxa"/>
            <w:noWrap w:val="0"/>
            <w:vAlign w:val="center"/>
          </w:tcPr>
          <w:p w14:paraId="601A6CFF">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评分项目</w:t>
            </w:r>
          </w:p>
        </w:tc>
        <w:tc>
          <w:tcPr>
            <w:tcW w:w="903" w:type="dxa"/>
            <w:noWrap w:val="0"/>
            <w:vAlign w:val="center"/>
          </w:tcPr>
          <w:p w14:paraId="77D49A5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标准分</w:t>
            </w:r>
          </w:p>
        </w:tc>
        <w:tc>
          <w:tcPr>
            <w:tcW w:w="795" w:type="dxa"/>
            <w:noWrap w:val="0"/>
            <w:vAlign w:val="center"/>
          </w:tcPr>
          <w:p w14:paraId="73D6EAF6">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得分</w:t>
            </w:r>
          </w:p>
        </w:tc>
      </w:tr>
      <w:tr w14:paraId="193C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1E91C62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1085" w:type="dxa"/>
            <w:vMerge w:val="restart"/>
            <w:noWrap w:val="0"/>
            <w:vAlign w:val="center"/>
          </w:tcPr>
          <w:p w14:paraId="051A8E66">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组织机构和人员（20分）</w:t>
            </w:r>
          </w:p>
        </w:tc>
        <w:tc>
          <w:tcPr>
            <w:tcW w:w="5782" w:type="dxa"/>
            <w:noWrap w:val="0"/>
            <w:vAlign w:val="center"/>
          </w:tcPr>
          <w:p w14:paraId="34EF25BE">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（1）管理机构健全（满足得3分，不满足0分）。</w:t>
            </w:r>
          </w:p>
        </w:tc>
        <w:tc>
          <w:tcPr>
            <w:tcW w:w="903" w:type="dxa"/>
            <w:noWrap w:val="0"/>
            <w:vAlign w:val="center"/>
          </w:tcPr>
          <w:p w14:paraId="581AC63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132D5274">
            <w:pPr>
              <w:rPr>
                <w:rFonts w:ascii="宋体" w:hAnsi="宋体"/>
                <w:b w:val="0"/>
                <w:bCs w:val="0"/>
                <w:color w:val="auto"/>
                <w:sz w:val="21"/>
                <w:szCs w:val="21"/>
                <w:highlight w:val="none"/>
              </w:rPr>
            </w:pPr>
          </w:p>
        </w:tc>
      </w:tr>
      <w:tr w14:paraId="2AB6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0466364E">
            <w:pPr>
              <w:jc w:val="center"/>
              <w:rPr>
                <w:rFonts w:ascii="宋体" w:hAnsi="宋体"/>
                <w:b w:val="0"/>
                <w:bCs w:val="0"/>
                <w:color w:val="auto"/>
                <w:sz w:val="21"/>
                <w:szCs w:val="21"/>
                <w:highlight w:val="none"/>
              </w:rPr>
            </w:pPr>
          </w:p>
        </w:tc>
        <w:tc>
          <w:tcPr>
            <w:tcW w:w="1085" w:type="dxa"/>
            <w:vMerge w:val="continue"/>
            <w:noWrap w:val="0"/>
            <w:vAlign w:val="center"/>
          </w:tcPr>
          <w:p w14:paraId="06C356CF">
            <w:pPr>
              <w:jc w:val="center"/>
              <w:rPr>
                <w:rFonts w:ascii="宋体" w:hAnsi="宋体"/>
                <w:b w:val="0"/>
                <w:bCs w:val="0"/>
                <w:color w:val="auto"/>
                <w:sz w:val="21"/>
                <w:szCs w:val="21"/>
                <w:highlight w:val="none"/>
              </w:rPr>
            </w:pPr>
          </w:p>
        </w:tc>
        <w:tc>
          <w:tcPr>
            <w:tcW w:w="5782" w:type="dxa"/>
            <w:noWrap w:val="0"/>
            <w:vAlign w:val="center"/>
          </w:tcPr>
          <w:p w14:paraId="77A03F0A">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（2）人员分工明确（1分），责任制度健全（1分）。</w:t>
            </w:r>
          </w:p>
        </w:tc>
        <w:tc>
          <w:tcPr>
            <w:tcW w:w="903" w:type="dxa"/>
            <w:noWrap w:val="0"/>
            <w:vAlign w:val="center"/>
          </w:tcPr>
          <w:p w14:paraId="4B5FDDC8">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40A7B321">
            <w:pPr>
              <w:rPr>
                <w:rFonts w:ascii="宋体" w:hAnsi="宋体"/>
                <w:b w:val="0"/>
                <w:bCs w:val="0"/>
                <w:color w:val="auto"/>
                <w:sz w:val="21"/>
                <w:szCs w:val="21"/>
                <w:highlight w:val="none"/>
              </w:rPr>
            </w:pPr>
          </w:p>
        </w:tc>
      </w:tr>
      <w:tr w14:paraId="58CD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4C4BE07B">
            <w:pPr>
              <w:jc w:val="center"/>
              <w:rPr>
                <w:rFonts w:ascii="宋体" w:hAnsi="宋体"/>
                <w:b w:val="0"/>
                <w:bCs w:val="0"/>
                <w:color w:val="auto"/>
                <w:sz w:val="21"/>
                <w:szCs w:val="21"/>
                <w:highlight w:val="none"/>
              </w:rPr>
            </w:pPr>
          </w:p>
        </w:tc>
        <w:tc>
          <w:tcPr>
            <w:tcW w:w="1085" w:type="dxa"/>
            <w:vMerge w:val="continue"/>
            <w:noWrap w:val="0"/>
            <w:vAlign w:val="center"/>
          </w:tcPr>
          <w:p w14:paraId="2F0E8A8D">
            <w:pPr>
              <w:jc w:val="center"/>
              <w:rPr>
                <w:rFonts w:ascii="宋体" w:hAnsi="宋体"/>
                <w:b w:val="0"/>
                <w:bCs w:val="0"/>
                <w:color w:val="auto"/>
                <w:sz w:val="21"/>
                <w:szCs w:val="21"/>
                <w:highlight w:val="none"/>
              </w:rPr>
            </w:pPr>
          </w:p>
        </w:tc>
        <w:tc>
          <w:tcPr>
            <w:tcW w:w="5782" w:type="dxa"/>
            <w:noWrap w:val="0"/>
            <w:vAlign w:val="center"/>
          </w:tcPr>
          <w:p w14:paraId="3367CACF">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（3）人员配置满足现场管理的工作需要（满足得3分，不满足0分）。</w:t>
            </w:r>
          </w:p>
        </w:tc>
        <w:tc>
          <w:tcPr>
            <w:tcW w:w="903" w:type="dxa"/>
            <w:noWrap w:val="0"/>
            <w:vAlign w:val="center"/>
          </w:tcPr>
          <w:p w14:paraId="5C8C472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29D8CBE2">
            <w:pPr>
              <w:rPr>
                <w:rFonts w:ascii="宋体" w:hAnsi="宋体"/>
                <w:b w:val="0"/>
                <w:bCs w:val="0"/>
                <w:color w:val="auto"/>
                <w:sz w:val="21"/>
                <w:szCs w:val="21"/>
                <w:highlight w:val="none"/>
              </w:rPr>
            </w:pPr>
          </w:p>
        </w:tc>
      </w:tr>
      <w:tr w14:paraId="2265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0A8FF088">
            <w:pPr>
              <w:jc w:val="center"/>
              <w:rPr>
                <w:rFonts w:ascii="宋体" w:hAnsi="宋体"/>
                <w:b w:val="0"/>
                <w:bCs w:val="0"/>
                <w:color w:val="auto"/>
                <w:sz w:val="21"/>
                <w:szCs w:val="21"/>
                <w:highlight w:val="none"/>
              </w:rPr>
            </w:pPr>
          </w:p>
        </w:tc>
        <w:tc>
          <w:tcPr>
            <w:tcW w:w="1085" w:type="dxa"/>
            <w:vMerge w:val="continue"/>
            <w:noWrap w:val="0"/>
            <w:vAlign w:val="center"/>
          </w:tcPr>
          <w:p w14:paraId="6DEBA915">
            <w:pPr>
              <w:jc w:val="center"/>
              <w:rPr>
                <w:rFonts w:ascii="宋体" w:hAnsi="宋体"/>
                <w:b w:val="0"/>
                <w:bCs w:val="0"/>
                <w:color w:val="auto"/>
                <w:sz w:val="21"/>
                <w:szCs w:val="21"/>
                <w:highlight w:val="none"/>
              </w:rPr>
            </w:pPr>
          </w:p>
        </w:tc>
        <w:tc>
          <w:tcPr>
            <w:tcW w:w="5782" w:type="dxa"/>
            <w:noWrap w:val="0"/>
            <w:vAlign w:val="center"/>
          </w:tcPr>
          <w:p w14:paraId="49E27A2B">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（4）人员配置满足计划统计的工作需要（满足得4分，不满足0分）。</w:t>
            </w:r>
          </w:p>
        </w:tc>
        <w:tc>
          <w:tcPr>
            <w:tcW w:w="903" w:type="dxa"/>
            <w:noWrap w:val="0"/>
            <w:vAlign w:val="center"/>
          </w:tcPr>
          <w:p w14:paraId="43DE205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226A3C1F">
            <w:pPr>
              <w:rPr>
                <w:rFonts w:ascii="宋体" w:hAnsi="宋体"/>
                <w:b w:val="0"/>
                <w:bCs w:val="0"/>
                <w:color w:val="auto"/>
                <w:sz w:val="21"/>
                <w:szCs w:val="21"/>
                <w:highlight w:val="none"/>
              </w:rPr>
            </w:pPr>
          </w:p>
        </w:tc>
      </w:tr>
      <w:tr w14:paraId="509A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D48EBF0">
            <w:pPr>
              <w:jc w:val="center"/>
              <w:rPr>
                <w:rFonts w:ascii="宋体" w:hAnsi="宋体"/>
                <w:b w:val="0"/>
                <w:bCs w:val="0"/>
                <w:color w:val="auto"/>
                <w:sz w:val="21"/>
                <w:szCs w:val="21"/>
                <w:highlight w:val="none"/>
              </w:rPr>
            </w:pPr>
          </w:p>
        </w:tc>
        <w:tc>
          <w:tcPr>
            <w:tcW w:w="1085" w:type="dxa"/>
            <w:vMerge w:val="continue"/>
            <w:noWrap w:val="0"/>
            <w:vAlign w:val="center"/>
          </w:tcPr>
          <w:p w14:paraId="532C86F7">
            <w:pPr>
              <w:jc w:val="center"/>
              <w:rPr>
                <w:rFonts w:ascii="宋体" w:hAnsi="宋体"/>
                <w:b w:val="0"/>
                <w:bCs w:val="0"/>
                <w:color w:val="auto"/>
                <w:sz w:val="21"/>
                <w:szCs w:val="21"/>
                <w:highlight w:val="none"/>
              </w:rPr>
            </w:pPr>
          </w:p>
        </w:tc>
        <w:tc>
          <w:tcPr>
            <w:tcW w:w="5782" w:type="dxa"/>
            <w:noWrap w:val="0"/>
            <w:vAlign w:val="center"/>
          </w:tcPr>
          <w:p w14:paraId="33C838CA">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（5）人员资质符合合同要求（不合要求的发现1人扣1分，最高扣4分）。</w:t>
            </w:r>
          </w:p>
        </w:tc>
        <w:tc>
          <w:tcPr>
            <w:tcW w:w="903" w:type="dxa"/>
            <w:noWrap w:val="0"/>
            <w:vAlign w:val="center"/>
          </w:tcPr>
          <w:p w14:paraId="3E45FAB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08E4D6D7">
            <w:pPr>
              <w:rPr>
                <w:rFonts w:ascii="宋体" w:hAnsi="宋体"/>
                <w:b w:val="0"/>
                <w:bCs w:val="0"/>
                <w:color w:val="auto"/>
                <w:sz w:val="21"/>
                <w:szCs w:val="21"/>
                <w:highlight w:val="none"/>
              </w:rPr>
            </w:pPr>
          </w:p>
        </w:tc>
      </w:tr>
      <w:tr w14:paraId="63A7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617EED8">
            <w:pPr>
              <w:jc w:val="center"/>
              <w:rPr>
                <w:rFonts w:ascii="宋体" w:hAnsi="宋体"/>
                <w:b w:val="0"/>
                <w:bCs w:val="0"/>
                <w:color w:val="auto"/>
                <w:sz w:val="21"/>
                <w:szCs w:val="21"/>
                <w:highlight w:val="none"/>
              </w:rPr>
            </w:pPr>
          </w:p>
        </w:tc>
        <w:tc>
          <w:tcPr>
            <w:tcW w:w="1085" w:type="dxa"/>
            <w:vMerge w:val="continue"/>
            <w:noWrap w:val="0"/>
            <w:vAlign w:val="center"/>
          </w:tcPr>
          <w:p w14:paraId="315F9C28">
            <w:pPr>
              <w:jc w:val="center"/>
              <w:rPr>
                <w:rFonts w:ascii="宋体" w:hAnsi="宋体"/>
                <w:b w:val="0"/>
                <w:bCs w:val="0"/>
                <w:color w:val="auto"/>
                <w:sz w:val="21"/>
                <w:szCs w:val="21"/>
                <w:highlight w:val="none"/>
              </w:rPr>
            </w:pPr>
          </w:p>
        </w:tc>
        <w:tc>
          <w:tcPr>
            <w:tcW w:w="5782" w:type="dxa"/>
            <w:noWrap w:val="0"/>
            <w:vAlign w:val="center"/>
          </w:tcPr>
          <w:p w14:paraId="71F175A2">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（6）出勤人员与业主批准的季度用人计划相符，人员出勤率达100％。（抽查缺1人扣1分，最高扣4分）</w:t>
            </w:r>
          </w:p>
        </w:tc>
        <w:tc>
          <w:tcPr>
            <w:tcW w:w="903" w:type="dxa"/>
            <w:noWrap w:val="0"/>
            <w:vAlign w:val="center"/>
          </w:tcPr>
          <w:p w14:paraId="5ED1BB5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1F31CB99">
            <w:pPr>
              <w:rPr>
                <w:rFonts w:ascii="宋体" w:hAnsi="宋体"/>
                <w:b w:val="0"/>
                <w:bCs w:val="0"/>
                <w:color w:val="auto"/>
                <w:sz w:val="21"/>
                <w:szCs w:val="21"/>
                <w:highlight w:val="none"/>
              </w:rPr>
            </w:pPr>
          </w:p>
        </w:tc>
      </w:tr>
      <w:tr w14:paraId="378E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68E5E4B1">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1085" w:type="dxa"/>
            <w:vMerge w:val="restart"/>
            <w:noWrap w:val="0"/>
            <w:vAlign w:val="center"/>
          </w:tcPr>
          <w:p w14:paraId="48BFB3F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质量管理（35分）</w:t>
            </w:r>
          </w:p>
        </w:tc>
        <w:tc>
          <w:tcPr>
            <w:tcW w:w="5782" w:type="dxa"/>
            <w:noWrap w:val="0"/>
            <w:vAlign w:val="center"/>
          </w:tcPr>
          <w:p w14:paraId="7CD6CCC7">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（1）监理规划和专业监理细则的制定和执行。</w:t>
            </w:r>
          </w:p>
        </w:tc>
        <w:tc>
          <w:tcPr>
            <w:tcW w:w="903" w:type="dxa"/>
            <w:noWrap w:val="0"/>
            <w:vAlign w:val="center"/>
          </w:tcPr>
          <w:p w14:paraId="26AB4D7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58EDE4AC">
            <w:pPr>
              <w:rPr>
                <w:rFonts w:ascii="宋体" w:hAnsi="宋体"/>
                <w:b w:val="0"/>
                <w:bCs w:val="0"/>
                <w:color w:val="auto"/>
                <w:sz w:val="21"/>
                <w:szCs w:val="21"/>
                <w:highlight w:val="none"/>
              </w:rPr>
            </w:pPr>
          </w:p>
        </w:tc>
      </w:tr>
      <w:tr w14:paraId="52DC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53EF9171">
            <w:pPr>
              <w:jc w:val="center"/>
              <w:rPr>
                <w:rFonts w:ascii="宋体" w:hAnsi="宋体"/>
                <w:b w:val="0"/>
                <w:bCs w:val="0"/>
                <w:color w:val="auto"/>
                <w:sz w:val="21"/>
                <w:szCs w:val="21"/>
                <w:highlight w:val="none"/>
              </w:rPr>
            </w:pPr>
          </w:p>
        </w:tc>
        <w:tc>
          <w:tcPr>
            <w:tcW w:w="1085" w:type="dxa"/>
            <w:vMerge w:val="continue"/>
            <w:noWrap w:val="0"/>
            <w:vAlign w:val="center"/>
          </w:tcPr>
          <w:p w14:paraId="303E6A8C">
            <w:pPr>
              <w:jc w:val="center"/>
              <w:rPr>
                <w:rFonts w:ascii="宋体" w:hAnsi="宋体"/>
                <w:b w:val="0"/>
                <w:bCs w:val="0"/>
                <w:color w:val="auto"/>
                <w:sz w:val="21"/>
                <w:szCs w:val="21"/>
                <w:highlight w:val="none"/>
              </w:rPr>
            </w:pPr>
          </w:p>
        </w:tc>
        <w:tc>
          <w:tcPr>
            <w:tcW w:w="5782" w:type="dxa"/>
            <w:noWrap w:val="0"/>
            <w:vAlign w:val="center"/>
          </w:tcPr>
          <w:p w14:paraId="25F998BB">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（2）审批开工报告、施工组织设计和专项施工方案情况（少审批一项扣1分，最多扣5分）。</w:t>
            </w:r>
          </w:p>
        </w:tc>
        <w:tc>
          <w:tcPr>
            <w:tcW w:w="903" w:type="dxa"/>
            <w:noWrap w:val="0"/>
            <w:vAlign w:val="center"/>
          </w:tcPr>
          <w:p w14:paraId="066D944C">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2AD577EC">
            <w:pPr>
              <w:rPr>
                <w:rFonts w:ascii="宋体" w:hAnsi="宋体"/>
                <w:b w:val="0"/>
                <w:bCs w:val="0"/>
                <w:color w:val="auto"/>
                <w:sz w:val="21"/>
                <w:szCs w:val="21"/>
                <w:highlight w:val="none"/>
              </w:rPr>
            </w:pPr>
          </w:p>
        </w:tc>
      </w:tr>
      <w:tr w14:paraId="465E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83E205B">
            <w:pPr>
              <w:jc w:val="center"/>
              <w:rPr>
                <w:rFonts w:ascii="宋体" w:hAnsi="宋体"/>
                <w:b w:val="0"/>
                <w:bCs w:val="0"/>
                <w:color w:val="auto"/>
                <w:sz w:val="21"/>
                <w:szCs w:val="21"/>
                <w:highlight w:val="none"/>
              </w:rPr>
            </w:pPr>
          </w:p>
        </w:tc>
        <w:tc>
          <w:tcPr>
            <w:tcW w:w="1085" w:type="dxa"/>
            <w:vMerge w:val="continue"/>
            <w:noWrap w:val="0"/>
            <w:vAlign w:val="center"/>
          </w:tcPr>
          <w:p w14:paraId="1394B2A5">
            <w:pPr>
              <w:jc w:val="center"/>
              <w:rPr>
                <w:rFonts w:ascii="宋体" w:hAnsi="宋体"/>
                <w:b w:val="0"/>
                <w:bCs w:val="0"/>
                <w:color w:val="auto"/>
                <w:sz w:val="21"/>
                <w:szCs w:val="21"/>
                <w:highlight w:val="none"/>
              </w:rPr>
            </w:pPr>
          </w:p>
        </w:tc>
        <w:tc>
          <w:tcPr>
            <w:tcW w:w="5782" w:type="dxa"/>
            <w:noWrap w:val="0"/>
            <w:vAlign w:val="center"/>
          </w:tcPr>
          <w:p w14:paraId="654CE3E3">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（3）原材料、半成品、构配件以及安装设备的检查和确认，见证送检及独立抽检.</w:t>
            </w:r>
          </w:p>
        </w:tc>
        <w:tc>
          <w:tcPr>
            <w:tcW w:w="903" w:type="dxa"/>
            <w:noWrap w:val="0"/>
            <w:vAlign w:val="center"/>
          </w:tcPr>
          <w:p w14:paraId="5832591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34FA921F">
            <w:pPr>
              <w:rPr>
                <w:rFonts w:ascii="宋体" w:hAnsi="宋体"/>
                <w:b w:val="0"/>
                <w:bCs w:val="0"/>
                <w:color w:val="auto"/>
                <w:sz w:val="21"/>
                <w:szCs w:val="21"/>
                <w:highlight w:val="none"/>
              </w:rPr>
            </w:pPr>
          </w:p>
        </w:tc>
      </w:tr>
      <w:tr w14:paraId="1DFA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D81A2C1">
            <w:pPr>
              <w:jc w:val="center"/>
              <w:rPr>
                <w:rFonts w:ascii="宋体" w:hAnsi="宋体"/>
                <w:b w:val="0"/>
                <w:bCs w:val="0"/>
                <w:color w:val="auto"/>
                <w:sz w:val="21"/>
                <w:szCs w:val="21"/>
                <w:highlight w:val="none"/>
              </w:rPr>
            </w:pPr>
          </w:p>
        </w:tc>
        <w:tc>
          <w:tcPr>
            <w:tcW w:w="1085" w:type="dxa"/>
            <w:vMerge w:val="continue"/>
            <w:noWrap w:val="0"/>
            <w:vAlign w:val="center"/>
          </w:tcPr>
          <w:p w14:paraId="49E343A3">
            <w:pPr>
              <w:jc w:val="center"/>
              <w:rPr>
                <w:rFonts w:ascii="宋体" w:hAnsi="宋体"/>
                <w:b w:val="0"/>
                <w:bCs w:val="0"/>
                <w:color w:val="auto"/>
                <w:sz w:val="21"/>
                <w:szCs w:val="21"/>
                <w:highlight w:val="none"/>
              </w:rPr>
            </w:pPr>
          </w:p>
        </w:tc>
        <w:tc>
          <w:tcPr>
            <w:tcW w:w="5782" w:type="dxa"/>
            <w:noWrap w:val="0"/>
            <w:vAlign w:val="center"/>
          </w:tcPr>
          <w:p w14:paraId="135F4363">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（4）复核施工测量。</w:t>
            </w:r>
          </w:p>
        </w:tc>
        <w:tc>
          <w:tcPr>
            <w:tcW w:w="903" w:type="dxa"/>
            <w:noWrap w:val="0"/>
            <w:vAlign w:val="center"/>
          </w:tcPr>
          <w:p w14:paraId="6B31B23F">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7ED765C6">
            <w:pPr>
              <w:rPr>
                <w:rFonts w:ascii="宋体" w:hAnsi="宋体"/>
                <w:b w:val="0"/>
                <w:bCs w:val="0"/>
                <w:color w:val="auto"/>
                <w:sz w:val="21"/>
                <w:szCs w:val="21"/>
                <w:highlight w:val="none"/>
              </w:rPr>
            </w:pPr>
          </w:p>
        </w:tc>
      </w:tr>
      <w:tr w14:paraId="2AD5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5C063BCA">
            <w:pPr>
              <w:jc w:val="center"/>
              <w:rPr>
                <w:rFonts w:ascii="宋体" w:hAnsi="宋体"/>
                <w:b w:val="0"/>
                <w:bCs w:val="0"/>
                <w:color w:val="auto"/>
                <w:sz w:val="21"/>
                <w:szCs w:val="21"/>
                <w:highlight w:val="none"/>
              </w:rPr>
            </w:pPr>
          </w:p>
        </w:tc>
        <w:tc>
          <w:tcPr>
            <w:tcW w:w="1085" w:type="dxa"/>
            <w:vMerge w:val="continue"/>
            <w:noWrap w:val="0"/>
            <w:vAlign w:val="center"/>
          </w:tcPr>
          <w:p w14:paraId="2E32BC48">
            <w:pPr>
              <w:jc w:val="center"/>
              <w:rPr>
                <w:rFonts w:ascii="宋体" w:hAnsi="宋体"/>
                <w:b w:val="0"/>
                <w:bCs w:val="0"/>
                <w:color w:val="auto"/>
                <w:sz w:val="21"/>
                <w:szCs w:val="21"/>
                <w:highlight w:val="none"/>
              </w:rPr>
            </w:pPr>
          </w:p>
        </w:tc>
        <w:tc>
          <w:tcPr>
            <w:tcW w:w="5782" w:type="dxa"/>
            <w:noWrap w:val="0"/>
            <w:vAlign w:val="center"/>
          </w:tcPr>
          <w:p w14:paraId="025218DB">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（5）对施工方法、施工工艺的控制。</w:t>
            </w:r>
          </w:p>
        </w:tc>
        <w:tc>
          <w:tcPr>
            <w:tcW w:w="903" w:type="dxa"/>
            <w:noWrap w:val="0"/>
            <w:vAlign w:val="center"/>
          </w:tcPr>
          <w:p w14:paraId="3FFD786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621A0454">
            <w:pPr>
              <w:rPr>
                <w:rFonts w:ascii="宋体" w:hAnsi="宋体"/>
                <w:b w:val="0"/>
                <w:bCs w:val="0"/>
                <w:color w:val="auto"/>
                <w:sz w:val="21"/>
                <w:szCs w:val="21"/>
                <w:highlight w:val="none"/>
              </w:rPr>
            </w:pPr>
          </w:p>
        </w:tc>
      </w:tr>
      <w:tr w14:paraId="5987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1AA19C65">
            <w:pPr>
              <w:jc w:val="center"/>
              <w:rPr>
                <w:rFonts w:ascii="宋体" w:hAnsi="宋体"/>
                <w:b w:val="0"/>
                <w:bCs w:val="0"/>
                <w:color w:val="auto"/>
                <w:sz w:val="21"/>
                <w:szCs w:val="21"/>
                <w:highlight w:val="none"/>
              </w:rPr>
            </w:pPr>
          </w:p>
        </w:tc>
        <w:tc>
          <w:tcPr>
            <w:tcW w:w="1085" w:type="dxa"/>
            <w:vMerge w:val="continue"/>
            <w:noWrap w:val="0"/>
            <w:vAlign w:val="center"/>
          </w:tcPr>
          <w:p w14:paraId="3FC900D2">
            <w:pPr>
              <w:jc w:val="center"/>
              <w:rPr>
                <w:rFonts w:ascii="宋体" w:hAnsi="宋体"/>
                <w:b w:val="0"/>
                <w:bCs w:val="0"/>
                <w:color w:val="auto"/>
                <w:sz w:val="21"/>
                <w:szCs w:val="21"/>
                <w:highlight w:val="none"/>
              </w:rPr>
            </w:pPr>
          </w:p>
        </w:tc>
        <w:tc>
          <w:tcPr>
            <w:tcW w:w="5782" w:type="dxa"/>
            <w:noWrap w:val="0"/>
            <w:vAlign w:val="center"/>
          </w:tcPr>
          <w:p w14:paraId="5586F821">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（6）对关键工序、特殊工序的控制。</w:t>
            </w:r>
          </w:p>
        </w:tc>
        <w:tc>
          <w:tcPr>
            <w:tcW w:w="903" w:type="dxa"/>
            <w:noWrap w:val="0"/>
            <w:vAlign w:val="center"/>
          </w:tcPr>
          <w:p w14:paraId="1FC12D6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4E9A2225">
            <w:pPr>
              <w:rPr>
                <w:rFonts w:ascii="宋体" w:hAnsi="宋体"/>
                <w:b w:val="0"/>
                <w:bCs w:val="0"/>
                <w:color w:val="auto"/>
                <w:sz w:val="21"/>
                <w:szCs w:val="21"/>
                <w:highlight w:val="none"/>
              </w:rPr>
            </w:pPr>
          </w:p>
        </w:tc>
      </w:tr>
      <w:tr w14:paraId="3C4A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15F41D2">
            <w:pPr>
              <w:jc w:val="center"/>
              <w:rPr>
                <w:rFonts w:ascii="宋体" w:hAnsi="宋体"/>
                <w:b w:val="0"/>
                <w:bCs w:val="0"/>
                <w:color w:val="auto"/>
                <w:sz w:val="21"/>
                <w:szCs w:val="21"/>
                <w:highlight w:val="none"/>
              </w:rPr>
            </w:pPr>
          </w:p>
        </w:tc>
        <w:tc>
          <w:tcPr>
            <w:tcW w:w="1085" w:type="dxa"/>
            <w:vMerge w:val="continue"/>
            <w:noWrap w:val="0"/>
            <w:vAlign w:val="center"/>
          </w:tcPr>
          <w:p w14:paraId="5997E545">
            <w:pPr>
              <w:jc w:val="center"/>
              <w:rPr>
                <w:rFonts w:ascii="宋体" w:hAnsi="宋体"/>
                <w:b w:val="0"/>
                <w:bCs w:val="0"/>
                <w:color w:val="auto"/>
                <w:sz w:val="21"/>
                <w:szCs w:val="21"/>
                <w:highlight w:val="none"/>
              </w:rPr>
            </w:pPr>
          </w:p>
        </w:tc>
        <w:tc>
          <w:tcPr>
            <w:tcW w:w="5782" w:type="dxa"/>
            <w:noWrap w:val="0"/>
            <w:vAlign w:val="center"/>
          </w:tcPr>
          <w:p w14:paraId="18E3BE33">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（7）隐蔽工程检查签证的及时性、完整性。</w:t>
            </w:r>
          </w:p>
        </w:tc>
        <w:tc>
          <w:tcPr>
            <w:tcW w:w="903" w:type="dxa"/>
            <w:noWrap w:val="0"/>
            <w:vAlign w:val="center"/>
          </w:tcPr>
          <w:p w14:paraId="04760136">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5</w:t>
            </w:r>
          </w:p>
        </w:tc>
        <w:tc>
          <w:tcPr>
            <w:tcW w:w="795" w:type="dxa"/>
            <w:noWrap w:val="0"/>
            <w:vAlign w:val="top"/>
          </w:tcPr>
          <w:p w14:paraId="3ABAE6C9">
            <w:pPr>
              <w:rPr>
                <w:rFonts w:ascii="宋体" w:hAnsi="宋体"/>
                <w:b w:val="0"/>
                <w:bCs w:val="0"/>
                <w:color w:val="auto"/>
                <w:sz w:val="21"/>
                <w:szCs w:val="21"/>
                <w:highlight w:val="none"/>
              </w:rPr>
            </w:pPr>
          </w:p>
        </w:tc>
      </w:tr>
      <w:tr w14:paraId="2128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13706AEA">
            <w:pPr>
              <w:jc w:val="center"/>
              <w:rPr>
                <w:rFonts w:ascii="宋体" w:hAnsi="宋体"/>
                <w:b w:val="0"/>
                <w:bCs w:val="0"/>
                <w:color w:val="auto"/>
                <w:sz w:val="21"/>
                <w:szCs w:val="21"/>
                <w:highlight w:val="none"/>
              </w:rPr>
            </w:pPr>
          </w:p>
        </w:tc>
        <w:tc>
          <w:tcPr>
            <w:tcW w:w="1085" w:type="dxa"/>
            <w:vMerge w:val="continue"/>
            <w:noWrap w:val="0"/>
            <w:vAlign w:val="center"/>
          </w:tcPr>
          <w:p w14:paraId="4CD354AD">
            <w:pPr>
              <w:jc w:val="center"/>
              <w:rPr>
                <w:rFonts w:ascii="宋体" w:hAnsi="宋体"/>
                <w:b w:val="0"/>
                <w:bCs w:val="0"/>
                <w:color w:val="auto"/>
                <w:sz w:val="21"/>
                <w:szCs w:val="21"/>
                <w:highlight w:val="none"/>
              </w:rPr>
            </w:pPr>
          </w:p>
        </w:tc>
        <w:tc>
          <w:tcPr>
            <w:tcW w:w="5782" w:type="dxa"/>
            <w:noWrap w:val="0"/>
            <w:vAlign w:val="center"/>
          </w:tcPr>
          <w:p w14:paraId="71DD0FF8">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（8）审查混凝土设计配合比、实施配合比、现场浇灌的施工控制。</w:t>
            </w:r>
          </w:p>
        </w:tc>
        <w:tc>
          <w:tcPr>
            <w:tcW w:w="903" w:type="dxa"/>
            <w:noWrap w:val="0"/>
            <w:vAlign w:val="center"/>
          </w:tcPr>
          <w:p w14:paraId="102104A1">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6619806E">
            <w:pPr>
              <w:rPr>
                <w:rFonts w:ascii="宋体" w:hAnsi="宋体"/>
                <w:b w:val="0"/>
                <w:bCs w:val="0"/>
                <w:color w:val="auto"/>
                <w:sz w:val="21"/>
                <w:szCs w:val="21"/>
                <w:highlight w:val="none"/>
              </w:rPr>
            </w:pPr>
          </w:p>
        </w:tc>
      </w:tr>
      <w:tr w14:paraId="3A87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17D1DAD">
            <w:pPr>
              <w:jc w:val="center"/>
              <w:rPr>
                <w:rFonts w:ascii="宋体" w:hAnsi="宋体"/>
                <w:b w:val="0"/>
                <w:bCs w:val="0"/>
                <w:color w:val="auto"/>
                <w:sz w:val="21"/>
                <w:szCs w:val="21"/>
                <w:highlight w:val="none"/>
              </w:rPr>
            </w:pPr>
          </w:p>
        </w:tc>
        <w:tc>
          <w:tcPr>
            <w:tcW w:w="1085" w:type="dxa"/>
            <w:vMerge w:val="continue"/>
            <w:noWrap w:val="0"/>
            <w:vAlign w:val="center"/>
          </w:tcPr>
          <w:p w14:paraId="6C3B27B1">
            <w:pPr>
              <w:jc w:val="center"/>
              <w:rPr>
                <w:rFonts w:ascii="宋体" w:hAnsi="宋体"/>
                <w:b w:val="0"/>
                <w:bCs w:val="0"/>
                <w:color w:val="auto"/>
                <w:sz w:val="21"/>
                <w:szCs w:val="21"/>
                <w:highlight w:val="none"/>
              </w:rPr>
            </w:pPr>
          </w:p>
        </w:tc>
        <w:tc>
          <w:tcPr>
            <w:tcW w:w="5782" w:type="dxa"/>
            <w:noWrap w:val="0"/>
            <w:vAlign w:val="center"/>
          </w:tcPr>
          <w:p w14:paraId="6D632CAE">
            <w:pPr>
              <w:jc w:val="both"/>
              <w:rPr>
                <w:rFonts w:ascii="宋体" w:hAnsi="宋体" w:eastAsia="华文中宋"/>
                <w:b w:val="0"/>
                <w:bCs w:val="0"/>
                <w:color w:val="auto"/>
                <w:sz w:val="21"/>
                <w:szCs w:val="21"/>
                <w:highlight w:val="none"/>
              </w:rPr>
            </w:pPr>
            <w:r>
              <w:rPr>
                <w:rFonts w:hint="eastAsia" w:ascii="宋体" w:hAnsi="宋体"/>
                <w:b w:val="0"/>
                <w:bCs w:val="0"/>
                <w:color w:val="auto"/>
                <w:sz w:val="21"/>
                <w:szCs w:val="21"/>
                <w:highlight w:val="none"/>
              </w:rPr>
              <w:t>（9）验收分项、分部、单位工程质量。</w:t>
            </w:r>
          </w:p>
        </w:tc>
        <w:tc>
          <w:tcPr>
            <w:tcW w:w="903" w:type="dxa"/>
            <w:noWrap w:val="0"/>
            <w:vAlign w:val="center"/>
          </w:tcPr>
          <w:p w14:paraId="0B3A787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7116DF82">
            <w:pPr>
              <w:rPr>
                <w:rFonts w:ascii="宋体" w:hAnsi="宋体"/>
                <w:b w:val="0"/>
                <w:bCs w:val="0"/>
                <w:color w:val="auto"/>
                <w:sz w:val="21"/>
                <w:szCs w:val="21"/>
                <w:highlight w:val="none"/>
              </w:rPr>
            </w:pPr>
          </w:p>
        </w:tc>
      </w:tr>
      <w:tr w14:paraId="6CA5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7E2E5379">
            <w:pPr>
              <w:jc w:val="center"/>
              <w:rPr>
                <w:rFonts w:ascii="宋体" w:hAnsi="宋体"/>
                <w:b w:val="0"/>
                <w:bCs w:val="0"/>
                <w:color w:val="auto"/>
                <w:sz w:val="21"/>
                <w:szCs w:val="21"/>
                <w:highlight w:val="none"/>
              </w:rPr>
            </w:pPr>
          </w:p>
        </w:tc>
        <w:tc>
          <w:tcPr>
            <w:tcW w:w="1085" w:type="dxa"/>
            <w:vMerge w:val="continue"/>
            <w:noWrap w:val="0"/>
            <w:vAlign w:val="center"/>
          </w:tcPr>
          <w:p w14:paraId="7903268E">
            <w:pPr>
              <w:jc w:val="center"/>
              <w:rPr>
                <w:rFonts w:ascii="宋体" w:hAnsi="宋体"/>
                <w:b w:val="0"/>
                <w:bCs w:val="0"/>
                <w:color w:val="auto"/>
                <w:sz w:val="21"/>
                <w:szCs w:val="21"/>
                <w:highlight w:val="none"/>
              </w:rPr>
            </w:pPr>
          </w:p>
        </w:tc>
        <w:tc>
          <w:tcPr>
            <w:tcW w:w="5782" w:type="dxa"/>
            <w:noWrap w:val="0"/>
            <w:vAlign w:val="center"/>
          </w:tcPr>
          <w:p w14:paraId="6786513F">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（10）对承包商发出的整改通知单等文件的闭合情况。</w:t>
            </w:r>
          </w:p>
        </w:tc>
        <w:tc>
          <w:tcPr>
            <w:tcW w:w="903" w:type="dxa"/>
            <w:noWrap w:val="0"/>
            <w:vAlign w:val="center"/>
          </w:tcPr>
          <w:p w14:paraId="2295F1F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6245970D">
            <w:pPr>
              <w:rPr>
                <w:rFonts w:ascii="宋体" w:hAnsi="宋体"/>
                <w:b w:val="0"/>
                <w:bCs w:val="0"/>
                <w:color w:val="auto"/>
                <w:sz w:val="21"/>
                <w:szCs w:val="21"/>
                <w:highlight w:val="none"/>
              </w:rPr>
            </w:pPr>
          </w:p>
        </w:tc>
      </w:tr>
      <w:tr w14:paraId="2EF3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5DFFDE4A">
            <w:pPr>
              <w:jc w:val="center"/>
              <w:rPr>
                <w:rFonts w:ascii="宋体" w:hAnsi="宋体"/>
                <w:b w:val="0"/>
                <w:bCs w:val="0"/>
                <w:color w:val="auto"/>
                <w:sz w:val="21"/>
                <w:szCs w:val="21"/>
                <w:highlight w:val="none"/>
              </w:rPr>
            </w:pPr>
          </w:p>
        </w:tc>
        <w:tc>
          <w:tcPr>
            <w:tcW w:w="1085" w:type="dxa"/>
            <w:vMerge w:val="continue"/>
            <w:noWrap w:val="0"/>
            <w:vAlign w:val="center"/>
          </w:tcPr>
          <w:p w14:paraId="1CC7F8FD">
            <w:pPr>
              <w:jc w:val="center"/>
              <w:rPr>
                <w:rFonts w:ascii="宋体" w:hAnsi="宋体"/>
                <w:b w:val="0"/>
                <w:bCs w:val="0"/>
                <w:color w:val="auto"/>
                <w:sz w:val="21"/>
                <w:szCs w:val="21"/>
                <w:highlight w:val="none"/>
              </w:rPr>
            </w:pPr>
          </w:p>
        </w:tc>
        <w:tc>
          <w:tcPr>
            <w:tcW w:w="5782" w:type="dxa"/>
            <w:noWrap w:val="0"/>
            <w:vAlign w:val="center"/>
          </w:tcPr>
          <w:p w14:paraId="3E970695">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（11）监理日志的记录情况的及时性、完整性。</w:t>
            </w:r>
          </w:p>
        </w:tc>
        <w:tc>
          <w:tcPr>
            <w:tcW w:w="903" w:type="dxa"/>
            <w:noWrap w:val="0"/>
            <w:vAlign w:val="center"/>
          </w:tcPr>
          <w:p w14:paraId="41FECFB1">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14727604">
            <w:pPr>
              <w:rPr>
                <w:rFonts w:ascii="宋体" w:hAnsi="宋体"/>
                <w:b w:val="0"/>
                <w:bCs w:val="0"/>
                <w:color w:val="auto"/>
                <w:sz w:val="21"/>
                <w:szCs w:val="21"/>
                <w:highlight w:val="none"/>
              </w:rPr>
            </w:pPr>
          </w:p>
        </w:tc>
      </w:tr>
      <w:tr w14:paraId="56F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7AB3C35E">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1085" w:type="dxa"/>
            <w:vMerge w:val="restart"/>
            <w:noWrap w:val="0"/>
            <w:vAlign w:val="center"/>
          </w:tcPr>
          <w:p w14:paraId="171230C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安全文明施工管理（20分）</w:t>
            </w:r>
          </w:p>
        </w:tc>
        <w:tc>
          <w:tcPr>
            <w:tcW w:w="5782" w:type="dxa"/>
            <w:noWrap w:val="0"/>
            <w:vAlign w:val="center"/>
          </w:tcPr>
          <w:p w14:paraId="19DC742E">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（1）监理部设置专职安全工程师岗位，由符合资质要求的人员担任，人员数量满足安全管理需要。</w:t>
            </w:r>
          </w:p>
        </w:tc>
        <w:tc>
          <w:tcPr>
            <w:tcW w:w="903" w:type="dxa"/>
            <w:noWrap w:val="0"/>
            <w:vAlign w:val="center"/>
          </w:tcPr>
          <w:p w14:paraId="0D5E44B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4A631D15">
            <w:pPr>
              <w:rPr>
                <w:rFonts w:ascii="宋体" w:hAnsi="宋体"/>
                <w:b w:val="0"/>
                <w:bCs w:val="0"/>
                <w:color w:val="auto"/>
                <w:sz w:val="21"/>
                <w:szCs w:val="21"/>
                <w:highlight w:val="none"/>
              </w:rPr>
            </w:pPr>
          </w:p>
        </w:tc>
      </w:tr>
      <w:tr w14:paraId="2E1A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AAA04E7">
            <w:pPr>
              <w:jc w:val="center"/>
              <w:rPr>
                <w:rFonts w:ascii="宋体" w:hAnsi="宋体"/>
                <w:b w:val="0"/>
                <w:bCs w:val="0"/>
                <w:color w:val="auto"/>
                <w:sz w:val="21"/>
                <w:szCs w:val="21"/>
                <w:highlight w:val="none"/>
              </w:rPr>
            </w:pPr>
          </w:p>
        </w:tc>
        <w:tc>
          <w:tcPr>
            <w:tcW w:w="1085" w:type="dxa"/>
            <w:vMerge w:val="continue"/>
            <w:noWrap w:val="0"/>
            <w:vAlign w:val="center"/>
          </w:tcPr>
          <w:p w14:paraId="69DAD531">
            <w:pPr>
              <w:jc w:val="center"/>
              <w:rPr>
                <w:rFonts w:ascii="宋体" w:hAnsi="宋体"/>
                <w:b w:val="0"/>
                <w:bCs w:val="0"/>
                <w:color w:val="auto"/>
                <w:sz w:val="21"/>
                <w:szCs w:val="21"/>
                <w:highlight w:val="none"/>
              </w:rPr>
            </w:pPr>
          </w:p>
        </w:tc>
        <w:tc>
          <w:tcPr>
            <w:tcW w:w="5782" w:type="dxa"/>
            <w:noWrap w:val="0"/>
            <w:vAlign w:val="center"/>
          </w:tcPr>
          <w:p w14:paraId="1E043F61">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（2）审查承包商的安全保证体系和承包商安全管理人员的资质和人员数量，组织制定各标段工程的安全应急预案。</w:t>
            </w:r>
          </w:p>
        </w:tc>
        <w:tc>
          <w:tcPr>
            <w:tcW w:w="903" w:type="dxa"/>
            <w:noWrap w:val="0"/>
            <w:vAlign w:val="center"/>
          </w:tcPr>
          <w:p w14:paraId="7A94A59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648C337D">
            <w:pPr>
              <w:rPr>
                <w:rFonts w:ascii="宋体" w:hAnsi="宋体"/>
                <w:b w:val="0"/>
                <w:bCs w:val="0"/>
                <w:color w:val="auto"/>
                <w:sz w:val="21"/>
                <w:szCs w:val="21"/>
                <w:highlight w:val="none"/>
              </w:rPr>
            </w:pPr>
          </w:p>
        </w:tc>
      </w:tr>
      <w:tr w14:paraId="6810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4A847A7A">
            <w:pPr>
              <w:jc w:val="center"/>
              <w:rPr>
                <w:rFonts w:ascii="宋体" w:hAnsi="宋体"/>
                <w:b w:val="0"/>
                <w:bCs w:val="0"/>
                <w:color w:val="auto"/>
                <w:sz w:val="21"/>
                <w:szCs w:val="21"/>
                <w:highlight w:val="none"/>
              </w:rPr>
            </w:pPr>
          </w:p>
        </w:tc>
        <w:tc>
          <w:tcPr>
            <w:tcW w:w="1085" w:type="dxa"/>
            <w:vMerge w:val="continue"/>
            <w:noWrap w:val="0"/>
            <w:vAlign w:val="center"/>
          </w:tcPr>
          <w:p w14:paraId="5820D0AE">
            <w:pPr>
              <w:jc w:val="center"/>
              <w:rPr>
                <w:rFonts w:ascii="宋体" w:hAnsi="宋体"/>
                <w:b w:val="0"/>
                <w:bCs w:val="0"/>
                <w:color w:val="auto"/>
                <w:sz w:val="21"/>
                <w:szCs w:val="21"/>
                <w:highlight w:val="none"/>
              </w:rPr>
            </w:pPr>
          </w:p>
        </w:tc>
        <w:tc>
          <w:tcPr>
            <w:tcW w:w="5782" w:type="dxa"/>
            <w:noWrap w:val="0"/>
            <w:vAlign w:val="center"/>
          </w:tcPr>
          <w:p w14:paraId="2EF5E6CF">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（3）对施工监测、第三方监测体系进行日常管理和检查，按月小结，编入管理月报。</w:t>
            </w:r>
          </w:p>
        </w:tc>
        <w:tc>
          <w:tcPr>
            <w:tcW w:w="903" w:type="dxa"/>
            <w:noWrap w:val="0"/>
            <w:vAlign w:val="center"/>
          </w:tcPr>
          <w:p w14:paraId="256F1F4A">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0967E31C">
            <w:pPr>
              <w:rPr>
                <w:rFonts w:ascii="宋体" w:hAnsi="宋体"/>
                <w:b w:val="0"/>
                <w:bCs w:val="0"/>
                <w:color w:val="auto"/>
                <w:sz w:val="21"/>
                <w:szCs w:val="21"/>
                <w:highlight w:val="none"/>
              </w:rPr>
            </w:pPr>
          </w:p>
        </w:tc>
      </w:tr>
      <w:tr w14:paraId="21D3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50BFCDF">
            <w:pPr>
              <w:jc w:val="center"/>
              <w:rPr>
                <w:rFonts w:ascii="宋体" w:hAnsi="宋体"/>
                <w:b w:val="0"/>
                <w:bCs w:val="0"/>
                <w:color w:val="auto"/>
                <w:sz w:val="21"/>
                <w:szCs w:val="21"/>
                <w:highlight w:val="none"/>
              </w:rPr>
            </w:pPr>
          </w:p>
        </w:tc>
        <w:tc>
          <w:tcPr>
            <w:tcW w:w="1085" w:type="dxa"/>
            <w:vMerge w:val="continue"/>
            <w:noWrap w:val="0"/>
            <w:vAlign w:val="center"/>
          </w:tcPr>
          <w:p w14:paraId="298CAC78">
            <w:pPr>
              <w:jc w:val="center"/>
              <w:rPr>
                <w:rFonts w:ascii="宋体" w:hAnsi="宋体"/>
                <w:b w:val="0"/>
                <w:bCs w:val="0"/>
                <w:color w:val="auto"/>
                <w:sz w:val="21"/>
                <w:szCs w:val="21"/>
                <w:highlight w:val="none"/>
              </w:rPr>
            </w:pPr>
          </w:p>
        </w:tc>
        <w:tc>
          <w:tcPr>
            <w:tcW w:w="5782" w:type="dxa"/>
            <w:noWrap w:val="0"/>
            <w:vAlign w:val="center"/>
          </w:tcPr>
          <w:p w14:paraId="692429F4">
            <w:pPr>
              <w:jc w:val="both"/>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（4）对承包商特种作业人员资质检查记录，以及对承包商的三级安全教育的检查记录等。</w:t>
            </w:r>
          </w:p>
        </w:tc>
        <w:tc>
          <w:tcPr>
            <w:tcW w:w="903" w:type="dxa"/>
            <w:noWrap w:val="0"/>
            <w:vAlign w:val="center"/>
          </w:tcPr>
          <w:p w14:paraId="20FCF73F">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79B73911">
            <w:pPr>
              <w:rPr>
                <w:rFonts w:ascii="宋体" w:hAnsi="宋体"/>
                <w:b w:val="0"/>
                <w:bCs w:val="0"/>
                <w:color w:val="auto"/>
                <w:sz w:val="21"/>
                <w:szCs w:val="21"/>
                <w:highlight w:val="none"/>
              </w:rPr>
            </w:pPr>
          </w:p>
        </w:tc>
      </w:tr>
      <w:tr w14:paraId="2563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B1715F3">
            <w:pPr>
              <w:jc w:val="center"/>
              <w:rPr>
                <w:rFonts w:ascii="宋体" w:hAnsi="宋体"/>
                <w:b w:val="0"/>
                <w:bCs w:val="0"/>
                <w:color w:val="auto"/>
                <w:sz w:val="21"/>
                <w:szCs w:val="21"/>
                <w:highlight w:val="none"/>
              </w:rPr>
            </w:pPr>
          </w:p>
        </w:tc>
        <w:tc>
          <w:tcPr>
            <w:tcW w:w="1085" w:type="dxa"/>
            <w:vMerge w:val="continue"/>
            <w:noWrap w:val="0"/>
            <w:vAlign w:val="center"/>
          </w:tcPr>
          <w:p w14:paraId="59FDEE06">
            <w:pPr>
              <w:jc w:val="center"/>
              <w:rPr>
                <w:rFonts w:ascii="宋体" w:hAnsi="宋体"/>
                <w:b w:val="0"/>
                <w:bCs w:val="0"/>
                <w:color w:val="auto"/>
                <w:sz w:val="21"/>
                <w:szCs w:val="21"/>
                <w:highlight w:val="none"/>
              </w:rPr>
            </w:pPr>
          </w:p>
        </w:tc>
        <w:tc>
          <w:tcPr>
            <w:tcW w:w="5782" w:type="dxa"/>
            <w:noWrap w:val="0"/>
            <w:vAlign w:val="center"/>
          </w:tcPr>
          <w:p w14:paraId="16C23F86">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（5）对监理单位、承包商的安全体系运转情况进行日常检查，针对检查出的问题及时发出书面整改意见。</w:t>
            </w:r>
          </w:p>
        </w:tc>
        <w:tc>
          <w:tcPr>
            <w:tcW w:w="903" w:type="dxa"/>
            <w:noWrap w:val="0"/>
            <w:vAlign w:val="center"/>
          </w:tcPr>
          <w:p w14:paraId="3AC0ABF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1B48BC79">
            <w:pPr>
              <w:rPr>
                <w:rFonts w:ascii="宋体" w:hAnsi="宋体"/>
                <w:b w:val="0"/>
                <w:bCs w:val="0"/>
                <w:color w:val="auto"/>
                <w:sz w:val="21"/>
                <w:szCs w:val="21"/>
                <w:highlight w:val="none"/>
              </w:rPr>
            </w:pPr>
          </w:p>
        </w:tc>
      </w:tr>
      <w:tr w14:paraId="684E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018794C">
            <w:pPr>
              <w:jc w:val="center"/>
              <w:rPr>
                <w:rFonts w:ascii="宋体" w:hAnsi="宋体"/>
                <w:b w:val="0"/>
                <w:bCs w:val="0"/>
                <w:color w:val="auto"/>
                <w:sz w:val="21"/>
                <w:szCs w:val="21"/>
                <w:highlight w:val="none"/>
              </w:rPr>
            </w:pPr>
          </w:p>
        </w:tc>
        <w:tc>
          <w:tcPr>
            <w:tcW w:w="1085" w:type="dxa"/>
            <w:vMerge w:val="continue"/>
            <w:noWrap w:val="0"/>
            <w:vAlign w:val="center"/>
          </w:tcPr>
          <w:p w14:paraId="12F7F2D9">
            <w:pPr>
              <w:jc w:val="center"/>
              <w:rPr>
                <w:rFonts w:ascii="宋体" w:hAnsi="宋体"/>
                <w:b w:val="0"/>
                <w:bCs w:val="0"/>
                <w:color w:val="auto"/>
                <w:sz w:val="21"/>
                <w:szCs w:val="21"/>
                <w:highlight w:val="none"/>
              </w:rPr>
            </w:pPr>
          </w:p>
        </w:tc>
        <w:tc>
          <w:tcPr>
            <w:tcW w:w="5782" w:type="dxa"/>
            <w:noWrap w:val="0"/>
            <w:vAlign w:val="center"/>
          </w:tcPr>
          <w:p w14:paraId="637C2B39">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（6）每月定期组织安全、文明施工检查，杜绝重大安全事故，及时处理安全隐患，正确分析工程重大危险源并审批重大危险源防范实施性专项方案，并及时向业主提交检查报告。</w:t>
            </w:r>
          </w:p>
        </w:tc>
        <w:tc>
          <w:tcPr>
            <w:tcW w:w="903" w:type="dxa"/>
            <w:noWrap w:val="0"/>
            <w:vAlign w:val="center"/>
          </w:tcPr>
          <w:p w14:paraId="3D267D50">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795" w:type="dxa"/>
            <w:noWrap w:val="0"/>
            <w:vAlign w:val="top"/>
          </w:tcPr>
          <w:p w14:paraId="2D85F10D">
            <w:pPr>
              <w:rPr>
                <w:rFonts w:ascii="宋体" w:hAnsi="宋体"/>
                <w:b w:val="0"/>
                <w:bCs w:val="0"/>
                <w:color w:val="auto"/>
                <w:sz w:val="21"/>
                <w:szCs w:val="21"/>
                <w:highlight w:val="none"/>
              </w:rPr>
            </w:pPr>
          </w:p>
        </w:tc>
      </w:tr>
      <w:tr w14:paraId="675D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0113926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4</w:t>
            </w:r>
          </w:p>
        </w:tc>
        <w:tc>
          <w:tcPr>
            <w:tcW w:w="1085" w:type="dxa"/>
            <w:vMerge w:val="restart"/>
            <w:noWrap w:val="0"/>
            <w:vAlign w:val="center"/>
          </w:tcPr>
          <w:p w14:paraId="119D52D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计划进度和投资管理（10分）</w:t>
            </w:r>
          </w:p>
        </w:tc>
        <w:tc>
          <w:tcPr>
            <w:tcW w:w="5782" w:type="dxa"/>
            <w:noWrap w:val="0"/>
            <w:vAlign w:val="center"/>
          </w:tcPr>
          <w:p w14:paraId="2D8389CD">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（1）组织制定年度节点工期计划（1分），及时检查和动态调整（1分）。</w:t>
            </w:r>
          </w:p>
        </w:tc>
        <w:tc>
          <w:tcPr>
            <w:tcW w:w="903" w:type="dxa"/>
            <w:noWrap w:val="0"/>
            <w:vAlign w:val="center"/>
          </w:tcPr>
          <w:p w14:paraId="75C27E4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29916B0F">
            <w:pPr>
              <w:rPr>
                <w:rFonts w:ascii="宋体" w:hAnsi="宋体"/>
                <w:b w:val="0"/>
                <w:bCs w:val="0"/>
                <w:color w:val="auto"/>
                <w:sz w:val="21"/>
                <w:szCs w:val="21"/>
                <w:highlight w:val="none"/>
              </w:rPr>
            </w:pPr>
          </w:p>
        </w:tc>
      </w:tr>
      <w:tr w14:paraId="199C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7314243">
            <w:pPr>
              <w:jc w:val="center"/>
              <w:rPr>
                <w:rFonts w:ascii="宋体" w:hAnsi="宋体"/>
                <w:b w:val="0"/>
                <w:bCs w:val="0"/>
                <w:color w:val="auto"/>
                <w:sz w:val="21"/>
                <w:szCs w:val="21"/>
                <w:highlight w:val="none"/>
              </w:rPr>
            </w:pPr>
          </w:p>
        </w:tc>
        <w:tc>
          <w:tcPr>
            <w:tcW w:w="1085" w:type="dxa"/>
            <w:vMerge w:val="continue"/>
            <w:noWrap w:val="0"/>
            <w:vAlign w:val="center"/>
          </w:tcPr>
          <w:p w14:paraId="2EB4C70B">
            <w:pPr>
              <w:jc w:val="center"/>
              <w:rPr>
                <w:rFonts w:ascii="宋体" w:hAnsi="宋体"/>
                <w:b w:val="0"/>
                <w:bCs w:val="0"/>
                <w:color w:val="auto"/>
                <w:sz w:val="21"/>
                <w:szCs w:val="21"/>
                <w:highlight w:val="none"/>
              </w:rPr>
            </w:pPr>
          </w:p>
        </w:tc>
        <w:tc>
          <w:tcPr>
            <w:tcW w:w="5782" w:type="dxa"/>
            <w:noWrap w:val="0"/>
            <w:vAlign w:val="center"/>
          </w:tcPr>
          <w:p w14:paraId="6BD32BF0">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（2）检查实际进度与计划进度的偏差（1分），分析具体原因、提出解决进度滞后的办法（1分）。</w:t>
            </w:r>
          </w:p>
        </w:tc>
        <w:tc>
          <w:tcPr>
            <w:tcW w:w="903" w:type="dxa"/>
            <w:noWrap w:val="0"/>
            <w:vAlign w:val="center"/>
          </w:tcPr>
          <w:p w14:paraId="3C16880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7FD9C413">
            <w:pPr>
              <w:rPr>
                <w:rFonts w:ascii="宋体" w:hAnsi="宋体"/>
                <w:b w:val="0"/>
                <w:bCs w:val="0"/>
                <w:color w:val="auto"/>
                <w:sz w:val="21"/>
                <w:szCs w:val="21"/>
                <w:highlight w:val="none"/>
              </w:rPr>
            </w:pPr>
          </w:p>
        </w:tc>
      </w:tr>
      <w:tr w14:paraId="2F8A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A52A964">
            <w:pPr>
              <w:jc w:val="center"/>
              <w:rPr>
                <w:rFonts w:ascii="宋体" w:hAnsi="宋体"/>
                <w:b w:val="0"/>
                <w:bCs w:val="0"/>
                <w:color w:val="auto"/>
                <w:sz w:val="21"/>
                <w:szCs w:val="21"/>
                <w:highlight w:val="none"/>
              </w:rPr>
            </w:pPr>
          </w:p>
        </w:tc>
        <w:tc>
          <w:tcPr>
            <w:tcW w:w="1085" w:type="dxa"/>
            <w:vMerge w:val="continue"/>
            <w:noWrap w:val="0"/>
            <w:vAlign w:val="center"/>
          </w:tcPr>
          <w:p w14:paraId="1885FD27">
            <w:pPr>
              <w:jc w:val="center"/>
              <w:rPr>
                <w:rFonts w:ascii="宋体" w:hAnsi="宋体"/>
                <w:b w:val="0"/>
                <w:bCs w:val="0"/>
                <w:color w:val="auto"/>
                <w:sz w:val="21"/>
                <w:szCs w:val="21"/>
                <w:highlight w:val="none"/>
              </w:rPr>
            </w:pPr>
          </w:p>
        </w:tc>
        <w:tc>
          <w:tcPr>
            <w:tcW w:w="5782" w:type="dxa"/>
            <w:noWrap w:val="0"/>
            <w:vAlign w:val="center"/>
          </w:tcPr>
          <w:p w14:paraId="701AF172">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（3）定期组织工程进度分析会（1分），积极协调和解决影响工程进度的相关问题，工程进度符合计划工期（1分）。</w:t>
            </w:r>
          </w:p>
        </w:tc>
        <w:tc>
          <w:tcPr>
            <w:tcW w:w="903" w:type="dxa"/>
            <w:noWrap w:val="0"/>
            <w:vAlign w:val="center"/>
          </w:tcPr>
          <w:p w14:paraId="7C3FFDB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59639656">
            <w:pPr>
              <w:rPr>
                <w:rFonts w:ascii="宋体" w:hAnsi="宋体"/>
                <w:b w:val="0"/>
                <w:bCs w:val="0"/>
                <w:color w:val="auto"/>
                <w:sz w:val="21"/>
                <w:szCs w:val="21"/>
                <w:highlight w:val="none"/>
              </w:rPr>
            </w:pPr>
          </w:p>
        </w:tc>
      </w:tr>
      <w:tr w14:paraId="5A37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560D31F6">
            <w:pPr>
              <w:jc w:val="center"/>
              <w:rPr>
                <w:rFonts w:ascii="宋体" w:hAnsi="宋体"/>
                <w:b w:val="0"/>
                <w:bCs w:val="0"/>
                <w:color w:val="auto"/>
                <w:sz w:val="21"/>
                <w:szCs w:val="21"/>
                <w:highlight w:val="none"/>
              </w:rPr>
            </w:pPr>
          </w:p>
        </w:tc>
        <w:tc>
          <w:tcPr>
            <w:tcW w:w="1085" w:type="dxa"/>
            <w:vMerge w:val="continue"/>
            <w:noWrap w:val="0"/>
            <w:vAlign w:val="center"/>
          </w:tcPr>
          <w:p w14:paraId="4752AC25">
            <w:pPr>
              <w:jc w:val="center"/>
              <w:rPr>
                <w:rFonts w:ascii="宋体" w:hAnsi="宋体"/>
                <w:b w:val="0"/>
                <w:bCs w:val="0"/>
                <w:color w:val="auto"/>
                <w:sz w:val="21"/>
                <w:szCs w:val="21"/>
                <w:highlight w:val="none"/>
              </w:rPr>
            </w:pPr>
          </w:p>
        </w:tc>
        <w:tc>
          <w:tcPr>
            <w:tcW w:w="5782" w:type="dxa"/>
            <w:noWrap w:val="0"/>
            <w:vAlign w:val="center"/>
          </w:tcPr>
          <w:p w14:paraId="4BECFA26">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（4）及时正确的审核承包商的计量和支付报表。</w:t>
            </w:r>
          </w:p>
        </w:tc>
        <w:tc>
          <w:tcPr>
            <w:tcW w:w="903" w:type="dxa"/>
            <w:noWrap w:val="0"/>
            <w:vAlign w:val="center"/>
          </w:tcPr>
          <w:p w14:paraId="04B03D5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2BE959CD">
            <w:pPr>
              <w:rPr>
                <w:rFonts w:ascii="宋体" w:hAnsi="宋体"/>
                <w:b w:val="0"/>
                <w:bCs w:val="0"/>
                <w:color w:val="auto"/>
                <w:sz w:val="21"/>
                <w:szCs w:val="21"/>
                <w:highlight w:val="none"/>
              </w:rPr>
            </w:pPr>
          </w:p>
        </w:tc>
      </w:tr>
      <w:tr w14:paraId="6833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1F1C3438">
            <w:pPr>
              <w:jc w:val="center"/>
              <w:rPr>
                <w:rFonts w:ascii="宋体" w:hAnsi="宋体"/>
                <w:b w:val="0"/>
                <w:bCs w:val="0"/>
                <w:color w:val="auto"/>
                <w:sz w:val="21"/>
                <w:szCs w:val="21"/>
                <w:highlight w:val="none"/>
              </w:rPr>
            </w:pPr>
          </w:p>
        </w:tc>
        <w:tc>
          <w:tcPr>
            <w:tcW w:w="1085" w:type="dxa"/>
            <w:vMerge w:val="continue"/>
            <w:noWrap w:val="0"/>
            <w:vAlign w:val="center"/>
          </w:tcPr>
          <w:p w14:paraId="2D6054E6">
            <w:pPr>
              <w:jc w:val="center"/>
              <w:rPr>
                <w:rFonts w:ascii="宋体" w:hAnsi="宋体"/>
                <w:b w:val="0"/>
                <w:bCs w:val="0"/>
                <w:color w:val="auto"/>
                <w:sz w:val="21"/>
                <w:szCs w:val="21"/>
                <w:highlight w:val="none"/>
              </w:rPr>
            </w:pPr>
          </w:p>
        </w:tc>
        <w:tc>
          <w:tcPr>
            <w:tcW w:w="5782" w:type="dxa"/>
            <w:noWrap w:val="0"/>
            <w:vAlign w:val="center"/>
          </w:tcPr>
          <w:p w14:paraId="2DB2DBC1">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（5）公正合理地审核承包商提出的工程变更。</w:t>
            </w:r>
          </w:p>
        </w:tc>
        <w:tc>
          <w:tcPr>
            <w:tcW w:w="903" w:type="dxa"/>
            <w:noWrap w:val="0"/>
            <w:vAlign w:val="center"/>
          </w:tcPr>
          <w:p w14:paraId="259AB3B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6D57D327">
            <w:pPr>
              <w:rPr>
                <w:rFonts w:ascii="宋体" w:hAnsi="宋体"/>
                <w:b w:val="0"/>
                <w:bCs w:val="0"/>
                <w:color w:val="auto"/>
                <w:sz w:val="21"/>
                <w:szCs w:val="21"/>
                <w:highlight w:val="none"/>
              </w:rPr>
            </w:pPr>
          </w:p>
        </w:tc>
      </w:tr>
      <w:tr w14:paraId="2AB5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5F75D36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5</w:t>
            </w:r>
          </w:p>
        </w:tc>
        <w:tc>
          <w:tcPr>
            <w:tcW w:w="1085" w:type="dxa"/>
            <w:vMerge w:val="restart"/>
            <w:noWrap w:val="0"/>
            <w:vAlign w:val="center"/>
          </w:tcPr>
          <w:p w14:paraId="1BC922E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接口协调</w:t>
            </w:r>
          </w:p>
          <w:p w14:paraId="3CE57A90">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（5分）</w:t>
            </w:r>
          </w:p>
        </w:tc>
        <w:tc>
          <w:tcPr>
            <w:tcW w:w="5782" w:type="dxa"/>
            <w:noWrap w:val="0"/>
            <w:vAlign w:val="center"/>
          </w:tcPr>
          <w:p w14:paraId="0020299D">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（1）积极协调征地拆迁、交通疏解、绿化迁移和管线迁改的相应业主单位，组织前期工程单位按计划完成。</w:t>
            </w:r>
          </w:p>
        </w:tc>
        <w:tc>
          <w:tcPr>
            <w:tcW w:w="903" w:type="dxa"/>
            <w:noWrap w:val="0"/>
            <w:vAlign w:val="center"/>
          </w:tcPr>
          <w:p w14:paraId="52D47DA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3</w:t>
            </w:r>
          </w:p>
        </w:tc>
        <w:tc>
          <w:tcPr>
            <w:tcW w:w="795" w:type="dxa"/>
            <w:noWrap w:val="0"/>
            <w:vAlign w:val="top"/>
          </w:tcPr>
          <w:p w14:paraId="585F299C">
            <w:pPr>
              <w:rPr>
                <w:rFonts w:ascii="宋体" w:hAnsi="宋体"/>
                <w:b w:val="0"/>
                <w:bCs w:val="0"/>
                <w:color w:val="auto"/>
                <w:sz w:val="21"/>
                <w:szCs w:val="21"/>
                <w:highlight w:val="none"/>
              </w:rPr>
            </w:pPr>
          </w:p>
        </w:tc>
      </w:tr>
      <w:tr w14:paraId="3BB8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69A2A935">
            <w:pPr>
              <w:jc w:val="center"/>
              <w:rPr>
                <w:rFonts w:ascii="宋体" w:hAnsi="宋体"/>
                <w:b w:val="0"/>
                <w:bCs w:val="0"/>
                <w:color w:val="auto"/>
                <w:sz w:val="21"/>
                <w:szCs w:val="21"/>
                <w:highlight w:val="none"/>
              </w:rPr>
            </w:pPr>
          </w:p>
        </w:tc>
        <w:tc>
          <w:tcPr>
            <w:tcW w:w="1085" w:type="dxa"/>
            <w:vMerge w:val="continue"/>
            <w:noWrap w:val="0"/>
            <w:vAlign w:val="center"/>
          </w:tcPr>
          <w:p w14:paraId="6DA5BFF6">
            <w:pPr>
              <w:jc w:val="center"/>
              <w:rPr>
                <w:rFonts w:ascii="宋体" w:hAnsi="宋体"/>
                <w:b w:val="0"/>
                <w:bCs w:val="0"/>
                <w:color w:val="auto"/>
                <w:sz w:val="21"/>
                <w:szCs w:val="21"/>
                <w:highlight w:val="none"/>
              </w:rPr>
            </w:pPr>
          </w:p>
        </w:tc>
        <w:tc>
          <w:tcPr>
            <w:tcW w:w="5782" w:type="dxa"/>
            <w:noWrap w:val="0"/>
            <w:vAlign w:val="center"/>
          </w:tcPr>
          <w:p w14:paraId="09445F71">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（2）积极处理所监理的本标段和其它标段在接口上所存在的问题。</w:t>
            </w:r>
          </w:p>
        </w:tc>
        <w:tc>
          <w:tcPr>
            <w:tcW w:w="903" w:type="dxa"/>
            <w:noWrap w:val="0"/>
            <w:vAlign w:val="center"/>
          </w:tcPr>
          <w:p w14:paraId="4F0A03B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795" w:type="dxa"/>
            <w:noWrap w:val="0"/>
            <w:vAlign w:val="top"/>
          </w:tcPr>
          <w:p w14:paraId="27229E08">
            <w:pPr>
              <w:rPr>
                <w:rFonts w:ascii="宋体" w:hAnsi="宋体"/>
                <w:b w:val="0"/>
                <w:bCs w:val="0"/>
                <w:color w:val="auto"/>
                <w:sz w:val="21"/>
                <w:szCs w:val="21"/>
                <w:highlight w:val="none"/>
              </w:rPr>
            </w:pPr>
          </w:p>
        </w:tc>
      </w:tr>
      <w:tr w14:paraId="0246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4F1B285">
            <w:pPr>
              <w:jc w:val="center"/>
              <w:rPr>
                <w:rFonts w:ascii="宋体" w:hAnsi="宋体"/>
                <w:b w:val="0"/>
                <w:bCs w:val="0"/>
                <w:color w:val="auto"/>
                <w:sz w:val="21"/>
                <w:szCs w:val="21"/>
                <w:highlight w:val="none"/>
              </w:rPr>
            </w:pPr>
          </w:p>
        </w:tc>
        <w:tc>
          <w:tcPr>
            <w:tcW w:w="1085" w:type="dxa"/>
            <w:vMerge w:val="continue"/>
            <w:noWrap w:val="0"/>
            <w:vAlign w:val="center"/>
          </w:tcPr>
          <w:p w14:paraId="1DAB3C75">
            <w:pPr>
              <w:jc w:val="center"/>
              <w:rPr>
                <w:rFonts w:ascii="宋体" w:hAnsi="宋体"/>
                <w:b w:val="0"/>
                <w:bCs w:val="0"/>
                <w:color w:val="auto"/>
                <w:sz w:val="21"/>
                <w:szCs w:val="21"/>
                <w:highlight w:val="none"/>
              </w:rPr>
            </w:pPr>
          </w:p>
        </w:tc>
        <w:tc>
          <w:tcPr>
            <w:tcW w:w="5782" w:type="dxa"/>
            <w:noWrap w:val="0"/>
            <w:vAlign w:val="center"/>
          </w:tcPr>
          <w:p w14:paraId="2453DDC6">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（3）协助业主办理工程保险及赔偿事宜。</w:t>
            </w:r>
          </w:p>
        </w:tc>
        <w:tc>
          <w:tcPr>
            <w:tcW w:w="903" w:type="dxa"/>
            <w:noWrap w:val="0"/>
            <w:vAlign w:val="center"/>
          </w:tcPr>
          <w:p w14:paraId="3B71822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795" w:type="dxa"/>
            <w:noWrap w:val="0"/>
            <w:vAlign w:val="top"/>
          </w:tcPr>
          <w:p w14:paraId="79CFFFE4">
            <w:pPr>
              <w:rPr>
                <w:rFonts w:ascii="宋体" w:hAnsi="宋体"/>
                <w:b w:val="0"/>
                <w:bCs w:val="0"/>
                <w:color w:val="auto"/>
                <w:sz w:val="21"/>
                <w:szCs w:val="21"/>
                <w:highlight w:val="none"/>
              </w:rPr>
            </w:pPr>
          </w:p>
        </w:tc>
      </w:tr>
      <w:tr w14:paraId="1816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016AE9B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6</w:t>
            </w:r>
          </w:p>
        </w:tc>
        <w:tc>
          <w:tcPr>
            <w:tcW w:w="1085" w:type="dxa"/>
            <w:vMerge w:val="restart"/>
            <w:noWrap w:val="0"/>
            <w:vAlign w:val="center"/>
          </w:tcPr>
          <w:p w14:paraId="3D7941BD">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技术咨询（4分）</w:t>
            </w:r>
          </w:p>
        </w:tc>
        <w:tc>
          <w:tcPr>
            <w:tcW w:w="5782" w:type="dxa"/>
            <w:noWrap w:val="0"/>
            <w:vAlign w:val="center"/>
          </w:tcPr>
          <w:p w14:paraId="3F3BA9C6">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（1）针对重大施工技术难题，向业主提供专题技术咨询报告。</w:t>
            </w:r>
          </w:p>
        </w:tc>
        <w:tc>
          <w:tcPr>
            <w:tcW w:w="903" w:type="dxa"/>
            <w:noWrap w:val="0"/>
            <w:vAlign w:val="center"/>
          </w:tcPr>
          <w:p w14:paraId="39C75D4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1E51513A">
            <w:pPr>
              <w:rPr>
                <w:rFonts w:ascii="宋体" w:hAnsi="宋体"/>
                <w:b w:val="0"/>
                <w:bCs w:val="0"/>
                <w:color w:val="auto"/>
                <w:sz w:val="21"/>
                <w:szCs w:val="21"/>
                <w:highlight w:val="none"/>
              </w:rPr>
            </w:pPr>
          </w:p>
        </w:tc>
      </w:tr>
      <w:tr w14:paraId="61C1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0C2F9198">
            <w:pPr>
              <w:jc w:val="center"/>
              <w:rPr>
                <w:rFonts w:ascii="宋体" w:hAnsi="宋体"/>
                <w:b w:val="0"/>
                <w:bCs w:val="0"/>
                <w:color w:val="auto"/>
                <w:sz w:val="21"/>
                <w:szCs w:val="21"/>
                <w:highlight w:val="none"/>
              </w:rPr>
            </w:pPr>
          </w:p>
        </w:tc>
        <w:tc>
          <w:tcPr>
            <w:tcW w:w="1085" w:type="dxa"/>
            <w:vMerge w:val="continue"/>
            <w:noWrap w:val="0"/>
            <w:vAlign w:val="center"/>
          </w:tcPr>
          <w:p w14:paraId="59F9BB29">
            <w:pPr>
              <w:jc w:val="center"/>
              <w:rPr>
                <w:rFonts w:ascii="宋体" w:hAnsi="宋体"/>
                <w:b w:val="0"/>
                <w:bCs w:val="0"/>
                <w:color w:val="auto"/>
                <w:sz w:val="21"/>
                <w:szCs w:val="21"/>
                <w:highlight w:val="none"/>
              </w:rPr>
            </w:pPr>
          </w:p>
        </w:tc>
        <w:tc>
          <w:tcPr>
            <w:tcW w:w="5782" w:type="dxa"/>
            <w:noWrap w:val="0"/>
            <w:vAlign w:val="center"/>
          </w:tcPr>
          <w:p w14:paraId="588AE26B">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（2）针对工程施工技术问题，安排专家举办专题技术讲座和论证会。</w:t>
            </w:r>
          </w:p>
        </w:tc>
        <w:tc>
          <w:tcPr>
            <w:tcW w:w="903" w:type="dxa"/>
            <w:noWrap w:val="0"/>
            <w:vAlign w:val="center"/>
          </w:tcPr>
          <w:p w14:paraId="57FA3024">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4E2574C7">
            <w:pPr>
              <w:rPr>
                <w:rFonts w:ascii="宋体" w:hAnsi="宋体"/>
                <w:b w:val="0"/>
                <w:bCs w:val="0"/>
                <w:color w:val="auto"/>
                <w:sz w:val="21"/>
                <w:szCs w:val="21"/>
                <w:highlight w:val="none"/>
              </w:rPr>
            </w:pPr>
          </w:p>
        </w:tc>
      </w:tr>
      <w:tr w14:paraId="57B4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noWrap w:val="0"/>
            <w:vAlign w:val="center"/>
          </w:tcPr>
          <w:p w14:paraId="09C6D02A">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7</w:t>
            </w:r>
          </w:p>
        </w:tc>
        <w:tc>
          <w:tcPr>
            <w:tcW w:w="1085" w:type="dxa"/>
            <w:vMerge w:val="restart"/>
            <w:noWrap w:val="0"/>
            <w:vAlign w:val="center"/>
          </w:tcPr>
          <w:p w14:paraId="3D8CD507">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信息管理（4分）</w:t>
            </w:r>
          </w:p>
        </w:tc>
        <w:tc>
          <w:tcPr>
            <w:tcW w:w="5782" w:type="dxa"/>
            <w:noWrap w:val="0"/>
            <w:vAlign w:val="center"/>
          </w:tcPr>
          <w:p w14:paraId="5D0D2DD2">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（1）及时编写工程进展情况，满足随时向上级作工程进展汇报的需要。</w:t>
            </w:r>
          </w:p>
        </w:tc>
        <w:tc>
          <w:tcPr>
            <w:tcW w:w="903" w:type="dxa"/>
            <w:noWrap w:val="0"/>
            <w:vAlign w:val="center"/>
          </w:tcPr>
          <w:p w14:paraId="47600B18">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7F8CC0C3">
            <w:pPr>
              <w:rPr>
                <w:rFonts w:ascii="宋体" w:hAnsi="宋体"/>
                <w:b w:val="0"/>
                <w:bCs w:val="0"/>
                <w:color w:val="auto"/>
                <w:sz w:val="21"/>
                <w:szCs w:val="21"/>
                <w:highlight w:val="none"/>
              </w:rPr>
            </w:pPr>
          </w:p>
        </w:tc>
      </w:tr>
      <w:tr w14:paraId="6D7E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3BA563F6">
            <w:pPr>
              <w:jc w:val="center"/>
              <w:rPr>
                <w:rFonts w:ascii="宋体" w:hAnsi="宋体"/>
                <w:b w:val="0"/>
                <w:bCs w:val="0"/>
                <w:color w:val="auto"/>
                <w:sz w:val="21"/>
                <w:szCs w:val="21"/>
                <w:highlight w:val="none"/>
              </w:rPr>
            </w:pPr>
          </w:p>
        </w:tc>
        <w:tc>
          <w:tcPr>
            <w:tcW w:w="1085" w:type="dxa"/>
            <w:vMerge w:val="continue"/>
            <w:noWrap w:val="0"/>
            <w:vAlign w:val="center"/>
          </w:tcPr>
          <w:p w14:paraId="3653828B">
            <w:pPr>
              <w:jc w:val="center"/>
              <w:rPr>
                <w:rFonts w:ascii="宋体" w:hAnsi="宋体"/>
                <w:b w:val="0"/>
                <w:bCs w:val="0"/>
                <w:color w:val="auto"/>
                <w:sz w:val="21"/>
                <w:szCs w:val="21"/>
                <w:highlight w:val="none"/>
              </w:rPr>
            </w:pPr>
          </w:p>
        </w:tc>
        <w:tc>
          <w:tcPr>
            <w:tcW w:w="5782" w:type="dxa"/>
            <w:noWrap w:val="0"/>
            <w:vAlign w:val="center"/>
          </w:tcPr>
          <w:p w14:paraId="1AF31037">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（2）对业主、设计、其它监理单位、施工单位的信息传递与反馈及时、准确、畅通。</w:t>
            </w:r>
          </w:p>
        </w:tc>
        <w:tc>
          <w:tcPr>
            <w:tcW w:w="903" w:type="dxa"/>
            <w:noWrap w:val="0"/>
            <w:vAlign w:val="center"/>
          </w:tcPr>
          <w:p w14:paraId="428A9BE9">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795" w:type="dxa"/>
            <w:noWrap w:val="0"/>
            <w:vAlign w:val="top"/>
          </w:tcPr>
          <w:p w14:paraId="306BAAFE">
            <w:pPr>
              <w:rPr>
                <w:rFonts w:ascii="宋体" w:hAnsi="宋体"/>
                <w:b w:val="0"/>
                <w:bCs w:val="0"/>
                <w:color w:val="auto"/>
                <w:sz w:val="21"/>
                <w:szCs w:val="21"/>
                <w:highlight w:val="none"/>
              </w:rPr>
            </w:pPr>
          </w:p>
        </w:tc>
      </w:tr>
      <w:tr w14:paraId="3B83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continue"/>
            <w:noWrap w:val="0"/>
            <w:vAlign w:val="center"/>
          </w:tcPr>
          <w:p w14:paraId="46CEA1CC">
            <w:pPr>
              <w:jc w:val="center"/>
              <w:rPr>
                <w:rFonts w:ascii="宋体" w:hAnsi="宋体"/>
                <w:b w:val="0"/>
                <w:bCs w:val="0"/>
                <w:color w:val="auto"/>
                <w:sz w:val="21"/>
                <w:szCs w:val="21"/>
                <w:highlight w:val="none"/>
              </w:rPr>
            </w:pPr>
          </w:p>
        </w:tc>
        <w:tc>
          <w:tcPr>
            <w:tcW w:w="1085" w:type="dxa"/>
            <w:vMerge w:val="continue"/>
            <w:noWrap w:val="0"/>
            <w:vAlign w:val="center"/>
          </w:tcPr>
          <w:p w14:paraId="2A184475">
            <w:pPr>
              <w:jc w:val="center"/>
              <w:rPr>
                <w:rFonts w:ascii="宋体" w:hAnsi="宋体"/>
                <w:b w:val="0"/>
                <w:bCs w:val="0"/>
                <w:color w:val="auto"/>
                <w:sz w:val="21"/>
                <w:szCs w:val="21"/>
                <w:highlight w:val="none"/>
              </w:rPr>
            </w:pPr>
          </w:p>
        </w:tc>
        <w:tc>
          <w:tcPr>
            <w:tcW w:w="5782" w:type="dxa"/>
            <w:noWrap w:val="0"/>
            <w:vAlign w:val="center"/>
          </w:tcPr>
          <w:p w14:paraId="3F838827">
            <w:pPr>
              <w:jc w:val="both"/>
              <w:rPr>
                <w:rFonts w:ascii="宋体" w:hAnsi="宋体" w:cs="宋体"/>
                <w:b w:val="0"/>
                <w:bCs w:val="0"/>
                <w:color w:val="auto"/>
                <w:sz w:val="21"/>
                <w:szCs w:val="21"/>
                <w:highlight w:val="none"/>
              </w:rPr>
            </w:pPr>
            <w:r>
              <w:rPr>
                <w:rFonts w:hint="eastAsia" w:ascii="宋体" w:hAnsi="宋体"/>
                <w:b w:val="0"/>
                <w:bCs w:val="0"/>
                <w:color w:val="auto"/>
                <w:sz w:val="21"/>
                <w:szCs w:val="21"/>
                <w:highlight w:val="none"/>
              </w:rPr>
              <w:t>（3）文档及资料归档工作系统、完善，查找便捷。</w:t>
            </w:r>
          </w:p>
        </w:tc>
        <w:tc>
          <w:tcPr>
            <w:tcW w:w="903" w:type="dxa"/>
            <w:noWrap w:val="0"/>
            <w:vAlign w:val="center"/>
          </w:tcPr>
          <w:p w14:paraId="3736878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w:t>
            </w:r>
          </w:p>
        </w:tc>
        <w:tc>
          <w:tcPr>
            <w:tcW w:w="795" w:type="dxa"/>
            <w:noWrap w:val="0"/>
            <w:vAlign w:val="top"/>
          </w:tcPr>
          <w:p w14:paraId="28B43803">
            <w:pPr>
              <w:rPr>
                <w:rFonts w:ascii="宋体" w:hAnsi="宋体"/>
                <w:b w:val="0"/>
                <w:bCs w:val="0"/>
                <w:color w:val="auto"/>
                <w:sz w:val="21"/>
                <w:szCs w:val="21"/>
                <w:highlight w:val="none"/>
              </w:rPr>
            </w:pPr>
          </w:p>
        </w:tc>
      </w:tr>
      <w:tr w14:paraId="62C2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75E0BA42">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8</w:t>
            </w:r>
          </w:p>
        </w:tc>
        <w:tc>
          <w:tcPr>
            <w:tcW w:w="1085" w:type="dxa"/>
            <w:noWrap w:val="0"/>
            <w:vAlign w:val="center"/>
          </w:tcPr>
          <w:p w14:paraId="6F971467">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廉洁自律</w:t>
            </w:r>
          </w:p>
          <w:p w14:paraId="3948486B">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（2分）</w:t>
            </w:r>
          </w:p>
        </w:tc>
        <w:tc>
          <w:tcPr>
            <w:tcW w:w="5782" w:type="dxa"/>
            <w:noWrap w:val="0"/>
            <w:vAlign w:val="center"/>
          </w:tcPr>
          <w:p w14:paraId="033CE447">
            <w:pPr>
              <w:jc w:val="both"/>
              <w:rPr>
                <w:rFonts w:ascii="宋体" w:hAnsi="宋体"/>
                <w:b w:val="0"/>
                <w:bCs w:val="0"/>
                <w:color w:val="auto"/>
                <w:sz w:val="21"/>
                <w:szCs w:val="21"/>
                <w:highlight w:val="none"/>
              </w:rPr>
            </w:pPr>
            <w:r>
              <w:rPr>
                <w:rFonts w:hint="eastAsia" w:ascii="宋体" w:hAnsi="宋体"/>
                <w:b w:val="0"/>
                <w:bCs w:val="0"/>
                <w:color w:val="auto"/>
                <w:sz w:val="21"/>
                <w:szCs w:val="21"/>
                <w:highlight w:val="none"/>
              </w:rPr>
              <w:t>严格遵守与业主签定的《廉洁诚信协议书》的相关规定</w:t>
            </w:r>
          </w:p>
        </w:tc>
        <w:tc>
          <w:tcPr>
            <w:tcW w:w="903" w:type="dxa"/>
            <w:noWrap w:val="0"/>
            <w:vAlign w:val="center"/>
          </w:tcPr>
          <w:p w14:paraId="39733708">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2</w:t>
            </w:r>
          </w:p>
        </w:tc>
        <w:tc>
          <w:tcPr>
            <w:tcW w:w="795" w:type="dxa"/>
            <w:noWrap w:val="0"/>
            <w:vAlign w:val="top"/>
          </w:tcPr>
          <w:p w14:paraId="56009C52">
            <w:pPr>
              <w:rPr>
                <w:rFonts w:ascii="宋体" w:hAnsi="宋体"/>
                <w:b w:val="0"/>
                <w:bCs w:val="0"/>
                <w:color w:val="auto"/>
                <w:sz w:val="21"/>
                <w:szCs w:val="21"/>
                <w:highlight w:val="none"/>
              </w:rPr>
            </w:pPr>
          </w:p>
        </w:tc>
      </w:tr>
      <w:tr w14:paraId="1A74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87" w:type="dxa"/>
            <w:gridSpan w:val="3"/>
            <w:noWrap w:val="0"/>
            <w:vAlign w:val="center"/>
          </w:tcPr>
          <w:p w14:paraId="7B681F54">
            <w:pPr>
              <w:spacing w:before="156" w:beforeLines="50" w:after="156" w:afterLines="50"/>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合计分数</w:t>
            </w:r>
          </w:p>
        </w:tc>
        <w:tc>
          <w:tcPr>
            <w:tcW w:w="903" w:type="dxa"/>
            <w:noWrap w:val="0"/>
            <w:vAlign w:val="center"/>
          </w:tcPr>
          <w:p w14:paraId="30E7C055">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100</w:t>
            </w:r>
          </w:p>
        </w:tc>
        <w:tc>
          <w:tcPr>
            <w:tcW w:w="795" w:type="dxa"/>
            <w:noWrap w:val="0"/>
            <w:vAlign w:val="top"/>
          </w:tcPr>
          <w:p w14:paraId="22F7FFA0">
            <w:pPr>
              <w:rPr>
                <w:rFonts w:ascii="宋体" w:hAnsi="宋体"/>
                <w:b w:val="0"/>
                <w:bCs w:val="0"/>
                <w:color w:val="auto"/>
                <w:sz w:val="21"/>
                <w:szCs w:val="21"/>
                <w:highlight w:val="none"/>
              </w:rPr>
            </w:pPr>
          </w:p>
        </w:tc>
      </w:tr>
      <w:tr w14:paraId="4C42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5" w:type="dxa"/>
            <w:gridSpan w:val="2"/>
            <w:noWrap w:val="0"/>
            <w:vAlign w:val="center"/>
          </w:tcPr>
          <w:p w14:paraId="0AE0587C">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监理部人员到位情况评价</w:t>
            </w:r>
          </w:p>
        </w:tc>
        <w:tc>
          <w:tcPr>
            <w:tcW w:w="7480" w:type="dxa"/>
            <w:gridSpan w:val="3"/>
            <w:noWrap w:val="0"/>
            <w:vAlign w:val="center"/>
          </w:tcPr>
          <w:p w14:paraId="524D3BD0">
            <w:pPr>
              <w:rPr>
                <w:rFonts w:ascii="宋体" w:hAnsi="宋体"/>
                <w:b w:val="0"/>
                <w:bCs w:val="0"/>
                <w:color w:val="auto"/>
                <w:sz w:val="21"/>
                <w:szCs w:val="21"/>
                <w:highlight w:val="none"/>
              </w:rPr>
            </w:pPr>
          </w:p>
          <w:p w14:paraId="0CB8D64D">
            <w:pPr>
              <w:rPr>
                <w:rFonts w:ascii="宋体" w:hAnsi="宋体"/>
                <w:b w:val="0"/>
                <w:bCs w:val="0"/>
                <w:color w:val="auto"/>
                <w:sz w:val="21"/>
                <w:szCs w:val="21"/>
                <w:highlight w:val="none"/>
              </w:rPr>
            </w:pPr>
          </w:p>
          <w:p w14:paraId="594742BF">
            <w:pPr>
              <w:rPr>
                <w:rFonts w:ascii="宋体" w:hAnsi="宋体"/>
                <w:b w:val="0"/>
                <w:bCs w:val="0"/>
                <w:color w:val="auto"/>
                <w:sz w:val="21"/>
                <w:szCs w:val="21"/>
                <w:highlight w:val="none"/>
              </w:rPr>
            </w:pPr>
          </w:p>
          <w:p w14:paraId="38AAD82F">
            <w:pPr>
              <w:rPr>
                <w:rFonts w:ascii="宋体" w:hAnsi="宋体"/>
                <w:b w:val="0"/>
                <w:bCs w:val="0"/>
                <w:color w:val="auto"/>
                <w:sz w:val="21"/>
                <w:szCs w:val="21"/>
                <w:highlight w:val="none"/>
              </w:rPr>
            </w:pPr>
            <w:r>
              <w:rPr>
                <w:rFonts w:hint="eastAsia" w:ascii="宋体" w:hAnsi="宋体"/>
                <w:b w:val="0"/>
                <w:bCs w:val="0"/>
                <w:color w:val="auto"/>
                <w:sz w:val="21"/>
                <w:szCs w:val="21"/>
                <w:highlight w:val="none"/>
              </w:rPr>
              <w:t xml:space="preserve">考核小组组长：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年   月   日</w:t>
            </w:r>
          </w:p>
        </w:tc>
      </w:tr>
      <w:tr w14:paraId="257F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5" w:type="dxa"/>
            <w:gridSpan w:val="2"/>
            <w:noWrap w:val="0"/>
            <w:vAlign w:val="center"/>
          </w:tcPr>
          <w:p w14:paraId="71DB3A0C">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综合得分及评价意见（综合得分为结合专项检查和本次季度考核合计分数所得到的综合得分）</w:t>
            </w:r>
          </w:p>
        </w:tc>
        <w:tc>
          <w:tcPr>
            <w:tcW w:w="7480" w:type="dxa"/>
            <w:gridSpan w:val="3"/>
            <w:noWrap w:val="0"/>
            <w:vAlign w:val="center"/>
          </w:tcPr>
          <w:p w14:paraId="76C5B065">
            <w:pPr>
              <w:rPr>
                <w:rFonts w:ascii="宋体" w:hAnsi="宋体"/>
                <w:b w:val="0"/>
                <w:bCs w:val="0"/>
                <w:color w:val="auto"/>
                <w:sz w:val="21"/>
                <w:szCs w:val="21"/>
                <w:highlight w:val="none"/>
              </w:rPr>
            </w:pPr>
          </w:p>
          <w:p w14:paraId="595A46CA">
            <w:pPr>
              <w:rPr>
                <w:rFonts w:ascii="宋体" w:hAnsi="宋体"/>
                <w:b w:val="0"/>
                <w:bCs w:val="0"/>
                <w:color w:val="auto"/>
                <w:sz w:val="21"/>
                <w:szCs w:val="21"/>
                <w:highlight w:val="none"/>
              </w:rPr>
            </w:pPr>
          </w:p>
          <w:p w14:paraId="15012B75">
            <w:pPr>
              <w:rPr>
                <w:rFonts w:ascii="宋体" w:hAnsi="宋体"/>
                <w:b w:val="0"/>
                <w:bCs w:val="0"/>
                <w:color w:val="auto"/>
                <w:sz w:val="21"/>
                <w:szCs w:val="21"/>
                <w:highlight w:val="none"/>
              </w:rPr>
            </w:pPr>
          </w:p>
          <w:p w14:paraId="31A6F44B">
            <w:pPr>
              <w:rPr>
                <w:rFonts w:ascii="宋体" w:hAnsi="宋体"/>
                <w:b w:val="0"/>
                <w:bCs w:val="0"/>
                <w:color w:val="auto"/>
                <w:sz w:val="21"/>
                <w:szCs w:val="21"/>
                <w:highlight w:val="none"/>
              </w:rPr>
            </w:pPr>
          </w:p>
          <w:p w14:paraId="3BB4C2EC">
            <w:pPr>
              <w:rPr>
                <w:rFonts w:ascii="宋体" w:hAnsi="宋体"/>
                <w:b w:val="0"/>
                <w:bCs w:val="0"/>
                <w:color w:val="auto"/>
                <w:sz w:val="21"/>
                <w:szCs w:val="21"/>
                <w:highlight w:val="none"/>
              </w:rPr>
            </w:pPr>
          </w:p>
          <w:p w14:paraId="6B71EF2B">
            <w:pPr>
              <w:rPr>
                <w:rFonts w:ascii="宋体" w:hAnsi="宋体"/>
                <w:b w:val="0"/>
                <w:bCs w:val="0"/>
                <w:color w:val="auto"/>
                <w:sz w:val="21"/>
                <w:szCs w:val="21"/>
                <w:highlight w:val="none"/>
              </w:rPr>
            </w:pPr>
            <w:r>
              <w:rPr>
                <w:rFonts w:hint="eastAsia" w:ascii="宋体" w:hAnsi="宋体"/>
                <w:b w:val="0"/>
                <w:bCs w:val="0"/>
                <w:color w:val="auto"/>
                <w:sz w:val="21"/>
                <w:szCs w:val="21"/>
                <w:highlight w:val="none"/>
              </w:rPr>
              <w:t xml:space="preserve">考核小组组长：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 xml:space="preserve"> 年   月   日</w:t>
            </w:r>
          </w:p>
        </w:tc>
      </w:tr>
      <w:tr w14:paraId="46D8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805" w:type="dxa"/>
            <w:gridSpan w:val="2"/>
            <w:noWrap w:val="0"/>
            <w:vAlign w:val="center"/>
          </w:tcPr>
          <w:p w14:paraId="347DC6F0">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考核小组人员</w:t>
            </w:r>
          </w:p>
          <w:p w14:paraId="36B22516">
            <w:pPr>
              <w:jc w:val="center"/>
              <w:rPr>
                <w:rFonts w:ascii="宋体" w:hAnsi="宋体"/>
                <w:b w:val="0"/>
                <w:bCs w:val="0"/>
                <w:color w:val="auto"/>
                <w:sz w:val="21"/>
                <w:szCs w:val="21"/>
                <w:highlight w:val="none"/>
              </w:rPr>
            </w:pPr>
            <w:r>
              <w:rPr>
                <w:rFonts w:hint="eastAsia" w:ascii="宋体" w:hAnsi="宋体"/>
                <w:b w:val="0"/>
                <w:bCs w:val="0"/>
                <w:color w:val="auto"/>
                <w:sz w:val="21"/>
                <w:szCs w:val="21"/>
                <w:highlight w:val="none"/>
              </w:rPr>
              <w:t>签名</w:t>
            </w:r>
          </w:p>
        </w:tc>
        <w:tc>
          <w:tcPr>
            <w:tcW w:w="7480" w:type="dxa"/>
            <w:gridSpan w:val="3"/>
            <w:noWrap w:val="0"/>
            <w:vAlign w:val="center"/>
          </w:tcPr>
          <w:p w14:paraId="1F3C8CE8">
            <w:pPr>
              <w:rPr>
                <w:rFonts w:ascii="宋体" w:hAnsi="宋体"/>
                <w:b w:val="0"/>
                <w:bCs w:val="0"/>
                <w:color w:val="auto"/>
                <w:sz w:val="21"/>
                <w:szCs w:val="21"/>
                <w:highlight w:val="none"/>
              </w:rPr>
            </w:pPr>
          </w:p>
          <w:p w14:paraId="2D7F47B8">
            <w:pPr>
              <w:rPr>
                <w:rFonts w:ascii="宋体" w:hAnsi="宋体"/>
                <w:b w:val="0"/>
                <w:bCs w:val="0"/>
                <w:color w:val="auto"/>
                <w:sz w:val="21"/>
                <w:szCs w:val="21"/>
                <w:highlight w:val="none"/>
              </w:rPr>
            </w:pPr>
          </w:p>
          <w:p w14:paraId="3B92AA20">
            <w:pPr>
              <w:rPr>
                <w:rFonts w:ascii="宋体" w:hAnsi="宋体"/>
                <w:b w:val="0"/>
                <w:bCs w:val="0"/>
                <w:color w:val="auto"/>
                <w:sz w:val="21"/>
                <w:szCs w:val="21"/>
                <w:highlight w:val="none"/>
              </w:rPr>
            </w:pPr>
            <w:r>
              <w:rPr>
                <w:rFonts w:hint="eastAsia"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 xml:space="preserve"> 年   月   日</w:t>
            </w:r>
          </w:p>
        </w:tc>
      </w:tr>
    </w:tbl>
    <w:p w14:paraId="56D634DA">
      <w:pPr>
        <w:pStyle w:val="16"/>
        <w:rPr>
          <w:b w:val="0"/>
          <w:bCs w:val="0"/>
          <w:color w:val="auto"/>
        </w:rPr>
      </w:pPr>
    </w:p>
    <w:p w14:paraId="1DF7CFA9">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4F479043">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05F2F682">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1C5FC9C4">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7C52013C">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66C03E55">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541986C1">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pPr>
    </w:p>
    <w:p w14:paraId="04024D9A">
      <w:pPr>
        <w:pStyle w:val="9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Style w:val="57"/>
          <w:rFonts w:hint="default" w:ascii="宋体" w:hAnsi="宋体"/>
          <w:b w:val="0"/>
          <w:bCs w:val="0"/>
          <w:color w:val="auto"/>
          <w:szCs w:val="21"/>
          <w:highlight w:val="none"/>
          <w:lang w:val="en-US" w:eastAsia="zh-CN"/>
        </w:rPr>
        <w:sectPr>
          <w:footerReference r:id="rId7" w:type="default"/>
          <w:pgSz w:w="11906" w:h="16838"/>
          <w:pgMar w:top="1440" w:right="1800" w:bottom="1440" w:left="1800" w:header="851" w:footer="992" w:gutter="0"/>
          <w:pgNumType w:start="1"/>
          <w:cols w:space="720" w:num="1"/>
          <w:docGrid w:type="lines" w:linePitch="312" w:charSpace="0"/>
        </w:sectPr>
      </w:pPr>
    </w:p>
    <w:p w14:paraId="6F5795D4">
      <w:pPr>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u w:val="single"/>
          <w:lang w:val="en-US" w:eastAsia="zh-CN"/>
        </w:rPr>
      </w:pPr>
    </w:p>
    <w:p w14:paraId="7BD100E0">
      <w:pPr>
        <w:pStyle w:val="163"/>
        <w:autoSpaceDE w:val="0"/>
        <w:autoSpaceDN w:val="0"/>
        <w:adjustRightInd w:val="0"/>
        <w:jc w:val="left"/>
        <w:rPr>
          <w:rFonts w:hint="eastAsia" w:ascii="宋体" w:hAnsi="宋体"/>
          <w:b w:val="0"/>
          <w:bCs w:val="0"/>
          <w:color w:val="auto"/>
          <w:sz w:val="32"/>
          <w:szCs w:val="32"/>
          <w:lang w:val="en-US" w:eastAsia="zh-CN"/>
        </w:rPr>
      </w:pPr>
      <w:r>
        <w:rPr>
          <w:rFonts w:hint="eastAsia" w:ascii="宋体" w:hAnsi="宋体"/>
          <w:b w:val="0"/>
          <w:bCs w:val="0"/>
          <w:color w:val="auto"/>
          <w:sz w:val="32"/>
          <w:szCs w:val="32"/>
          <w:lang w:val="en-US" w:eastAsia="zh-CN"/>
        </w:rPr>
        <w:t>附件1</w:t>
      </w:r>
    </w:p>
    <w:p w14:paraId="638F27B0">
      <w:pPr>
        <w:pStyle w:val="163"/>
        <w:autoSpaceDE w:val="0"/>
        <w:autoSpaceDN w:val="0"/>
        <w:adjustRightInd w:val="0"/>
        <w:jc w:val="center"/>
        <w:rPr>
          <w:rFonts w:hint="eastAsia" w:ascii="黑体" w:hAnsi="Arial" w:eastAsia="黑体"/>
          <w:b w:val="0"/>
          <w:bCs w:val="0"/>
          <w:color w:val="auto"/>
          <w:kern w:val="0"/>
          <w:sz w:val="36"/>
          <w:szCs w:val="36"/>
        </w:rPr>
      </w:pPr>
      <w:r>
        <w:rPr>
          <w:rFonts w:hint="eastAsia" w:ascii="黑体" w:hAnsi="Arial" w:eastAsia="黑体"/>
          <w:b w:val="0"/>
          <w:bCs w:val="0"/>
          <w:color w:val="auto"/>
          <w:kern w:val="0"/>
          <w:sz w:val="36"/>
          <w:szCs w:val="36"/>
        </w:rPr>
        <w:t>建设工程廉政责任合同</w:t>
      </w:r>
    </w:p>
    <w:p w14:paraId="0A669BFD">
      <w:pPr>
        <w:pStyle w:val="163"/>
        <w:autoSpaceDE w:val="0"/>
        <w:autoSpaceDN w:val="0"/>
        <w:adjustRightInd w:val="0"/>
        <w:spacing w:line="360" w:lineRule="auto"/>
        <w:jc w:val="left"/>
        <w:rPr>
          <w:rFonts w:hint="default" w:ascii="宋体" w:hAnsi="宋体" w:eastAsia="宋体" w:cs="Times New Roman"/>
          <w:b w:val="0"/>
          <w:bCs w:val="0"/>
          <w:color w:val="auto"/>
          <w:kern w:val="2"/>
          <w:sz w:val="21"/>
          <w:szCs w:val="21"/>
          <w:lang w:val="en-US" w:eastAsia="zh-CN"/>
        </w:rPr>
      </w:pPr>
      <w:r>
        <w:rPr>
          <w:rFonts w:hint="eastAsia" w:ascii="宋体" w:hAnsi="宋体" w:eastAsia="宋体" w:cs="Times New Roman"/>
          <w:b w:val="0"/>
          <w:bCs w:val="0"/>
          <w:color w:val="auto"/>
          <w:kern w:val="2"/>
          <w:sz w:val="21"/>
          <w:szCs w:val="21"/>
          <w:lang w:val="en-US" w:eastAsia="zh-CN"/>
        </w:rPr>
        <w:t xml:space="preserve"> </w:t>
      </w:r>
    </w:p>
    <w:p w14:paraId="7E5B3ABC">
      <w:pPr>
        <w:pStyle w:val="163"/>
        <w:autoSpaceDE w:val="0"/>
        <w:autoSpaceDN w:val="0"/>
        <w:adjustRightInd w:val="0"/>
        <w:spacing w:line="360" w:lineRule="auto"/>
        <w:jc w:val="left"/>
        <w:rPr>
          <w:rFonts w:hint="default" w:ascii="宋体" w:hAnsi="宋体" w:eastAsia="宋体" w:cs="Times New Roman"/>
          <w:b w:val="0"/>
          <w:bCs w:val="0"/>
          <w:color w:val="auto"/>
          <w:kern w:val="2"/>
          <w:sz w:val="21"/>
          <w:szCs w:val="21"/>
          <w:u w:val="none"/>
          <w:lang w:val="en-US" w:eastAsia="zh-CN"/>
        </w:rPr>
      </w:pP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委托人</w:t>
      </w:r>
      <w:r>
        <w:rPr>
          <w:rFonts w:hint="default" w:ascii="宋体" w:hAnsi="宋体" w:eastAsia="宋体" w:cs="Times New Roman"/>
          <w:b w:val="0"/>
          <w:bCs w:val="0"/>
          <w:color w:val="auto"/>
          <w:kern w:val="2"/>
          <w:sz w:val="21"/>
          <w:szCs w:val="21"/>
        </w:rPr>
        <w:t>：</w:t>
      </w:r>
      <w:r>
        <w:rPr>
          <w:rFonts w:hint="eastAsia" w:ascii="宋体" w:hAnsi="宋体" w:eastAsia="宋体" w:cs="Times New Roman"/>
          <w:b w:val="0"/>
          <w:bCs w:val="0"/>
          <w:color w:val="auto"/>
          <w:kern w:val="2"/>
          <w:sz w:val="21"/>
          <w:szCs w:val="21"/>
          <w:u w:val="single"/>
          <w:lang w:val="en-US" w:eastAsia="zh-CN"/>
        </w:rPr>
        <w:t>深圳市龙岗区城投新基础设施建设管理有限公司</w:t>
      </w:r>
    </w:p>
    <w:p w14:paraId="4F7EDADB">
      <w:pPr>
        <w:pStyle w:val="163"/>
        <w:autoSpaceDE w:val="0"/>
        <w:autoSpaceDN w:val="0"/>
        <w:adjustRightInd w:val="0"/>
        <w:spacing w:line="360" w:lineRule="auto"/>
        <w:ind w:firstLine="420" w:firstLineChars="200"/>
        <w:jc w:val="left"/>
        <w:rPr>
          <w:rFonts w:hint="default" w:ascii="宋体" w:hAnsi="宋体" w:eastAsia="宋体" w:cs="Times New Roman"/>
          <w:b w:val="0"/>
          <w:bCs w:val="0"/>
          <w:color w:val="auto"/>
          <w:kern w:val="2"/>
          <w:sz w:val="21"/>
          <w:szCs w:val="21"/>
          <w:u w:val="none"/>
          <w:lang w:val="en-US" w:eastAsia="zh-CN"/>
        </w:rPr>
      </w:pPr>
      <w:r>
        <w:rPr>
          <w:rFonts w:hint="eastAsia" w:ascii="宋体" w:hAnsi="宋体" w:eastAsia="宋体" w:cs="Times New Roman"/>
          <w:b w:val="0"/>
          <w:bCs w:val="0"/>
          <w:color w:val="auto"/>
          <w:kern w:val="2"/>
          <w:sz w:val="21"/>
          <w:szCs w:val="21"/>
          <w:lang w:val="en-US" w:eastAsia="zh-CN"/>
        </w:rPr>
        <w:t>监理人</w:t>
      </w:r>
      <w:r>
        <w:rPr>
          <w:rFonts w:hint="default" w:ascii="宋体" w:hAnsi="宋体" w:eastAsia="宋体" w:cs="Times New Roman"/>
          <w:b w:val="0"/>
          <w:bCs w:val="0"/>
          <w:color w:val="auto"/>
          <w:kern w:val="2"/>
          <w:sz w:val="21"/>
          <w:szCs w:val="21"/>
        </w:rPr>
        <w:t>：</w:t>
      </w:r>
      <w:r>
        <w:rPr>
          <w:rFonts w:hint="default" w:ascii="宋体" w:hAnsi="宋体" w:eastAsia="宋体" w:cs="Times New Roman"/>
          <w:b w:val="0"/>
          <w:bCs w:val="0"/>
          <w:color w:val="auto"/>
          <w:kern w:val="2"/>
          <w:sz w:val="21"/>
          <w:szCs w:val="21"/>
          <w:u w:val="none"/>
          <w:lang w:val="en-US" w:eastAsia="zh-CN"/>
        </w:rPr>
        <w:t>_______________________________</w:t>
      </w:r>
    </w:p>
    <w:p w14:paraId="4856ED90">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为加强工程建设中的廉政建设，规范工程项目双方的各项活动，防止发生各种谋取不正当利益的违法违纪行为，确保建设项目工程质量达到国家有关规定，根据国家有关工程建设的法律法规和廉政建设规定，特订立本廉政合同。</w:t>
      </w:r>
    </w:p>
    <w:p w14:paraId="2CD14F30">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第一条　双方的权利和义务</w:t>
      </w:r>
    </w:p>
    <w:p w14:paraId="6502B530">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（一）严格遵守国家关于市场准入、勘测设计、施工监理、招标投标、工程施工、设备安装和市场经营活动等有关法律法规和相关政策，以及廉政建设的各项规定。</w:t>
      </w:r>
    </w:p>
    <w:p w14:paraId="7ED62B20">
      <w:pPr>
        <w:pStyle w:val="163"/>
        <w:autoSpaceDE w:val="0"/>
        <w:autoSpaceDN w:val="0"/>
        <w:adjustRightInd w:val="0"/>
        <w:spacing w:line="300" w:lineRule="auto"/>
        <w:ind w:firstLine="420" w:firstLineChars="200"/>
        <w:jc w:val="left"/>
        <w:rPr>
          <w:rFonts w:hint="eastAsia" w:ascii="宋体" w:hAnsi="宋体" w:eastAsia="宋体" w:cs="Times New Roman"/>
          <w:b w:val="0"/>
          <w:bCs w:val="0"/>
          <w:color w:val="auto"/>
          <w:kern w:val="2"/>
          <w:sz w:val="21"/>
          <w:szCs w:val="21"/>
          <w:lang w:val="en-US" w:eastAsia="zh-CN"/>
        </w:rPr>
      </w:pPr>
      <w:r>
        <w:rPr>
          <w:rFonts w:hint="default" w:ascii="宋体" w:hAnsi="宋体" w:eastAsia="宋体" w:cs="Times New Roman"/>
          <w:b w:val="0"/>
          <w:bCs w:val="0"/>
          <w:color w:val="auto"/>
          <w:kern w:val="2"/>
          <w:sz w:val="21"/>
          <w:szCs w:val="21"/>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r>
        <w:rPr>
          <w:rFonts w:hint="eastAsia" w:ascii="宋体" w:hAnsi="宋体" w:cs="Times New Roman"/>
          <w:b w:val="0"/>
          <w:bCs w:val="0"/>
          <w:color w:val="auto"/>
          <w:kern w:val="2"/>
          <w:sz w:val="21"/>
          <w:szCs w:val="21"/>
          <w:lang w:val="en-US" w:eastAsia="zh-CN"/>
        </w:rPr>
        <w:t xml:space="preserve"> </w:t>
      </w:r>
    </w:p>
    <w:p w14:paraId="7B6E2603">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14:paraId="33E665CF">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第二条　</w:t>
      </w:r>
      <w:r>
        <w:rPr>
          <w:rFonts w:hint="eastAsia" w:ascii="宋体" w:hAnsi="宋体" w:eastAsia="宋体" w:cs="Times New Roman"/>
          <w:b w:val="0"/>
          <w:bCs w:val="0"/>
          <w:color w:val="auto"/>
          <w:kern w:val="2"/>
          <w:sz w:val="21"/>
          <w:szCs w:val="21"/>
          <w:lang w:val="en-US" w:eastAsia="zh-CN"/>
        </w:rPr>
        <w:t>委托人</w:t>
      </w:r>
      <w:r>
        <w:rPr>
          <w:rFonts w:hint="default" w:ascii="宋体" w:hAnsi="宋体" w:eastAsia="宋体" w:cs="Times New Roman"/>
          <w:b w:val="0"/>
          <w:bCs w:val="0"/>
          <w:color w:val="auto"/>
          <w:kern w:val="2"/>
          <w:sz w:val="21"/>
          <w:szCs w:val="21"/>
        </w:rPr>
        <w:t>的责任</w:t>
      </w:r>
    </w:p>
    <w:p w14:paraId="70B8A596">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的负责人和从事该工程项目的工作人员，在工程项目的事前、事中、事后应遵守以下规定：</w:t>
      </w:r>
    </w:p>
    <w:p w14:paraId="7E95D2E0">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（一）不得以任何理由向</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索要或接受现金、有价证券、通讯工具、交通工具、高档办公用品及其它物品。</w:t>
      </w:r>
    </w:p>
    <w:p w14:paraId="0A75E1B5">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（二）不得在</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报销应由</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单位或个人支付的费用。</w:t>
      </w:r>
    </w:p>
    <w:p w14:paraId="28E8CBFB">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（三）不得参加</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安排的宴请及其他消费活动。</w:t>
      </w:r>
    </w:p>
    <w:p w14:paraId="15BD7D13">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（四）不得要求、暗示和接受</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为个人装修房屋及为配偶子女的工作安排以及本人或亲属旅游等提供方便。</w:t>
      </w:r>
    </w:p>
    <w:p w14:paraId="7A11C83B">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（五）其配偶、子女不得从事与</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承包工程有关的设备材料供应、工程分包、劳务等经济活动。</w:t>
      </w:r>
    </w:p>
    <w:p w14:paraId="5C3C488D">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（六）不得以任何理由向</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推荐分包单位或要求</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购买项目合同规定以外的材料、设备和服务等。</w:t>
      </w:r>
    </w:p>
    <w:p w14:paraId="531E98C9">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（七）不得串通</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人员在工程质量、工程经济技术签证等方面弄需作假，牟取私利。</w:t>
      </w:r>
    </w:p>
    <w:p w14:paraId="4242FAF3">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（八）不得肢解工程、指定工程分包单位。</w:t>
      </w:r>
    </w:p>
    <w:p w14:paraId="428B24C5">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第三条　</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的责任</w:t>
      </w:r>
    </w:p>
    <w:p w14:paraId="7E4BBCAD">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应与</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保持正常的业务交往，按照有关法律法规和程序开展业务活动，严格执行工程建设的有关方针、政策，尤其是有关强制性标准和规范，并遵守以下规定：</w:t>
      </w:r>
    </w:p>
    <w:p w14:paraId="6A955929">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（一）不得以任何理由向</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及其工作人员行贿或赠送现金、有价证券、贵重物品。</w:t>
      </w:r>
    </w:p>
    <w:p w14:paraId="4515F96C">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（二）不得以任何名义为</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及其工作人员报销应由对方支付的费用。</w:t>
      </w:r>
    </w:p>
    <w:p w14:paraId="3CEE12CF">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（三）不得以任何理由宴请</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工作人员或安排其他消费活动。</w:t>
      </w:r>
    </w:p>
    <w:p w14:paraId="5BA2C014">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（四）不为</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单位和工作人员购置或提供通讯工具、交通工具、高档办公用品和装修住房等。</w:t>
      </w:r>
    </w:p>
    <w:p w14:paraId="4C919797">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（五）不得串通</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人员在工程质量、工程隐蔽、工程经济技术签证等方面弄需作假，牟取私利。</w:t>
      </w:r>
    </w:p>
    <w:p w14:paraId="28D85403">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（六）不得</w:t>
      </w:r>
      <w:r>
        <w:rPr>
          <w:rFonts w:hint="eastAsia" w:ascii="宋体" w:hAnsi="宋体" w:eastAsia="宋体" w:cs="Times New Roman"/>
          <w:b w:val="0"/>
          <w:bCs w:val="0"/>
          <w:color w:val="auto"/>
          <w:kern w:val="2"/>
          <w:sz w:val="21"/>
          <w:szCs w:val="21"/>
          <w:lang w:val="en-US" w:eastAsia="zh-CN"/>
        </w:rPr>
        <w:t>串通承包人将</w:t>
      </w:r>
      <w:r>
        <w:rPr>
          <w:rFonts w:hint="default" w:ascii="宋体" w:hAnsi="宋体" w:eastAsia="宋体" w:cs="Times New Roman"/>
          <w:b w:val="0"/>
          <w:bCs w:val="0"/>
          <w:color w:val="auto"/>
          <w:kern w:val="2"/>
          <w:sz w:val="21"/>
          <w:szCs w:val="21"/>
        </w:rPr>
        <w:t>承包工程转包，挂靠承包。</w:t>
      </w:r>
    </w:p>
    <w:p w14:paraId="1755196F">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（七）不得违反工程造价管理规定，编制工程预算、决算。</w:t>
      </w:r>
    </w:p>
    <w:p w14:paraId="17BB329E">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第四条　违约责任</w:t>
      </w:r>
    </w:p>
    <w:p w14:paraId="6DC576D4">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工作人员有违反本合同第一、二条责任行为的，按照管理权限，依据有关规定予以处理；涉嫌犯罪的，移交司法机关追究刑事责任；给</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单位造成经济损失的，应予赔偿。</w:t>
      </w:r>
    </w:p>
    <w:p w14:paraId="3B401CB7">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（二）</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工作人员有违反本合同第一、三条责任行为的，按照管理权限，依据有关规定予以处理；涉嫌犯罪的，移交司法机关追究刑事责任；给</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单位造成经济损失的，应予赔偿。</w:t>
      </w:r>
    </w:p>
    <w:p w14:paraId="79395FCE">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第五条　双方约定：在自觉履行合同的同时，由</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监督单位负责对本合同履行情况进行监督检查。</w:t>
      </w:r>
    </w:p>
    <w:p w14:paraId="411981B0">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p>
    <w:p w14:paraId="7C5F4B93">
      <w:pPr>
        <w:adjustRightInd w:val="0"/>
        <w:snapToGrid w:val="0"/>
        <w:spacing w:beforeLines="0" w:afterLines="0" w:line="520" w:lineRule="exact"/>
        <w:ind w:firstLine="0" w:firstLineChars="0"/>
        <w:rPr>
          <w:rFonts w:hint="default" w:ascii="宋体" w:hAnsi="宋体"/>
          <w:b w:val="0"/>
          <w:bCs w:val="0"/>
          <w:color w:val="auto"/>
          <w:kern w:val="2"/>
          <w:sz w:val="21"/>
          <w:szCs w:val="21"/>
        </w:rPr>
      </w:pPr>
      <w:r>
        <w:rPr>
          <w:rFonts w:hint="eastAsia" w:ascii="宋体" w:hAnsi="宋体" w:cs="Times New Roman"/>
          <w:b w:val="0"/>
          <w:bCs w:val="0"/>
          <w:color w:val="auto"/>
          <w:kern w:val="2"/>
          <w:sz w:val="21"/>
          <w:szCs w:val="21"/>
          <w:lang w:eastAsia="zh-CN"/>
        </w:rPr>
        <w:t>委托人</w:t>
      </w:r>
      <w:r>
        <w:rPr>
          <w:rFonts w:hint="default" w:ascii="宋体" w:hAnsi="宋体" w:cs="Times New Roman"/>
          <w:b w:val="0"/>
          <w:bCs w:val="0"/>
          <w:color w:val="auto"/>
          <w:kern w:val="2"/>
          <w:sz w:val="21"/>
          <w:szCs w:val="21"/>
        </w:rPr>
        <w:t>单位（盖章）：</w:t>
      </w:r>
      <w:r>
        <w:rPr>
          <w:rFonts w:hint="default" w:ascii="宋体" w:hAnsi="宋体"/>
          <w:b w:val="0"/>
          <w:bCs w:val="0"/>
          <w:color w:val="auto"/>
          <w:kern w:val="2"/>
          <w:sz w:val="21"/>
          <w:szCs w:val="21"/>
        </w:rPr>
        <w:t xml:space="preserve"> </w:t>
      </w:r>
      <w:r>
        <w:rPr>
          <w:rFonts w:hint="default" w:ascii="宋体" w:hAnsi="宋体" w:cs="Times New Roman"/>
          <w:b w:val="0"/>
          <w:bCs w:val="0"/>
          <w:color w:val="auto"/>
          <w:kern w:val="2"/>
          <w:sz w:val="21"/>
          <w:szCs w:val="21"/>
        </w:rPr>
        <w:t>　</w:t>
      </w:r>
      <w:r>
        <w:rPr>
          <w:rFonts w:ascii="宋体" w:hAnsi="宋体" w:cs="Times New Roman"/>
          <w:b w:val="0"/>
          <w:bCs w:val="0"/>
          <w:color w:val="auto"/>
          <w:kern w:val="2"/>
          <w:sz w:val="21"/>
          <w:szCs w:val="21"/>
        </w:rPr>
        <w:t xml:space="preserve"> </w:t>
      </w:r>
      <w:r>
        <w:rPr>
          <w:rFonts w:hint="default"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eastAsia="zh-CN"/>
        </w:rPr>
        <w:t>监理人</w:t>
      </w:r>
      <w:r>
        <w:rPr>
          <w:rFonts w:hint="default" w:ascii="宋体" w:hAnsi="宋体" w:cs="Times New Roman"/>
          <w:b w:val="0"/>
          <w:bCs w:val="0"/>
          <w:color w:val="auto"/>
          <w:kern w:val="2"/>
          <w:sz w:val="21"/>
          <w:szCs w:val="21"/>
        </w:rPr>
        <w:t>单位（盖章）：</w:t>
      </w:r>
    </w:p>
    <w:p w14:paraId="5CDB97EB">
      <w:pPr>
        <w:adjustRightInd w:val="0"/>
        <w:snapToGrid w:val="0"/>
        <w:spacing w:beforeLines="0" w:afterLines="0" w:line="520" w:lineRule="exact"/>
        <w:ind w:firstLine="2730" w:firstLineChars="1300"/>
        <w:rPr>
          <w:rFonts w:ascii="宋体" w:hAnsi="宋体"/>
          <w:b w:val="0"/>
          <w:bCs w:val="0"/>
          <w:color w:val="auto"/>
          <w:kern w:val="2"/>
          <w:sz w:val="21"/>
          <w:szCs w:val="21"/>
        </w:rPr>
      </w:pPr>
      <w:r>
        <w:rPr>
          <w:rFonts w:hint="default" w:ascii="宋体" w:hAnsi="宋体"/>
          <w:b w:val="0"/>
          <w:bCs w:val="0"/>
          <w:color w:val="auto"/>
          <w:kern w:val="2"/>
          <w:sz w:val="21"/>
          <w:szCs w:val="21"/>
          <w:lang w:val="en-US" w:eastAsia="zh-CN"/>
        </w:rPr>
        <w:t xml:space="preserve">                         </w:t>
      </w:r>
    </w:p>
    <w:p w14:paraId="304305AB">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p>
    <w:p w14:paraId="297B92C3">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法定代表人：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法定代表人：</w:t>
      </w:r>
    </w:p>
    <w:p w14:paraId="3953B234">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p>
    <w:p w14:paraId="2802CB66">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val="en-US" w:eastAsia="zh-CN"/>
        </w:rPr>
        <w:t>或授权</w:t>
      </w:r>
      <w:r>
        <w:rPr>
          <w:rFonts w:hint="eastAsia" w:ascii="宋体" w:hAnsi="宋体" w:cs="Times New Roman"/>
          <w:b w:val="0"/>
          <w:bCs w:val="0"/>
          <w:color w:val="auto"/>
          <w:kern w:val="2"/>
          <w:sz w:val="21"/>
          <w:szCs w:val="21"/>
          <w:lang w:val="en-US" w:eastAsia="zh-CN"/>
        </w:rPr>
        <w:t>授权代理人</w:t>
      </w:r>
      <w:r>
        <w:rPr>
          <w:rFonts w:hint="eastAsia" w:ascii="宋体" w:hAnsi="宋体" w:eastAsia="宋体" w:cs="Times New Roman"/>
          <w:b w:val="0"/>
          <w:bCs w:val="0"/>
          <w:color w:val="auto"/>
          <w:kern w:val="2"/>
          <w:sz w:val="21"/>
          <w:szCs w:val="21"/>
          <w:lang w:val="en-US" w:eastAsia="zh-CN"/>
        </w:rPr>
        <w:t>：                               或授权</w:t>
      </w:r>
      <w:r>
        <w:rPr>
          <w:rFonts w:hint="eastAsia" w:ascii="宋体" w:hAnsi="宋体" w:cs="Times New Roman"/>
          <w:b w:val="0"/>
          <w:bCs w:val="0"/>
          <w:color w:val="auto"/>
          <w:kern w:val="2"/>
          <w:sz w:val="21"/>
          <w:szCs w:val="21"/>
          <w:lang w:val="en-US" w:eastAsia="zh-CN"/>
        </w:rPr>
        <w:t>代理人</w:t>
      </w:r>
      <w:r>
        <w:rPr>
          <w:rFonts w:hint="eastAsia" w:ascii="宋体" w:hAnsi="宋体" w:eastAsia="宋体" w:cs="Times New Roman"/>
          <w:b w:val="0"/>
          <w:bCs w:val="0"/>
          <w:color w:val="auto"/>
          <w:kern w:val="2"/>
          <w:sz w:val="21"/>
          <w:szCs w:val="21"/>
          <w:lang w:val="en-US" w:eastAsia="zh-CN"/>
        </w:rPr>
        <w:t>：</w:t>
      </w:r>
    </w:p>
    <w:p w14:paraId="637CC8CB">
      <w:pPr>
        <w:pStyle w:val="163"/>
        <w:autoSpaceDE w:val="0"/>
        <w:autoSpaceDN w:val="0"/>
        <w:adjustRightInd w:val="0"/>
        <w:spacing w:line="300" w:lineRule="auto"/>
        <w:jc w:val="left"/>
        <w:rPr>
          <w:rFonts w:hint="eastAsia"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val="en-US" w:eastAsia="zh-CN"/>
        </w:rPr>
        <w:t xml:space="preserve"> </w:t>
      </w:r>
    </w:p>
    <w:p w14:paraId="105BE6AF">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监督电话：</w:t>
      </w:r>
      <w:r>
        <w:rPr>
          <w:rFonts w:hint="default" w:ascii="宋体" w:hAnsi="宋体" w:cs="Times New Roman"/>
          <w:b w:val="0"/>
          <w:bCs w:val="0"/>
          <w:color w:val="auto"/>
          <w:kern w:val="2"/>
          <w:sz w:val="21"/>
          <w:szCs w:val="21"/>
          <w:lang w:val="en-US"/>
        </w:rPr>
        <w:t xml:space="preserve">             </w:t>
      </w:r>
      <w:r>
        <w:rPr>
          <w:rFonts w:hint="default"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监督电话：</w:t>
      </w:r>
    </w:p>
    <w:p w14:paraId="04271404">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p>
    <w:p w14:paraId="1BC6BAFD">
      <w:pPr>
        <w:pStyle w:val="147"/>
        <w:autoSpaceDE w:val="0"/>
        <w:autoSpaceDN w:val="0"/>
        <w:adjustRightInd w:val="0"/>
        <w:spacing w:line="300" w:lineRule="auto"/>
        <w:ind w:firstLine="630" w:firstLineChars="300"/>
        <w:jc w:val="left"/>
        <w:rPr>
          <w:rFonts w:ascii="宋体" w:hAnsi="宋体" w:eastAsia="宋体" w:cs="Times New Roman"/>
          <w:b w:val="0"/>
          <w:bCs w:val="0"/>
          <w:color w:val="auto"/>
          <w:kern w:val="2"/>
          <w:sz w:val="21"/>
          <w:szCs w:val="21"/>
        </w:rPr>
      </w:pPr>
      <w:r>
        <w:rPr>
          <w:rFonts w:hint="eastAsia" w:ascii="宋体" w:hAnsi="宋体" w:cs="Times New Roman"/>
          <w:b w:val="0"/>
          <w:bCs w:val="0"/>
          <w:color w:val="auto"/>
          <w:kern w:val="2"/>
          <w:sz w:val="21"/>
          <w:szCs w:val="21"/>
          <w:lang w:val="en-US" w:eastAsia="zh-CN"/>
        </w:rPr>
        <w:t>202</w:t>
      </w:r>
      <w:r>
        <w:rPr>
          <w:rFonts w:hint="default" w:ascii="宋体" w:hAnsi="宋体" w:cs="Times New Roman"/>
          <w:b w:val="0"/>
          <w:bCs w:val="0"/>
          <w:color w:val="auto"/>
          <w:kern w:val="2"/>
          <w:sz w:val="21"/>
          <w:szCs w:val="21"/>
          <w:lang w:val="en-US" w:eastAsia="zh-CN"/>
        </w:rPr>
        <w:t>5</w:t>
      </w:r>
      <w:r>
        <w:rPr>
          <w:rFonts w:hint="default" w:ascii="宋体" w:hAnsi="宋体" w:eastAsia="宋体" w:cs="Times New Roman"/>
          <w:b w:val="0"/>
          <w:bCs w:val="0"/>
          <w:color w:val="auto"/>
          <w:kern w:val="2"/>
          <w:sz w:val="21"/>
          <w:szCs w:val="21"/>
        </w:rPr>
        <w:t>年</w:t>
      </w:r>
      <w:r>
        <w:rPr>
          <w:rFonts w:hint="eastAsia" w:ascii="宋体" w:hAnsi="宋体" w:cs="Times New Roman"/>
          <w:b w:val="0"/>
          <w:bCs w:val="0"/>
          <w:color w:val="auto"/>
          <w:kern w:val="2"/>
          <w:sz w:val="21"/>
          <w:szCs w:val="21"/>
          <w:lang w:val="en-US" w:eastAsia="zh-CN"/>
        </w:rPr>
        <w:t>7</w:t>
      </w:r>
      <w:r>
        <w:rPr>
          <w:rFonts w:hint="default" w:ascii="宋体" w:hAnsi="宋体" w:eastAsia="宋体" w:cs="Times New Roman"/>
          <w:b w:val="0"/>
          <w:bCs w:val="0"/>
          <w:color w:val="auto"/>
          <w:kern w:val="2"/>
          <w:sz w:val="21"/>
          <w:szCs w:val="21"/>
        </w:rPr>
        <w:t>月　　日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w:t>
      </w:r>
      <w:r>
        <w:rPr>
          <w:rFonts w:hint="eastAsia" w:ascii="宋体" w:hAnsi="宋体" w:eastAsia="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202</w:t>
      </w:r>
      <w:r>
        <w:rPr>
          <w:rFonts w:hint="default" w:ascii="宋体" w:hAnsi="宋体" w:cs="Times New Roman"/>
          <w:b w:val="0"/>
          <w:bCs w:val="0"/>
          <w:color w:val="auto"/>
          <w:kern w:val="2"/>
          <w:sz w:val="21"/>
          <w:szCs w:val="21"/>
          <w:lang w:val="en-US" w:eastAsia="zh-CN"/>
        </w:rPr>
        <w:t>5</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年</w:t>
      </w:r>
      <w:r>
        <w:rPr>
          <w:rFonts w:hint="eastAsia" w:ascii="宋体" w:hAnsi="宋体" w:cs="Times New Roman"/>
          <w:b w:val="0"/>
          <w:bCs w:val="0"/>
          <w:color w:val="auto"/>
          <w:kern w:val="2"/>
          <w:sz w:val="21"/>
          <w:szCs w:val="21"/>
          <w:lang w:val="en-US" w:eastAsia="zh-CN"/>
        </w:rPr>
        <w:t>7</w:t>
      </w:r>
      <w:r>
        <w:rPr>
          <w:rFonts w:hint="default" w:ascii="宋体" w:hAnsi="宋体" w:eastAsia="宋体" w:cs="Times New Roman"/>
          <w:b w:val="0"/>
          <w:bCs w:val="0"/>
          <w:color w:val="auto"/>
          <w:kern w:val="2"/>
          <w:sz w:val="21"/>
          <w:szCs w:val="21"/>
        </w:rPr>
        <w:t>月　　日</w:t>
      </w:r>
    </w:p>
    <w:p w14:paraId="596EFF6D">
      <w:pPr>
        <w:pStyle w:val="163"/>
        <w:rPr>
          <w:rFonts w:ascii="宋体" w:hAnsi="宋体" w:eastAsia="宋体" w:cs="Times New Roman"/>
          <w:b w:val="0"/>
          <w:bCs w:val="0"/>
          <w:color w:val="auto"/>
          <w:sz w:val="21"/>
          <w:szCs w:val="21"/>
        </w:rPr>
      </w:pPr>
    </w:p>
    <w:p w14:paraId="63844AD1">
      <w:pPr>
        <w:pStyle w:val="163"/>
        <w:autoSpaceDE w:val="0"/>
        <w:autoSpaceDN w:val="0"/>
        <w:adjustRightInd w:val="0"/>
        <w:jc w:val="left"/>
        <w:rPr>
          <w:rFonts w:hint="eastAsia" w:ascii="宋体" w:hAnsi="宋体"/>
          <w:b w:val="0"/>
          <w:bCs w:val="0"/>
          <w:color w:val="auto"/>
          <w:sz w:val="32"/>
          <w:szCs w:val="32"/>
          <w:lang w:val="en-US" w:eastAsia="zh-CN"/>
        </w:rPr>
      </w:pPr>
      <w:r>
        <w:rPr>
          <w:rFonts w:hint="eastAsia" w:ascii="宋体" w:hAnsi="宋体"/>
          <w:b w:val="0"/>
          <w:bCs w:val="0"/>
          <w:color w:val="auto"/>
          <w:sz w:val="32"/>
          <w:szCs w:val="32"/>
          <w:lang w:val="en-US" w:eastAsia="zh-CN"/>
        </w:rPr>
        <w:t>附件2</w:t>
      </w:r>
    </w:p>
    <w:p w14:paraId="525AD667">
      <w:pPr>
        <w:pStyle w:val="163"/>
        <w:autoSpaceDE w:val="0"/>
        <w:autoSpaceDN w:val="0"/>
        <w:adjustRightInd w:val="0"/>
        <w:jc w:val="center"/>
        <w:rPr>
          <w:rFonts w:hint="eastAsia" w:ascii="黑体" w:hAnsi="Arial" w:eastAsia="黑体" w:cs="Times New Roman"/>
          <w:b w:val="0"/>
          <w:bCs w:val="0"/>
          <w:color w:val="auto"/>
          <w:kern w:val="0"/>
          <w:sz w:val="36"/>
          <w:szCs w:val="36"/>
        </w:rPr>
      </w:pPr>
      <w:r>
        <w:rPr>
          <w:rFonts w:hint="eastAsia" w:ascii="黑体" w:hAnsi="Arial" w:eastAsia="黑体" w:cs="Times New Roman"/>
          <w:b w:val="0"/>
          <w:bCs w:val="0"/>
          <w:color w:val="auto"/>
          <w:kern w:val="0"/>
          <w:sz w:val="36"/>
          <w:szCs w:val="36"/>
        </w:rPr>
        <w:t>安全生产责任书</w:t>
      </w:r>
    </w:p>
    <w:p w14:paraId="06DA470E">
      <w:pPr>
        <w:pStyle w:val="52"/>
        <w:ind w:left="0" w:leftChars="0" w:firstLine="0" w:firstLineChars="0"/>
        <w:rPr>
          <w:rFonts w:hint="eastAsia" w:ascii="宋体" w:hAnsi="宋体"/>
          <w:b w:val="0"/>
          <w:bCs w:val="0"/>
          <w:color w:val="auto"/>
          <w:sz w:val="24"/>
          <w:szCs w:val="24"/>
        </w:rPr>
      </w:pPr>
    </w:p>
    <w:p w14:paraId="0CEC420E">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为在</w:t>
      </w:r>
      <w:r>
        <w:rPr>
          <w:rFonts w:hint="eastAsia" w:ascii="宋体" w:hAnsi="宋体"/>
          <w:b w:val="0"/>
          <w:bCs w:val="0"/>
          <w:color w:val="auto"/>
          <w:sz w:val="21"/>
          <w:szCs w:val="21"/>
          <w:u w:val="single"/>
          <w:lang w:val="en-US" w:eastAsia="zh-CN"/>
        </w:rPr>
        <w:t>深圳市龙岗区人民医院“光储充”项目</w:t>
      </w:r>
      <w:r>
        <w:rPr>
          <w:rFonts w:hint="eastAsia" w:ascii="宋体" w:hAnsi="宋体"/>
          <w:b w:val="0"/>
          <w:bCs w:val="0"/>
          <w:color w:val="auto"/>
          <w:sz w:val="21"/>
          <w:szCs w:val="21"/>
        </w:rPr>
        <w:t>建设过程中创造安全、高效的施工环境，切实搞好本项目的安全管理工作，本项目业主</w:t>
      </w:r>
      <w:r>
        <w:rPr>
          <w:rFonts w:hint="eastAsia" w:ascii="宋体" w:hAnsi="宋体"/>
          <w:b w:val="0"/>
          <w:bCs w:val="0"/>
          <w:color w:val="auto"/>
          <w:sz w:val="21"/>
          <w:szCs w:val="21"/>
          <w:u w:val="none"/>
          <w:lang w:eastAsia="zh-CN"/>
        </w:rPr>
        <w:t>深圳市龙岗区城投新基础设施建设管理有限公司</w:t>
      </w:r>
      <w:r>
        <w:rPr>
          <w:rFonts w:hint="eastAsia" w:ascii="宋体" w:hAnsi="宋体"/>
          <w:b w:val="0"/>
          <w:bCs w:val="0"/>
          <w:color w:val="auto"/>
          <w:sz w:val="21"/>
          <w:szCs w:val="21"/>
        </w:rPr>
        <w:t>（以下简称“</w:t>
      </w:r>
      <w:r>
        <w:rPr>
          <w:rFonts w:hint="eastAsia" w:ascii="宋体" w:hAnsi="宋体"/>
          <w:b w:val="0"/>
          <w:bCs w:val="0"/>
          <w:color w:val="auto"/>
          <w:sz w:val="21"/>
          <w:szCs w:val="21"/>
          <w:lang w:eastAsia="zh-CN"/>
        </w:rPr>
        <w:t>委托人</w:t>
      </w:r>
      <w:r>
        <w:rPr>
          <w:rFonts w:hint="eastAsia" w:ascii="宋体" w:hAnsi="宋体"/>
          <w:b w:val="0"/>
          <w:bCs w:val="0"/>
          <w:color w:val="auto"/>
          <w:sz w:val="21"/>
          <w:szCs w:val="21"/>
        </w:rPr>
        <w:t>”）与</w:t>
      </w:r>
      <w:r>
        <w:rPr>
          <w:rFonts w:hint="eastAsia" w:ascii="宋体" w:hAnsi="宋体"/>
          <w:b w:val="0"/>
          <w:bCs w:val="0"/>
          <w:color w:val="auto"/>
          <w:sz w:val="21"/>
          <w:szCs w:val="21"/>
          <w:lang w:eastAsia="zh-CN"/>
        </w:rPr>
        <w:t>监理人</w:t>
      </w:r>
      <w:r>
        <w:rPr>
          <w:rFonts w:hint="default" w:ascii="宋体" w:hAnsi="宋体" w:eastAsia="宋体" w:cs="Times New Roman"/>
          <w:b w:val="0"/>
          <w:bCs w:val="0"/>
          <w:color w:val="auto"/>
          <w:kern w:val="2"/>
          <w:sz w:val="21"/>
          <w:szCs w:val="21"/>
          <w:u w:val="single"/>
          <w:lang w:val="en-US" w:eastAsia="zh-CN"/>
        </w:rPr>
        <w:t xml:space="preserve">                 </w:t>
      </w:r>
      <w:r>
        <w:rPr>
          <w:rFonts w:hint="eastAsia" w:ascii="宋体" w:hAnsi="宋体"/>
          <w:b w:val="0"/>
          <w:bCs w:val="0"/>
          <w:color w:val="auto"/>
          <w:sz w:val="21"/>
          <w:szCs w:val="21"/>
        </w:rPr>
        <w:t>（以下简称“</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”）特此签订安全生产合同：</w:t>
      </w:r>
    </w:p>
    <w:p w14:paraId="3970DD6B">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一、</w:t>
      </w:r>
      <w:r>
        <w:rPr>
          <w:rFonts w:hint="eastAsia" w:ascii="宋体" w:hAnsi="宋体"/>
          <w:b w:val="0"/>
          <w:bCs w:val="0"/>
          <w:color w:val="auto"/>
          <w:sz w:val="21"/>
          <w:szCs w:val="21"/>
          <w:lang w:eastAsia="zh-CN"/>
        </w:rPr>
        <w:t>委托人</w:t>
      </w:r>
      <w:r>
        <w:rPr>
          <w:rFonts w:hint="eastAsia" w:ascii="宋体" w:hAnsi="宋体"/>
          <w:b w:val="0"/>
          <w:bCs w:val="0"/>
          <w:color w:val="auto"/>
          <w:sz w:val="21"/>
          <w:szCs w:val="21"/>
        </w:rPr>
        <w:t>职责</w:t>
      </w:r>
    </w:p>
    <w:p w14:paraId="037702B5">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1．严格遵守国家有关安全生产的法律法规，认真执行工程施工承包合同中的有关安全要求，督促、检查</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做好安全生产工作。</w:t>
      </w:r>
    </w:p>
    <w:p w14:paraId="47D20C37">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2．重要的安全设施必须坚持与主体工程“三同时”原则中“同时设计，审批，同时验收，投入使用”两大原则。</w:t>
      </w:r>
    </w:p>
    <w:p w14:paraId="3E71B391">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3．传达中央及地方有关安全生产的精神，听取</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安全生产工作汇报，参与各施工单位安全生产评比。</w:t>
      </w:r>
    </w:p>
    <w:p w14:paraId="758AB05C">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二、</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职责</w:t>
      </w:r>
    </w:p>
    <w:p w14:paraId="03870031">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施工安全及文明施工监理的主要内容</w:t>
      </w:r>
    </w:p>
    <w:p w14:paraId="00BC5C3E">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监理人应贯彻执行国家安全生产法律、法规、规章和标准，按照深圳市监理管理条例和业主安全管理的有关规定，把施工安全及文明施工监督纳入监理范围，与工程质量、工期和投资控制同步实施。监理规划和监理实施细则中应专门列入施工安全级文明施工监理的内容，制定安全监理方案，建立、健全和完善安全管理制度；</w:t>
      </w:r>
    </w:p>
    <w:p w14:paraId="564BC801">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2.监理人将对承包商的文明施工、安全检查工作及事故预防工作作为监理的日常工作，掌握标段安全生产状况，对重要的薄弱环节、重大危险点、危险源，进行安全监理旁站；</w:t>
      </w:r>
    </w:p>
    <w:p w14:paraId="1CB846AC">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3.监理人必须按照有关的施工安全法规、规范及标准的要求对承包商的施工组织设计的安全技术措施进行审查；</w:t>
      </w:r>
    </w:p>
    <w:p w14:paraId="199FFC52">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4.监理人员应对施工过程进行有目的巡查，督促承包商建立与完善安全生产、文明施工管理制度及安全技术操作规程，落实安全技术措施；</w:t>
      </w:r>
    </w:p>
    <w:p w14:paraId="67577539">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5.监理人应针对施工中的不安全因素与安全工作中的薄弱环节进行研究，书面提出要求并督促承包商改进；</w:t>
      </w:r>
    </w:p>
    <w:p w14:paraId="5BDEC7A8">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6.监理人应对涉及施工安全的支撑体系、大型垂直运输设备等重要临时设施的施工方案进行审查，确保其符合有关法规、规范及标准的要求，不符合要求的，应向承包商提出改进意见并督促落实；</w:t>
      </w:r>
    </w:p>
    <w:p w14:paraId="628CBF11">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7.监理人应审查特殊机械和特殊工种的操作人员的资格证、上岗证及年检合格证；</w:t>
      </w:r>
    </w:p>
    <w:p w14:paraId="47FB6E29">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8.监理人应组织定期和不定期的安全检查，配合深圳市施工安全监督站对标段的监督检查，对检查发现的隐患应立即发出监理通知，按监理通知和深圳市施工安全监督站发出的整改通知书的要求，督促、跟踪承包商“定人、定时、定措施”落实整改。对未按要求整改的承包商，即再发出第二次监理通知。对两次发出整改通知而拒不整改的承包商，监理以书面形式向业主安全管理职能部门报告，并配合业主采取必要的措施，落实整改；</w:t>
      </w:r>
    </w:p>
    <w:p w14:paraId="377609AB">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9.合同执行期间，监理单位必须接受业主安全管理职能部门的监督，按统一的表格形式（如以标段为单位），逐月向业主安全管理等职能部门递交书面安全监理工作报告，如实反映标段本月的安全生产状况和下月安全监理的工作重点；</w:t>
      </w:r>
    </w:p>
    <w:p w14:paraId="47279C9D">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10.一旦发生安全事故，监理单位必须作出快速反映，在一小时以内向业主安全管理职能部门报告，并督促承包商进行事故的及时上报和配合调查、处理与统计工作。</w:t>
      </w:r>
    </w:p>
    <w:p w14:paraId="6E7A7A23">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11.协助业主做好以下施工安全管理工作：</w:t>
      </w:r>
    </w:p>
    <w:p w14:paraId="4E80C656">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1)协助业主编制施工安全管理程序及施工安全控制计划，制订安全控制保证措施；</w:t>
      </w:r>
    </w:p>
    <w:p w14:paraId="7255D425">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2)协助业主制定施工安全目标，编制安全、文明施工管理办法；</w:t>
      </w:r>
    </w:p>
    <w:p w14:paraId="598D3725">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3)抽查承包商的安全教育（三级教育）情况，抽验承包商特种工人上岗证，检查承包商的安全保证体系运行情况；</w:t>
      </w:r>
    </w:p>
    <w:p w14:paraId="24B57B26">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4)对施工现场进行安全巡视，参加每月定期安全检查，协助业主建立安全工作</w:t>
      </w:r>
      <w:r>
        <w:rPr>
          <w:rFonts w:hint="eastAsia" w:ascii="宋体" w:hAnsi="宋体"/>
          <w:b w:val="0"/>
          <w:bCs w:val="0"/>
          <w:color w:val="auto"/>
          <w:sz w:val="21"/>
          <w:szCs w:val="21"/>
          <w:lang w:eastAsia="zh-CN"/>
        </w:rPr>
        <w:t>台账</w:t>
      </w:r>
      <w:r>
        <w:rPr>
          <w:rFonts w:hint="eastAsia" w:ascii="宋体" w:hAnsi="宋体"/>
          <w:b w:val="0"/>
          <w:bCs w:val="0"/>
          <w:color w:val="auto"/>
          <w:sz w:val="21"/>
          <w:szCs w:val="21"/>
        </w:rPr>
        <w:t>，分析安全状况并提出安全预控意见。</w:t>
      </w:r>
    </w:p>
    <w:p w14:paraId="08847246">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5)参加事故现场调查和安全事故分析会议，协助业主处理安全事故，起草事故调查分析报告；</w:t>
      </w:r>
    </w:p>
    <w:p w14:paraId="5B0BBCFF">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6)每月提交安全、文明检查报告，协助业主总结每季度的情况是否达到施工安全目标；</w:t>
      </w:r>
    </w:p>
    <w:p w14:paraId="046CD346">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7)每季度提交安全文明检查评比报告。</w:t>
      </w:r>
    </w:p>
    <w:p w14:paraId="7B053B38">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12.协助业主组织质量安全文明施工检查考核：</w:t>
      </w:r>
    </w:p>
    <w:p w14:paraId="3B1661B7">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1)协助业主组织施工监理组、施工单位做好质量安全文明施工检查和合同履约考核；</w:t>
      </w:r>
    </w:p>
    <w:p w14:paraId="655E975F">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2)制定巡视和检查制度，制定质量检查评比办法，每季度组织一次质量大检查，奖优罚劣；</w:t>
      </w:r>
    </w:p>
    <w:p w14:paraId="56285513">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 根据工程需要组织审核进场工程材料（混凝土、防水材料、石材、钢材等）、构配件、机械设备的质量证明资料，对进场实物按照有关工程质量安全管理的规定按比例抽检或见证取样、送样检验工作；</w:t>
      </w:r>
    </w:p>
    <w:p w14:paraId="18E6858D">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4)当施工存在重大质量安全隐患，可能造成质量安全事故或已经造成质量安全事故时，立刻下达工程停工令，责令承包商停工整改并跟踪整改；</w:t>
      </w:r>
    </w:p>
    <w:p w14:paraId="2AA46B47">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5)及时提交有关质量事故的书面报告，划分质量事故责任，整理质量事故处理记录等资料，并负责归档；</w:t>
      </w:r>
    </w:p>
    <w:p w14:paraId="61DB2C3A">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6)编制并提交工程质量安全报告，汇报工程的质量安全情况。</w:t>
      </w:r>
    </w:p>
    <w:p w14:paraId="2CEE84C4">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 xml:space="preserve">三、违约责任  </w:t>
      </w:r>
    </w:p>
    <w:p w14:paraId="7A39EEE1">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如因</w:t>
      </w:r>
      <w:r>
        <w:rPr>
          <w:rFonts w:hint="eastAsia" w:ascii="宋体" w:hAnsi="宋体"/>
          <w:b w:val="0"/>
          <w:bCs w:val="0"/>
          <w:color w:val="auto"/>
          <w:sz w:val="21"/>
          <w:szCs w:val="21"/>
          <w:lang w:eastAsia="zh-CN"/>
        </w:rPr>
        <w:t>委托人</w:t>
      </w:r>
      <w:r>
        <w:rPr>
          <w:rFonts w:hint="eastAsia" w:ascii="宋体" w:hAnsi="宋体"/>
          <w:b w:val="0"/>
          <w:bCs w:val="0"/>
          <w:color w:val="auto"/>
          <w:sz w:val="21"/>
          <w:szCs w:val="21"/>
        </w:rPr>
        <w:t>或</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 xml:space="preserve">违约造成安全事故，将依法追究责任。 </w:t>
      </w:r>
    </w:p>
    <w:p w14:paraId="0675CA8C">
      <w:pPr>
        <w:pStyle w:val="163"/>
        <w:autoSpaceDE w:val="0"/>
        <w:autoSpaceDN w:val="0"/>
        <w:adjustRightInd w:val="0"/>
        <w:spacing w:line="300" w:lineRule="auto"/>
        <w:ind w:firstLine="0" w:firstLineChars="0"/>
        <w:jc w:val="left"/>
        <w:rPr>
          <w:rFonts w:hint="eastAsia" w:ascii="宋体" w:hAnsi="宋体"/>
          <w:b w:val="0"/>
          <w:bCs w:val="0"/>
          <w:color w:val="auto"/>
          <w:sz w:val="21"/>
          <w:szCs w:val="21"/>
        </w:rPr>
      </w:pPr>
    </w:p>
    <w:p w14:paraId="11CFBD93">
      <w:pPr>
        <w:adjustRightInd w:val="0"/>
        <w:snapToGrid w:val="0"/>
        <w:spacing w:beforeLines="0" w:afterLines="0" w:line="520" w:lineRule="exact"/>
        <w:ind w:firstLine="0" w:firstLineChars="0"/>
        <w:rPr>
          <w:rFonts w:hint="default" w:ascii="宋体" w:hAnsi="宋体"/>
          <w:b w:val="0"/>
          <w:bCs w:val="0"/>
          <w:color w:val="auto"/>
          <w:kern w:val="2"/>
          <w:sz w:val="21"/>
          <w:szCs w:val="21"/>
        </w:rPr>
      </w:pPr>
      <w:r>
        <w:rPr>
          <w:rFonts w:hint="eastAsia" w:ascii="宋体" w:hAnsi="宋体" w:cs="Times New Roman"/>
          <w:b w:val="0"/>
          <w:bCs w:val="0"/>
          <w:color w:val="auto"/>
          <w:kern w:val="2"/>
          <w:sz w:val="21"/>
          <w:szCs w:val="21"/>
          <w:lang w:eastAsia="zh-CN"/>
        </w:rPr>
        <w:t>委托人</w:t>
      </w:r>
      <w:r>
        <w:rPr>
          <w:rFonts w:hint="default" w:ascii="宋体" w:hAnsi="宋体" w:cs="Times New Roman"/>
          <w:b w:val="0"/>
          <w:bCs w:val="0"/>
          <w:color w:val="auto"/>
          <w:kern w:val="2"/>
          <w:sz w:val="21"/>
          <w:szCs w:val="21"/>
        </w:rPr>
        <w:t>单位（盖章）：　</w:t>
      </w:r>
      <w:r>
        <w:rPr>
          <w:rFonts w:ascii="宋体" w:hAnsi="宋体" w:cs="Times New Roman"/>
          <w:b w:val="0"/>
          <w:bCs w:val="0"/>
          <w:color w:val="auto"/>
          <w:kern w:val="2"/>
          <w:sz w:val="21"/>
          <w:szCs w:val="21"/>
        </w:rPr>
        <w:t xml:space="preserve"> </w:t>
      </w:r>
      <w:r>
        <w:rPr>
          <w:rFonts w:hint="default"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eastAsia="zh-CN"/>
        </w:rPr>
        <w:t>监理人</w:t>
      </w:r>
      <w:r>
        <w:rPr>
          <w:rFonts w:hint="default" w:ascii="宋体" w:hAnsi="宋体" w:cs="Times New Roman"/>
          <w:b w:val="0"/>
          <w:bCs w:val="0"/>
          <w:color w:val="auto"/>
          <w:kern w:val="2"/>
          <w:sz w:val="21"/>
          <w:szCs w:val="21"/>
        </w:rPr>
        <w:t>单位（盖章）：</w:t>
      </w:r>
      <w:r>
        <w:rPr>
          <w:rFonts w:hint="eastAsia" w:ascii="宋体" w:hAnsi="宋体" w:eastAsia="宋体" w:cs="Times New Roman"/>
          <w:b w:val="0"/>
          <w:bCs w:val="0"/>
          <w:color w:val="auto"/>
          <w:sz w:val="21"/>
          <w:szCs w:val="21"/>
          <w:u w:val="none"/>
          <w:lang w:val="en-US" w:eastAsia="zh-CN"/>
        </w:rPr>
        <w:t xml:space="preserve"> </w:t>
      </w:r>
    </w:p>
    <w:p w14:paraId="7701F17C">
      <w:pPr>
        <w:adjustRightInd w:val="0"/>
        <w:snapToGrid w:val="0"/>
        <w:spacing w:beforeLines="0" w:afterLines="0" w:line="520" w:lineRule="exact"/>
        <w:ind w:firstLine="2310" w:firstLineChars="1100"/>
        <w:rPr>
          <w:rFonts w:ascii="宋体" w:hAnsi="宋体" w:eastAsia="宋体" w:cs="Times New Roman"/>
          <w:b w:val="0"/>
          <w:bCs w:val="0"/>
          <w:color w:val="auto"/>
          <w:kern w:val="2"/>
          <w:sz w:val="21"/>
          <w:szCs w:val="21"/>
        </w:rPr>
      </w:pPr>
      <w:r>
        <w:rPr>
          <w:rFonts w:hint="default" w:ascii="宋体" w:hAnsi="宋体"/>
          <w:b w:val="0"/>
          <w:bCs w:val="0"/>
          <w:color w:val="auto"/>
          <w:kern w:val="2"/>
          <w:sz w:val="21"/>
          <w:szCs w:val="21"/>
          <w:u w:val="none"/>
          <w:lang w:val="en-US" w:eastAsia="zh-CN"/>
        </w:rPr>
        <w:t xml:space="preserve"> </w:t>
      </w:r>
      <w:r>
        <w:rPr>
          <w:rFonts w:hint="default" w:ascii="宋体" w:hAnsi="宋体"/>
          <w:b w:val="0"/>
          <w:bCs w:val="0"/>
          <w:color w:val="auto"/>
          <w:kern w:val="2"/>
          <w:sz w:val="21"/>
          <w:szCs w:val="21"/>
          <w:lang w:val="en-US" w:eastAsia="zh-CN"/>
        </w:rPr>
        <w:t xml:space="preserve">                      </w:t>
      </w:r>
    </w:p>
    <w:p w14:paraId="47DDF22C">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法定代表人：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法定代表人：</w:t>
      </w:r>
    </w:p>
    <w:p w14:paraId="39F357A8">
      <w:pPr>
        <w:pStyle w:val="163"/>
        <w:autoSpaceDE w:val="0"/>
        <w:autoSpaceDN w:val="0"/>
        <w:adjustRightInd w:val="0"/>
        <w:spacing w:line="300" w:lineRule="auto"/>
        <w:jc w:val="left"/>
        <w:rPr>
          <w:rFonts w:hint="eastAsia" w:ascii="宋体" w:hAnsi="宋体" w:cs="Times New Roman"/>
          <w:b w:val="0"/>
          <w:bCs w:val="0"/>
          <w:color w:val="auto"/>
          <w:kern w:val="2"/>
          <w:sz w:val="21"/>
          <w:szCs w:val="21"/>
          <w:lang w:val="en-US" w:eastAsia="zh-CN"/>
        </w:rPr>
      </w:pPr>
    </w:p>
    <w:p w14:paraId="585169C6">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eastAsia" w:ascii="宋体" w:hAnsi="宋体" w:cs="Times New Roman"/>
          <w:b w:val="0"/>
          <w:bCs w:val="0"/>
          <w:color w:val="auto"/>
          <w:kern w:val="2"/>
          <w:sz w:val="21"/>
          <w:szCs w:val="21"/>
          <w:lang w:val="en-US" w:eastAsia="zh-CN"/>
        </w:rPr>
        <w:t>授权代理人</w:t>
      </w:r>
      <w:r>
        <w:rPr>
          <w:rFonts w:hint="eastAsia" w:ascii="宋体" w:hAnsi="宋体" w:eastAsia="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default"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授权</w:t>
      </w:r>
      <w:r>
        <w:rPr>
          <w:rFonts w:hint="eastAsia" w:ascii="宋体" w:hAnsi="宋体" w:cs="Times New Roman"/>
          <w:b w:val="0"/>
          <w:bCs w:val="0"/>
          <w:color w:val="auto"/>
          <w:kern w:val="2"/>
          <w:sz w:val="21"/>
          <w:szCs w:val="21"/>
          <w:lang w:val="en-US" w:eastAsia="zh-CN"/>
        </w:rPr>
        <w:t>代理人</w:t>
      </w:r>
      <w:r>
        <w:rPr>
          <w:rFonts w:hint="eastAsia" w:ascii="宋体" w:hAnsi="宋体" w:eastAsia="宋体" w:cs="Times New Roman"/>
          <w:b w:val="0"/>
          <w:bCs w:val="0"/>
          <w:color w:val="auto"/>
          <w:kern w:val="2"/>
          <w:sz w:val="21"/>
          <w:szCs w:val="21"/>
          <w:lang w:val="en-US" w:eastAsia="zh-CN"/>
        </w:rPr>
        <w:t>：</w:t>
      </w:r>
    </w:p>
    <w:p w14:paraId="061EE09F">
      <w:pPr>
        <w:pStyle w:val="163"/>
        <w:autoSpaceDE w:val="0"/>
        <w:autoSpaceDN w:val="0"/>
        <w:adjustRightInd w:val="0"/>
        <w:spacing w:line="300" w:lineRule="auto"/>
        <w:jc w:val="left"/>
        <w:rPr>
          <w:rFonts w:hint="eastAsia"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val="en-US" w:eastAsia="zh-CN"/>
        </w:rPr>
        <w:t xml:space="preserve"> </w:t>
      </w:r>
    </w:p>
    <w:p w14:paraId="3A8B0C15">
      <w:pPr>
        <w:pStyle w:val="147"/>
        <w:rPr>
          <w:rFonts w:hint="eastAsia"/>
          <w:lang w:val="en-US" w:eastAsia="zh-CN"/>
        </w:rPr>
      </w:pPr>
      <w:r>
        <w:rPr>
          <w:rFonts w:hint="eastAsia" w:ascii="宋体" w:hAnsi="宋体" w:cs="Times New Roman"/>
          <w:b w:val="0"/>
          <w:bCs w:val="0"/>
          <w:color w:val="auto"/>
          <w:kern w:val="2"/>
          <w:sz w:val="21"/>
          <w:szCs w:val="21"/>
          <w:lang w:val="en-US" w:eastAsia="zh-CN"/>
        </w:rPr>
        <w:t>202</w:t>
      </w:r>
      <w:r>
        <w:rPr>
          <w:rFonts w:hint="default" w:ascii="宋体" w:hAnsi="宋体" w:cs="Times New Roman"/>
          <w:b w:val="0"/>
          <w:bCs w:val="0"/>
          <w:color w:val="auto"/>
          <w:kern w:val="2"/>
          <w:sz w:val="21"/>
          <w:szCs w:val="21"/>
          <w:lang w:val="en-US" w:eastAsia="zh-CN"/>
        </w:rPr>
        <w:t>5</w:t>
      </w:r>
      <w:r>
        <w:rPr>
          <w:rFonts w:hint="default" w:ascii="宋体" w:hAnsi="宋体" w:eastAsia="宋体" w:cs="Times New Roman"/>
          <w:b w:val="0"/>
          <w:bCs w:val="0"/>
          <w:color w:val="auto"/>
          <w:kern w:val="2"/>
          <w:sz w:val="21"/>
          <w:szCs w:val="21"/>
        </w:rPr>
        <w:t>年</w:t>
      </w:r>
      <w:r>
        <w:rPr>
          <w:rFonts w:hint="eastAsia" w:ascii="宋体" w:hAnsi="宋体" w:cs="Times New Roman"/>
          <w:b w:val="0"/>
          <w:bCs w:val="0"/>
          <w:color w:val="auto"/>
          <w:kern w:val="2"/>
          <w:sz w:val="21"/>
          <w:szCs w:val="21"/>
          <w:lang w:val="en-US" w:eastAsia="zh-CN"/>
        </w:rPr>
        <w:t>7</w:t>
      </w:r>
      <w:r>
        <w:rPr>
          <w:rFonts w:hint="default" w:ascii="宋体" w:hAnsi="宋体" w:eastAsia="宋体" w:cs="Times New Roman"/>
          <w:b w:val="0"/>
          <w:bCs w:val="0"/>
          <w:color w:val="auto"/>
          <w:kern w:val="2"/>
          <w:sz w:val="21"/>
          <w:szCs w:val="21"/>
        </w:rPr>
        <w:t>月　　日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202</w:t>
      </w:r>
      <w:r>
        <w:rPr>
          <w:rFonts w:hint="default" w:ascii="宋体" w:hAnsi="宋体" w:cs="Times New Roman"/>
          <w:b w:val="0"/>
          <w:bCs w:val="0"/>
          <w:color w:val="auto"/>
          <w:kern w:val="2"/>
          <w:sz w:val="21"/>
          <w:szCs w:val="21"/>
          <w:lang w:val="en-US" w:eastAsia="zh-CN"/>
        </w:rPr>
        <w:t>5</w:t>
      </w:r>
      <w:r>
        <w:rPr>
          <w:rFonts w:hint="default" w:ascii="宋体" w:hAnsi="宋体" w:eastAsia="宋体" w:cs="Times New Roman"/>
          <w:b w:val="0"/>
          <w:bCs w:val="0"/>
          <w:color w:val="auto"/>
          <w:kern w:val="2"/>
          <w:sz w:val="21"/>
          <w:szCs w:val="21"/>
        </w:rPr>
        <w:t>年</w:t>
      </w:r>
      <w:r>
        <w:rPr>
          <w:rFonts w:hint="eastAsia" w:ascii="宋体" w:hAnsi="宋体" w:cs="Times New Roman"/>
          <w:b w:val="0"/>
          <w:bCs w:val="0"/>
          <w:color w:val="auto"/>
          <w:kern w:val="2"/>
          <w:sz w:val="21"/>
          <w:szCs w:val="21"/>
          <w:lang w:val="en-US" w:eastAsia="zh-CN"/>
        </w:rPr>
        <w:t>7</w:t>
      </w:r>
      <w:r>
        <w:rPr>
          <w:rFonts w:hint="default" w:ascii="宋体" w:hAnsi="宋体" w:eastAsia="宋体" w:cs="Times New Roman"/>
          <w:b w:val="0"/>
          <w:bCs w:val="0"/>
          <w:color w:val="auto"/>
          <w:kern w:val="2"/>
          <w:sz w:val="21"/>
          <w:szCs w:val="21"/>
        </w:rPr>
        <w:t>月　　日</w:t>
      </w:r>
    </w:p>
    <w:p w14:paraId="53CAEB66">
      <w:pPr>
        <w:pStyle w:val="3"/>
        <w:numPr>
          <w:ilvl w:val="0"/>
          <w:numId w:val="0"/>
        </w:numPr>
        <w:tabs>
          <w:tab w:val="clear" w:pos="1080"/>
        </w:tabs>
        <w:spacing w:line="360" w:lineRule="auto"/>
        <w:jc w:val="both"/>
        <w:rPr>
          <w:rFonts w:hint="eastAsia" w:ascii="宋体" w:hAnsi="宋体" w:eastAsia="宋体" w:cs="宋体"/>
          <w:b/>
          <w:bCs/>
          <w:color w:val="auto"/>
          <w:sz w:val="24"/>
          <w:szCs w:val="24"/>
          <w:lang w:val="en-US" w:eastAsia="zh-CN"/>
        </w:rPr>
      </w:pPr>
    </w:p>
    <w:p w14:paraId="2D2223A3">
      <w:pPr>
        <w:pStyle w:val="3"/>
        <w:numPr>
          <w:ilvl w:val="0"/>
          <w:numId w:val="0"/>
        </w:numPr>
        <w:tabs>
          <w:tab w:val="clear" w:pos="1080"/>
        </w:tabs>
        <w:spacing w:line="360" w:lineRule="auto"/>
        <w:jc w:val="both"/>
        <w:rPr>
          <w:rFonts w:hint="eastAsia" w:ascii="宋体" w:hAnsi="宋体" w:eastAsia="宋体" w:cs="宋体"/>
          <w:b/>
          <w:bCs/>
          <w:color w:val="auto"/>
          <w:sz w:val="24"/>
          <w:szCs w:val="24"/>
          <w:lang w:val="en-US" w:eastAsia="zh-CN"/>
        </w:rPr>
      </w:pPr>
    </w:p>
    <w:p w14:paraId="22EDCEC7">
      <w:pPr>
        <w:rPr>
          <w:rFonts w:hint="eastAsia" w:ascii="宋体" w:hAnsi="宋体" w:eastAsia="宋体" w:cs="宋体"/>
          <w:b/>
          <w:bCs/>
          <w:color w:val="auto"/>
          <w:sz w:val="24"/>
          <w:szCs w:val="24"/>
          <w:lang w:val="en-US" w:eastAsia="zh-CN"/>
        </w:rPr>
      </w:pPr>
    </w:p>
    <w:p w14:paraId="2BC55D4B">
      <w:pPr>
        <w:pStyle w:val="29"/>
        <w:rPr>
          <w:rFonts w:hint="eastAsia" w:ascii="宋体" w:hAnsi="宋体" w:eastAsia="宋体" w:cs="宋体"/>
          <w:b/>
          <w:bCs/>
          <w:color w:val="auto"/>
          <w:sz w:val="24"/>
          <w:szCs w:val="24"/>
          <w:lang w:val="en-US" w:eastAsia="zh-CN"/>
        </w:rPr>
      </w:pPr>
    </w:p>
    <w:p w14:paraId="1F241621">
      <w:pPr>
        <w:pStyle w:val="14"/>
        <w:rPr>
          <w:rFonts w:hint="eastAsia" w:ascii="宋体" w:hAnsi="宋体" w:eastAsia="宋体" w:cs="宋体"/>
          <w:b/>
          <w:bCs/>
          <w:color w:val="auto"/>
          <w:sz w:val="24"/>
          <w:szCs w:val="24"/>
          <w:lang w:val="en-US" w:eastAsia="zh-CN"/>
        </w:rPr>
      </w:pPr>
    </w:p>
    <w:p w14:paraId="37AD20AA">
      <w:pPr>
        <w:rPr>
          <w:rFonts w:hint="eastAsia" w:ascii="宋体" w:hAnsi="宋体" w:eastAsia="宋体" w:cs="宋体"/>
          <w:b/>
          <w:bCs/>
          <w:color w:val="auto"/>
          <w:sz w:val="24"/>
          <w:szCs w:val="24"/>
          <w:lang w:val="en-US" w:eastAsia="zh-CN"/>
        </w:rPr>
      </w:pPr>
    </w:p>
    <w:p w14:paraId="6C014D68">
      <w:pPr>
        <w:pStyle w:val="29"/>
        <w:rPr>
          <w:rFonts w:hint="eastAsia" w:ascii="宋体" w:hAnsi="宋体" w:eastAsia="宋体" w:cs="宋体"/>
          <w:b/>
          <w:bCs/>
          <w:color w:val="auto"/>
          <w:sz w:val="24"/>
          <w:szCs w:val="24"/>
          <w:lang w:val="en-US" w:eastAsia="zh-CN"/>
        </w:rPr>
      </w:pPr>
    </w:p>
    <w:p w14:paraId="50D6EF35">
      <w:pPr>
        <w:pStyle w:val="14"/>
        <w:rPr>
          <w:rFonts w:hint="eastAsia" w:ascii="宋体" w:hAnsi="宋体" w:eastAsia="宋体" w:cs="宋体"/>
          <w:b/>
          <w:bCs/>
          <w:color w:val="auto"/>
          <w:sz w:val="24"/>
          <w:szCs w:val="24"/>
          <w:lang w:val="en-US" w:eastAsia="zh-CN"/>
        </w:rPr>
      </w:pPr>
    </w:p>
    <w:p w14:paraId="5256A598">
      <w:pPr>
        <w:rPr>
          <w:rFonts w:hint="eastAsia"/>
          <w:lang w:val="en-US" w:eastAsia="zh-CN"/>
        </w:rPr>
      </w:pPr>
    </w:p>
    <w:p w14:paraId="0D14E51A">
      <w:pPr>
        <w:pStyle w:val="3"/>
        <w:numPr>
          <w:ilvl w:val="0"/>
          <w:numId w:val="0"/>
        </w:numPr>
        <w:tabs>
          <w:tab w:val="clear" w:pos="1080"/>
        </w:tabs>
        <w:spacing w:line="360" w:lineRule="auto"/>
        <w:jc w:val="both"/>
        <w:rPr>
          <w:rFonts w:hint="eastAsia" w:ascii="宋体" w:hAnsi="宋体" w:eastAsia="宋体" w:cs="宋体"/>
          <w:b/>
          <w:bCs/>
          <w:color w:val="auto"/>
          <w:sz w:val="24"/>
          <w:szCs w:val="24"/>
          <w:lang w:val="en-US" w:eastAsia="zh-CN"/>
        </w:rPr>
      </w:pPr>
    </w:p>
    <w:p w14:paraId="36C8F916">
      <w:pPr>
        <w:pStyle w:val="3"/>
        <w:numPr>
          <w:ilvl w:val="0"/>
          <w:numId w:val="0"/>
        </w:numPr>
        <w:tabs>
          <w:tab w:val="clear" w:pos="1080"/>
        </w:tabs>
        <w:spacing w:line="360"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w:t>
      </w:r>
    </w:p>
    <w:p w14:paraId="0E446BE1">
      <w:pPr>
        <w:pStyle w:val="3"/>
        <w:numPr>
          <w:ilvl w:val="0"/>
          <w:numId w:val="0"/>
        </w:numPr>
        <w:tabs>
          <w:tab w:val="clear" w:pos="1080"/>
        </w:tabs>
        <w:spacing w:line="360" w:lineRule="auto"/>
        <w:jc w:val="both"/>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sz w:val="24"/>
          <w:szCs w:val="24"/>
          <w:lang w:val="en-US" w:eastAsia="zh-CN"/>
        </w:rPr>
        <w:t>附件3</w:t>
      </w:r>
      <w:r>
        <w:rPr>
          <w:rFonts w:hint="eastAsia" w:ascii="宋体" w:hAnsi="宋体" w:eastAsia="宋体" w:cs="宋体"/>
          <w:b/>
          <w:bCs/>
          <w:color w:val="auto"/>
          <w:kern w:val="44"/>
          <w:sz w:val="24"/>
          <w:szCs w:val="24"/>
          <w:lang w:val="en-US" w:eastAsia="zh-CN" w:bidi="ar-SA"/>
        </w:rPr>
        <w:t xml:space="preserve">              </w:t>
      </w:r>
    </w:p>
    <w:p w14:paraId="51034D8B">
      <w:pPr>
        <w:pStyle w:val="29"/>
        <w:spacing w:line="520" w:lineRule="exact"/>
        <w:ind w:firstLine="1606" w:firstLineChars="500"/>
        <w:rPr>
          <w:rStyle w:val="150"/>
          <w:rFonts w:hint="eastAsia" w:ascii="宋体" w:hAnsi="宋体" w:eastAsia="宋体" w:cs="宋体"/>
          <w:sz w:val="24"/>
          <w:szCs w:val="24"/>
        </w:rPr>
      </w:pPr>
      <w:r>
        <w:rPr>
          <w:rStyle w:val="149"/>
          <w:rFonts w:hint="eastAsia" w:ascii="宋体" w:hAnsi="宋体" w:eastAsia="宋体" w:cs="宋体"/>
          <w:b/>
          <w:bCs/>
          <w:sz w:val="32"/>
          <w:szCs w:val="32"/>
        </w:rPr>
        <w:t>龙岗区进一步规范政商交往行为告知书</w:t>
      </w:r>
      <w:r>
        <w:rPr>
          <w:rFonts w:hint="eastAsia" w:ascii="宋体" w:hAnsi="宋体" w:eastAsia="宋体" w:cs="宋体"/>
          <w:b w:val="0"/>
          <w:i w:val="0"/>
          <w:color w:val="000000"/>
          <w:sz w:val="24"/>
          <w:szCs w:val="24"/>
        </w:rPr>
        <w:br w:type="textWrapping"/>
      </w:r>
      <w:r>
        <w:rPr>
          <w:rFonts w:hint="eastAsia" w:ascii="宋体" w:hAnsi="宋体" w:cs="宋体"/>
          <w:b w:val="0"/>
          <w:i w:val="0"/>
          <w:color w:val="000000"/>
          <w:sz w:val="24"/>
          <w:szCs w:val="24"/>
          <w:lang w:val="en-US" w:eastAsia="zh-CN"/>
        </w:rPr>
        <w:t xml:space="preserve">    </w:t>
      </w:r>
      <w:r>
        <w:rPr>
          <w:rStyle w:val="150"/>
          <w:rFonts w:hint="eastAsia" w:ascii="宋体" w:hAnsi="宋体" w:eastAsia="宋体" w:cs="宋体"/>
          <w:sz w:val="24"/>
          <w:szCs w:val="24"/>
        </w:rPr>
        <w:t>为深入构建“亲”“清”新型政商关系， 努力打造尊商、 亲商、 助商、安商良好营商环境</w:t>
      </w:r>
      <w:r>
        <w:rPr>
          <w:rStyle w:val="150"/>
          <w:rFonts w:hint="eastAsia" w:ascii="宋体" w:hAnsi="宋体" w:cs="宋体"/>
          <w:sz w:val="24"/>
          <w:szCs w:val="24"/>
          <w:lang w:eastAsia="zh-CN"/>
        </w:rPr>
        <w:t>，</w:t>
      </w:r>
      <w:r>
        <w:rPr>
          <w:rStyle w:val="150"/>
          <w:rFonts w:hint="eastAsia" w:ascii="宋体" w:hAnsi="宋体" w:eastAsia="宋体" w:cs="宋体"/>
          <w:sz w:val="24"/>
          <w:szCs w:val="24"/>
        </w:rPr>
        <w:t>龙岗区委区政府制定了《龙岗区公职人员政商交往“十个不准”》 ， 严明公职人员在政商交往中的纪律要求。请参与龙岗建设的广大企业及其从业人员， 严格监督我区公职人员落实“十个不准” ， 并在与我区公职人员交往中切实做到“十个不得”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一、 不得向公职人员赠送礼品、 礼金、 消费卡等财物。</w:t>
      </w:r>
    </w:p>
    <w:p w14:paraId="2B651218">
      <w:pPr>
        <w:pStyle w:val="29"/>
        <w:numPr>
          <w:ilvl w:val="0"/>
          <w:numId w:val="15"/>
        </w:numPr>
        <w:spacing w:line="520" w:lineRule="exact"/>
        <w:ind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不得违规向公职人员提供宴请、 旅游、 娱乐等安排。</w:t>
      </w:r>
    </w:p>
    <w:p w14:paraId="207E5666">
      <w:pPr>
        <w:pStyle w:val="29"/>
        <w:numPr>
          <w:ilvl w:val="0"/>
          <w:numId w:val="15"/>
        </w:numPr>
        <w:spacing w:line="520" w:lineRule="exact"/>
        <w:ind w:left="0" w:leftChars="0" w:firstLine="480" w:firstLineChars="200"/>
        <w:rPr>
          <w:rStyle w:val="150"/>
          <w:rFonts w:hint="eastAsia" w:ascii="宋体" w:hAnsi="宋体" w:eastAsia="宋体" w:cs="宋体"/>
          <w:sz w:val="24"/>
          <w:szCs w:val="24"/>
        </w:rPr>
      </w:pPr>
      <w:r>
        <w:rPr>
          <w:rStyle w:val="150"/>
          <w:rFonts w:hint="eastAsia" w:ascii="宋体" w:hAnsi="宋体" w:eastAsia="宋体" w:cs="宋体"/>
          <w:sz w:val="24"/>
          <w:szCs w:val="24"/>
        </w:rPr>
        <w:t>不得通过打麻将等形式向公职人员输送利益。</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四、 不得为公职人员报销应由其个人支付的费用。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五、 不得违规向公职人员及其亲友借贷款。</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六、 不得违规将车辆、 住房等借给公职人员使用。</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七、 不得在招投标中与公职人员搞暗箱操作、 围标串标。</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八、 不得为利益相关人和公职人员牵线搭桥或者代为传递信息、 传递财物。</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九、 不得让公职人员在企业违规兼职取酬。</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r>
        <w:rPr>
          <w:rStyle w:val="150"/>
          <w:rFonts w:hint="eastAsia" w:ascii="宋体" w:hAnsi="宋体" w:eastAsia="宋体" w:cs="宋体"/>
          <w:sz w:val="24"/>
          <w:szCs w:val="24"/>
        </w:rPr>
        <w:t>十、 不得为公职人员亲友违规承揽业务提供便利。</w:t>
      </w:r>
    </w:p>
    <w:p w14:paraId="42B73069">
      <w:pPr>
        <w:pStyle w:val="29"/>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上述“十个不得” ， 请您严格遵守。 同时， 在政商交往中，如有发现我区公职人员存在违反“十个不准” 的问题， 请及时通过网络举报平台或者 12388 举报电话等方式， 向纪检监察机关反映举报， 我们将一律严格保密、 一律优先处置、 一律严肃查处。</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1D97E255">
      <w:pPr>
        <w:pStyle w:val="29"/>
        <w:numPr>
          <w:ilvl w:val="0"/>
          <w:numId w:val="0"/>
        </w:numPr>
        <w:spacing w:line="520" w:lineRule="exact"/>
        <w:ind w:left="0" w:leftChars="0" w:firstLine="480" w:firstLineChars="200"/>
        <w:jc w:val="left"/>
        <w:rPr>
          <w:rStyle w:val="150"/>
          <w:rFonts w:hint="eastAsia" w:ascii="宋体" w:hAnsi="宋体" w:cs="宋体"/>
          <w:sz w:val="24"/>
          <w:szCs w:val="24"/>
          <w:lang w:val="en-US" w:eastAsia="zh-CN"/>
        </w:rPr>
      </w:pPr>
      <w:r>
        <w:rPr>
          <w:rStyle w:val="150"/>
          <w:rFonts w:hint="eastAsia" w:ascii="宋体" w:hAnsi="宋体" w:eastAsia="宋体" w:cs="宋体"/>
          <w:sz w:val="24"/>
          <w:szCs w:val="24"/>
        </w:rPr>
        <w:t>本人已知晓上述告知内容， 并愿意遵照执行（签名） ：</w:t>
      </w:r>
      <w:r>
        <w:rPr>
          <w:rStyle w:val="150"/>
          <w:rFonts w:hint="eastAsia" w:ascii="宋体" w:hAnsi="宋体" w:eastAsia="宋体" w:cs="宋体"/>
          <w:sz w:val="24"/>
          <w:szCs w:val="24"/>
        </w:rPr>
        <w:br w:type="textWrapping"/>
      </w:r>
      <w:r>
        <w:rPr>
          <w:rStyle w:val="150"/>
          <w:rFonts w:hint="eastAsia" w:ascii="宋体" w:hAnsi="宋体" w:cs="宋体"/>
          <w:sz w:val="24"/>
          <w:szCs w:val="24"/>
          <w:lang w:val="en-US" w:eastAsia="zh-CN"/>
        </w:rPr>
        <w:t xml:space="preserve">                                          </w:t>
      </w:r>
    </w:p>
    <w:p w14:paraId="37ABE9ED">
      <w:pPr>
        <w:pStyle w:val="29"/>
        <w:numPr>
          <w:ilvl w:val="0"/>
          <w:numId w:val="0"/>
        </w:numPr>
        <w:spacing w:line="520" w:lineRule="exact"/>
        <w:ind w:left="0" w:leftChars="0" w:firstLine="5280" w:firstLineChars="2200"/>
        <w:jc w:val="left"/>
        <w:rPr>
          <w:rStyle w:val="150"/>
          <w:rFonts w:hint="eastAsia" w:ascii="宋体" w:hAnsi="宋体" w:eastAsia="宋体" w:cs="宋体"/>
          <w:sz w:val="24"/>
          <w:szCs w:val="24"/>
        </w:rPr>
      </w:pPr>
      <w:r>
        <w:rPr>
          <w:rStyle w:val="150"/>
          <w:rFonts w:hint="eastAsia" w:ascii="宋体" w:hAnsi="宋体" w:cs="宋体"/>
          <w:sz w:val="24"/>
          <w:szCs w:val="24"/>
          <w:lang w:val="en-US" w:eastAsia="zh-CN"/>
        </w:rPr>
        <w:t xml:space="preserve">  </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w:t>
      </w:r>
      <w:r>
        <w:rPr>
          <w:rStyle w:val="150"/>
          <w:rFonts w:hint="eastAsia" w:hAnsi="宋体" w:eastAsia="宋体" w:cs="宋体"/>
          <w:sz w:val="24"/>
          <w:szCs w:val="24"/>
          <w:lang w:val="en-US" w:eastAsia="zh-CN"/>
        </w:rPr>
        <w:t>202</w:t>
      </w:r>
      <w:r>
        <w:rPr>
          <w:rStyle w:val="150"/>
          <w:rFonts w:hint="default" w:hAnsi="宋体" w:eastAsia="宋体" w:cs="宋体"/>
          <w:sz w:val="24"/>
          <w:szCs w:val="24"/>
          <w:lang w:val="en-US" w:eastAsia="zh-CN"/>
        </w:rPr>
        <w:t>5</w:t>
      </w:r>
      <w:r>
        <w:rPr>
          <w:rStyle w:val="150"/>
          <w:rFonts w:hint="eastAsia" w:ascii="宋体" w:hAnsi="宋体" w:eastAsia="宋体" w:cs="宋体"/>
          <w:sz w:val="24"/>
          <w:szCs w:val="24"/>
        </w:rPr>
        <w:t>年</w:t>
      </w:r>
      <w:r>
        <w:rPr>
          <w:rStyle w:val="150"/>
          <w:rFonts w:hint="eastAsia" w:hAnsi="宋体" w:eastAsia="宋体" w:cs="宋体"/>
          <w:sz w:val="24"/>
          <w:szCs w:val="24"/>
          <w:lang w:val="en-US" w:eastAsia="zh-CN"/>
        </w:rPr>
        <w:t>7</w:t>
      </w:r>
      <w:r>
        <w:rPr>
          <w:rStyle w:val="150"/>
          <w:rFonts w:hint="eastAsia" w:ascii="宋体" w:hAnsi="宋体" w:eastAsia="宋体" w:cs="宋体"/>
          <w:sz w:val="24"/>
          <w:szCs w:val="24"/>
        </w:rPr>
        <w:t>月</w:t>
      </w:r>
      <w:r>
        <w:rPr>
          <w:rStyle w:val="150"/>
          <w:rFonts w:hint="eastAsia" w:hAnsi="宋体" w:eastAsia="宋体" w:cs="宋体"/>
          <w:sz w:val="24"/>
          <w:szCs w:val="24"/>
          <w:lang w:val="en-US" w:eastAsia="zh-CN"/>
        </w:rPr>
        <w:t xml:space="preserve">  </w:t>
      </w:r>
      <w:r>
        <w:rPr>
          <w:rStyle w:val="150"/>
          <w:rFonts w:hint="eastAsia" w:ascii="宋体" w:hAnsi="宋体" w:eastAsia="宋体" w:cs="宋体"/>
          <w:sz w:val="24"/>
          <w:szCs w:val="24"/>
        </w:rPr>
        <w:t xml:space="preserve"> 日</w:t>
      </w:r>
    </w:p>
    <w:bookmarkEnd w:id="13"/>
    <w:p w14:paraId="27457F06">
      <w:pPr>
        <w:rPr>
          <w:rFonts w:hint="eastAsia"/>
          <w:lang w:val="en-US" w:eastAsia="zh-CN"/>
        </w:rPr>
      </w:pPr>
    </w:p>
    <w:p w14:paraId="3D6F3AEF">
      <w:pPr>
        <w:jc w:val="center"/>
        <w:rPr>
          <w:rFonts w:hint="eastAsia"/>
          <w:b/>
          <w:sz w:val="36"/>
          <w:szCs w:val="36"/>
          <w:highlight w:val="none"/>
        </w:rPr>
      </w:pPr>
    </w:p>
    <w:p w14:paraId="0D938920">
      <w:pPr>
        <w:jc w:val="center"/>
        <w:rPr>
          <w:rFonts w:hint="eastAsia"/>
          <w:b/>
          <w:sz w:val="36"/>
          <w:szCs w:val="36"/>
          <w:highlight w:val="none"/>
        </w:rPr>
      </w:pPr>
    </w:p>
    <w:p w14:paraId="726E069D">
      <w:pPr>
        <w:jc w:val="center"/>
        <w:rPr>
          <w:rFonts w:hint="eastAsia"/>
          <w:b/>
          <w:sz w:val="36"/>
          <w:szCs w:val="36"/>
          <w:highlight w:val="none"/>
        </w:rPr>
      </w:pPr>
    </w:p>
    <w:p w14:paraId="58300DB8">
      <w:pPr>
        <w:spacing w:line="360" w:lineRule="auto"/>
        <w:jc w:val="both"/>
        <w:rPr>
          <w:rFonts w:hint="eastAsia"/>
          <w:b/>
          <w:bCs/>
          <w:color w:val="auto"/>
          <w:sz w:val="32"/>
          <w:highlight w:val="none"/>
        </w:rPr>
      </w:pPr>
    </w:p>
    <w:p w14:paraId="5DE60EEC">
      <w:pPr>
        <w:rPr>
          <w:highlight w:val="none"/>
        </w:rPr>
      </w:pPr>
    </w:p>
    <w:p w14:paraId="61BD9E2B">
      <w:pPr>
        <w:rPr>
          <w:highlight w:val="none"/>
        </w:rPr>
      </w:pPr>
    </w:p>
    <w:p w14:paraId="0FF6EA42">
      <w:pPr>
        <w:rPr>
          <w:highlight w:val="none"/>
        </w:rPr>
      </w:pPr>
    </w:p>
    <w:p w14:paraId="0CE06C09">
      <w:pPr>
        <w:jc w:val="both"/>
        <w:rPr>
          <w:rFonts w:hint="eastAsia"/>
          <w:b/>
          <w:sz w:val="36"/>
          <w:szCs w:val="36"/>
          <w:highlight w:val="none"/>
        </w:rPr>
      </w:pPr>
    </w:p>
    <w:p w14:paraId="167BD304">
      <w:pPr>
        <w:jc w:val="center"/>
        <w:rPr>
          <w:b/>
          <w:sz w:val="36"/>
          <w:szCs w:val="36"/>
          <w:highlight w:val="none"/>
        </w:rPr>
      </w:pPr>
      <w:r>
        <w:rPr>
          <w:rFonts w:hint="eastAsia"/>
          <w:b/>
          <w:sz w:val="36"/>
          <w:szCs w:val="36"/>
          <w:highlight w:val="none"/>
        </w:rPr>
        <w:t>第</w:t>
      </w:r>
      <w:r>
        <w:rPr>
          <w:rFonts w:hint="eastAsia"/>
          <w:b/>
          <w:sz w:val="36"/>
          <w:szCs w:val="36"/>
          <w:highlight w:val="none"/>
          <w:lang w:val="en-US" w:eastAsia="zh-CN"/>
        </w:rPr>
        <w:t>三</w:t>
      </w:r>
      <w:r>
        <w:rPr>
          <w:rFonts w:hint="eastAsia"/>
          <w:b/>
          <w:sz w:val="36"/>
          <w:szCs w:val="36"/>
          <w:highlight w:val="none"/>
        </w:rPr>
        <w:t>章  投标文件格式</w:t>
      </w:r>
    </w:p>
    <w:p w14:paraId="26B66C43">
      <w:pPr>
        <w:rPr>
          <w:highlight w:val="none"/>
        </w:rPr>
      </w:pPr>
    </w:p>
    <w:p w14:paraId="103476EC">
      <w:pPr>
        <w:spacing w:afterLines="100" w:line="360" w:lineRule="auto"/>
        <w:jc w:val="center"/>
        <w:rPr>
          <w:rFonts w:ascii="宋体" w:hAnsi="宋体"/>
          <w:b/>
          <w:sz w:val="48"/>
          <w:szCs w:val="48"/>
          <w:highlight w:val="none"/>
        </w:rPr>
      </w:pPr>
      <w:r>
        <w:rPr>
          <w:rFonts w:ascii="宋体" w:hAnsi="宋体"/>
          <w:szCs w:val="21"/>
          <w:highlight w:val="none"/>
        </w:rPr>
        <w:br w:type="page"/>
      </w:r>
    </w:p>
    <w:p w14:paraId="0F78CB9B">
      <w:pPr>
        <w:pStyle w:val="29"/>
        <w:rPr>
          <w:rFonts w:hint="eastAsia"/>
          <w:highlight w:val="none"/>
        </w:rPr>
      </w:pPr>
    </w:p>
    <w:p w14:paraId="27CCC0CA">
      <w:pPr>
        <w:spacing w:beforeLines="50" w:afterLines="100" w:line="360" w:lineRule="auto"/>
        <w:jc w:val="center"/>
        <w:rPr>
          <w:rFonts w:hint="eastAsia" w:ascii="宋体" w:hAnsi="宋体"/>
          <w:b/>
          <w:sz w:val="44"/>
          <w:szCs w:val="44"/>
          <w:highlight w:val="none"/>
          <w:lang w:val="en-US" w:eastAsia="zh-CN"/>
        </w:rPr>
      </w:pPr>
      <w:r>
        <w:rPr>
          <w:rFonts w:hint="eastAsia" w:ascii="宋体" w:hAnsi="宋体"/>
          <w:b/>
          <w:sz w:val="44"/>
          <w:szCs w:val="44"/>
          <w:highlight w:val="none"/>
          <w:lang w:val="en-US" w:eastAsia="zh-CN"/>
        </w:rPr>
        <w:t>深圳市龙岗区人民医院“光储充”项目</w:t>
      </w:r>
    </w:p>
    <w:p w14:paraId="59FBAB6E">
      <w:pPr>
        <w:spacing w:beforeLines="50" w:afterLines="100" w:line="360" w:lineRule="auto"/>
        <w:jc w:val="center"/>
        <w:rPr>
          <w:rFonts w:hint="default" w:ascii="宋体" w:hAnsi="宋体" w:eastAsia="宋体" w:cs="Times New Roman"/>
          <w:b/>
          <w:sz w:val="44"/>
          <w:szCs w:val="44"/>
          <w:highlight w:val="none"/>
          <w:lang w:val="en-US"/>
        </w:rPr>
      </w:pPr>
      <w:r>
        <w:rPr>
          <w:rFonts w:hint="eastAsia" w:ascii="宋体" w:hAnsi="宋体" w:cs="Times New Roman"/>
          <w:b/>
          <w:sz w:val="44"/>
          <w:szCs w:val="44"/>
          <w:highlight w:val="none"/>
          <w:lang w:val="en-US" w:eastAsia="zh-CN"/>
        </w:rPr>
        <w:t>监理</w:t>
      </w:r>
    </w:p>
    <w:p w14:paraId="2A161EFD">
      <w:pPr>
        <w:pStyle w:val="24"/>
        <w:rPr>
          <w:rFonts w:hint="eastAsia" w:ascii="宋体" w:hAnsi="宋体" w:eastAsia="宋体" w:cs="Times New Roman"/>
          <w:b/>
          <w:sz w:val="44"/>
          <w:szCs w:val="44"/>
          <w:highlight w:val="none"/>
        </w:rPr>
      </w:pPr>
    </w:p>
    <w:p w14:paraId="39668F29">
      <w:pPr>
        <w:rPr>
          <w:rFonts w:hint="eastAsia"/>
          <w:highlight w:val="none"/>
        </w:rPr>
      </w:pPr>
    </w:p>
    <w:p w14:paraId="22E4D4A0">
      <w:pPr>
        <w:spacing w:beforeLines="50" w:afterLines="100" w:line="360" w:lineRule="auto"/>
        <w:jc w:val="center"/>
        <w:rPr>
          <w:rFonts w:ascii="宋体" w:hAnsi="宋体"/>
          <w:b/>
          <w:sz w:val="44"/>
          <w:szCs w:val="44"/>
          <w:highlight w:val="none"/>
        </w:rPr>
      </w:pPr>
      <w:r>
        <w:rPr>
          <w:rFonts w:hint="eastAsia" w:ascii="宋体" w:hAnsi="宋体"/>
          <w:b/>
          <w:sz w:val="44"/>
          <w:szCs w:val="44"/>
          <w:highlight w:val="none"/>
        </w:rPr>
        <w:t>投标文件</w:t>
      </w:r>
    </w:p>
    <w:p w14:paraId="0B301439">
      <w:pPr>
        <w:spacing w:line="360" w:lineRule="auto"/>
        <w:jc w:val="center"/>
        <w:rPr>
          <w:rFonts w:ascii="宋体" w:hAnsi="宋体"/>
          <w:b/>
          <w:sz w:val="52"/>
          <w:szCs w:val="52"/>
          <w:highlight w:val="none"/>
        </w:rPr>
      </w:pPr>
    </w:p>
    <w:p w14:paraId="64C595EC">
      <w:pPr>
        <w:spacing w:line="360" w:lineRule="auto"/>
        <w:rPr>
          <w:rFonts w:ascii="宋体" w:hAnsi="宋体"/>
          <w:b/>
          <w:sz w:val="32"/>
          <w:szCs w:val="32"/>
          <w:highlight w:val="none"/>
        </w:rPr>
      </w:pPr>
    </w:p>
    <w:p w14:paraId="38781476">
      <w:pPr>
        <w:spacing w:line="360" w:lineRule="auto"/>
        <w:rPr>
          <w:rFonts w:ascii="宋体" w:hAnsi="宋体"/>
          <w:b/>
          <w:sz w:val="32"/>
          <w:szCs w:val="32"/>
          <w:highlight w:val="none"/>
        </w:rPr>
      </w:pPr>
    </w:p>
    <w:p w14:paraId="21E20320">
      <w:pPr>
        <w:spacing w:line="360" w:lineRule="auto"/>
        <w:ind w:firstLine="840" w:firstLineChars="300"/>
        <w:rPr>
          <w:rFonts w:ascii="宋体" w:hAnsi="宋体"/>
          <w:sz w:val="28"/>
          <w:szCs w:val="28"/>
          <w:highlight w:val="none"/>
        </w:rPr>
      </w:pPr>
      <w:r>
        <w:rPr>
          <w:rFonts w:hint="eastAsia" w:ascii="宋体" w:hAnsi="宋体"/>
          <w:sz w:val="28"/>
          <w:szCs w:val="28"/>
          <w:highlight w:val="none"/>
        </w:rPr>
        <w:t>投   标   人：</w:t>
      </w:r>
      <w:r>
        <w:rPr>
          <w:rFonts w:hint="eastAsia" w:ascii="宋体" w:hAnsi="宋体"/>
          <w:sz w:val="28"/>
          <w:szCs w:val="28"/>
          <w:highlight w:val="none"/>
          <w:u w:val="single"/>
        </w:rPr>
        <w:t xml:space="preserve">                             </w:t>
      </w:r>
      <w:r>
        <w:rPr>
          <w:rFonts w:hint="eastAsia" w:ascii="宋体" w:hAnsi="宋体"/>
          <w:sz w:val="28"/>
          <w:szCs w:val="28"/>
          <w:highlight w:val="none"/>
        </w:rPr>
        <w:t>（全称）（盖章）</w:t>
      </w:r>
    </w:p>
    <w:p w14:paraId="3E5A2336">
      <w:pPr>
        <w:spacing w:line="360" w:lineRule="auto"/>
        <w:ind w:firstLine="840" w:firstLineChars="300"/>
        <w:rPr>
          <w:rFonts w:ascii="宋体" w:hAnsi="宋体"/>
          <w:sz w:val="28"/>
          <w:szCs w:val="28"/>
          <w:highlight w:val="none"/>
        </w:rPr>
      </w:pPr>
    </w:p>
    <w:p w14:paraId="3D927D83">
      <w:pPr>
        <w:spacing w:line="360" w:lineRule="auto"/>
        <w:ind w:firstLine="840" w:firstLineChars="300"/>
        <w:rPr>
          <w:rFonts w:ascii="宋体" w:hAnsi="宋体"/>
          <w:sz w:val="28"/>
          <w:szCs w:val="28"/>
          <w:highlight w:val="none"/>
        </w:rPr>
      </w:pPr>
      <w:r>
        <w:rPr>
          <w:rFonts w:hint="eastAsia" w:ascii="宋体" w:hAnsi="宋体"/>
          <w:sz w:val="28"/>
          <w:szCs w:val="28"/>
          <w:highlight w:val="none"/>
        </w:rPr>
        <w:t>法定代表人或授权代理人：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14:paraId="38F5CB71">
      <w:pPr>
        <w:spacing w:line="360" w:lineRule="auto"/>
        <w:ind w:firstLine="840" w:firstLineChars="300"/>
        <w:rPr>
          <w:rFonts w:ascii="宋体" w:hAnsi="宋体"/>
          <w:sz w:val="28"/>
          <w:szCs w:val="28"/>
          <w:highlight w:val="none"/>
        </w:rPr>
      </w:pPr>
    </w:p>
    <w:p w14:paraId="2ED803DE">
      <w:pPr>
        <w:spacing w:line="360" w:lineRule="auto"/>
        <w:ind w:firstLine="840" w:firstLineChars="300"/>
        <w:rPr>
          <w:rFonts w:hint="eastAsia" w:ascii="宋体" w:hAnsi="宋体"/>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14:paraId="2DE7A895">
      <w:pPr>
        <w:rPr>
          <w:rFonts w:hint="eastAsia" w:ascii="宋体" w:hAnsi="宋体"/>
          <w:sz w:val="28"/>
          <w:szCs w:val="28"/>
          <w:highlight w:val="none"/>
        </w:rPr>
      </w:pPr>
      <w:r>
        <w:rPr>
          <w:rFonts w:hint="eastAsia" w:ascii="宋体" w:hAnsi="宋体"/>
          <w:sz w:val="28"/>
          <w:szCs w:val="28"/>
          <w:highlight w:val="none"/>
        </w:rPr>
        <w:br w:type="page"/>
      </w:r>
    </w:p>
    <w:p w14:paraId="19B3B0C2">
      <w:pPr>
        <w:pStyle w:val="29"/>
        <w:spacing w:line="360" w:lineRule="auto"/>
        <w:jc w:val="center"/>
        <w:rPr>
          <w:rFonts w:hAnsi="宋体"/>
          <w:sz w:val="36"/>
          <w:szCs w:val="36"/>
          <w:highlight w:val="none"/>
        </w:rPr>
      </w:pPr>
      <w:bookmarkStart w:id="91" w:name="_Toc509669700"/>
      <w:bookmarkStart w:id="92" w:name="_Toc306716063"/>
      <w:bookmarkStart w:id="93" w:name="_Toc306716065"/>
      <w:r>
        <w:rPr>
          <w:rFonts w:hint="eastAsia" w:hAnsi="宋体"/>
          <w:sz w:val="36"/>
          <w:szCs w:val="36"/>
          <w:highlight w:val="none"/>
        </w:rPr>
        <w:t>投标承诺函</w:t>
      </w:r>
    </w:p>
    <w:p w14:paraId="1E39C4FB">
      <w:pPr>
        <w:spacing w:line="540" w:lineRule="exact"/>
        <w:ind w:right="960"/>
        <w:rPr>
          <w:rFonts w:hint="eastAsia" w:hAnsi="宋体" w:eastAsia="宋体"/>
          <w:bCs/>
          <w:sz w:val="24"/>
          <w:szCs w:val="24"/>
          <w:highlight w:val="none"/>
          <w:u w:val="single"/>
          <w:lang w:eastAsia="zh-CN"/>
        </w:rPr>
      </w:pPr>
      <w:r>
        <w:rPr>
          <w:rFonts w:hint="eastAsia" w:hAnsi="宋体"/>
          <w:bCs/>
          <w:sz w:val="24"/>
          <w:szCs w:val="24"/>
          <w:highlight w:val="none"/>
        </w:rPr>
        <w:t>致招标人:</w:t>
      </w:r>
      <w:r>
        <w:rPr>
          <w:rFonts w:hint="eastAsia" w:hAnsi="宋体"/>
          <w:sz w:val="24"/>
          <w:szCs w:val="24"/>
          <w:highlight w:val="none"/>
          <w:u w:val="single"/>
        </w:rPr>
        <w:t xml:space="preserve"> 深圳市龙岗区城投新基础设施建设管理有限公司</w:t>
      </w:r>
    </w:p>
    <w:p w14:paraId="3BDAC746">
      <w:pPr>
        <w:pStyle w:val="29"/>
        <w:spacing w:line="360" w:lineRule="auto"/>
        <w:ind w:firstLine="480" w:firstLineChars="200"/>
        <w:rPr>
          <w:rFonts w:hAnsi="宋体"/>
          <w:bCs/>
          <w:sz w:val="24"/>
          <w:szCs w:val="24"/>
          <w:highlight w:val="none"/>
        </w:rPr>
      </w:pPr>
      <w:r>
        <w:rPr>
          <w:rFonts w:hint="eastAsia" w:hAnsi="宋体"/>
          <w:bCs/>
          <w:sz w:val="24"/>
          <w:szCs w:val="24"/>
          <w:highlight w:val="none"/>
        </w:rPr>
        <w:t>为了确保本工程</w:t>
      </w:r>
      <w:r>
        <w:rPr>
          <w:rFonts w:hint="eastAsia" w:hAnsi="宋体"/>
          <w:bCs/>
          <w:sz w:val="24"/>
          <w:szCs w:val="24"/>
          <w:highlight w:val="none"/>
          <w:lang w:val="en-US" w:eastAsia="zh-CN"/>
        </w:rPr>
        <w:t>监理相关</w:t>
      </w:r>
      <w:r>
        <w:rPr>
          <w:rFonts w:hint="eastAsia" w:hAnsi="宋体"/>
          <w:bCs/>
          <w:sz w:val="24"/>
          <w:szCs w:val="24"/>
          <w:highlight w:val="none"/>
        </w:rPr>
        <w:t>工作顺利进行，我方将严格执行建设工程招标投标管理的法律法规，并完全接受</w:t>
      </w:r>
      <w:r>
        <w:rPr>
          <w:rFonts w:hint="eastAsia" w:hAnsi="宋体"/>
          <w:bCs/>
          <w:sz w:val="24"/>
          <w:szCs w:val="24"/>
          <w:highlight w:val="none"/>
          <w:u w:val="single"/>
        </w:rPr>
        <w:t>深圳市龙岗区人民医院“光储充”项目</w:t>
      </w:r>
      <w:r>
        <w:rPr>
          <w:rFonts w:hint="eastAsia" w:hAnsi="宋体"/>
          <w:bCs/>
          <w:sz w:val="24"/>
          <w:szCs w:val="24"/>
          <w:highlight w:val="none"/>
          <w:u w:val="single"/>
          <w:lang w:eastAsia="zh-CN"/>
        </w:rPr>
        <w:t>监理</w:t>
      </w:r>
      <w:r>
        <w:rPr>
          <w:rFonts w:hint="eastAsia" w:hAnsi="宋体"/>
          <w:bCs/>
          <w:sz w:val="24"/>
          <w:szCs w:val="24"/>
          <w:highlight w:val="none"/>
        </w:rPr>
        <w:t>的招标文件所有内容，为此作出如下承诺：</w:t>
      </w:r>
    </w:p>
    <w:p w14:paraId="07B6C582">
      <w:pPr>
        <w:pStyle w:val="29"/>
        <w:spacing w:line="360" w:lineRule="auto"/>
        <w:ind w:firstLine="480" w:firstLineChars="200"/>
        <w:rPr>
          <w:rFonts w:hAnsi="宋体"/>
          <w:sz w:val="24"/>
          <w:szCs w:val="24"/>
          <w:highlight w:val="none"/>
        </w:rPr>
      </w:pPr>
      <w:r>
        <w:rPr>
          <w:rFonts w:hint="eastAsia" w:hAnsi="宋体"/>
          <w:bCs/>
          <w:sz w:val="24"/>
          <w:szCs w:val="24"/>
          <w:highlight w:val="none"/>
        </w:rPr>
        <w:t>1、根</w:t>
      </w:r>
      <w:r>
        <w:rPr>
          <w:rFonts w:hint="eastAsia" w:hAnsi="宋体"/>
          <w:sz w:val="24"/>
          <w:szCs w:val="24"/>
          <w:highlight w:val="none"/>
        </w:rPr>
        <w:t>据企业自身情况，理性报价，不会以低于成本的报价竞标</w:t>
      </w:r>
      <w:r>
        <w:rPr>
          <w:rFonts w:hint="eastAsia" w:hAnsi="宋体"/>
          <w:sz w:val="24"/>
          <w:szCs w:val="24"/>
          <w:highlight w:val="none"/>
          <w:lang w:eastAsia="zh-CN"/>
        </w:rPr>
        <w:t>。</w:t>
      </w:r>
      <w:r>
        <w:rPr>
          <w:rFonts w:hint="eastAsia" w:hAnsi="宋体"/>
          <w:sz w:val="24"/>
          <w:szCs w:val="24"/>
          <w:highlight w:val="none"/>
          <w:lang w:val="en-US" w:eastAsia="zh-CN"/>
        </w:rPr>
        <w:t>报价为</w:t>
      </w:r>
      <w:r>
        <w:rPr>
          <w:rFonts w:hint="eastAsia" w:hAnsi="宋体"/>
          <w:sz w:val="24"/>
          <w:szCs w:val="24"/>
          <w:highlight w:val="none"/>
          <w:u w:val="single"/>
          <w:lang w:val="en-US" w:eastAsia="zh-CN"/>
        </w:rPr>
        <w:t xml:space="preserve">    </w:t>
      </w:r>
      <w:r>
        <w:rPr>
          <w:rFonts w:hint="eastAsia" w:hAnsi="宋体"/>
          <w:sz w:val="24"/>
          <w:szCs w:val="24"/>
          <w:highlight w:val="none"/>
          <w:u w:val="none"/>
          <w:lang w:val="en-US" w:eastAsia="zh-CN"/>
        </w:rPr>
        <w:t>万元</w:t>
      </w:r>
      <w:r>
        <w:rPr>
          <w:rFonts w:hint="eastAsia" w:hAnsi="宋体"/>
          <w:sz w:val="24"/>
          <w:szCs w:val="24"/>
          <w:highlight w:val="none"/>
          <w:u w:val="none"/>
          <w:lang w:val="en-US" w:eastAsia="zh-CN"/>
        </w:rPr>
        <w:t>，</w:t>
      </w:r>
      <w:r>
        <w:rPr>
          <w:rFonts w:hint="eastAsia" w:hAnsi="宋体"/>
          <w:sz w:val="24"/>
          <w:szCs w:val="24"/>
          <w:highlight w:val="none"/>
          <w:lang w:val="en-US" w:eastAsia="zh-CN"/>
        </w:rPr>
        <w:t>下浮率为</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lang w:val="en-US" w:eastAsia="zh-CN"/>
        </w:rPr>
        <w:t>%</w:t>
      </w:r>
      <w:r>
        <w:rPr>
          <w:rFonts w:hint="eastAsia" w:hAnsi="宋体"/>
          <w:sz w:val="24"/>
          <w:szCs w:val="24"/>
          <w:highlight w:val="none"/>
          <w:lang w:eastAsia="zh-CN"/>
        </w:rPr>
        <w:t>，</w:t>
      </w:r>
      <w:r>
        <w:rPr>
          <w:rFonts w:hint="eastAsia" w:hAnsi="宋体"/>
          <w:sz w:val="24"/>
          <w:szCs w:val="24"/>
          <w:highlight w:val="none"/>
        </w:rPr>
        <w:t>按招标文件要求承包本项目</w:t>
      </w:r>
      <w:r>
        <w:rPr>
          <w:rFonts w:hint="eastAsia" w:ascii="Calibri" w:hAnsi="宋体" w:cs="Times New Roman"/>
          <w:b w:val="0"/>
          <w:bCs/>
          <w:kern w:val="2"/>
          <w:sz w:val="24"/>
          <w:szCs w:val="24"/>
          <w:highlight w:val="none"/>
          <w:u w:val="none"/>
          <w:lang w:val="en-US" w:eastAsia="zh-CN" w:bidi="ar-SA"/>
        </w:rPr>
        <w:t>工作</w:t>
      </w:r>
      <w:r>
        <w:rPr>
          <w:rFonts w:hint="eastAsia" w:hAnsi="宋体"/>
          <w:sz w:val="24"/>
          <w:szCs w:val="24"/>
          <w:highlight w:val="none"/>
        </w:rPr>
        <w:t>。否则，我方愿意承担任何风险。（投标人填写）</w:t>
      </w:r>
      <w:bookmarkStart w:id="94" w:name="_GoBack"/>
      <w:bookmarkEnd w:id="94"/>
    </w:p>
    <w:p w14:paraId="3920D9B0">
      <w:pPr>
        <w:spacing w:line="360" w:lineRule="auto"/>
        <w:ind w:firstLine="480" w:firstLineChars="200"/>
        <w:rPr>
          <w:rFonts w:ascii="宋体" w:hAnsi="宋体"/>
          <w:sz w:val="24"/>
          <w:szCs w:val="24"/>
          <w:highlight w:val="none"/>
        </w:rPr>
      </w:pPr>
      <w:r>
        <w:rPr>
          <w:rFonts w:hint="eastAsia" w:ascii="宋体" w:hAnsi="宋体"/>
          <w:bCs/>
          <w:sz w:val="24"/>
          <w:szCs w:val="24"/>
          <w:highlight w:val="none"/>
        </w:rPr>
        <w:t>2、</w:t>
      </w:r>
      <w:r>
        <w:rPr>
          <w:rFonts w:hint="eastAsia" w:ascii="宋体" w:hAnsi="宋体"/>
          <w:sz w:val="24"/>
          <w:szCs w:val="24"/>
          <w:highlight w:val="none"/>
        </w:rPr>
        <w:t>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14:paraId="12DAA966">
      <w:pPr>
        <w:pStyle w:val="29"/>
        <w:spacing w:line="360" w:lineRule="auto"/>
        <w:ind w:firstLine="480" w:firstLineChars="200"/>
        <w:rPr>
          <w:rFonts w:hAnsi="宋体"/>
          <w:bCs/>
          <w:sz w:val="24"/>
          <w:szCs w:val="24"/>
          <w:highlight w:val="none"/>
        </w:rPr>
      </w:pPr>
      <w:r>
        <w:rPr>
          <w:rFonts w:hint="eastAsia" w:hAnsi="宋体"/>
          <w:sz w:val="24"/>
          <w:szCs w:val="24"/>
          <w:highlight w:val="none"/>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14:paraId="707247AD">
      <w:pPr>
        <w:spacing w:line="360" w:lineRule="auto"/>
        <w:ind w:firstLine="480" w:firstLineChars="200"/>
        <w:rPr>
          <w:rFonts w:ascii="宋体" w:hAnsi="宋体" w:cs="Courier New"/>
          <w:bCs/>
          <w:sz w:val="24"/>
          <w:szCs w:val="24"/>
          <w:highlight w:val="none"/>
        </w:rPr>
      </w:pPr>
      <w:r>
        <w:rPr>
          <w:rFonts w:hint="eastAsia" w:ascii="宋体" w:hAnsi="宋体" w:cs="Courier New"/>
          <w:bCs/>
          <w:sz w:val="24"/>
          <w:szCs w:val="24"/>
          <w:highlight w:val="none"/>
        </w:rPr>
        <w:t>4、一旦我方中标，将保证在收到委托函后</w:t>
      </w:r>
      <w:r>
        <w:rPr>
          <w:rFonts w:hint="eastAsia" w:ascii="宋体" w:hAnsi="宋体"/>
          <w:bCs/>
          <w:sz w:val="24"/>
          <w:szCs w:val="24"/>
          <w:highlight w:val="none"/>
          <w:u w:val="single"/>
        </w:rPr>
        <w:t xml:space="preserve"> </w:t>
      </w:r>
      <w:r>
        <w:rPr>
          <w:rFonts w:hint="eastAsia" w:ascii="宋体" w:hAnsi="宋体"/>
          <w:bCs/>
          <w:sz w:val="24"/>
          <w:szCs w:val="24"/>
          <w:highlight w:val="none"/>
          <w:u w:val="single"/>
          <w:lang w:val="en-US" w:eastAsia="zh-CN"/>
        </w:rPr>
        <w:t>30</w:t>
      </w:r>
      <w:r>
        <w:rPr>
          <w:rFonts w:hint="eastAsia" w:ascii="宋体" w:hAnsi="宋体"/>
          <w:bCs/>
          <w:sz w:val="24"/>
          <w:szCs w:val="24"/>
          <w:highlight w:val="none"/>
          <w:u w:val="single"/>
        </w:rPr>
        <w:t xml:space="preserve"> </w:t>
      </w:r>
      <w:r>
        <w:rPr>
          <w:rFonts w:hint="eastAsia" w:ascii="宋体" w:hAnsi="宋体" w:cs="Courier New"/>
          <w:bCs/>
          <w:sz w:val="24"/>
          <w:szCs w:val="24"/>
          <w:highlight w:val="none"/>
        </w:rPr>
        <w:t>日内，与贵方按招标文件、委托函中的内容签</w:t>
      </w:r>
      <w:r>
        <w:rPr>
          <w:rFonts w:hint="eastAsia" w:ascii="宋体" w:hAnsi="宋体" w:cs="Courier New"/>
          <w:bCs/>
          <w:sz w:val="24"/>
          <w:szCs w:val="24"/>
          <w:highlight w:val="none"/>
          <w:lang w:val="en-US" w:eastAsia="zh-CN"/>
        </w:rPr>
        <w:t>订</w:t>
      </w:r>
      <w:r>
        <w:rPr>
          <w:rFonts w:hint="eastAsia" w:ascii="宋体" w:hAnsi="宋体" w:cs="Courier New"/>
          <w:bCs/>
          <w:sz w:val="24"/>
          <w:szCs w:val="24"/>
          <w:highlight w:val="none"/>
        </w:rPr>
        <w:t>合同文件，否则，视为我方自愿放弃中标资格。</w:t>
      </w:r>
    </w:p>
    <w:p w14:paraId="1F2060EE">
      <w:pPr>
        <w:spacing w:line="360" w:lineRule="auto"/>
        <w:ind w:firstLine="480" w:firstLineChars="200"/>
        <w:rPr>
          <w:rFonts w:ascii="宋体" w:hAnsi="宋体" w:cs="Courier New"/>
          <w:bCs/>
          <w:sz w:val="24"/>
          <w:szCs w:val="24"/>
          <w:highlight w:val="none"/>
        </w:rPr>
      </w:pPr>
      <w:r>
        <w:rPr>
          <w:rFonts w:hint="eastAsia" w:ascii="宋体" w:hAnsi="宋体"/>
          <w:sz w:val="24"/>
          <w:szCs w:val="24"/>
          <w:highlight w:val="none"/>
        </w:rPr>
        <w:t>5、除非另外达成协议并生效，贵方的委托函和本投标文件将成为约束双方的合同文件的组成部分。</w:t>
      </w:r>
    </w:p>
    <w:p w14:paraId="0A5138CA">
      <w:pPr>
        <w:adjustRightInd w:val="0"/>
        <w:snapToGrid w:val="0"/>
        <w:spacing w:line="560" w:lineRule="exact"/>
        <w:ind w:firstLine="480" w:firstLineChars="200"/>
        <w:rPr>
          <w:rFonts w:ascii="宋体" w:hAnsi="宋体"/>
          <w:bCs/>
          <w:sz w:val="24"/>
          <w:szCs w:val="24"/>
          <w:highlight w:val="none"/>
        </w:rPr>
      </w:pPr>
      <w:r>
        <w:rPr>
          <w:rFonts w:hint="eastAsia" w:ascii="宋体" w:hAnsi="宋体"/>
          <w:bCs/>
          <w:sz w:val="24"/>
          <w:szCs w:val="24"/>
          <w:highlight w:val="none"/>
        </w:rPr>
        <w:t>6、按规定完成本</w:t>
      </w:r>
      <w:r>
        <w:rPr>
          <w:rFonts w:hint="eastAsia" w:ascii="宋体" w:hAnsi="宋体"/>
          <w:bCs/>
          <w:sz w:val="24"/>
          <w:szCs w:val="24"/>
          <w:highlight w:val="none"/>
          <w:lang w:val="en-US" w:eastAsia="zh-CN"/>
        </w:rPr>
        <w:t>项目服务</w:t>
      </w:r>
      <w:r>
        <w:rPr>
          <w:rFonts w:hint="eastAsia" w:ascii="宋体" w:hAnsi="宋体"/>
          <w:bCs/>
          <w:sz w:val="24"/>
          <w:szCs w:val="24"/>
          <w:highlight w:val="none"/>
        </w:rPr>
        <w:t>工作，质量达到合格标准。</w:t>
      </w:r>
    </w:p>
    <w:p w14:paraId="3CFF2BF0">
      <w:pPr>
        <w:pStyle w:val="29"/>
        <w:spacing w:line="360" w:lineRule="auto"/>
        <w:ind w:firstLine="480" w:firstLineChars="200"/>
        <w:rPr>
          <w:rFonts w:hAnsi="宋体"/>
          <w:bCs/>
          <w:sz w:val="24"/>
          <w:szCs w:val="24"/>
          <w:highlight w:val="none"/>
        </w:rPr>
      </w:pPr>
      <w:r>
        <w:rPr>
          <w:rFonts w:hint="eastAsia" w:hAnsi="宋体"/>
          <w:bCs/>
          <w:sz w:val="24"/>
          <w:szCs w:val="24"/>
          <w:highlight w:val="none"/>
        </w:rPr>
        <w:t>7、如果违反本承诺书中任何条款，我方愿意接受：</w:t>
      </w:r>
    </w:p>
    <w:p w14:paraId="502C4E3B">
      <w:pPr>
        <w:pStyle w:val="29"/>
        <w:spacing w:line="360" w:lineRule="auto"/>
        <w:ind w:firstLine="480" w:firstLineChars="200"/>
        <w:rPr>
          <w:rFonts w:hAnsi="宋体"/>
          <w:bCs/>
          <w:sz w:val="24"/>
          <w:szCs w:val="24"/>
          <w:highlight w:val="none"/>
        </w:rPr>
      </w:pPr>
      <w:r>
        <w:rPr>
          <w:rFonts w:hint="eastAsia" w:hAnsi="宋体"/>
          <w:bCs/>
          <w:sz w:val="24"/>
          <w:szCs w:val="24"/>
          <w:highlight w:val="none"/>
        </w:rPr>
        <w:t>（1）视作我方单方面违约，并按照合同规定向贵方支付违约金或解除合同；</w:t>
      </w:r>
    </w:p>
    <w:p w14:paraId="540E175D">
      <w:pPr>
        <w:pStyle w:val="29"/>
        <w:spacing w:line="360" w:lineRule="auto"/>
        <w:ind w:firstLine="480" w:firstLineChars="200"/>
        <w:rPr>
          <w:rFonts w:hAnsi="宋体"/>
          <w:bCs/>
          <w:sz w:val="24"/>
          <w:szCs w:val="24"/>
          <w:highlight w:val="none"/>
        </w:rPr>
      </w:pPr>
      <w:r>
        <w:rPr>
          <w:rFonts w:hint="eastAsia" w:hAnsi="宋体"/>
          <w:bCs/>
          <w:sz w:val="24"/>
          <w:szCs w:val="24"/>
          <w:highlight w:val="none"/>
        </w:rPr>
        <w:t>（2）履约评价评定为合格及以下；</w:t>
      </w:r>
    </w:p>
    <w:p w14:paraId="7080A937">
      <w:pPr>
        <w:pStyle w:val="29"/>
        <w:spacing w:line="360" w:lineRule="auto"/>
        <w:ind w:firstLine="480" w:firstLineChars="200"/>
        <w:rPr>
          <w:rFonts w:hAnsi="宋体"/>
          <w:bCs/>
          <w:sz w:val="24"/>
          <w:szCs w:val="24"/>
          <w:highlight w:val="none"/>
        </w:rPr>
      </w:pPr>
      <w:r>
        <w:rPr>
          <w:rFonts w:hint="eastAsia" w:hAnsi="宋体"/>
          <w:bCs/>
          <w:sz w:val="24"/>
          <w:szCs w:val="24"/>
          <w:highlight w:val="none"/>
        </w:rPr>
        <w:t>（3）招标人今后可拒绝我方参与投标；</w:t>
      </w:r>
    </w:p>
    <w:p w14:paraId="0FE7C825">
      <w:pPr>
        <w:pStyle w:val="29"/>
        <w:spacing w:line="360" w:lineRule="auto"/>
        <w:ind w:firstLine="480" w:firstLineChars="200"/>
        <w:rPr>
          <w:rFonts w:hAnsi="宋体"/>
          <w:bCs/>
          <w:sz w:val="24"/>
          <w:szCs w:val="24"/>
          <w:highlight w:val="none"/>
        </w:rPr>
      </w:pPr>
      <w:r>
        <w:rPr>
          <w:rFonts w:hint="eastAsia" w:hAnsi="宋体"/>
          <w:bCs/>
          <w:sz w:val="24"/>
          <w:szCs w:val="24"/>
          <w:highlight w:val="none"/>
        </w:rPr>
        <w:t>（4）建设行政主管部门或相关主管部门的不良行为记录、行政处罚。</w:t>
      </w:r>
    </w:p>
    <w:p w14:paraId="1A74928A">
      <w:pPr>
        <w:spacing w:line="360" w:lineRule="auto"/>
        <w:rPr>
          <w:rFonts w:ascii="宋体" w:hAnsi="宋体"/>
          <w:sz w:val="24"/>
          <w:highlight w:val="none"/>
        </w:rPr>
      </w:pPr>
      <w:r>
        <w:rPr>
          <w:rFonts w:hint="eastAsia" w:ascii="宋体" w:hAnsi="宋体"/>
          <w:sz w:val="24"/>
          <w:highlight w:val="none"/>
        </w:rPr>
        <w:t>投标人（单位公章）：</w:t>
      </w:r>
    </w:p>
    <w:p w14:paraId="016D01CA">
      <w:pPr>
        <w:spacing w:line="360" w:lineRule="auto"/>
        <w:rPr>
          <w:rFonts w:ascii="宋体" w:hAnsi="宋体"/>
          <w:sz w:val="24"/>
          <w:highlight w:val="none"/>
        </w:rPr>
      </w:pPr>
      <w:r>
        <w:rPr>
          <w:rFonts w:hint="eastAsia" w:ascii="宋体" w:hAnsi="宋体"/>
          <w:sz w:val="24"/>
          <w:highlight w:val="none"/>
        </w:rPr>
        <w:t>单位地址：</w:t>
      </w:r>
    </w:p>
    <w:p w14:paraId="3744046F">
      <w:pPr>
        <w:spacing w:line="360" w:lineRule="auto"/>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lang w:val="en-US" w:eastAsia="zh-CN"/>
        </w:rPr>
        <w:t xml:space="preserve">          </w:t>
      </w:r>
      <w:r>
        <w:rPr>
          <w:rFonts w:hint="eastAsia" w:ascii="宋体" w:hAnsi="宋体"/>
          <w:sz w:val="24"/>
          <w:highlight w:val="none"/>
        </w:rPr>
        <w:t xml:space="preserve">电话： </w:t>
      </w:r>
      <w:r>
        <w:rPr>
          <w:rFonts w:hint="eastAsia" w:ascii="宋体" w:hAnsi="宋体"/>
          <w:sz w:val="24"/>
          <w:highlight w:val="none"/>
          <w:lang w:val="en-US" w:eastAsia="zh-CN"/>
        </w:rPr>
        <w:t xml:space="preserve">       </w:t>
      </w:r>
      <w:r>
        <w:rPr>
          <w:rFonts w:hint="eastAsia" w:ascii="宋体" w:hAnsi="宋体"/>
          <w:sz w:val="24"/>
          <w:highlight w:val="none"/>
        </w:rPr>
        <w:t xml:space="preserve">传真：                                  </w:t>
      </w:r>
    </w:p>
    <w:p w14:paraId="2A675ACD">
      <w:pPr>
        <w:spacing w:line="360" w:lineRule="auto"/>
        <w:ind w:firstLine="0" w:firstLineChars="0"/>
        <w:rPr>
          <w:rFonts w:hint="eastAsia" w:hAnsi="宋体"/>
          <w:bCs/>
          <w:sz w:val="24"/>
          <w:highlight w:val="none"/>
        </w:rPr>
      </w:pPr>
      <w:r>
        <w:rPr>
          <w:rFonts w:hint="eastAsia" w:hAnsi="宋体"/>
          <w:bCs/>
          <w:sz w:val="24"/>
          <w:highlight w:val="none"/>
        </w:rPr>
        <w:t>年   月   日</w:t>
      </w:r>
    </w:p>
    <w:bookmarkEnd w:id="91"/>
    <w:bookmarkEnd w:id="92"/>
    <w:bookmarkEnd w:id="93"/>
    <w:p w14:paraId="7F80A350">
      <w:pPr>
        <w:pStyle w:val="98"/>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报 </w:t>
      </w:r>
      <w:r>
        <w:rPr>
          <w:rFonts w:hint="eastAsia" w:ascii="方正小标宋简体" w:hAnsi="方正小标宋简体" w:eastAsia="方正小标宋简体" w:cs="方正小标宋简体"/>
          <w:sz w:val="44"/>
          <w:szCs w:val="44"/>
          <w:lang w:eastAsia="zh-CN"/>
        </w:rPr>
        <w:t>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表</w:t>
      </w:r>
    </w:p>
    <w:p w14:paraId="4444D8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lang w:eastAsia="zh-CN"/>
        </w:rPr>
      </w:pPr>
    </w:p>
    <w:p w14:paraId="32E7AEA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sz w:val="28"/>
          <w:szCs w:val="28"/>
          <w:lang w:eastAsia="zh-CN"/>
        </w:rPr>
        <w:t>项目：深圳市龙岗区人民医院“光储充”项目监理</w:t>
      </w:r>
    </w:p>
    <w:tbl>
      <w:tblPr>
        <w:tblStyle w:val="53"/>
        <w:tblW w:w="9538" w:type="dxa"/>
        <w:jc w:val="center"/>
        <w:tblLayout w:type="fixed"/>
        <w:tblCellMar>
          <w:top w:w="0" w:type="dxa"/>
          <w:left w:w="108" w:type="dxa"/>
          <w:bottom w:w="0" w:type="dxa"/>
          <w:right w:w="108" w:type="dxa"/>
        </w:tblCellMar>
      </w:tblPr>
      <w:tblGrid>
        <w:gridCol w:w="763"/>
        <w:gridCol w:w="2090"/>
        <w:gridCol w:w="2640"/>
        <w:gridCol w:w="2280"/>
        <w:gridCol w:w="1765"/>
      </w:tblGrid>
      <w:tr w14:paraId="3D801C25">
        <w:tblPrEx>
          <w:tblCellMar>
            <w:top w:w="0" w:type="dxa"/>
            <w:left w:w="108" w:type="dxa"/>
            <w:bottom w:w="0" w:type="dxa"/>
            <w:right w:w="108" w:type="dxa"/>
          </w:tblCellMar>
        </w:tblPrEx>
        <w:trPr>
          <w:trHeight w:val="924"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48FCB01">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rPr>
              <w:t>序号</w:t>
            </w:r>
          </w:p>
        </w:tc>
        <w:tc>
          <w:tcPr>
            <w:tcW w:w="2090" w:type="dxa"/>
            <w:tcBorders>
              <w:top w:val="single" w:color="auto" w:sz="4" w:space="0"/>
              <w:left w:val="nil"/>
              <w:bottom w:val="single" w:color="auto" w:sz="4" w:space="0"/>
              <w:right w:val="single" w:color="auto" w:sz="4" w:space="0"/>
            </w:tcBorders>
            <w:vAlign w:val="center"/>
          </w:tcPr>
          <w:p w14:paraId="5D8256A6">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招标控制价（万元）</w:t>
            </w:r>
          </w:p>
        </w:tc>
        <w:tc>
          <w:tcPr>
            <w:tcW w:w="2640" w:type="dxa"/>
            <w:tcBorders>
              <w:top w:val="single" w:color="auto" w:sz="4" w:space="0"/>
              <w:left w:val="nil"/>
              <w:bottom w:val="single" w:color="auto" w:sz="4" w:space="0"/>
              <w:right w:val="single" w:color="auto" w:sz="4" w:space="0"/>
            </w:tcBorders>
            <w:vAlign w:val="center"/>
          </w:tcPr>
          <w:p w14:paraId="6159B380">
            <w:pPr>
              <w:snapToGrid w:val="0"/>
              <w:contextualSpacing/>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下浮率</w:t>
            </w:r>
          </w:p>
        </w:tc>
        <w:tc>
          <w:tcPr>
            <w:tcW w:w="2280" w:type="dxa"/>
            <w:tcBorders>
              <w:top w:val="single" w:color="auto" w:sz="4" w:space="0"/>
              <w:left w:val="nil"/>
              <w:bottom w:val="single" w:color="auto" w:sz="4" w:space="0"/>
              <w:right w:val="single" w:color="auto" w:sz="4" w:space="0"/>
            </w:tcBorders>
            <w:vAlign w:val="center"/>
          </w:tcPr>
          <w:p w14:paraId="793D7B21">
            <w:pPr>
              <w:snapToGrid w:val="0"/>
              <w:contextualSpacing/>
              <w:jc w:val="center"/>
              <w:rPr>
                <w:rFonts w:hint="eastAsia" w:ascii="楷体" w:hAnsi="楷体" w:eastAsia="楷体" w:cs="楷体"/>
                <w:snapToGrid w:val="0"/>
                <w:color w:val="000000"/>
                <w:kern w:val="0"/>
                <w:sz w:val="24"/>
                <w:szCs w:val="24"/>
              </w:rPr>
            </w:pPr>
            <w:r>
              <w:rPr>
                <w:rFonts w:hint="eastAsia" w:ascii="楷体" w:hAnsi="楷体" w:eastAsia="楷体" w:cs="楷体"/>
                <w:snapToGrid w:val="0"/>
                <w:color w:val="000000"/>
                <w:kern w:val="0"/>
                <w:sz w:val="24"/>
                <w:szCs w:val="24"/>
                <w:lang w:val="en-US" w:eastAsia="zh-CN"/>
              </w:rPr>
              <w:t>监理费报价</w:t>
            </w:r>
            <w:r>
              <w:rPr>
                <w:rFonts w:hint="eastAsia" w:ascii="楷体" w:hAnsi="楷体" w:eastAsia="楷体" w:cs="楷体"/>
                <w:snapToGrid w:val="0"/>
                <w:color w:val="000000"/>
                <w:kern w:val="0"/>
                <w:sz w:val="24"/>
                <w:szCs w:val="24"/>
              </w:rPr>
              <w:t>（万元）</w:t>
            </w:r>
          </w:p>
        </w:tc>
        <w:tc>
          <w:tcPr>
            <w:tcW w:w="1765" w:type="dxa"/>
            <w:tcBorders>
              <w:top w:val="single" w:color="auto" w:sz="4" w:space="0"/>
              <w:left w:val="nil"/>
              <w:bottom w:val="single" w:color="auto" w:sz="4" w:space="0"/>
              <w:right w:val="single" w:color="auto" w:sz="4" w:space="0"/>
            </w:tcBorders>
            <w:vAlign w:val="center"/>
          </w:tcPr>
          <w:p w14:paraId="42C6F245">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备注</w:t>
            </w:r>
          </w:p>
        </w:tc>
      </w:tr>
      <w:tr w14:paraId="4BF3F69E">
        <w:tblPrEx>
          <w:tblCellMar>
            <w:top w:w="0" w:type="dxa"/>
            <w:left w:w="108" w:type="dxa"/>
            <w:bottom w:w="0" w:type="dxa"/>
            <w:right w:w="108" w:type="dxa"/>
          </w:tblCellMar>
        </w:tblPrEx>
        <w:trPr>
          <w:trHeight w:val="79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31263974">
            <w:pPr>
              <w:snapToGrid w:val="0"/>
              <w:contextualSpacing/>
              <w:jc w:val="center"/>
              <w:rPr>
                <w:rFonts w:hint="eastAsia"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1</w:t>
            </w:r>
          </w:p>
        </w:tc>
        <w:tc>
          <w:tcPr>
            <w:tcW w:w="2090" w:type="dxa"/>
            <w:tcBorders>
              <w:top w:val="single" w:color="auto" w:sz="4" w:space="0"/>
              <w:left w:val="nil"/>
              <w:bottom w:val="single" w:color="auto" w:sz="4" w:space="0"/>
              <w:right w:val="single" w:color="auto" w:sz="4" w:space="0"/>
            </w:tcBorders>
            <w:vAlign w:val="center"/>
          </w:tcPr>
          <w:p w14:paraId="6809E42B">
            <w:pPr>
              <w:snapToGrid w:val="0"/>
              <w:jc w:val="center"/>
              <w:rPr>
                <w:rFonts w:hint="default" w:ascii="楷体" w:hAnsi="楷体" w:eastAsia="楷体" w:cs="楷体"/>
                <w:snapToGrid w:val="0"/>
                <w:color w:val="000000"/>
                <w:kern w:val="0"/>
                <w:sz w:val="24"/>
                <w:szCs w:val="24"/>
                <w:lang w:val="en-US" w:eastAsia="zh-CN"/>
              </w:rPr>
            </w:pPr>
            <w:r>
              <w:rPr>
                <w:rFonts w:hint="eastAsia" w:ascii="楷体" w:hAnsi="楷体" w:eastAsia="楷体" w:cs="楷体"/>
                <w:snapToGrid w:val="0"/>
                <w:color w:val="000000"/>
                <w:kern w:val="0"/>
                <w:sz w:val="24"/>
                <w:szCs w:val="24"/>
                <w:lang w:val="en-US" w:eastAsia="zh-CN"/>
              </w:rPr>
              <w:t>3.7699万元</w:t>
            </w:r>
          </w:p>
        </w:tc>
        <w:tc>
          <w:tcPr>
            <w:tcW w:w="2640" w:type="dxa"/>
            <w:tcBorders>
              <w:top w:val="single" w:color="auto" w:sz="4" w:space="0"/>
              <w:left w:val="nil"/>
              <w:bottom w:val="single" w:color="auto" w:sz="4" w:space="0"/>
              <w:right w:val="single" w:color="auto" w:sz="4" w:space="0"/>
            </w:tcBorders>
            <w:vAlign w:val="center"/>
          </w:tcPr>
          <w:p w14:paraId="74ABEC5B">
            <w:pPr>
              <w:snapToGrid w:val="0"/>
              <w:contextualSpacing/>
              <w:jc w:val="center"/>
              <w:rPr>
                <w:rFonts w:hint="eastAsia" w:ascii="楷体" w:hAnsi="楷体" w:eastAsia="楷体" w:cs="楷体"/>
                <w:snapToGrid w:val="0"/>
                <w:color w:val="000000"/>
                <w:kern w:val="0"/>
                <w:sz w:val="24"/>
                <w:szCs w:val="24"/>
                <w:lang w:eastAsia="zh-CN"/>
              </w:rPr>
            </w:pPr>
            <w:r>
              <w:rPr>
                <w:rFonts w:hint="eastAsia" w:ascii="宋体" w:hAnsi="宋体" w:eastAsia="楷体" w:cs="宋体"/>
                <w:color w:val="000000"/>
                <w:sz w:val="24"/>
                <w:lang w:val="en-US" w:eastAsia="zh-CN"/>
              </w:rPr>
              <w:t>%</w:t>
            </w:r>
          </w:p>
        </w:tc>
        <w:tc>
          <w:tcPr>
            <w:tcW w:w="2280" w:type="dxa"/>
            <w:tcBorders>
              <w:top w:val="single" w:color="auto" w:sz="4" w:space="0"/>
              <w:left w:val="nil"/>
              <w:bottom w:val="single" w:color="auto" w:sz="4" w:space="0"/>
              <w:right w:val="single" w:color="auto" w:sz="4" w:space="0"/>
            </w:tcBorders>
            <w:vAlign w:val="center"/>
          </w:tcPr>
          <w:p w14:paraId="6B7FB545">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22A85D39">
            <w:pPr>
              <w:snapToGrid w:val="0"/>
              <w:contextualSpacing/>
              <w:jc w:val="center"/>
              <w:rPr>
                <w:rFonts w:hint="eastAsia" w:ascii="宋体" w:hAnsi="宋体" w:cs="宋体"/>
                <w:color w:val="000000"/>
                <w:sz w:val="24"/>
              </w:rPr>
            </w:pPr>
          </w:p>
        </w:tc>
      </w:tr>
      <w:tr w14:paraId="51E4A4A3">
        <w:tblPrEx>
          <w:tblCellMar>
            <w:top w:w="0" w:type="dxa"/>
            <w:left w:w="108" w:type="dxa"/>
            <w:bottom w:w="0" w:type="dxa"/>
            <w:right w:w="108" w:type="dxa"/>
          </w:tblCellMar>
        </w:tblPrEx>
        <w:trPr>
          <w:trHeight w:val="83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6A6678D2">
            <w:pPr>
              <w:snapToGrid w:val="0"/>
              <w:contextualSpacing/>
              <w:jc w:val="center"/>
              <w:rPr>
                <w:rFonts w:hint="eastAsia" w:ascii="楷体" w:hAnsi="楷体" w:eastAsia="楷体" w:cs="楷体"/>
                <w:snapToGrid w:val="0"/>
                <w:color w:val="000000"/>
                <w:kern w:val="0"/>
                <w:sz w:val="24"/>
                <w:szCs w:val="24"/>
                <w:lang w:val="en-US" w:eastAsia="zh-CN"/>
              </w:rPr>
            </w:pPr>
          </w:p>
        </w:tc>
        <w:tc>
          <w:tcPr>
            <w:tcW w:w="4730" w:type="dxa"/>
            <w:gridSpan w:val="2"/>
            <w:tcBorders>
              <w:top w:val="single" w:color="auto" w:sz="4" w:space="0"/>
              <w:left w:val="nil"/>
              <w:bottom w:val="single" w:color="auto" w:sz="4" w:space="0"/>
              <w:right w:val="single" w:color="auto" w:sz="4" w:space="0"/>
            </w:tcBorders>
            <w:vAlign w:val="center"/>
          </w:tcPr>
          <w:p w14:paraId="1EDE0D1B">
            <w:pPr>
              <w:snapToGrid w:val="0"/>
              <w:contextualSpacing/>
              <w:jc w:val="center"/>
              <w:rPr>
                <w:rFonts w:hint="eastAsia"/>
                <w:b/>
                <w:bCs/>
                <w:lang w:val="en-US" w:eastAsia="zh-CN"/>
              </w:rPr>
            </w:pPr>
            <w:r>
              <w:rPr>
                <w:rFonts w:hint="eastAsia"/>
                <w:b/>
                <w:bCs/>
                <w:lang w:val="en-US" w:eastAsia="zh-CN"/>
              </w:rPr>
              <w:t>合计：</w:t>
            </w:r>
          </w:p>
          <w:p w14:paraId="5111F467">
            <w:pPr>
              <w:snapToGrid w:val="0"/>
              <w:contextualSpacing/>
              <w:jc w:val="center"/>
              <w:rPr>
                <w:rFonts w:hint="eastAsia" w:ascii="楷体" w:hAnsi="楷体" w:eastAsia="楷体" w:cs="楷体"/>
                <w:snapToGrid w:val="0"/>
                <w:color w:val="000000"/>
                <w:kern w:val="0"/>
                <w:sz w:val="24"/>
                <w:szCs w:val="24"/>
              </w:rPr>
            </w:pPr>
            <w:r>
              <w:rPr>
                <w:rFonts w:hint="eastAsia"/>
                <w:b/>
                <w:bCs/>
                <w:lang w:val="en-US" w:eastAsia="zh-CN"/>
              </w:rPr>
              <w:t>（含增值税服务发票税率</w:t>
            </w:r>
            <w:r>
              <w:rPr>
                <w:rFonts w:hint="eastAsia"/>
                <w:b/>
                <w:bCs/>
                <w:u w:val="single"/>
                <w:lang w:val="en-US" w:eastAsia="zh-CN"/>
              </w:rPr>
              <w:t xml:space="preserve">       </w:t>
            </w:r>
            <w:r>
              <w:rPr>
                <w:rFonts w:hint="eastAsia"/>
                <w:b/>
                <w:bCs/>
                <w:lang w:val="en-US" w:eastAsia="zh-CN"/>
              </w:rPr>
              <w:t>）</w:t>
            </w:r>
          </w:p>
        </w:tc>
        <w:tc>
          <w:tcPr>
            <w:tcW w:w="2280" w:type="dxa"/>
            <w:tcBorders>
              <w:top w:val="single" w:color="auto" w:sz="4" w:space="0"/>
              <w:left w:val="nil"/>
              <w:bottom w:val="single" w:color="auto" w:sz="4" w:space="0"/>
              <w:right w:val="single" w:color="auto" w:sz="4" w:space="0"/>
            </w:tcBorders>
            <w:vAlign w:val="center"/>
          </w:tcPr>
          <w:p w14:paraId="7A3C3F7C">
            <w:pPr>
              <w:snapToGrid w:val="0"/>
              <w:contextualSpacing/>
              <w:jc w:val="center"/>
              <w:rPr>
                <w:rFonts w:hint="eastAsia" w:ascii="楷体" w:hAnsi="楷体" w:eastAsia="楷体" w:cs="楷体"/>
                <w:snapToGrid w:val="0"/>
                <w:color w:val="000000"/>
                <w:kern w:val="0"/>
                <w:sz w:val="24"/>
                <w:szCs w:val="24"/>
              </w:rPr>
            </w:pPr>
          </w:p>
        </w:tc>
        <w:tc>
          <w:tcPr>
            <w:tcW w:w="1765" w:type="dxa"/>
            <w:tcBorders>
              <w:top w:val="single" w:color="auto" w:sz="4" w:space="0"/>
              <w:left w:val="nil"/>
              <w:bottom w:val="single" w:color="auto" w:sz="4" w:space="0"/>
              <w:right w:val="single" w:color="auto" w:sz="4" w:space="0"/>
            </w:tcBorders>
            <w:vAlign w:val="center"/>
          </w:tcPr>
          <w:p w14:paraId="31B3FA0C">
            <w:pPr>
              <w:snapToGrid w:val="0"/>
              <w:contextualSpacing/>
              <w:jc w:val="center"/>
              <w:rPr>
                <w:rFonts w:hint="eastAsia" w:ascii="楷体" w:hAnsi="楷体" w:eastAsia="楷体" w:cs="楷体"/>
                <w:snapToGrid w:val="0"/>
                <w:color w:val="000000"/>
                <w:kern w:val="0"/>
                <w:sz w:val="24"/>
                <w:szCs w:val="24"/>
              </w:rPr>
            </w:pPr>
          </w:p>
        </w:tc>
      </w:tr>
    </w:tbl>
    <w:p w14:paraId="3A763EB9">
      <w:pPr>
        <w:spacing w:line="360" w:lineRule="auto"/>
        <w:ind w:firstLine="0" w:firstLineChars="0"/>
        <w:rPr>
          <w:rFonts w:hint="eastAsia" w:hAnsi="宋体"/>
          <w:bCs/>
          <w:sz w:val="24"/>
          <w:highlight w:val="none"/>
        </w:rPr>
      </w:pPr>
    </w:p>
    <w:p w14:paraId="7B5F889F">
      <w:pPr>
        <w:spacing w:line="360" w:lineRule="auto"/>
        <w:ind w:firstLine="240" w:firstLineChars="100"/>
        <w:rPr>
          <w:rFonts w:hint="eastAsia" w:ascii="宋体" w:hAnsi="宋体"/>
          <w:sz w:val="24"/>
          <w:highlight w:val="none"/>
        </w:rPr>
      </w:pPr>
    </w:p>
    <w:p w14:paraId="2E5D10E5">
      <w:pPr>
        <w:spacing w:line="360" w:lineRule="auto"/>
        <w:ind w:firstLine="240" w:firstLineChars="100"/>
        <w:rPr>
          <w:rFonts w:ascii="宋体" w:hAnsi="宋体"/>
          <w:sz w:val="24"/>
          <w:highlight w:val="none"/>
        </w:rPr>
      </w:pPr>
      <w:r>
        <w:rPr>
          <w:rFonts w:hint="eastAsia" w:ascii="宋体" w:hAnsi="宋体"/>
          <w:sz w:val="24"/>
          <w:highlight w:val="none"/>
        </w:rPr>
        <w:t>投标人（单位公章）：</w:t>
      </w:r>
    </w:p>
    <w:p w14:paraId="523A8C7F">
      <w:pPr>
        <w:spacing w:line="240" w:lineRule="auto"/>
        <w:rPr>
          <w:sz w:val="44"/>
          <w:szCs w:val="44"/>
          <w:highlight w:val="none"/>
        </w:rPr>
      </w:pPr>
    </w:p>
    <w:p w14:paraId="449B26B1">
      <w:pPr>
        <w:pStyle w:val="2"/>
        <w:tabs>
          <w:tab w:val="right" w:leader="dot" w:pos="8949"/>
        </w:tabs>
        <w:rPr>
          <w:rFonts w:hint="eastAsia"/>
        </w:rPr>
      </w:pPr>
    </w:p>
    <w:p w14:paraId="7162D132">
      <w:pPr>
        <w:spacing w:line="240" w:lineRule="auto"/>
        <w:rPr>
          <w:sz w:val="44"/>
          <w:szCs w:val="44"/>
          <w:highlight w:val="none"/>
        </w:rPr>
      </w:pPr>
    </w:p>
    <w:p w14:paraId="545116FD">
      <w:pPr>
        <w:spacing w:line="360" w:lineRule="auto"/>
        <w:ind w:firstLine="0" w:firstLineChars="0"/>
        <w:rPr>
          <w:rFonts w:hint="eastAsia" w:hAnsi="宋体"/>
          <w:bCs/>
          <w:sz w:val="24"/>
          <w:highlight w:val="none"/>
        </w:rPr>
      </w:pPr>
    </w:p>
    <w:sectPr>
      <w:headerReference r:id="rId8" w:type="default"/>
      <w:footerReference r:id="rId9" w:type="default"/>
      <w:pgSz w:w="11906" w:h="16838"/>
      <w:pgMar w:top="1440" w:right="1800" w:bottom="1440" w:left="1800" w:header="850"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Hei-B01S">
    <w:altName w:val="华文中宋"/>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金桥简粗宋">
    <w:altName w:val="宋体"/>
    <w:panose1 w:val="00000000000000000000"/>
    <w:charset w:val="86"/>
    <w:family w:val="modern"/>
    <w:pitch w:val="default"/>
    <w:sig w:usb0="00000000" w:usb1="00000000" w:usb2="0000001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996B8">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E25F9">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E25F9">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58EB6">
    <w:pPr>
      <w:pStyle w:val="15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5768">
    <w:pPr>
      <w:pStyle w:val="151"/>
      <w:jc w:val="center"/>
    </w:pPr>
    <w:r>
      <w:fldChar w:fldCharType="begin"/>
    </w:r>
    <w:r>
      <w:instrText xml:space="preserve"> PAGE   \* MERGEFORMAT </w:instrText>
    </w:r>
    <w:r>
      <w:fldChar w:fldCharType="separate"/>
    </w:r>
    <w:r>
      <w:rPr>
        <w:lang w:val="zh-CN"/>
      </w:rPr>
      <w:t>53</w:t>
    </w:r>
    <w:r>
      <w:rPr>
        <w:lang w:val="zh-CN"/>
      </w:rPr>
      <w:fldChar w:fldCharType="end"/>
    </w:r>
  </w:p>
  <w:p w14:paraId="2FE2E59B">
    <w:pPr>
      <w:pStyle w:val="15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66BFD">
    <w:pPr>
      <w:pStyle w:val="3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80A1E">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080A1E">
                    <w:pPr>
                      <w:pStyle w:val="35"/>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14:paraId="58A7F522">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6BDB9">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D79F">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4878A">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2FACE"/>
    <w:multiLevelType w:val="singleLevel"/>
    <w:tmpl w:val="9B62FACE"/>
    <w:lvl w:ilvl="0" w:tentative="0">
      <w:start w:val="1"/>
      <w:numFmt w:val="decimal"/>
      <w:suff w:val="nothing"/>
      <w:lvlText w:val="（%1）"/>
      <w:lvlJc w:val="left"/>
    </w:lvl>
  </w:abstractNum>
  <w:abstractNum w:abstractNumId="1">
    <w:nsid w:val="B296676E"/>
    <w:multiLevelType w:val="singleLevel"/>
    <w:tmpl w:val="B296676E"/>
    <w:lvl w:ilvl="0" w:tentative="0">
      <w:start w:val="1"/>
      <w:numFmt w:val="decimal"/>
      <w:suff w:val="nothing"/>
      <w:lvlText w:val="（%1）"/>
      <w:lvlJc w:val="left"/>
    </w:lvl>
  </w:abstractNum>
  <w:abstractNum w:abstractNumId="2">
    <w:nsid w:val="C4C1D28A"/>
    <w:multiLevelType w:val="singleLevel"/>
    <w:tmpl w:val="C4C1D28A"/>
    <w:lvl w:ilvl="0" w:tentative="0">
      <w:start w:val="1"/>
      <w:numFmt w:val="decimal"/>
      <w:suff w:val="nothing"/>
      <w:lvlText w:val="（%1）"/>
      <w:lvlJc w:val="left"/>
    </w:lvl>
  </w:abstractNum>
  <w:abstractNum w:abstractNumId="3">
    <w:nsid w:val="DDEA8227"/>
    <w:multiLevelType w:val="singleLevel"/>
    <w:tmpl w:val="DDEA8227"/>
    <w:lvl w:ilvl="0" w:tentative="0">
      <w:start w:val="1"/>
      <w:numFmt w:val="decimal"/>
      <w:suff w:val="nothing"/>
      <w:lvlText w:val="（%1）"/>
      <w:lvlJc w:val="left"/>
    </w:lvl>
  </w:abstractNum>
  <w:abstractNum w:abstractNumId="4">
    <w:nsid w:val="EA3E1378"/>
    <w:multiLevelType w:val="singleLevel"/>
    <w:tmpl w:val="EA3E1378"/>
    <w:lvl w:ilvl="0" w:tentative="0">
      <w:start w:val="1"/>
      <w:numFmt w:val="decimal"/>
      <w:lvlText w:val="%1."/>
      <w:lvlJc w:val="left"/>
      <w:pPr>
        <w:tabs>
          <w:tab w:val="left" w:pos="312"/>
        </w:tabs>
      </w:pPr>
    </w:lvl>
  </w:abstractNum>
  <w:abstractNum w:abstractNumId="5">
    <w:nsid w:val="EAE01E8C"/>
    <w:multiLevelType w:val="singleLevel"/>
    <w:tmpl w:val="EAE01E8C"/>
    <w:lvl w:ilvl="0" w:tentative="0">
      <w:start w:val="2"/>
      <w:numFmt w:val="chineseCounting"/>
      <w:suff w:val="space"/>
      <w:lvlText w:val="%1、"/>
      <w:lvlJc w:val="left"/>
      <w:rPr>
        <w:rFonts w:hint="eastAsia"/>
      </w:rPr>
    </w:lvl>
  </w:abstractNum>
  <w:abstractNum w:abstractNumId="6">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1A141E91"/>
    <w:multiLevelType w:val="multilevel"/>
    <w:tmpl w:val="1A141E91"/>
    <w:lvl w:ilvl="0" w:tentative="0">
      <w:start w:val="1"/>
      <w:numFmt w:val="upperRoman"/>
      <w:pStyle w:val="3"/>
      <w:lvlText w:val="第 %1 条"/>
      <w:lvlJc w:val="left"/>
      <w:pPr>
        <w:tabs>
          <w:tab w:val="left" w:pos="2640"/>
        </w:tabs>
        <w:ind w:left="1560" w:firstLine="0"/>
      </w:pPr>
    </w:lvl>
    <w:lvl w:ilvl="1" w:tentative="0">
      <w:start w:val="1"/>
      <w:numFmt w:val="decimalZero"/>
      <w:pStyle w:val="4"/>
      <w:isLgl/>
      <w:lvlText w:val="节 %1.%2"/>
      <w:lvlJc w:val="left"/>
      <w:pPr>
        <w:tabs>
          <w:tab w:val="left" w:pos="2280"/>
        </w:tabs>
        <w:ind w:left="1560" w:firstLine="0"/>
      </w:pPr>
    </w:lvl>
    <w:lvl w:ilvl="2" w:tentative="0">
      <w:start w:val="1"/>
      <w:numFmt w:val="lowerLetter"/>
      <w:pStyle w:val="5"/>
      <w:lvlText w:val="(%3)"/>
      <w:lvlJc w:val="left"/>
      <w:pPr>
        <w:tabs>
          <w:tab w:val="left" w:pos="2280"/>
        </w:tabs>
        <w:ind w:left="2280" w:hanging="432"/>
      </w:pPr>
    </w:lvl>
    <w:lvl w:ilvl="3" w:tentative="0">
      <w:start w:val="1"/>
      <w:numFmt w:val="lowerRoman"/>
      <w:pStyle w:val="6"/>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9"/>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8">
    <w:nsid w:val="1FF5757A"/>
    <w:multiLevelType w:val="singleLevel"/>
    <w:tmpl w:val="1FF5757A"/>
    <w:lvl w:ilvl="0" w:tentative="0">
      <w:start w:val="1"/>
      <w:numFmt w:val="decimal"/>
      <w:suff w:val="nothing"/>
      <w:lvlText w:val="（%1）"/>
      <w:lvlJc w:val="left"/>
      <w:rPr>
        <w:rFonts w:hint="default"/>
        <w:u w:val="single"/>
      </w:rPr>
    </w:lvl>
  </w:abstractNum>
  <w:abstractNum w:abstractNumId="9">
    <w:nsid w:val="2529F2BD"/>
    <w:multiLevelType w:val="singleLevel"/>
    <w:tmpl w:val="2529F2BD"/>
    <w:lvl w:ilvl="0" w:tentative="0">
      <w:start w:val="1"/>
      <w:numFmt w:val="decimal"/>
      <w:suff w:val="nothing"/>
      <w:lvlText w:val="（%1）"/>
      <w:lvlJc w:val="left"/>
    </w:lvl>
  </w:abstractNum>
  <w:abstractNum w:abstractNumId="10">
    <w:nsid w:val="28A2E0E6"/>
    <w:multiLevelType w:val="singleLevel"/>
    <w:tmpl w:val="28A2E0E6"/>
    <w:lvl w:ilvl="0" w:tentative="0">
      <w:start w:val="1"/>
      <w:numFmt w:val="decimal"/>
      <w:lvlText w:val="%1."/>
      <w:lvlJc w:val="left"/>
      <w:pPr>
        <w:tabs>
          <w:tab w:val="left" w:pos="312"/>
        </w:tabs>
      </w:pPr>
    </w:lvl>
  </w:abstractNum>
  <w:abstractNum w:abstractNumId="11">
    <w:nsid w:val="30FF5D2A"/>
    <w:multiLevelType w:val="singleLevel"/>
    <w:tmpl w:val="30FF5D2A"/>
    <w:lvl w:ilvl="0" w:tentative="0">
      <w:start w:val="1"/>
      <w:numFmt w:val="decimal"/>
      <w:lvlText w:val="%1."/>
      <w:lvlJc w:val="left"/>
      <w:pPr>
        <w:tabs>
          <w:tab w:val="left" w:pos="312"/>
        </w:tabs>
      </w:pPr>
    </w:lvl>
  </w:abstractNum>
  <w:abstractNum w:abstractNumId="12">
    <w:nsid w:val="51F02300"/>
    <w:multiLevelType w:val="singleLevel"/>
    <w:tmpl w:val="51F02300"/>
    <w:lvl w:ilvl="0" w:tentative="0">
      <w:start w:val="1"/>
      <w:numFmt w:val="decimal"/>
      <w:lvlText w:val="%1."/>
      <w:lvlJc w:val="left"/>
      <w:pPr>
        <w:tabs>
          <w:tab w:val="left" w:pos="312"/>
        </w:tabs>
      </w:pPr>
    </w:lvl>
  </w:abstractNum>
  <w:abstractNum w:abstractNumId="13">
    <w:nsid w:val="6752D7F2"/>
    <w:multiLevelType w:val="singleLevel"/>
    <w:tmpl w:val="6752D7F2"/>
    <w:lvl w:ilvl="0" w:tentative="0">
      <w:start w:val="1"/>
      <w:numFmt w:val="decimal"/>
      <w:suff w:val="nothing"/>
      <w:lvlText w:val="（%1）"/>
      <w:lvlJc w:val="left"/>
    </w:lvl>
  </w:abstractNum>
  <w:abstractNum w:abstractNumId="14">
    <w:nsid w:val="7BAC1FCF"/>
    <w:multiLevelType w:val="singleLevel"/>
    <w:tmpl w:val="7BAC1FCF"/>
    <w:lvl w:ilvl="0" w:tentative="0">
      <w:start w:val="1"/>
      <w:numFmt w:val="decimal"/>
      <w:suff w:val="nothing"/>
      <w:lvlText w:val="（%1）"/>
      <w:lvlJc w:val="left"/>
    </w:lvl>
  </w:abstractNum>
  <w:num w:numId="1">
    <w:abstractNumId w:val="7"/>
  </w:num>
  <w:num w:numId="2">
    <w:abstractNumId w:val="6"/>
  </w:num>
  <w:num w:numId="3">
    <w:abstractNumId w:val="12"/>
  </w:num>
  <w:num w:numId="4">
    <w:abstractNumId w:val="11"/>
  </w:num>
  <w:num w:numId="5">
    <w:abstractNumId w:val="0"/>
  </w:num>
  <w:num w:numId="6">
    <w:abstractNumId w:val="3"/>
  </w:num>
  <w:num w:numId="7">
    <w:abstractNumId w:val="2"/>
  </w:num>
  <w:num w:numId="8">
    <w:abstractNumId w:val="1"/>
  </w:num>
  <w:num w:numId="9">
    <w:abstractNumId w:val="4"/>
  </w:num>
  <w:num w:numId="10">
    <w:abstractNumId w:val="10"/>
  </w:num>
  <w:num w:numId="11">
    <w:abstractNumId w:val="14"/>
  </w:num>
  <w:num w:numId="12">
    <w:abstractNumId w:val="9"/>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Dc1YjkyN2MxY2JjM2I0YzQ3MGEzYzk4MmZmNWE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804A4C"/>
    <w:rsid w:val="0198186C"/>
    <w:rsid w:val="01AC5DF9"/>
    <w:rsid w:val="01DD41C2"/>
    <w:rsid w:val="01E345AE"/>
    <w:rsid w:val="02790092"/>
    <w:rsid w:val="02FA1195"/>
    <w:rsid w:val="0302618A"/>
    <w:rsid w:val="044429C2"/>
    <w:rsid w:val="04695794"/>
    <w:rsid w:val="04810C52"/>
    <w:rsid w:val="04A05004"/>
    <w:rsid w:val="055B7332"/>
    <w:rsid w:val="056A3FE9"/>
    <w:rsid w:val="059F4FD1"/>
    <w:rsid w:val="05BE2B4E"/>
    <w:rsid w:val="05D070DB"/>
    <w:rsid w:val="05DC421B"/>
    <w:rsid w:val="061D0302"/>
    <w:rsid w:val="064F66A3"/>
    <w:rsid w:val="066F200F"/>
    <w:rsid w:val="067C7D80"/>
    <w:rsid w:val="06A00B12"/>
    <w:rsid w:val="06D7755B"/>
    <w:rsid w:val="06E6452A"/>
    <w:rsid w:val="07205F42"/>
    <w:rsid w:val="072D7269"/>
    <w:rsid w:val="073A0A7B"/>
    <w:rsid w:val="074273A6"/>
    <w:rsid w:val="07B77118"/>
    <w:rsid w:val="08254790"/>
    <w:rsid w:val="089963F4"/>
    <w:rsid w:val="08F03474"/>
    <w:rsid w:val="09162A16"/>
    <w:rsid w:val="091A7535"/>
    <w:rsid w:val="091D497D"/>
    <w:rsid w:val="092E369A"/>
    <w:rsid w:val="09B14F92"/>
    <w:rsid w:val="09BF626E"/>
    <w:rsid w:val="0A410FC9"/>
    <w:rsid w:val="0A4F76B2"/>
    <w:rsid w:val="0A50402E"/>
    <w:rsid w:val="0A897EA0"/>
    <w:rsid w:val="0AB86C5C"/>
    <w:rsid w:val="0AC34AEB"/>
    <w:rsid w:val="0AD96324"/>
    <w:rsid w:val="0AEF58AD"/>
    <w:rsid w:val="0AF4365F"/>
    <w:rsid w:val="0AFE39F5"/>
    <w:rsid w:val="0AFE687F"/>
    <w:rsid w:val="0B294C31"/>
    <w:rsid w:val="0B7F7677"/>
    <w:rsid w:val="0BE307CB"/>
    <w:rsid w:val="0C1F073A"/>
    <w:rsid w:val="0C6101CD"/>
    <w:rsid w:val="0C7C38C4"/>
    <w:rsid w:val="0C970A8B"/>
    <w:rsid w:val="0CC83B28"/>
    <w:rsid w:val="0CC87C49"/>
    <w:rsid w:val="0CCA3B52"/>
    <w:rsid w:val="0D344BBB"/>
    <w:rsid w:val="0D567CAA"/>
    <w:rsid w:val="0DC437DB"/>
    <w:rsid w:val="0E1C4090"/>
    <w:rsid w:val="0E1C5AFD"/>
    <w:rsid w:val="0E3E5F3C"/>
    <w:rsid w:val="0E4F3A0A"/>
    <w:rsid w:val="0E823F28"/>
    <w:rsid w:val="0E8D6C2C"/>
    <w:rsid w:val="0EBE69D9"/>
    <w:rsid w:val="0ECB20BE"/>
    <w:rsid w:val="0EEB113D"/>
    <w:rsid w:val="0F8B77D5"/>
    <w:rsid w:val="0FAC6A08"/>
    <w:rsid w:val="0FBE5D9F"/>
    <w:rsid w:val="0FD36B3B"/>
    <w:rsid w:val="0FD40F52"/>
    <w:rsid w:val="0FD47E3C"/>
    <w:rsid w:val="1018216D"/>
    <w:rsid w:val="102173FB"/>
    <w:rsid w:val="10256C94"/>
    <w:rsid w:val="1028597F"/>
    <w:rsid w:val="1051696C"/>
    <w:rsid w:val="107728F9"/>
    <w:rsid w:val="107C0AD5"/>
    <w:rsid w:val="10AD1231"/>
    <w:rsid w:val="10B306BD"/>
    <w:rsid w:val="10FE73BE"/>
    <w:rsid w:val="111B4AA2"/>
    <w:rsid w:val="113A4C18"/>
    <w:rsid w:val="11497A7D"/>
    <w:rsid w:val="116D5365"/>
    <w:rsid w:val="11D529D4"/>
    <w:rsid w:val="121477AB"/>
    <w:rsid w:val="1227630D"/>
    <w:rsid w:val="125D64CF"/>
    <w:rsid w:val="12B16A9E"/>
    <w:rsid w:val="13272F7A"/>
    <w:rsid w:val="13361405"/>
    <w:rsid w:val="137A2F78"/>
    <w:rsid w:val="13924484"/>
    <w:rsid w:val="13B9577F"/>
    <w:rsid w:val="13D61BD2"/>
    <w:rsid w:val="13E330C9"/>
    <w:rsid w:val="1452749D"/>
    <w:rsid w:val="14922F3A"/>
    <w:rsid w:val="14FD2A2E"/>
    <w:rsid w:val="150B2427"/>
    <w:rsid w:val="15296C7A"/>
    <w:rsid w:val="15377BDA"/>
    <w:rsid w:val="153D5CAE"/>
    <w:rsid w:val="153E1AB3"/>
    <w:rsid w:val="15510782"/>
    <w:rsid w:val="158A718E"/>
    <w:rsid w:val="15EA5123"/>
    <w:rsid w:val="16313179"/>
    <w:rsid w:val="16317409"/>
    <w:rsid w:val="165923BB"/>
    <w:rsid w:val="16B56EA5"/>
    <w:rsid w:val="16B8454E"/>
    <w:rsid w:val="16C84A74"/>
    <w:rsid w:val="170610F8"/>
    <w:rsid w:val="17126E39"/>
    <w:rsid w:val="176A56C2"/>
    <w:rsid w:val="176D2C29"/>
    <w:rsid w:val="179C380B"/>
    <w:rsid w:val="17AB0959"/>
    <w:rsid w:val="17B648CC"/>
    <w:rsid w:val="17DE1291"/>
    <w:rsid w:val="18AB0FDA"/>
    <w:rsid w:val="18AD553C"/>
    <w:rsid w:val="197039DA"/>
    <w:rsid w:val="197772D6"/>
    <w:rsid w:val="19A67A64"/>
    <w:rsid w:val="19BF0C31"/>
    <w:rsid w:val="19C646A4"/>
    <w:rsid w:val="19D83220"/>
    <w:rsid w:val="19E43962"/>
    <w:rsid w:val="1A501008"/>
    <w:rsid w:val="1A685E2E"/>
    <w:rsid w:val="1A6D597B"/>
    <w:rsid w:val="1ACC2467"/>
    <w:rsid w:val="1ACE4D14"/>
    <w:rsid w:val="1AD027EB"/>
    <w:rsid w:val="1B2C5E4B"/>
    <w:rsid w:val="1B4874D7"/>
    <w:rsid w:val="1BDA54F2"/>
    <w:rsid w:val="1C2844A0"/>
    <w:rsid w:val="1C525155"/>
    <w:rsid w:val="1C8E406A"/>
    <w:rsid w:val="1CA7046C"/>
    <w:rsid w:val="1CF27B09"/>
    <w:rsid w:val="1CFF1026"/>
    <w:rsid w:val="1D9B7242"/>
    <w:rsid w:val="1DEA3522"/>
    <w:rsid w:val="1E053181"/>
    <w:rsid w:val="1E474BEE"/>
    <w:rsid w:val="1E7135D0"/>
    <w:rsid w:val="1E7B2E90"/>
    <w:rsid w:val="1E835E6A"/>
    <w:rsid w:val="1EA705ED"/>
    <w:rsid w:val="1EB401AB"/>
    <w:rsid w:val="1EB67161"/>
    <w:rsid w:val="1F302C65"/>
    <w:rsid w:val="1F44792A"/>
    <w:rsid w:val="1F4E6A02"/>
    <w:rsid w:val="1F6670ED"/>
    <w:rsid w:val="1F707F8D"/>
    <w:rsid w:val="1F9A0F77"/>
    <w:rsid w:val="1FD620C2"/>
    <w:rsid w:val="1FE271D5"/>
    <w:rsid w:val="1FE501FD"/>
    <w:rsid w:val="1FEB5623"/>
    <w:rsid w:val="1FEF712E"/>
    <w:rsid w:val="20611216"/>
    <w:rsid w:val="20621FC3"/>
    <w:rsid w:val="20E35BE9"/>
    <w:rsid w:val="21156A1C"/>
    <w:rsid w:val="21310B1A"/>
    <w:rsid w:val="217001E2"/>
    <w:rsid w:val="218A325D"/>
    <w:rsid w:val="22255D12"/>
    <w:rsid w:val="227605BB"/>
    <w:rsid w:val="22BD7457"/>
    <w:rsid w:val="22E36C68"/>
    <w:rsid w:val="22FB7F7F"/>
    <w:rsid w:val="23197531"/>
    <w:rsid w:val="23476928"/>
    <w:rsid w:val="23550037"/>
    <w:rsid w:val="235E3944"/>
    <w:rsid w:val="235F050E"/>
    <w:rsid w:val="23800F5E"/>
    <w:rsid w:val="23B073D3"/>
    <w:rsid w:val="23E502C6"/>
    <w:rsid w:val="2422296D"/>
    <w:rsid w:val="2426102C"/>
    <w:rsid w:val="244E349E"/>
    <w:rsid w:val="24666EE4"/>
    <w:rsid w:val="24701946"/>
    <w:rsid w:val="24BA2272"/>
    <w:rsid w:val="25280AEE"/>
    <w:rsid w:val="25E42F4C"/>
    <w:rsid w:val="261074AD"/>
    <w:rsid w:val="261C46B1"/>
    <w:rsid w:val="267F4B9F"/>
    <w:rsid w:val="26F42E9C"/>
    <w:rsid w:val="27030F39"/>
    <w:rsid w:val="271D6716"/>
    <w:rsid w:val="27D87113"/>
    <w:rsid w:val="27E75A20"/>
    <w:rsid w:val="280D4269"/>
    <w:rsid w:val="284B0B33"/>
    <w:rsid w:val="289D1723"/>
    <w:rsid w:val="2914325F"/>
    <w:rsid w:val="29613214"/>
    <w:rsid w:val="2A110088"/>
    <w:rsid w:val="2A2B045D"/>
    <w:rsid w:val="2A2F63DF"/>
    <w:rsid w:val="2A536944"/>
    <w:rsid w:val="2A68129C"/>
    <w:rsid w:val="2A703001"/>
    <w:rsid w:val="2ACA0963"/>
    <w:rsid w:val="2ACE5E57"/>
    <w:rsid w:val="2AFE6487"/>
    <w:rsid w:val="2B277B63"/>
    <w:rsid w:val="2B670D75"/>
    <w:rsid w:val="2B874C1C"/>
    <w:rsid w:val="2C1F3615"/>
    <w:rsid w:val="2C4F7C16"/>
    <w:rsid w:val="2C743B66"/>
    <w:rsid w:val="2CAC008E"/>
    <w:rsid w:val="2CE23E10"/>
    <w:rsid w:val="2D63682A"/>
    <w:rsid w:val="2D7A5FFE"/>
    <w:rsid w:val="2D8F7C42"/>
    <w:rsid w:val="2DE2584A"/>
    <w:rsid w:val="2E49213C"/>
    <w:rsid w:val="2E67006F"/>
    <w:rsid w:val="2E694D3E"/>
    <w:rsid w:val="2E722973"/>
    <w:rsid w:val="2E773C34"/>
    <w:rsid w:val="2E7D3F3E"/>
    <w:rsid w:val="2E875C48"/>
    <w:rsid w:val="2E9824AB"/>
    <w:rsid w:val="2E9B4249"/>
    <w:rsid w:val="2E9D17EB"/>
    <w:rsid w:val="2EAC037F"/>
    <w:rsid w:val="2EB81304"/>
    <w:rsid w:val="2ECD6C74"/>
    <w:rsid w:val="2F2B230B"/>
    <w:rsid w:val="2F517B36"/>
    <w:rsid w:val="2F72633A"/>
    <w:rsid w:val="2F893355"/>
    <w:rsid w:val="2FC31341"/>
    <w:rsid w:val="2FD05083"/>
    <w:rsid w:val="305E03E8"/>
    <w:rsid w:val="3069595F"/>
    <w:rsid w:val="30843362"/>
    <w:rsid w:val="30944B3A"/>
    <w:rsid w:val="30C4049D"/>
    <w:rsid w:val="30CD07F3"/>
    <w:rsid w:val="30E365D5"/>
    <w:rsid w:val="30E766F3"/>
    <w:rsid w:val="313E08F3"/>
    <w:rsid w:val="31704514"/>
    <w:rsid w:val="31816DAF"/>
    <w:rsid w:val="31B1462B"/>
    <w:rsid w:val="32290279"/>
    <w:rsid w:val="32527C83"/>
    <w:rsid w:val="325564E5"/>
    <w:rsid w:val="32655415"/>
    <w:rsid w:val="3294292F"/>
    <w:rsid w:val="32F07D5C"/>
    <w:rsid w:val="338115F3"/>
    <w:rsid w:val="33A06705"/>
    <w:rsid w:val="33D80D3F"/>
    <w:rsid w:val="33EE637D"/>
    <w:rsid w:val="344352E2"/>
    <w:rsid w:val="34624864"/>
    <w:rsid w:val="346D778B"/>
    <w:rsid w:val="34820B55"/>
    <w:rsid w:val="34AE59AA"/>
    <w:rsid w:val="353A3B24"/>
    <w:rsid w:val="35746954"/>
    <w:rsid w:val="35A454C9"/>
    <w:rsid w:val="35B629C4"/>
    <w:rsid w:val="35F72828"/>
    <w:rsid w:val="3633583B"/>
    <w:rsid w:val="363C359C"/>
    <w:rsid w:val="367B0D86"/>
    <w:rsid w:val="369B06A2"/>
    <w:rsid w:val="36AB2F9F"/>
    <w:rsid w:val="36B27BFF"/>
    <w:rsid w:val="36DE2E4C"/>
    <w:rsid w:val="36F11025"/>
    <w:rsid w:val="377831AA"/>
    <w:rsid w:val="37C125AD"/>
    <w:rsid w:val="37CB0B6E"/>
    <w:rsid w:val="37FB2519"/>
    <w:rsid w:val="38172D0E"/>
    <w:rsid w:val="3860698D"/>
    <w:rsid w:val="386F51CA"/>
    <w:rsid w:val="38C458DA"/>
    <w:rsid w:val="390943B3"/>
    <w:rsid w:val="391D76E1"/>
    <w:rsid w:val="39AB5E03"/>
    <w:rsid w:val="39C2411A"/>
    <w:rsid w:val="39E24527"/>
    <w:rsid w:val="39F111DE"/>
    <w:rsid w:val="3A1D3D59"/>
    <w:rsid w:val="3AA71527"/>
    <w:rsid w:val="3AD15C6C"/>
    <w:rsid w:val="3B4078AF"/>
    <w:rsid w:val="3B7E6C11"/>
    <w:rsid w:val="3BAA4A5F"/>
    <w:rsid w:val="3BE63D01"/>
    <w:rsid w:val="3C080FAE"/>
    <w:rsid w:val="3C541570"/>
    <w:rsid w:val="3C6E37E5"/>
    <w:rsid w:val="3C7922D7"/>
    <w:rsid w:val="3C9342B0"/>
    <w:rsid w:val="3CAD36D2"/>
    <w:rsid w:val="3CC81535"/>
    <w:rsid w:val="3CD26729"/>
    <w:rsid w:val="3CEA275C"/>
    <w:rsid w:val="3CEC25F5"/>
    <w:rsid w:val="3CF50FF2"/>
    <w:rsid w:val="3D052A2E"/>
    <w:rsid w:val="3D0659AA"/>
    <w:rsid w:val="3D602B13"/>
    <w:rsid w:val="3D8F09E6"/>
    <w:rsid w:val="3DB946E3"/>
    <w:rsid w:val="3DC471C3"/>
    <w:rsid w:val="3DCD3FBA"/>
    <w:rsid w:val="3DCD4884"/>
    <w:rsid w:val="3DFA3042"/>
    <w:rsid w:val="3E0755D2"/>
    <w:rsid w:val="3E105247"/>
    <w:rsid w:val="3E1E236C"/>
    <w:rsid w:val="3EA7555E"/>
    <w:rsid w:val="3EA826CA"/>
    <w:rsid w:val="3EF64E80"/>
    <w:rsid w:val="3EF74D5D"/>
    <w:rsid w:val="3F340649"/>
    <w:rsid w:val="3F6566F9"/>
    <w:rsid w:val="40095305"/>
    <w:rsid w:val="401869D9"/>
    <w:rsid w:val="40EA2C99"/>
    <w:rsid w:val="411E4CFA"/>
    <w:rsid w:val="41474664"/>
    <w:rsid w:val="422C654A"/>
    <w:rsid w:val="42474BD5"/>
    <w:rsid w:val="42847BD2"/>
    <w:rsid w:val="428739CE"/>
    <w:rsid w:val="42BC3919"/>
    <w:rsid w:val="42F830BA"/>
    <w:rsid w:val="43001D3E"/>
    <w:rsid w:val="43207C7D"/>
    <w:rsid w:val="435D7C4C"/>
    <w:rsid w:val="4373669D"/>
    <w:rsid w:val="43A10AE3"/>
    <w:rsid w:val="43A24D63"/>
    <w:rsid w:val="44C21E7F"/>
    <w:rsid w:val="44D409B2"/>
    <w:rsid w:val="44F41584"/>
    <w:rsid w:val="4508749B"/>
    <w:rsid w:val="451A1619"/>
    <w:rsid w:val="4538652E"/>
    <w:rsid w:val="45446C5B"/>
    <w:rsid w:val="455A3BE0"/>
    <w:rsid w:val="461D5993"/>
    <w:rsid w:val="463E3B5B"/>
    <w:rsid w:val="46A40348"/>
    <w:rsid w:val="46A42944"/>
    <w:rsid w:val="46F44C0D"/>
    <w:rsid w:val="47F10090"/>
    <w:rsid w:val="48062F23"/>
    <w:rsid w:val="480A6EB1"/>
    <w:rsid w:val="491178F4"/>
    <w:rsid w:val="494D402D"/>
    <w:rsid w:val="49810EE2"/>
    <w:rsid w:val="4A340D7B"/>
    <w:rsid w:val="4A5F084F"/>
    <w:rsid w:val="4A754721"/>
    <w:rsid w:val="4A83134F"/>
    <w:rsid w:val="4A987CDE"/>
    <w:rsid w:val="4AD621E9"/>
    <w:rsid w:val="4B04790D"/>
    <w:rsid w:val="4B1C5E3D"/>
    <w:rsid w:val="4B3D2633"/>
    <w:rsid w:val="4B513EF9"/>
    <w:rsid w:val="4B8D60C9"/>
    <w:rsid w:val="4B9C4E51"/>
    <w:rsid w:val="4BF50293"/>
    <w:rsid w:val="4C795D79"/>
    <w:rsid w:val="4CA06FAD"/>
    <w:rsid w:val="4CB42DC9"/>
    <w:rsid w:val="4CC01258"/>
    <w:rsid w:val="4D5F0096"/>
    <w:rsid w:val="4D692F51"/>
    <w:rsid w:val="4D823B9B"/>
    <w:rsid w:val="4DC21407"/>
    <w:rsid w:val="4E1D544D"/>
    <w:rsid w:val="4E7E543D"/>
    <w:rsid w:val="4E8F4E02"/>
    <w:rsid w:val="4E927C05"/>
    <w:rsid w:val="4EB3025E"/>
    <w:rsid w:val="4ECF2A79"/>
    <w:rsid w:val="4F174104"/>
    <w:rsid w:val="4F262EAE"/>
    <w:rsid w:val="4FAA5715"/>
    <w:rsid w:val="4FD03A76"/>
    <w:rsid w:val="4FDA6D84"/>
    <w:rsid w:val="4FDD4C36"/>
    <w:rsid w:val="50090FD4"/>
    <w:rsid w:val="503A0AC9"/>
    <w:rsid w:val="513F6058"/>
    <w:rsid w:val="514F1E89"/>
    <w:rsid w:val="5214061D"/>
    <w:rsid w:val="526F6D01"/>
    <w:rsid w:val="52BF6755"/>
    <w:rsid w:val="52C553E8"/>
    <w:rsid w:val="52DA4CAA"/>
    <w:rsid w:val="52FA29CE"/>
    <w:rsid w:val="531269BE"/>
    <w:rsid w:val="53417BDE"/>
    <w:rsid w:val="535E1B1A"/>
    <w:rsid w:val="538E4E0E"/>
    <w:rsid w:val="53986FA1"/>
    <w:rsid w:val="539B3D11"/>
    <w:rsid w:val="53CE4D8C"/>
    <w:rsid w:val="53FE35C2"/>
    <w:rsid w:val="540168F4"/>
    <w:rsid w:val="54652542"/>
    <w:rsid w:val="54C55B73"/>
    <w:rsid w:val="55056B34"/>
    <w:rsid w:val="55684A1A"/>
    <w:rsid w:val="559521BD"/>
    <w:rsid w:val="55AD43BA"/>
    <w:rsid w:val="55C81083"/>
    <w:rsid w:val="55CA6BD2"/>
    <w:rsid w:val="56231C41"/>
    <w:rsid w:val="564163D1"/>
    <w:rsid w:val="56AC2568"/>
    <w:rsid w:val="56C41358"/>
    <w:rsid w:val="572774A3"/>
    <w:rsid w:val="5782519E"/>
    <w:rsid w:val="579B2BBB"/>
    <w:rsid w:val="57A44EC0"/>
    <w:rsid w:val="57DC3357"/>
    <w:rsid w:val="582664D1"/>
    <w:rsid w:val="58310F9B"/>
    <w:rsid w:val="58311772"/>
    <w:rsid w:val="583A6878"/>
    <w:rsid w:val="58754A86"/>
    <w:rsid w:val="587B2CDE"/>
    <w:rsid w:val="588A63B0"/>
    <w:rsid w:val="58E54DF2"/>
    <w:rsid w:val="593475CA"/>
    <w:rsid w:val="59BE55DC"/>
    <w:rsid w:val="59EC5D9C"/>
    <w:rsid w:val="5A1A7162"/>
    <w:rsid w:val="5A265D7B"/>
    <w:rsid w:val="5A2F0903"/>
    <w:rsid w:val="5A3508BF"/>
    <w:rsid w:val="5A753690"/>
    <w:rsid w:val="5AC35526"/>
    <w:rsid w:val="5AD230A1"/>
    <w:rsid w:val="5AE75489"/>
    <w:rsid w:val="5B0E4680"/>
    <w:rsid w:val="5B543D4B"/>
    <w:rsid w:val="5BA25759"/>
    <w:rsid w:val="5C021D5C"/>
    <w:rsid w:val="5C12484B"/>
    <w:rsid w:val="5C164F06"/>
    <w:rsid w:val="5CD033D2"/>
    <w:rsid w:val="5CD746C6"/>
    <w:rsid w:val="5D02224E"/>
    <w:rsid w:val="5D0B433F"/>
    <w:rsid w:val="5D1F7DEB"/>
    <w:rsid w:val="5D256F17"/>
    <w:rsid w:val="5D566611"/>
    <w:rsid w:val="5D7A3273"/>
    <w:rsid w:val="5D896E22"/>
    <w:rsid w:val="5E0A4A50"/>
    <w:rsid w:val="5F2D0E8F"/>
    <w:rsid w:val="5F3833E6"/>
    <w:rsid w:val="5F7A0BB2"/>
    <w:rsid w:val="5FEB2BA4"/>
    <w:rsid w:val="60015C3B"/>
    <w:rsid w:val="609A4BC4"/>
    <w:rsid w:val="60F5158E"/>
    <w:rsid w:val="6104719B"/>
    <w:rsid w:val="6171498D"/>
    <w:rsid w:val="61EE441B"/>
    <w:rsid w:val="61F20540"/>
    <w:rsid w:val="620D3BAE"/>
    <w:rsid w:val="62483940"/>
    <w:rsid w:val="62756CD8"/>
    <w:rsid w:val="62AD3688"/>
    <w:rsid w:val="62C55526"/>
    <w:rsid w:val="62EE64CA"/>
    <w:rsid w:val="62F30E54"/>
    <w:rsid w:val="63003C41"/>
    <w:rsid w:val="633E3777"/>
    <w:rsid w:val="63F7395E"/>
    <w:rsid w:val="64104514"/>
    <w:rsid w:val="642369C3"/>
    <w:rsid w:val="64433C52"/>
    <w:rsid w:val="645C4BBE"/>
    <w:rsid w:val="645D0573"/>
    <w:rsid w:val="64D36728"/>
    <w:rsid w:val="64E35BA2"/>
    <w:rsid w:val="64E533D4"/>
    <w:rsid w:val="65640DB5"/>
    <w:rsid w:val="65DD27C5"/>
    <w:rsid w:val="65EF244B"/>
    <w:rsid w:val="66215B04"/>
    <w:rsid w:val="66266BF4"/>
    <w:rsid w:val="66342560"/>
    <w:rsid w:val="663F469F"/>
    <w:rsid w:val="667E3DD4"/>
    <w:rsid w:val="669B2A1A"/>
    <w:rsid w:val="66BA1864"/>
    <w:rsid w:val="66FD01A0"/>
    <w:rsid w:val="67893B07"/>
    <w:rsid w:val="67DD08A6"/>
    <w:rsid w:val="67F535C2"/>
    <w:rsid w:val="687C07E7"/>
    <w:rsid w:val="68994EF5"/>
    <w:rsid w:val="68A51D8F"/>
    <w:rsid w:val="68E63001"/>
    <w:rsid w:val="6902695F"/>
    <w:rsid w:val="692D337C"/>
    <w:rsid w:val="69507E77"/>
    <w:rsid w:val="69BC5770"/>
    <w:rsid w:val="69CE7367"/>
    <w:rsid w:val="69F57B64"/>
    <w:rsid w:val="6A3A435E"/>
    <w:rsid w:val="6A4B66C3"/>
    <w:rsid w:val="6A8A0AA1"/>
    <w:rsid w:val="6A911D7B"/>
    <w:rsid w:val="6ABE35C7"/>
    <w:rsid w:val="6B3C4D16"/>
    <w:rsid w:val="6B5415A7"/>
    <w:rsid w:val="6B9952A7"/>
    <w:rsid w:val="6C0C66AB"/>
    <w:rsid w:val="6C1D5A8D"/>
    <w:rsid w:val="6C506D05"/>
    <w:rsid w:val="6C710D22"/>
    <w:rsid w:val="6CAB3449"/>
    <w:rsid w:val="6CB5299E"/>
    <w:rsid w:val="6CC91D04"/>
    <w:rsid w:val="6CD754CF"/>
    <w:rsid w:val="6CD9476D"/>
    <w:rsid w:val="6D1301ED"/>
    <w:rsid w:val="6D2152F9"/>
    <w:rsid w:val="6D3F6E6A"/>
    <w:rsid w:val="6D92054D"/>
    <w:rsid w:val="6D953B09"/>
    <w:rsid w:val="6E5626ED"/>
    <w:rsid w:val="6E942999"/>
    <w:rsid w:val="6EB966E9"/>
    <w:rsid w:val="6F241291"/>
    <w:rsid w:val="6F912DCA"/>
    <w:rsid w:val="6FCC795E"/>
    <w:rsid w:val="700A4990"/>
    <w:rsid w:val="7061300B"/>
    <w:rsid w:val="714C49C7"/>
    <w:rsid w:val="717164AD"/>
    <w:rsid w:val="71EC67DB"/>
    <w:rsid w:val="71FF2E41"/>
    <w:rsid w:val="72221950"/>
    <w:rsid w:val="72A252EE"/>
    <w:rsid w:val="72AD02ED"/>
    <w:rsid w:val="73C21591"/>
    <w:rsid w:val="74B06E8E"/>
    <w:rsid w:val="74E042F3"/>
    <w:rsid w:val="75001B2D"/>
    <w:rsid w:val="750D1BC6"/>
    <w:rsid w:val="751A6115"/>
    <w:rsid w:val="752F13FF"/>
    <w:rsid w:val="75CD688F"/>
    <w:rsid w:val="75D67789"/>
    <w:rsid w:val="765242FC"/>
    <w:rsid w:val="766B1D21"/>
    <w:rsid w:val="76A52D81"/>
    <w:rsid w:val="770E5CDE"/>
    <w:rsid w:val="772D017A"/>
    <w:rsid w:val="775D7768"/>
    <w:rsid w:val="77617526"/>
    <w:rsid w:val="780473EC"/>
    <w:rsid w:val="780B4978"/>
    <w:rsid w:val="781B18E6"/>
    <w:rsid w:val="78252B09"/>
    <w:rsid w:val="790F45F0"/>
    <w:rsid w:val="7919031A"/>
    <w:rsid w:val="7957552B"/>
    <w:rsid w:val="79CE505D"/>
    <w:rsid w:val="7A5B19C1"/>
    <w:rsid w:val="7A5C1D7E"/>
    <w:rsid w:val="7A63795B"/>
    <w:rsid w:val="7A7B5E5C"/>
    <w:rsid w:val="7AC34054"/>
    <w:rsid w:val="7AD6524D"/>
    <w:rsid w:val="7AD71832"/>
    <w:rsid w:val="7B130B37"/>
    <w:rsid w:val="7B8F410F"/>
    <w:rsid w:val="7BF55D0D"/>
    <w:rsid w:val="7C2C1A43"/>
    <w:rsid w:val="7C2C344B"/>
    <w:rsid w:val="7CDE1D01"/>
    <w:rsid w:val="7D1D57F3"/>
    <w:rsid w:val="7D404790"/>
    <w:rsid w:val="7D62210E"/>
    <w:rsid w:val="7D77B5F1"/>
    <w:rsid w:val="7DA737B9"/>
    <w:rsid w:val="7DCC28A9"/>
    <w:rsid w:val="7DF41070"/>
    <w:rsid w:val="7E412A73"/>
    <w:rsid w:val="7E4160B8"/>
    <w:rsid w:val="7E9140CF"/>
    <w:rsid w:val="7ED42FFD"/>
    <w:rsid w:val="7EFA5574"/>
    <w:rsid w:val="7FB421BD"/>
    <w:rsid w:val="7FE95FF3"/>
    <w:rsid w:val="BEEB3271"/>
    <w:rsid w:val="EFA2CA6C"/>
    <w:rsid w:val="FEFE0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4">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5">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6">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7">
    <w:name w:val="heading 5"/>
    <w:basedOn w:val="1"/>
    <w:next w:val="1"/>
    <w:link w:val="77"/>
    <w:qFormat/>
    <w:uiPriority w:val="0"/>
    <w:pPr>
      <w:ind w:left="1008" w:hanging="432"/>
      <w:outlineLvl w:val="4"/>
    </w:pPr>
    <w:rPr>
      <w:rFonts w:ascii="Times New Roman" w:hAnsi="Times New Roman"/>
      <w:kern w:val="0"/>
      <w:sz w:val="20"/>
      <w:szCs w:val="20"/>
    </w:rPr>
  </w:style>
  <w:style w:type="paragraph" w:styleId="8">
    <w:name w:val="heading 6"/>
    <w:basedOn w:val="1"/>
    <w:next w:val="1"/>
    <w:link w:val="78"/>
    <w:qFormat/>
    <w:uiPriority w:val="0"/>
    <w:pPr>
      <w:ind w:left="1152" w:hanging="432"/>
      <w:outlineLvl w:val="5"/>
    </w:pPr>
    <w:rPr>
      <w:rFonts w:ascii="Times New Roman" w:hAnsi="Times New Roman"/>
      <w:kern w:val="0"/>
      <w:sz w:val="20"/>
      <w:szCs w:val="20"/>
    </w:rPr>
  </w:style>
  <w:style w:type="paragraph" w:styleId="9">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10">
    <w:name w:val="heading 8"/>
    <w:basedOn w:val="1"/>
    <w:next w:val="1"/>
    <w:link w:val="80"/>
    <w:qFormat/>
    <w:uiPriority w:val="0"/>
    <w:pPr>
      <w:ind w:left="1440" w:hanging="432"/>
      <w:outlineLvl w:val="7"/>
    </w:pPr>
    <w:rPr>
      <w:rFonts w:ascii="Times New Roman" w:hAnsi="Times New Roman"/>
      <w:kern w:val="0"/>
      <w:sz w:val="20"/>
      <w:szCs w:val="20"/>
    </w:rPr>
  </w:style>
  <w:style w:type="paragraph" w:styleId="11">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0"/>
    <w:pPr>
      <w:ind w:left="420" w:leftChars="200"/>
    </w:pPr>
  </w:style>
  <w:style w:type="paragraph" w:styleId="12">
    <w:name w:val="toc 7"/>
    <w:basedOn w:val="1"/>
    <w:next w:val="1"/>
    <w:unhideWhenUsed/>
    <w:qFormat/>
    <w:uiPriority w:val="0"/>
    <w:pPr>
      <w:ind w:left="2520" w:leftChars="1200"/>
    </w:pPr>
  </w:style>
  <w:style w:type="paragraph" w:styleId="13">
    <w:name w:val="Note Heading"/>
    <w:basedOn w:val="1"/>
    <w:next w:val="1"/>
    <w:link w:val="117"/>
    <w:semiHidden/>
    <w:qFormat/>
    <w:uiPriority w:val="0"/>
    <w:pPr>
      <w:jc w:val="center"/>
    </w:pPr>
    <w:rPr>
      <w:rFonts w:ascii="Times New Roman" w:hAnsi="Times New Roman"/>
      <w:szCs w:val="24"/>
    </w:rPr>
  </w:style>
  <w:style w:type="paragraph" w:styleId="14">
    <w:name w:val="index 8"/>
    <w:basedOn w:val="1"/>
    <w:next w:val="1"/>
    <w:qFormat/>
    <w:uiPriority w:val="0"/>
    <w:pPr>
      <w:ind w:left="1400" w:leftChars="1400"/>
    </w:pPr>
    <w:rPr>
      <w:rFonts w:ascii="Times New Roman" w:hAnsi="Times New Roman"/>
      <w:szCs w:val="24"/>
    </w:rPr>
  </w:style>
  <w:style w:type="paragraph" w:styleId="15">
    <w:name w:val="E-mail Signature"/>
    <w:basedOn w:val="1"/>
    <w:link w:val="118"/>
    <w:semiHidden/>
    <w:qFormat/>
    <w:uiPriority w:val="0"/>
    <w:rPr>
      <w:rFonts w:ascii="Times New Roman" w:hAnsi="Times New Roman"/>
      <w:szCs w:val="24"/>
    </w:rPr>
  </w:style>
  <w:style w:type="paragraph" w:styleId="16">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7">
    <w:name w:val="List Bullet"/>
    <w:basedOn w:val="1"/>
    <w:semiHidden/>
    <w:qFormat/>
    <w:uiPriority w:val="0"/>
    <w:pPr>
      <w:tabs>
        <w:tab w:val="left" w:pos="360"/>
      </w:tabs>
      <w:ind w:left="360" w:hanging="360"/>
    </w:pPr>
    <w:rPr>
      <w:rFonts w:ascii="Times New Roman" w:hAnsi="Times New Roman"/>
      <w:szCs w:val="24"/>
    </w:rPr>
  </w:style>
  <w:style w:type="paragraph" w:styleId="18">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9">
    <w:name w:val="Document Map"/>
    <w:basedOn w:val="1"/>
    <w:link w:val="95"/>
    <w:unhideWhenUsed/>
    <w:qFormat/>
    <w:uiPriority w:val="0"/>
    <w:rPr>
      <w:rFonts w:ascii="宋体"/>
      <w:sz w:val="18"/>
      <w:szCs w:val="18"/>
    </w:rPr>
  </w:style>
  <w:style w:type="paragraph" w:styleId="20">
    <w:name w:val="annotation text"/>
    <w:basedOn w:val="1"/>
    <w:link w:val="87"/>
    <w:unhideWhenUsed/>
    <w:qFormat/>
    <w:uiPriority w:val="0"/>
    <w:pPr>
      <w:jc w:val="left"/>
    </w:pPr>
  </w:style>
  <w:style w:type="paragraph" w:styleId="21">
    <w:name w:val="Salutation"/>
    <w:basedOn w:val="1"/>
    <w:next w:val="1"/>
    <w:link w:val="119"/>
    <w:semiHidden/>
    <w:qFormat/>
    <w:uiPriority w:val="0"/>
    <w:rPr>
      <w:rFonts w:ascii="Times New Roman" w:hAnsi="Times New Roman"/>
      <w:szCs w:val="24"/>
    </w:rPr>
  </w:style>
  <w:style w:type="paragraph" w:styleId="22">
    <w:name w:val="Body Text 3"/>
    <w:basedOn w:val="1"/>
    <w:link w:val="120"/>
    <w:semiHidden/>
    <w:qFormat/>
    <w:uiPriority w:val="0"/>
    <w:pPr>
      <w:spacing w:after="120"/>
    </w:pPr>
    <w:rPr>
      <w:rFonts w:ascii="Times New Roman" w:hAnsi="Times New Roman"/>
      <w:sz w:val="16"/>
      <w:szCs w:val="16"/>
    </w:rPr>
  </w:style>
  <w:style w:type="paragraph" w:styleId="23">
    <w:name w:val="Closing"/>
    <w:basedOn w:val="1"/>
    <w:link w:val="121"/>
    <w:semiHidden/>
    <w:qFormat/>
    <w:uiPriority w:val="0"/>
    <w:pPr>
      <w:ind w:left="100" w:leftChars="2100"/>
    </w:pPr>
    <w:rPr>
      <w:rFonts w:ascii="Times New Roman" w:hAnsi="Times New Roman"/>
      <w:szCs w:val="24"/>
    </w:rPr>
  </w:style>
  <w:style w:type="paragraph" w:styleId="24">
    <w:name w:val="Body Text"/>
    <w:basedOn w:val="1"/>
    <w:link w:val="88"/>
    <w:qFormat/>
    <w:uiPriority w:val="99"/>
    <w:pPr>
      <w:spacing w:line="360" w:lineRule="auto"/>
    </w:pPr>
    <w:rPr>
      <w:rFonts w:ascii="宋体" w:hAnsi="宋体"/>
      <w:kern w:val="0"/>
      <w:sz w:val="24"/>
      <w:szCs w:val="24"/>
    </w:rPr>
  </w:style>
  <w:style w:type="paragraph" w:styleId="25">
    <w:name w:val="Body Text Indent"/>
    <w:basedOn w:val="1"/>
    <w:link w:val="86"/>
    <w:unhideWhenUsed/>
    <w:qFormat/>
    <w:uiPriority w:val="99"/>
    <w:pPr>
      <w:spacing w:after="120"/>
      <w:ind w:left="420" w:leftChars="200"/>
    </w:pPr>
  </w:style>
  <w:style w:type="paragraph" w:styleId="26">
    <w:name w:val="HTML Address"/>
    <w:basedOn w:val="1"/>
    <w:link w:val="122"/>
    <w:semiHidden/>
    <w:qFormat/>
    <w:uiPriority w:val="0"/>
    <w:rPr>
      <w:rFonts w:ascii="Times New Roman" w:hAnsi="Times New Roman"/>
      <w:i/>
      <w:iCs/>
      <w:szCs w:val="24"/>
    </w:rPr>
  </w:style>
  <w:style w:type="paragraph" w:styleId="27">
    <w:name w:val="toc 5"/>
    <w:basedOn w:val="1"/>
    <w:next w:val="1"/>
    <w:unhideWhenUsed/>
    <w:qFormat/>
    <w:uiPriority w:val="0"/>
    <w:pPr>
      <w:ind w:left="1680" w:leftChars="800"/>
    </w:pPr>
  </w:style>
  <w:style w:type="paragraph" w:styleId="28">
    <w:name w:val="toc 3"/>
    <w:basedOn w:val="1"/>
    <w:next w:val="1"/>
    <w:unhideWhenUsed/>
    <w:qFormat/>
    <w:uiPriority w:val="0"/>
    <w:pPr>
      <w:ind w:left="840" w:leftChars="400"/>
    </w:pPr>
  </w:style>
  <w:style w:type="paragraph" w:styleId="29">
    <w:name w:val="Plain Text"/>
    <w:basedOn w:val="1"/>
    <w:next w:val="14"/>
    <w:link w:val="91"/>
    <w:qFormat/>
    <w:uiPriority w:val="0"/>
    <w:rPr>
      <w:rFonts w:ascii="宋体" w:hAnsi="Courier New"/>
      <w:szCs w:val="21"/>
    </w:rPr>
  </w:style>
  <w:style w:type="paragraph" w:styleId="30">
    <w:name w:val="toc 8"/>
    <w:basedOn w:val="1"/>
    <w:next w:val="1"/>
    <w:semiHidden/>
    <w:qFormat/>
    <w:uiPriority w:val="0"/>
    <w:pPr>
      <w:ind w:left="2940" w:leftChars="1400"/>
    </w:pPr>
  </w:style>
  <w:style w:type="paragraph" w:styleId="31">
    <w:name w:val="Date"/>
    <w:basedOn w:val="1"/>
    <w:next w:val="1"/>
    <w:link w:val="123"/>
    <w:unhideWhenUsed/>
    <w:qFormat/>
    <w:uiPriority w:val="0"/>
    <w:pPr>
      <w:ind w:left="100" w:leftChars="2500"/>
    </w:pPr>
    <w:rPr>
      <w:rFonts w:ascii="Times New Roman" w:hAnsi="Times New Roman"/>
      <w:szCs w:val="20"/>
    </w:rPr>
  </w:style>
  <w:style w:type="paragraph" w:styleId="32">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3">
    <w:name w:val="endnote text"/>
    <w:basedOn w:val="1"/>
    <w:link w:val="125"/>
    <w:semiHidden/>
    <w:qFormat/>
    <w:uiPriority w:val="0"/>
    <w:pPr>
      <w:snapToGrid w:val="0"/>
      <w:jc w:val="left"/>
    </w:pPr>
    <w:rPr>
      <w:rFonts w:ascii="Times New Roman" w:hAnsi="Times New Roman"/>
      <w:szCs w:val="24"/>
    </w:rPr>
  </w:style>
  <w:style w:type="paragraph" w:styleId="34">
    <w:name w:val="Balloon Text"/>
    <w:basedOn w:val="1"/>
    <w:link w:val="90"/>
    <w:unhideWhenUsed/>
    <w:qFormat/>
    <w:uiPriority w:val="0"/>
    <w:rPr>
      <w:kern w:val="0"/>
      <w:sz w:val="18"/>
      <w:szCs w:val="18"/>
    </w:rPr>
  </w:style>
  <w:style w:type="paragraph" w:styleId="35">
    <w:name w:val="footer"/>
    <w:basedOn w:val="1"/>
    <w:link w:val="89"/>
    <w:unhideWhenUsed/>
    <w:qFormat/>
    <w:uiPriority w:val="0"/>
    <w:pPr>
      <w:tabs>
        <w:tab w:val="center" w:pos="4153"/>
        <w:tab w:val="right" w:pos="8306"/>
      </w:tabs>
      <w:snapToGrid w:val="0"/>
      <w:jc w:val="left"/>
    </w:pPr>
    <w:rPr>
      <w:kern w:val="0"/>
      <w:sz w:val="18"/>
      <w:szCs w:val="18"/>
    </w:rPr>
  </w:style>
  <w:style w:type="paragraph" w:styleId="36">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26"/>
    <w:semiHidden/>
    <w:qFormat/>
    <w:uiPriority w:val="0"/>
    <w:pPr>
      <w:ind w:left="100" w:leftChars="2100"/>
    </w:pPr>
    <w:rPr>
      <w:rFonts w:ascii="Times New Roman" w:hAnsi="Times New Roman"/>
      <w:szCs w:val="24"/>
    </w:rPr>
  </w:style>
  <w:style w:type="paragraph" w:styleId="38">
    <w:name w:val="toc 1"/>
    <w:basedOn w:val="1"/>
    <w:next w:val="1"/>
    <w:unhideWhenUsed/>
    <w:qFormat/>
    <w:uiPriority w:val="0"/>
  </w:style>
  <w:style w:type="paragraph" w:styleId="39">
    <w:name w:val="toc 4"/>
    <w:basedOn w:val="1"/>
    <w:next w:val="1"/>
    <w:unhideWhenUsed/>
    <w:qFormat/>
    <w:uiPriority w:val="0"/>
    <w:pPr>
      <w:ind w:left="1260" w:leftChars="600"/>
    </w:pPr>
  </w:style>
  <w:style w:type="paragraph" w:styleId="40">
    <w:name w:val="Subtitle"/>
    <w:basedOn w:val="1"/>
    <w:next w:val="1"/>
    <w:link w:val="159"/>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semiHidden/>
    <w:qFormat/>
    <w:uiPriority w:val="0"/>
    <w:pPr>
      <w:ind w:left="200" w:hanging="200" w:hangingChars="200"/>
    </w:pPr>
    <w:rPr>
      <w:rFonts w:ascii="Times New Roman" w:hAnsi="Times New Roman"/>
      <w:szCs w:val="24"/>
    </w:rPr>
  </w:style>
  <w:style w:type="paragraph" w:styleId="42">
    <w:name w:val="footnote text"/>
    <w:basedOn w:val="1"/>
    <w:link w:val="127"/>
    <w:semiHidden/>
    <w:qFormat/>
    <w:uiPriority w:val="0"/>
    <w:pPr>
      <w:snapToGrid w:val="0"/>
      <w:jc w:val="left"/>
    </w:pPr>
    <w:rPr>
      <w:rFonts w:ascii="Times New Roman" w:hAnsi="Times New Roman"/>
      <w:sz w:val="18"/>
      <w:szCs w:val="20"/>
    </w:rPr>
  </w:style>
  <w:style w:type="paragraph" w:styleId="43">
    <w:name w:val="toc 6"/>
    <w:basedOn w:val="1"/>
    <w:next w:val="1"/>
    <w:unhideWhenUsed/>
    <w:qFormat/>
    <w:uiPriority w:val="0"/>
    <w:pPr>
      <w:ind w:left="2100" w:leftChars="1000"/>
    </w:pPr>
  </w:style>
  <w:style w:type="paragraph" w:styleId="44">
    <w:name w:val="toc 9"/>
    <w:basedOn w:val="1"/>
    <w:next w:val="1"/>
    <w:unhideWhenUsed/>
    <w:qFormat/>
    <w:uiPriority w:val="0"/>
    <w:pPr>
      <w:ind w:left="3360" w:leftChars="1600"/>
    </w:pPr>
  </w:style>
  <w:style w:type="paragraph" w:styleId="45">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unhideWhenUsed/>
    <w:qFormat/>
    <w:uiPriority w:val="0"/>
  </w:style>
  <w:style w:type="paragraph" w:styleId="49">
    <w:name w:val="Title"/>
    <w:basedOn w:val="1"/>
    <w:next w:val="1"/>
    <w:link w:val="158"/>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6"/>
    <w:unhideWhenUsed/>
    <w:qFormat/>
    <w:uiPriority w:val="0"/>
    <w:rPr>
      <w:b/>
      <w:bCs/>
    </w:rPr>
  </w:style>
  <w:style w:type="paragraph" w:styleId="51">
    <w:name w:val="Body Text First Indent"/>
    <w:basedOn w:val="24"/>
    <w:link w:val="114"/>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5"/>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List 4"/>
    <w:basedOn w:val="53"/>
    <w:semiHidden/>
    <w:qFormat/>
    <w:uiPriority w:val="0"/>
    <w:pPr>
      <w:widowControl w:val="0"/>
      <w:jc w:val="both"/>
    </w:pPr>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Char"/>
    <w:link w:val="3"/>
    <w:qFormat/>
    <w:uiPriority w:val="0"/>
    <w:rPr>
      <w:b/>
      <w:bCs/>
      <w:kern w:val="44"/>
      <w:sz w:val="44"/>
      <w:szCs w:val="44"/>
    </w:rPr>
  </w:style>
  <w:style w:type="character" w:customStyle="1" w:styleId="74">
    <w:name w:val="标题 2 Char"/>
    <w:link w:val="4"/>
    <w:qFormat/>
    <w:uiPriority w:val="0"/>
    <w:rPr>
      <w:rFonts w:ascii="Cambria" w:hAnsi="Cambria" w:eastAsia="宋体"/>
      <w:b/>
      <w:bCs/>
      <w:kern w:val="2"/>
      <w:sz w:val="32"/>
      <w:szCs w:val="32"/>
      <w:lang w:val="en-US" w:eastAsia="zh-CN" w:bidi="ar-SA"/>
    </w:rPr>
  </w:style>
  <w:style w:type="character" w:customStyle="1" w:styleId="75">
    <w:name w:val="标题 3 Char"/>
    <w:link w:val="5"/>
    <w:qFormat/>
    <w:uiPriority w:val="0"/>
    <w:rPr>
      <w:rFonts w:ascii="Calibri" w:hAnsi="Calibri" w:eastAsia="宋体"/>
      <w:b/>
      <w:bCs/>
      <w:kern w:val="2"/>
      <w:sz w:val="32"/>
      <w:szCs w:val="32"/>
      <w:lang w:val="en-US" w:eastAsia="zh-CN" w:bidi="ar-SA"/>
    </w:rPr>
  </w:style>
  <w:style w:type="character" w:customStyle="1" w:styleId="76">
    <w:name w:val="标题 4 Char"/>
    <w:link w:val="6"/>
    <w:qFormat/>
    <w:uiPriority w:val="0"/>
    <w:rPr>
      <w:rFonts w:ascii="宋体" w:hAnsi="宋体" w:eastAsia="宋体" w:cs="宋体"/>
      <w:b/>
      <w:bCs/>
      <w:sz w:val="24"/>
      <w:szCs w:val="24"/>
      <w:lang w:val="en-US" w:eastAsia="zh-CN" w:bidi="ar-SA"/>
    </w:rPr>
  </w:style>
  <w:style w:type="character" w:customStyle="1" w:styleId="77">
    <w:name w:val="标题 5 Char"/>
    <w:basedOn w:val="57"/>
    <w:link w:val="7"/>
    <w:qFormat/>
    <w:uiPriority w:val="0"/>
    <w:rPr>
      <w:rFonts w:ascii="Times New Roman" w:hAnsi="Times New Roman"/>
    </w:rPr>
  </w:style>
  <w:style w:type="character" w:customStyle="1" w:styleId="78">
    <w:name w:val="标题 6 Char"/>
    <w:basedOn w:val="57"/>
    <w:link w:val="8"/>
    <w:qFormat/>
    <w:uiPriority w:val="0"/>
    <w:rPr>
      <w:rFonts w:ascii="Times New Roman" w:hAnsi="Times New Roman"/>
    </w:rPr>
  </w:style>
  <w:style w:type="character" w:customStyle="1" w:styleId="79">
    <w:name w:val="标题 7 Char"/>
    <w:link w:val="9"/>
    <w:qFormat/>
    <w:uiPriority w:val="0"/>
    <w:rPr>
      <w:rFonts w:ascii="Calibri" w:hAnsi="Calibri" w:eastAsia="宋体"/>
      <w:b/>
      <w:bCs/>
      <w:kern w:val="2"/>
      <w:sz w:val="24"/>
      <w:szCs w:val="24"/>
      <w:lang w:val="en-US" w:eastAsia="zh-CN" w:bidi="ar-SA"/>
    </w:rPr>
  </w:style>
  <w:style w:type="character" w:customStyle="1" w:styleId="80">
    <w:name w:val="标题 8 Char"/>
    <w:basedOn w:val="57"/>
    <w:link w:val="10"/>
    <w:qFormat/>
    <w:uiPriority w:val="0"/>
    <w:rPr>
      <w:rFonts w:ascii="Times New Roman" w:hAnsi="Times New Roman"/>
    </w:rPr>
  </w:style>
  <w:style w:type="character" w:customStyle="1" w:styleId="81">
    <w:name w:val="标题 9 Char"/>
    <w:basedOn w:val="57"/>
    <w:link w:val="11"/>
    <w:qFormat/>
    <w:uiPriority w:val="0"/>
    <w:rPr>
      <w:rFonts w:ascii="Times New Roman" w:hAnsi="Times New Roman"/>
    </w:rPr>
  </w:style>
  <w:style w:type="character" w:customStyle="1" w:styleId="82">
    <w:name w:val="页眉 Char"/>
    <w:link w:val="36"/>
    <w:qFormat/>
    <w:uiPriority w:val="0"/>
    <w:rPr>
      <w:sz w:val="18"/>
      <w:szCs w:val="18"/>
    </w:rPr>
  </w:style>
  <w:style w:type="character" w:styleId="83">
    <w:name w:val="Placeholder Text"/>
    <w:semiHidden/>
    <w:qFormat/>
    <w:uiPriority w:val="99"/>
    <w:rPr>
      <w:color w:val="808080"/>
    </w:rPr>
  </w:style>
  <w:style w:type="character" w:customStyle="1" w:styleId="84">
    <w:name w:val="title"/>
    <w:basedOn w:val="57"/>
    <w:qFormat/>
    <w:uiPriority w:val="0"/>
  </w:style>
  <w:style w:type="character" w:customStyle="1" w:styleId="85">
    <w:name w:val="正文首行缩进 2 Char"/>
    <w:basedOn w:val="86"/>
    <w:link w:val="52"/>
    <w:qFormat/>
    <w:uiPriority w:val="0"/>
  </w:style>
  <w:style w:type="character" w:customStyle="1" w:styleId="86">
    <w:name w:val="正文文本缩进 Char"/>
    <w:basedOn w:val="57"/>
    <w:link w:val="25"/>
    <w:semiHidden/>
    <w:qFormat/>
    <w:uiPriority w:val="99"/>
  </w:style>
  <w:style w:type="character" w:customStyle="1" w:styleId="87">
    <w:name w:val="批注文字 Char"/>
    <w:link w:val="20"/>
    <w:semiHidden/>
    <w:qFormat/>
    <w:uiPriority w:val="0"/>
    <w:rPr>
      <w:kern w:val="2"/>
      <w:sz w:val="21"/>
      <w:szCs w:val="22"/>
    </w:rPr>
  </w:style>
  <w:style w:type="character" w:customStyle="1" w:styleId="88">
    <w:name w:val="正文文本 Char"/>
    <w:link w:val="24"/>
    <w:qFormat/>
    <w:uiPriority w:val="99"/>
    <w:rPr>
      <w:rFonts w:ascii="宋体" w:hAnsi="宋体" w:eastAsia="宋体" w:cs="Times New Roman"/>
      <w:sz w:val="24"/>
      <w:szCs w:val="24"/>
    </w:rPr>
  </w:style>
  <w:style w:type="character" w:customStyle="1" w:styleId="89">
    <w:name w:val="页脚 Char"/>
    <w:link w:val="35"/>
    <w:qFormat/>
    <w:uiPriority w:val="0"/>
    <w:rPr>
      <w:sz w:val="18"/>
      <w:szCs w:val="18"/>
    </w:rPr>
  </w:style>
  <w:style w:type="character" w:customStyle="1" w:styleId="90">
    <w:name w:val="批注框文本 Char"/>
    <w:link w:val="34"/>
    <w:semiHidden/>
    <w:qFormat/>
    <w:uiPriority w:val="0"/>
    <w:rPr>
      <w:sz w:val="18"/>
      <w:szCs w:val="18"/>
    </w:rPr>
  </w:style>
  <w:style w:type="character" w:customStyle="1" w:styleId="91">
    <w:name w:val="纯文本 Char"/>
    <w:link w:val="29"/>
    <w:qFormat/>
    <w:uiPriority w:val="0"/>
    <w:rPr>
      <w:rFonts w:ascii="宋体" w:hAnsi="Courier New" w:cs="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5"/>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Char"/>
    <w:link w:val="19"/>
    <w:qFormat/>
    <w:uiPriority w:val="0"/>
    <w:rPr>
      <w:rFonts w:ascii="宋体"/>
      <w:kern w:val="2"/>
      <w:sz w:val="18"/>
      <w:szCs w:val="18"/>
    </w:rPr>
  </w:style>
  <w:style w:type="character" w:customStyle="1" w:styleId="96">
    <w:name w:val="批注主题 Char"/>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99"/>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6"/>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4"/>
    <w:qFormat/>
    <w:uiPriority w:val="0"/>
    <w:pPr>
      <w:spacing w:after="120"/>
    </w:pPr>
    <w:rPr>
      <w:rFonts w:hAnsi="Times New Roman"/>
      <w:sz w:val="21"/>
    </w:rPr>
  </w:style>
  <w:style w:type="paragraph" w:customStyle="1" w:styleId="110">
    <w:name w:val="DTZ Heading 2"/>
    <w:basedOn w:val="107"/>
    <w:next w:val="1"/>
    <w:qFormat/>
    <w:uiPriority w:val="0"/>
    <w:pPr>
      <w:numPr>
        <w:ilvl w:val="1"/>
      </w:numPr>
      <w:tabs>
        <w:tab w:val="left" w:pos="5963"/>
      </w:tabs>
      <w:spacing w:after="0" w:line="340" w:lineRule="exact"/>
    </w:pPr>
    <w:rPr>
      <w:sz w:val="28"/>
    </w:rPr>
  </w:style>
  <w:style w:type="paragraph" w:customStyle="1" w:styleId="111">
    <w:name w:val="保留正文"/>
    <w:basedOn w:val="24"/>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首行缩进 Char"/>
    <w:basedOn w:val="88"/>
    <w:link w:val="51"/>
    <w:semiHidden/>
    <w:qFormat/>
    <w:uiPriority w:val="0"/>
    <w:rPr>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Char"/>
    <w:basedOn w:val="57"/>
    <w:link w:val="13"/>
    <w:semiHidden/>
    <w:qFormat/>
    <w:uiPriority w:val="0"/>
    <w:rPr>
      <w:rFonts w:ascii="Times New Roman" w:hAnsi="Times New Roman"/>
      <w:kern w:val="2"/>
      <w:sz w:val="21"/>
      <w:szCs w:val="24"/>
    </w:rPr>
  </w:style>
  <w:style w:type="character" w:customStyle="1" w:styleId="118">
    <w:name w:val="电子邮件签名 Char"/>
    <w:basedOn w:val="57"/>
    <w:link w:val="15"/>
    <w:semiHidden/>
    <w:qFormat/>
    <w:uiPriority w:val="0"/>
    <w:rPr>
      <w:rFonts w:ascii="Times New Roman" w:hAnsi="Times New Roman"/>
      <w:kern w:val="2"/>
      <w:sz w:val="21"/>
      <w:szCs w:val="24"/>
    </w:rPr>
  </w:style>
  <w:style w:type="character" w:customStyle="1" w:styleId="119">
    <w:name w:val="称呼 Char"/>
    <w:basedOn w:val="57"/>
    <w:link w:val="21"/>
    <w:semiHidden/>
    <w:qFormat/>
    <w:uiPriority w:val="0"/>
    <w:rPr>
      <w:rFonts w:ascii="Times New Roman" w:hAnsi="Times New Roman"/>
      <w:kern w:val="2"/>
      <w:sz w:val="21"/>
      <w:szCs w:val="24"/>
    </w:rPr>
  </w:style>
  <w:style w:type="character" w:customStyle="1" w:styleId="120">
    <w:name w:val="正文文本 3 Char"/>
    <w:basedOn w:val="57"/>
    <w:link w:val="22"/>
    <w:semiHidden/>
    <w:qFormat/>
    <w:uiPriority w:val="0"/>
    <w:rPr>
      <w:rFonts w:ascii="Times New Roman" w:hAnsi="Times New Roman"/>
      <w:kern w:val="2"/>
      <w:sz w:val="16"/>
      <w:szCs w:val="16"/>
    </w:rPr>
  </w:style>
  <w:style w:type="character" w:customStyle="1" w:styleId="121">
    <w:name w:val="结束语 Char"/>
    <w:basedOn w:val="57"/>
    <w:link w:val="23"/>
    <w:semiHidden/>
    <w:qFormat/>
    <w:uiPriority w:val="0"/>
    <w:rPr>
      <w:rFonts w:ascii="Times New Roman" w:hAnsi="Times New Roman"/>
      <w:kern w:val="2"/>
      <w:sz w:val="21"/>
      <w:szCs w:val="24"/>
    </w:rPr>
  </w:style>
  <w:style w:type="character" w:customStyle="1" w:styleId="122">
    <w:name w:val="HTML 地址 Char"/>
    <w:basedOn w:val="57"/>
    <w:link w:val="26"/>
    <w:semiHidden/>
    <w:qFormat/>
    <w:uiPriority w:val="0"/>
    <w:rPr>
      <w:rFonts w:ascii="Times New Roman" w:hAnsi="Times New Roman"/>
      <w:i/>
      <w:iCs/>
      <w:kern w:val="2"/>
      <w:sz w:val="21"/>
      <w:szCs w:val="24"/>
    </w:rPr>
  </w:style>
  <w:style w:type="character" w:customStyle="1" w:styleId="123">
    <w:name w:val="日期 Char"/>
    <w:basedOn w:val="57"/>
    <w:link w:val="31"/>
    <w:qFormat/>
    <w:uiPriority w:val="0"/>
    <w:rPr>
      <w:rFonts w:ascii="Times New Roman" w:hAnsi="Times New Roman"/>
      <w:kern w:val="2"/>
      <w:sz w:val="21"/>
    </w:rPr>
  </w:style>
  <w:style w:type="character" w:customStyle="1" w:styleId="124">
    <w:name w:val="正文文本缩进 2 Char"/>
    <w:basedOn w:val="57"/>
    <w:link w:val="32"/>
    <w:semiHidden/>
    <w:qFormat/>
    <w:uiPriority w:val="0"/>
    <w:rPr>
      <w:rFonts w:ascii="Times New Roman" w:hAnsi="Times New Roman"/>
      <w:kern w:val="2"/>
      <w:sz w:val="21"/>
      <w:szCs w:val="24"/>
    </w:rPr>
  </w:style>
  <w:style w:type="character" w:customStyle="1" w:styleId="125">
    <w:name w:val="尾注文本 Char"/>
    <w:basedOn w:val="57"/>
    <w:link w:val="33"/>
    <w:semiHidden/>
    <w:qFormat/>
    <w:uiPriority w:val="0"/>
    <w:rPr>
      <w:rFonts w:ascii="Times New Roman" w:hAnsi="Times New Roman"/>
      <w:kern w:val="2"/>
      <w:sz w:val="21"/>
      <w:szCs w:val="24"/>
    </w:rPr>
  </w:style>
  <w:style w:type="character" w:customStyle="1" w:styleId="126">
    <w:name w:val="签名 Char"/>
    <w:basedOn w:val="57"/>
    <w:link w:val="37"/>
    <w:semiHidden/>
    <w:qFormat/>
    <w:uiPriority w:val="0"/>
    <w:rPr>
      <w:rFonts w:ascii="Times New Roman" w:hAnsi="Times New Roman"/>
      <w:kern w:val="2"/>
      <w:sz w:val="21"/>
      <w:szCs w:val="24"/>
    </w:rPr>
  </w:style>
  <w:style w:type="character" w:customStyle="1" w:styleId="127">
    <w:name w:val="脚注文本 Char"/>
    <w:basedOn w:val="57"/>
    <w:link w:val="42"/>
    <w:semiHidden/>
    <w:qFormat/>
    <w:uiPriority w:val="0"/>
    <w:rPr>
      <w:rFonts w:ascii="Times New Roman" w:hAnsi="Times New Roman"/>
      <w:kern w:val="2"/>
      <w:sz w:val="18"/>
    </w:rPr>
  </w:style>
  <w:style w:type="character" w:customStyle="1" w:styleId="128">
    <w:name w:val="信息标题 Char"/>
    <w:basedOn w:val="57"/>
    <w:link w:val="45"/>
    <w:semiHidden/>
    <w:qFormat/>
    <w:uiPriority w:val="0"/>
    <w:rPr>
      <w:rFonts w:ascii="Arial" w:hAnsi="Arial" w:cs="Arial"/>
      <w:kern w:val="2"/>
      <w:sz w:val="24"/>
      <w:szCs w:val="24"/>
      <w:shd w:val="pct20" w:color="auto" w:fill="auto"/>
    </w:rPr>
  </w:style>
  <w:style w:type="character" w:customStyle="1" w:styleId="129">
    <w:name w:val="HTML 预设格式 Char"/>
    <w:basedOn w:val="57"/>
    <w:link w:val="46"/>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Char"/>
    <w:link w:val="40"/>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link w:val="49"/>
    <w:qFormat/>
    <w:uiPriority w:val="0"/>
    <w:rPr>
      <w:rFonts w:ascii="Cambria" w:hAnsi="Cambria"/>
      <w:b/>
      <w:bCs/>
      <w:kern w:val="2"/>
      <w:sz w:val="32"/>
      <w:szCs w:val="32"/>
    </w:rPr>
  </w:style>
  <w:style w:type="character" w:customStyle="1" w:styleId="158">
    <w:name w:val="标题 Char2"/>
    <w:basedOn w:val="57"/>
    <w:link w:val="49"/>
    <w:qFormat/>
    <w:uiPriority w:val="10"/>
    <w:rPr>
      <w:rFonts w:asciiTheme="majorHAnsi" w:hAnsiTheme="majorHAnsi" w:cstheme="majorBidi"/>
      <w:b/>
      <w:bCs/>
      <w:kern w:val="2"/>
      <w:sz w:val="32"/>
      <w:szCs w:val="32"/>
    </w:rPr>
  </w:style>
  <w:style w:type="character" w:customStyle="1" w:styleId="159">
    <w:name w:val="副标题 Char1"/>
    <w:basedOn w:val="57"/>
    <w:link w:val="40"/>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4"/>
    <w:qFormat/>
    <w:uiPriority w:val="0"/>
    <w:pPr>
      <w:tabs>
        <w:tab w:val="clear" w:pos="720"/>
      </w:tabs>
      <w:spacing w:before="151" w:beforeLines="50" w:beforeAutospacing="0" w:after="151" w:afterLines="50" w:afterAutospacing="0"/>
      <w:ind w:firstLine="422" w:firstLineChars="200"/>
    </w:pPr>
    <w:rPr>
      <w:rFonts w:asciiTheme="minorEastAsia" w:hAnsiTheme="minorEastAsia" w:eastAsiaTheme="minorEastAsia"/>
      <w:bCs w:val="0"/>
      <w:sz w:val="21"/>
      <w:szCs w:val="21"/>
    </w:rPr>
  </w:style>
  <w:style w:type="paragraph" w:customStyle="1" w:styleId="16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样式1"/>
    <w:basedOn w:val="6"/>
    <w:qFormat/>
    <w:uiPriority w:val="0"/>
    <w:pPr>
      <w:keepLines/>
      <w:numPr>
        <w:ilvl w:val="0"/>
        <w:numId w:val="0"/>
      </w:numPr>
      <w:tabs>
        <w:tab w:val="clear" w:pos="864"/>
      </w:tabs>
      <w:spacing w:before="280" w:after="290" w:line="376" w:lineRule="auto"/>
    </w:pPr>
    <w:rPr>
      <w:rFonts w:ascii="Arial" w:hAnsi="Arial" w:cs="Arial"/>
      <w:sz w:val="28"/>
      <w:szCs w:val="28"/>
    </w:rPr>
  </w:style>
  <w:style w:type="paragraph" w:customStyle="1" w:styleId="16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Normal_0"/>
    <w:qFormat/>
    <w:uiPriority w:val="0"/>
    <w:pPr>
      <w:widowControl w:val="0"/>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16933</Words>
  <Characters>17882</Characters>
  <Lines>137</Lines>
  <Paragraphs>38</Paragraphs>
  <TotalTime>17</TotalTime>
  <ScaleCrop>false</ScaleCrop>
  <LinksUpToDate>false</LinksUpToDate>
  <CharactersWithSpaces>18597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2023-05-25T09:28:00Z</dcterms:created>
  <dc:creator>微软用户</dc:creator>
  <cp:lastModifiedBy>實誠</cp:lastModifiedBy>
  <cp:lastPrinted>2019-11-21T08:55:00Z</cp:lastPrinted>
  <dcterms:modified xsi:type="dcterms:W3CDTF">2025-07-09T09:59:36Z</dcterms:modified>
  <dc:title>工程编号：</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DC99B9AACCC548E5AB7C50D27C5A1A84_13</vt:lpwstr>
  </property>
  <property fmtid="{D5CDD505-2E9C-101B-9397-08002B2CF9AE}" pid="4" name="KSOTemplateDocerSaveRecord">
    <vt:lpwstr>eyJoZGlkIjoiZjYxZTUyYjc1MzQwNWRmNjlmMWQyYmQ2NmM1M2U4MmMiLCJ1c2VySWQiOiI2OTk3NTA5NDAifQ==</vt:lpwstr>
  </property>
</Properties>
</file>