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both"/>
        <w:rPr>
          <w:rFonts w:hint="eastAsia" w:ascii="宋体" w:hAnsi="宋体" w:eastAsia="宋体"/>
          <w:b/>
          <w:bCs/>
          <w:sz w:val="44"/>
          <w:lang w:eastAsia="zh-CN"/>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pStyle w:val="2"/>
      </w:pPr>
    </w:p>
    <w:p>
      <w:pPr>
        <w:pStyle w:val="18"/>
        <w:numPr>
          <w:ilvl w:val="0"/>
          <w:numId w:val="0"/>
        </w:numPr>
        <w:spacing w:line="460" w:lineRule="exact"/>
        <w:rPr>
          <w:rFonts w:hint="default" w:ascii="仿宋_GB2312" w:hAnsi="仿宋_GB2312" w:eastAsia="仿宋_GB2312" w:cs="仿宋_GB2312"/>
          <w:kern w:val="2"/>
          <w:sz w:val="36"/>
          <w:szCs w:val="36"/>
          <w:lang w:val="en-US" w:eastAsia="zh-CN" w:bidi="ar-SA"/>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kern w:val="2"/>
          <w:sz w:val="36"/>
          <w:szCs w:val="36"/>
          <w:lang w:val="en-US" w:eastAsia="zh-CN" w:bidi="ar-SA"/>
        </w:rPr>
        <w:t>深圳市龙岗区第七人民医院2025年度等保测评服务项目</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kern w:val="2"/>
          <w:sz w:val="36"/>
          <w:szCs w:val="36"/>
          <w:lang w:val="en-US" w:eastAsia="zh-CN" w:bidi="ar-SA"/>
        </w:rPr>
        <w:t>深龙七医采[LGQY2025XX002]</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lang w:val="en-US" w:eastAsia="zh-CN"/>
        </w:rPr>
        <w:t>服务</w:t>
      </w:r>
      <w:r>
        <w:rPr>
          <w:rFonts w:hint="eastAsia" w:ascii="仿宋_GB2312" w:hAnsi="仿宋_GB2312" w:eastAsia="仿宋_GB2312" w:cs="仿宋_GB2312"/>
          <w:sz w:val="36"/>
          <w:szCs w:val="36"/>
        </w:rPr>
        <w:t>类</w:t>
      </w:r>
    </w:p>
    <w:p>
      <w:pPr>
        <w:snapToGrid w:val="0"/>
        <w:spacing w:line="360" w:lineRule="auto"/>
        <w:rPr>
          <w:rFonts w:eastAsia="仿宋_GB2312"/>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jc w:val="left"/>
        <w:rPr>
          <w:rFonts w:ascii="仿宋_GB2312" w:hAnsi="仿宋_GB2312" w:eastAsia="仿宋_GB2312" w:cs="仿宋_GB2312"/>
          <w:sz w:val="36"/>
          <w:szCs w:val="36"/>
        </w:rPr>
      </w:pPr>
      <w:r>
        <w:rPr>
          <w:rFonts w:hint="eastAsia" w:ascii="仿宋_GB2312" w:hAnsi="仿宋_GB2312" w:eastAsia="仿宋_GB2312" w:cs="仿宋_GB2312"/>
          <w:b/>
          <w:bCs/>
          <w:sz w:val="36"/>
          <w:szCs w:val="36"/>
        </w:rPr>
        <w:t>预算总金额：</w:t>
      </w:r>
      <w:r>
        <w:rPr>
          <w:rFonts w:hint="eastAsia" w:ascii="仿宋_GB2312" w:hAnsi="仿宋_GB2312" w:eastAsia="仿宋_GB2312" w:cs="仿宋_GB2312"/>
          <w:sz w:val="36"/>
          <w:szCs w:val="36"/>
          <w:lang w:val="en-US" w:eastAsia="zh-CN"/>
        </w:rPr>
        <w:t>12万元</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w:t>
      </w:r>
      <w:r>
        <w:rPr>
          <w:rFonts w:hint="eastAsia" w:ascii="仿宋_GB2312" w:hAnsi="仿宋_GB2312" w:eastAsia="仿宋_GB2312" w:cs="仿宋_GB2312"/>
          <w:sz w:val="36"/>
          <w:szCs w:val="36"/>
          <w:lang w:val="en-US" w:eastAsia="zh-CN"/>
        </w:rPr>
        <w:t>招标</w:t>
      </w:r>
      <w:r>
        <w:rPr>
          <w:rFonts w:hint="eastAsia" w:ascii="仿宋_GB2312" w:hAnsi="仿宋_GB2312" w:eastAsia="仿宋_GB2312" w:cs="仿宋_GB2312"/>
          <w:sz w:val="36"/>
          <w:szCs w:val="36"/>
        </w:rPr>
        <w:t>采购</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9"/>
        <w:rPr>
          <w:rFonts w:hint="default"/>
        </w:rPr>
      </w:pPr>
    </w:p>
    <w:p>
      <w:pPr>
        <w:pStyle w:val="9"/>
        <w:rPr>
          <w:rFonts w:hint="default"/>
          <w:szCs w:val="20"/>
        </w:rPr>
      </w:pPr>
    </w:p>
    <w:p>
      <w:pPr>
        <w:pStyle w:val="6"/>
      </w:pPr>
    </w:p>
    <w:p/>
    <w:p>
      <w:pPr>
        <w:pStyle w:val="3"/>
      </w:pPr>
    </w:p>
    <w:p/>
    <w:p>
      <w:pPr>
        <w:pStyle w:val="3"/>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ascii="宋体" w:hAnsi="宋体" w:cs="宋体"/>
          <w:b/>
          <w:bCs/>
          <w:sz w:val="40"/>
          <w:szCs w:val="40"/>
        </w:rPr>
      </w:pPr>
    </w:p>
    <w:p>
      <w:pPr>
        <w:spacing w:line="360" w:lineRule="auto"/>
        <w:jc w:val="center"/>
        <w:rPr>
          <w:rFonts w:ascii="宋体" w:hAnsi="宋体" w:cs="宋体"/>
          <w:b/>
          <w:bCs/>
          <w:sz w:val="40"/>
          <w:szCs w:val="40"/>
        </w:rPr>
      </w:pPr>
    </w:p>
    <w:p>
      <w:pPr>
        <w:pStyle w:val="2"/>
      </w:pPr>
    </w:p>
    <w:p>
      <w:pPr>
        <w:spacing w:line="360" w:lineRule="auto"/>
        <w:jc w:val="center"/>
        <w:rPr>
          <w:rFonts w:ascii="仿宋_GB2312" w:hAnsi="仿宋_GB2312" w:eastAsia="仿宋_GB2312" w:cs="仿宋_GB2312"/>
          <w:b/>
          <w:bCs/>
          <w:sz w:val="36"/>
          <w:szCs w:val="36"/>
        </w:rPr>
      </w:pPr>
      <w:r>
        <w:rPr>
          <w:rFonts w:hint="eastAsia" w:ascii="宋体" w:hAnsi="宋体" w:cs="宋体"/>
          <w:b/>
          <w:bCs/>
          <w:sz w:val="40"/>
          <w:szCs w:val="40"/>
        </w:rPr>
        <w:t>第一章</w:t>
      </w:r>
    </w:p>
    <w:p>
      <w:pPr>
        <w:pStyle w:val="18"/>
        <w:numPr>
          <w:ilvl w:val="0"/>
          <w:numId w:val="0"/>
        </w:numPr>
        <w:spacing w:line="460" w:lineRule="exact"/>
        <w:jc w:val="center"/>
        <w:rPr>
          <w:sz w:val="32"/>
          <w:szCs w:val="32"/>
        </w:rPr>
      </w:pPr>
      <w:r>
        <w:rPr>
          <w:rFonts w:hint="eastAsia" w:ascii="宋体" w:hAnsi="宋体"/>
          <w:color w:val="000000" w:themeColor="text1"/>
          <w:sz w:val="40"/>
          <w:szCs w:val="40"/>
          <w:lang w:val="en-US" w:eastAsia="zh-CN"/>
          <w14:textFill>
            <w14:solidFill>
              <w14:schemeClr w14:val="tx1"/>
            </w14:solidFill>
          </w14:textFill>
        </w:rPr>
        <w:t>深圳市龙岗区第七人民医院2025年度等保测评服务项目</w:t>
      </w:r>
      <w:r>
        <w:rPr>
          <w:rFonts w:hint="eastAsia" w:ascii="宋体" w:hAnsi="宋体"/>
          <w:color w:val="000000" w:themeColor="text1"/>
          <w:sz w:val="40"/>
          <w:szCs w:val="40"/>
          <w14:textFill>
            <w14:solidFill>
              <w14:schemeClr w14:val="tx1"/>
            </w14:solidFill>
          </w14:textFill>
        </w:rPr>
        <w:t>院内公</w:t>
      </w:r>
      <w:r>
        <w:rPr>
          <w:rFonts w:hint="eastAsia" w:ascii="宋体" w:hAnsi="宋体"/>
          <w:sz w:val="40"/>
          <w:szCs w:val="40"/>
        </w:rPr>
        <w:t>开采购的公告</w:t>
      </w:r>
    </w:p>
    <w:p>
      <w:pPr>
        <w:spacing w:line="480" w:lineRule="exact"/>
        <w:ind w:firstLine="560" w:firstLineChars="200"/>
        <w:rPr>
          <w:rFonts w:ascii="仿宋_GB2312" w:hAnsi="宋体" w:eastAsia="仿宋_GB2312"/>
          <w:sz w:val="28"/>
          <w:szCs w:val="28"/>
        </w:rPr>
      </w:pP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根据政府采购的相关规定和《深圳市龙岗区第七人民医院采购管理办法》的有关规定，我院拟对以下项目进行院内公开采购，欢迎符合条件具有供应能力的供应商或厂家前来报名参加。</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一、采购项目</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（一）项目编号：深龙七医采[LGQY2025XX002]</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（二）项目名称：深圳市龙岗区第七人民医院2025年度等保测评服务项目</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（三）采购数量：1项</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（四）预算金额（最高限价）：12万元</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二、资质要求</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（一）具有独立法人资格或具有独立承担民事责任的能力的其他组织（提供营业执照或事业单位法人证等法人证明扫描件，原件备查）；</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（二）满足《中华人民共和国政府采购法》第二十二条规定；</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（三）落实政府采购政策需满足的资格要求：按照相关规定执行，详见采购需求标准；</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（四）本项目不接受联合体投标，不允许分包、转包，不接受进口产品；</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（五）参与本项目投标前三年内，在经营活动中没有重大违法记录；</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（六）参与本项目政府采购活动时不存在被有关部门禁止参与政府采购活动且在有效期内的情况；</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（七）未被列入失信被执行人、重大税收违法案件当事人名单、政府采购严重违法失信行为记录名单；</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（八）与其他投标供应商不存在单位负责人为同一人或者存在直接控股、管理关系；</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（九）等保测评服务商应持有《网络安全等级测评与检测评估机构服务认证证书》（由服务商提供相关资质证书的盖章复印件）。</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以上（二）至（八）条须供应商在《投标及履约承诺函》中作出声明。</w:t>
      </w:r>
    </w:p>
    <w:p>
      <w:pPr>
        <w:pStyle w:val="19"/>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所有资质文件均需在有效期内并加盖投标方公章。</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三</w:t>
      </w:r>
      <w:r>
        <w:rPr>
          <w:rFonts w:hint="eastAsia" w:ascii="仿宋_GB2312" w:hAnsi="仿宋_GB2312" w:eastAsia="仿宋_GB2312" w:cs="仿宋_GB2312"/>
          <w:kern w:val="2"/>
          <w:sz w:val="28"/>
          <w:szCs w:val="28"/>
          <w:lang w:val="en-US" w:eastAsia="zh-CN" w:bidi="ar-SA"/>
        </w:rPr>
        <w:t>、采购方式：院内公开招标采购</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四</w:t>
      </w:r>
      <w:r>
        <w:rPr>
          <w:rFonts w:hint="eastAsia" w:ascii="仿宋_GB2312" w:hAnsi="仿宋_GB2312" w:eastAsia="仿宋_GB2312" w:cs="仿宋_GB2312"/>
          <w:kern w:val="2"/>
          <w:sz w:val="28"/>
          <w:szCs w:val="28"/>
          <w:lang w:val="en-US" w:eastAsia="zh-CN" w:bidi="ar-SA"/>
        </w:rPr>
        <w:t>、评标方法：综合评分法</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五</w:t>
      </w:r>
      <w:r>
        <w:rPr>
          <w:rFonts w:hint="eastAsia" w:ascii="仿宋_GB2312" w:hAnsi="仿宋_GB2312" w:eastAsia="仿宋_GB2312" w:cs="仿宋_GB2312"/>
          <w:kern w:val="2"/>
          <w:sz w:val="28"/>
          <w:szCs w:val="28"/>
          <w:lang w:val="en-US" w:eastAsia="zh-CN" w:bidi="ar-SA"/>
        </w:rPr>
        <w:t>、投标人报名资料要求</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（一）院内采购报名表。</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（二）法定代表人参加的提供法定代表人资格证明书及个人身份证复印件；非法定代表人参加的须提供法定代表人资格证明书及法定代表人身份证复印件、法定代表人授权书及授权代表人身份证复印件。</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（三）供应商须提供“三证合一”（工商营业执照、组织机构代码证和税务登记证）复印件。</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（四）供应商基本情况表。</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（五）提供法定代表人、主要经营负责人、投标授权代表人、项目负责人（如有）、主要技术人员（如有）最近一个月的社保证明。</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（六）通过以下3个官网的信用信息查询记录网络截图件并加盖投标人公章：①信用中国②中国政府采购网③深圳市政府采购监管网。相关信息以开标当日的查询结果为准。</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（七）投标及履约承诺函。</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（八）提供《网络安全等级测评与检测评估机构服务认证证书》复印件。</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以上资料均需在有效期内并加盖投标方公章。本项目实行资格预审，投标人报名时将进行资格审查，未经审查或审查未通过的不能参与投标。</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六、报名截止时间及地点：2025年6月30日</w:t>
      </w:r>
      <w:bookmarkStart w:id="0" w:name="OLE_LINK1"/>
      <w:r>
        <w:rPr>
          <w:rFonts w:hint="eastAsia" w:ascii="仿宋_GB2312" w:hAnsi="仿宋_GB2312" w:eastAsia="仿宋_GB2312" w:cs="仿宋_GB2312"/>
          <w:kern w:val="2"/>
          <w:sz w:val="28"/>
          <w:szCs w:val="28"/>
          <w:lang w:val="en-US" w:eastAsia="zh-CN" w:bidi="ar-SA"/>
        </w:rPr>
        <w:t>下午5点</w:t>
      </w:r>
      <w:bookmarkEnd w:id="0"/>
      <w:r>
        <w:rPr>
          <w:rFonts w:hint="eastAsia" w:ascii="仿宋_GB2312" w:hAnsi="仿宋_GB2312" w:eastAsia="仿宋_GB2312" w:cs="仿宋_GB2312"/>
          <w:kern w:val="2"/>
          <w:sz w:val="28"/>
          <w:szCs w:val="28"/>
          <w:lang w:val="en-US" w:eastAsia="zh-CN" w:bidi="ar-SA"/>
        </w:rPr>
        <w:t>，简竹护理院行政楼三楼招采办。</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七、递交投标文件及开标时间及地点：2025年7月1日下午3点，深圳市龙岗区南湾街道吉厦社区简竹路12号简竹护理院行政楼五楼活动室（如有变动，另行通知）。</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八、联系人及联系电话：陈女士，0755-28740471。</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九、公告日期：自公告发布之日起5个工作日。</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w:t>
      </w:r>
    </w:p>
    <w:p>
      <w:pPr>
        <w:pStyle w:val="19"/>
        <w:keepNext w:val="0"/>
        <w:keepLines w:val="0"/>
        <w:pageBreakBefore w:val="0"/>
        <w:kinsoku/>
        <w:wordWrap/>
        <w:overflowPunct/>
        <w:topLinePunct w:val="0"/>
        <w:autoSpaceDE/>
        <w:autoSpaceDN/>
        <w:bidi w:val="0"/>
        <w:adjustRightInd/>
        <w:snapToGrid/>
        <w:spacing w:line="400" w:lineRule="exact"/>
        <w:ind w:left="0" w:leftChars="0" w:firstLine="56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18"/>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2.</w:t>
      </w:r>
      <w:r>
        <w:rPr>
          <w:rFonts w:hint="eastAsia" w:ascii="仿宋_GB2312" w:hAnsi="宋体" w:eastAsia="仿宋_GB2312" w:cs="黑体"/>
          <w:kern w:val="2"/>
          <w:sz w:val="28"/>
          <w:szCs w:val="28"/>
          <w:lang w:val="en-US" w:eastAsia="zh-CN" w:bidi="ar-SA"/>
        </w:rPr>
        <w:t>深圳市龙岗区第七人民医院2025年度等保测评服务</w:t>
      </w:r>
      <w:r>
        <w:rPr>
          <w:rFonts w:hint="eastAsia" w:ascii="仿宋_GB2312" w:hAnsi="仿宋_GB2312" w:eastAsia="仿宋_GB2312" w:cs="仿宋_GB2312"/>
          <w:b w:val="0"/>
          <w:bCs w:val="0"/>
          <w:kern w:val="2"/>
          <w:sz w:val="28"/>
          <w:szCs w:val="28"/>
          <w:lang w:val="en-US" w:eastAsia="zh-CN"/>
        </w:rPr>
        <w:t>项目</w:t>
      </w:r>
      <w:r>
        <w:rPr>
          <w:rFonts w:hint="eastAsia" w:ascii="仿宋_GB2312" w:hAnsi="仿宋_GB2312" w:eastAsia="仿宋_GB2312" w:cs="仿宋_GB2312"/>
          <w:kern w:val="2"/>
          <w:sz w:val="28"/>
          <w:szCs w:val="28"/>
          <w:lang w:val="en-US" w:eastAsia="zh-CN" w:bidi="ar-SA"/>
        </w:rPr>
        <w:t>招标文件</w:t>
      </w:r>
    </w:p>
    <w:p>
      <w:pPr>
        <w:pStyle w:val="19"/>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ascii="仿宋_GB2312" w:eastAsia="仿宋_GB2312"/>
          <w:sz w:val="28"/>
          <w:szCs w:val="28"/>
          <w:highlight w:val="none"/>
        </w:rPr>
      </w:pPr>
    </w:p>
    <w:p>
      <w:pPr>
        <w:pStyle w:val="19"/>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深圳市龙岗区第七人民医院</w:t>
      </w:r>
    </w:p>
    <w:p>
      <w:pPr>
        <w:pStyle w:val="19"/>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 xml:space="preserve">    </w:t>
      </w:r>
      <w:r>
        <w:rPr>
          <w:rFonts w:hint="eastAsia" w:ascii="仿宋_GB2312" w:hAnsi="仿宋_GB2312" w:eastAsia="仿宋_GB2312" w:cs="仿宋_GB2312"/>
          <w:sz w:val="28"/>
          <w:szCs w:val="28"/>
          <w:highlight w:val="none"/>
          <w:lang w:val="en-US" w:eastAsia="zh-CN"/>
        </w:rPr>
        <w:t>2025年6月23日</w:t>
      </w:r>
    </w:p>
    <w:p/>
    <w:p>
      <w:pPr>
        <w:pStyle w:val="13"/>
      </w:pPr>
    </w:p>
    <w:p>
      <w:pPr>
        <w:numPr>
          <w:ilvl w:val="0"/>
          <w:numId w:val="1"/>
        </w:numPr>
        <w:spacing w:line="36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院内公开采购项目需求</w:t>
      </w:r>
    </w:p>
    <w:p>
      <w:pPr>
        <w:widowControl/>
        <w:spacing w:line="500" w:lineRule="exact"/>
        <w:ind w:firstLine="560" w:firstLineChars="200"/>
        <w:jc w:val="left"/>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b/>
          <w:bCs/>
          <w:kern w:val="0"/>
          <w:sz w:val="28"/>
          <w:szCs w:val="28"/>
          <w:lang w:val="en-US" w:eastAsia="zh-CN" w:bidi="ar-SA"/>
        </w:rPr>
        <w:t>一、项目概况</w:t>
      </w:r>
      <w:r>
        <w:rPr>
          <w:rFonts w:hint="eastAsia" w:ascii="仿宋_GB2312" w:hAnsi="仿宋_GB2312" w:eastAsia="仿宋_GB2312" w:cs="仿宋_GB2312"/>
          <w:b/>
          <w:bCs/>
          <w:sz w:val="28"/>
          <w:szCs w:val="28"/>
        </w:rPr>
        <w:t>：</w:t>
      </w:r>
      <w:r>
        <w:rPr>
          <w:rFonts w:hint="eastAsia" w:ascii="仿宋_GB2312" w:hAnsi="仿宋_GB2312" w:eastAsia="仿宋_GB2312" w:cs="仿宋_GB2312"/>
          <w:kern w:val="2"/>
          <w:sz w:val="28"/>
          <w:szCs w:val="28"/>
          <w:lang w:val="en-US" w:eastAsia="zh-CN" w:bidi="ar-SA"/>
        </w:rPr>
        <w:t>根据相关法律法规要求，网络信息系统应做好网络安全定级和备案，二级以上系统应定期组织等保测评。我院目前存在4个等保二级系统，按相关规定要求，二级系统每两年应进行一次等保测评，我院上次等保测评为2023年，故采购此服务项目，用于对我院自建的四个二级系统进行等保测评并协助我院整改。</w:t>
      </w:r>
    </w:p>
    <w:p>
      <w:pPr>
        <w:pStyle w:val="3"/>
        <w:keepNext w:val="0"/>
        <w:keepLines w:val="0"/>
        <w:pageBreakBefore w:val="0"/>
        <w:kinsoku/>
        <w:wordWrap/>
        <w:overflowPunct/>
        <w:topLinePunct w:val="0"/>
        <w:bidi w:val="0"/>
        <w:adjustRightInd/>
        <w:snapToGrid/>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二、预算价格：</w:t>
      </w:r>
      <w:r>
        <w:rPr>
          <w:rFonts w:hint="eastAsia" w:ascii="仿宋_GB2312" w:hAnsi="仿宋_GB2312" w:eastAsia="仿宋_GB2312" w:cs="仿宋_GB2312"/>
          <w:kern w:val="2"/>
          <w:sz w:val="28"/>
          <w:szCs w:val="28"/>
          <w:lang w:val="en-US" w:eastAsia="zh-CN" w:bidi="ar-SA"/>
        </w:rPr>
        <w:t>预算金额为12万元，此金额为本项目年度采购金额最高支付上限。</w:t>
      </w:r>
    </w:p>
    <w:p>
      <w:pPr>
        <w:pStyle w:val="18"/>
        <w:keepNext w:val="0"/>
        <w:keepLines w:val="0"/>
        <w:pageBreakBefore w:val="0"/>
        <w:kinsoku/>
        <w:wordWrap/>
        <w:overflowPunct/>
        <w:topLinePunct w:val="0"/>
        <w:bidi w:val="0"/>
        <w:adjustRightInd/>
        <w:snapToGrid/>
        <w:spacing w:line="40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三、采购活动时间要求</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2025年7月前</w:t>
      </w:r>
    </w:p>
    <w:p>
      <w:pPr>
        <w:pStyle w:val="18"/>
        <w:keepNext w:val="0"/>
        <w:keepLines w:val="0"/>
        <w:pageBreakBefore w:val="0"/>
        <w:kinsoku/>
        <w:wordWrap/>
        <w:overflowPunct/>
        <w:topLinePunct w:val="0"/>
        <w:bidi w:val="0"/>
        <w:adjustRightInd/>
        <w:snapToGrid/>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四、采购组织形式</w:t>
      </w:r>
      <w:r>
        <w:rPr>
          <w:rFonts w:hint="eastAsia" w:ascii="仿宋_GB2312" w:hAnsi="仿宋_GB2312" w:eastAsia="仿宋_GB2312" w:cs="仿宋_GB2312"/>
          <w:b/>
          <w:bCs/>
          <w:color w:val="auto"/>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政府集中采购□、院内集中采购☑、院内委托代理采购□、集团联合采购□、其他□。</w:t>
      </w:r>
    </w:p>
    <w:p>
      <w:pPr>
        <w:keepNext w:val="0"/>
        <w:keepLines w:val="0"/>
        <w:pageBreakBefore w:val="0"/>
        <w:kinsoku/>
        <w:wordWrap/>
        <w:overflowPunct/>
        <w:topLinePunct w:val="0"/>
        <w:bidi w:val="0"/>
        <w:adjustRightInd/>
        <w:snapToGrid/>
        <w:spacing w:line="400" w:lineRule="exact"/>
        <w:textAlignment w:val="auto"/>
      </w:pPr>
      <w:r>
        <w:rPr>
          <w:rFonts w:hint="eastAsia" w:ascii="仿宋_GB2312" w:hAnsi="仿宋_GB2312" w:eastAsia="仿宋_GB2312" w:cs="仿宋_GB2312"/>
          <w:b/>
          <w:bCs/>
          <w:sz w:val="28"/>
          <w:szCs w:val="28"/>
        </w:rPr>
        <w:t xml:space="preserve">    五、采购方</w:t>
      </w:r>
      <w:r>
        <w:rPr>
          <w:rFonts w:hint="eastAsia" w:ascii="仿宋_GB2312" w:hAnsi="仿宋_GB2312" w:eastAsia="仿宋_GB2312" w:cs="仿宋_GB2312"/>
          <w:b/>
          <w:bCs/>
          <w:color w:val="auto"/>
          <w:sz w:val="28"/>
          <w:szCs w:val="28"/>
        </w:rPr>
        <w:t>式（勾选）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院内招标☑、院内竞价□、院内邀标□、院内询价□、竞争性磋商□、院内直接议价□、其他□。</w:t>
      </w:r>
    </w:p>
    <w:p>
      <w:pPr>
        <w:keepNext w:val="0"/>
        <w:keepLines w:val="0"/>
        <w:pageBreakBefore w:val="0"/>
        <w:widowControl/>
        <w:kinsoku/>
        <w:wordWrap/>
        <w:overflowPunct/>
        <w:topLinePunct w:val="0"/>
        <w:bidi w:val="0"/>
        <w:adjustRightInd/>
        <w:snapToGrid/>
        <w:spacing w:line="400" w:lineRule="exact"/>
        <w:ind w:firstLine="562" w:firstLineChars="200"/>
        <w:jc w:val="left"/>
        <w:textAlignment w:val="auto"/>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六、投标人资格要求</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（一）具有独立法人资格或具有独立承担民事责任的能力的其他组织（提供营业执照或事业单位法人证等法人证明扫描件，原件备查）；</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（二）满足《中华人民共和国政府采购法》第二十二条规定；</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（三）落实政府采购政策需满足的资格要求：按照相关规定执行，详见采购需求标准；</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（四）本项目不接受联合体投标，不允许分包、转包，不接受进口产品；</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（五）参与本项目投标前三年内，在经营活动中没有重大违法记录；</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（六）参与本项目政府采购活动时不存在被有关部门禁止参与政府采购活动且在有效期内的情况；</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（七）未被列入失信被执行人、重大税收违法案件当事人名单、政府采购严重违法失信行为记录名单；</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（八）与其他投标供应商不存在单位负责人为同一人或者存在直接控股、管理关系。</w:t>
      </w:r>
    </w:p>
    <w:p>
      <w:pPr>
        <w:pStyle w:val="24"/>
        <w:keepNext w:val="0"/>
        <w:keepLines w:val="0"/>
        <w:pageBreakBefore w:val="0"/>
        <w:kinsoku/>
        <w:wordWrap/>
        <w:overflowPunct/>
        <w:topLinePunct w:val="0"/>
        <w:bidi w:val="0"/>
        <w:adjustRightInd/>
        <w:snapToGrid/>
        <w:spacing w:line="400" w:lineRule="exact"/>
        <w:ind w:firstLine="64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（九）等保测评服务商应持有《网络安全等级测评与检测评估机构服务认证证书》（由服务商提供相关资质证书的盖章复印件）。</w:t>
      </w:r>
    </w:p>
    <w:p>
      <w:pPr>
        <w:pStyle w:val="1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以上（二）至（八）条须供应商在《投标及履约承诺函》中作出声明。</w:t>
      </w:r>
    </w:p>
    <w:p>
      <w:pPr>
        <w:keepNext w:val="0"/>
        <w:keepLines w:val="0"/>
        <w:pageBreakBefore w:val="0"/>
        <w:widowControl/>
        <w:numPr>
          <w:ilvl w:val="-1"/>
          <w:numId w:val="0"/>
        </w:numPr>
        <w:kinsoku/>
        <w:wordWrap/>
        <w:overflowPunct/>
        <w:topLinePunct w:val="0"/>
        <w:bidi w:val="0"/>
        <w:adjustRightInd/>
        <w:snapToGrid/>
        <w:spacing w:line="400" w:lineRule="exact"/>
        <w:ind w:lef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kern w:val="2"/>
          <w:sz w:val="28"/>
          <w:szCs w:val="28"/>
          <w:lang w:val="en-US" w:eastAsia="zh-CN" w:bidi="ar-SA"/>
        </w:rPr>
        <w:t>所有资质文件均需在有效期内并加盖投标方公章。</w:t>
      </w:r>
    </w:p>
    <w:p>
      <w:pPr>
        <w:pStyle w:val="18"/>
        <w:keepNext w:val="0"/>
        <w:keepLines w:val="0"/>
        <w:pageBreakBefore w:val="0"/>
        <w:numPr>
          <w:ilvl w:val="0"/>
          <w:numId w:val="2"/>
        </w:numPr>
        <w:kinsoku/>
        <w:wordWrap/>
        <w:overflowPunct/>
        <w:topLinePunct w:val="0"/>
        <w:bidi w:val="0"/>
        <w:adjustRightInd/>
        <w:snapToGrid/>
        <w:spacing w:line="40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服务内容及要求</w:t>
      </w:r>
    </w:p>
    <w:p>
      <w:pPr>
        <w:pStyle w:val="2"/>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b w:val="0"/>
          <w:bCs w:val="0"/>
          <w:kern w:val="0"/>
          <w:sz w:val="28"/>
          <w:szCs w:val="28"/>
          <w:highlight w:val="none"/>
          <w:lang w:val="en-US" w:eastAsia="zh-CN" w:bidi="ar-SA"/>
        </w:rPr>
      </w:pPr>
      <w:r>
        <w:rPr>
          <w:rFonts w:hint="eastAsia" w:ascii="仿宋_GB2312" w:hAnsi="仿宋_GB2312" w:eastAsia="仿宋_GB2312" w:cs="仿宋_GB2312"/>
          <w:b w:val="0"/>
          <w:bCs w:val="0"/>
          <w:kern w:val="0"/>
          <w:sz w:val="28"/>
          <w:szCs w:val="28"/>
          <w:highlight w:val="none"/>
          <w:lang w:val="en-US" w:eastAsia="zh-CN" w:bidi="ar-SA"/>
        </w:rPr>
        <w:t>（一）遵循技术标准规范</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本项目信息系统测评规范必须强制性遵循国家相关文件和标准，严格根据国家法律法规与测评标准及规范进行测评、整改、持续保护等措施，包括但不限于：</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《关于信息安全等级保护工作的实施意见》（公通字〔2004〕66号）</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《信息安全等级保护备案实施细则》(公信安〔2007〕1360号)</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GB/T22240-2020《信息安全技术网络安全等级保护定级指南》</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GB/T25058-2019《信息安全技术网络安全等级保护实施指南》</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GB/T28448-2019《信息安全技术网络安全等级保护测评要求》</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GB/T22239-2019《信息安全技术网络安全等级保护基本要求》</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GB/T25070-2019《信息安全技术 网络安全等级保护安全设计技术要求》</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GB/T28449-2018《信息安全技术网络安全等级保护测评过程指南标准文件》</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GB/T36627-2018《网络安全等级保护测试评估技术指南》</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GB17859-1999《计算机信息系统安全等级保护划分准则》</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GB/T30276-2020《信息安全技术网络安全漏洞管理规范》</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val="0"/>
          <w:kern w:val="0"/>
          <w:sz w:val="28"/>
          <w:szCs w:val="28"/>
          <w:highlight w:val="none"/>
          <w:lang w:val="en-US" w:eastAsia="zh-CN" w:bidi="ar-SA"/>
        </w:rPr>
        <w:t>（二）</w:t>
      </w:r>
      <w:r>
        <w:rPr>
          <w:rFonts w:hint="eastAsia" w:ascii="仿宋_GB2312" w:hAnsi="仿宋_GB2312" w:eastAsia="仿宋_GB2312" w:cs="仿宋_GB2312"/>
          <w:kern w:val="2"/>
          <w:sz w:val="28"/>
          <w:szCs w:val="28"/>
          <w:lang w:val="en-US" w:eastAsia="zh-CN" w:bidi="ar-SA"/>
        </w:rPr>
        <w:t>项目服务目标</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贯彻落实国家信息安全等级保护制度，规范和指导全国卫生行业信息安全等级保护工作，按照《信息安全等级保护管理办法》(公通字〔2007〕43号)及《卫生行业信息安全等级保护工作的指导意见》(卫办发〔2011〕85号)，针对单位信息系统开展年度性的网络安全等级保护测评工作，使单位认真贯彻落实《中华人民共和国网络安全法》要求，完善网络安全架构，提高网络安全保护要求。通过漏洞扫描、风险检测、配置核查等手段提高网络安全防御。</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val="0"/>
          <w:kern w:val="0"/>
          <w:sz w:val="28"/>
          <w:szCs w:val="28"/>
          <w:highlight w:val="none"/>
          <w:lang w:val="en-US" w:eastAsia="zh-CN" w:bidi="ar-SA"/>
        </w:rPr>
        <w:t>（三）</w:t>
      </w:r>
      <w:r>
        <w:rPr>
          <w:rFonts w:hint="eastAsia" w:ascii="仿宋_GB2312" w:hAnsi="仿宋_GB2312" w:eastAsia="仿宋_GB2312" w:cs="仿宋_GB2312"/>
          <w:kern w:val="2"/>
          <w:sz w:val="28"/>
          <w:szCs w:val="28"/>
          <w:lang w:val="en-US" w:eastAsia="zh-CN" w:bidi="ar-SA"/>
        </w:rPr>
        <w:t>项目服务范围</w:t>
      </w:r>
    </w:p>
    <w:p>
      <w:pPr>
        <w:keepNext w:val="0"/>
        <w:keepLines w:val="0"/>
        <w:pageBreakBefore w:val="0"/>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依据《信息安全等级保护管理办法》（公通字〔2007〕43号）、《网络安全等级保护定级指南》《信息安全技术网络安全等级保护测评过程指南标准文件》和《信息安全技术网络安全等级保护测评要求》，对深圳市龙岗区第七人民医院4个二级信息系统进行整体测评工作，编写等级保护测评报告、整改建议及处置措施。</w:t>
      </w:r>
    </w:p>
    <w:p>
      <w:pPr>
        <w:pStyle w:val="7"/>
        <w:keepNext w:val="0"/>
        <w:keepLines w:val="0"/>
        <w:pageBreakBefore w:val="0"/>
        <w:numPr>
          <w:ilvl w:val="-1"/>
          <w:numId w:val="0"/>
        </w:numPr>
        <w:kinsoku/>
        <w:wordWrap/>
        <w:overflowPunct/>
        <w:topLinePunct w:val="0"/>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val="0"/>
          <w:kern w:val="0"/>
          <w:sz w:val="28"/>
          <w:szCs w:val="28"/>
          <w:highlight w:val="none"/>
          <w:lang w:val="en-US" w:eastAsia="zh-CN" w:bidi="ar-SA"/>
        </w:rPr>
        <w:t>（四）</w:t>
      </w:r>
      <w:r>
        <w:rPr>
          <w:rFonts w:hint="eastAsia" w:ascii="仿宋_GB2312" w:hAnsi="仿宋_GB2312" w:eastAsia="仿宋_GB2312" w:cs="仿宋_GB2312"/>
          <w:kern w:val="2"/>
          <w:sz w:val="28"/>
          <w:szCs w:val="28"/>
          <w:lang w:val="en-US" w:eastAsia="zh-CN" w:bidi="ar-SA"/>
        </w:rPr>
        <w:t>测评信息系统清单</w:t>
      </w:r>
    </w:p>
    <w:tbl>
      <w:tblPr>
        <w:tblStyle w:val="15"/>
        <w:tblW w:w="8510"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3916"/>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0"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3916"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测评系统名称</w:t>
            </w:r>
          </w:p>
        </w:tc>
        <w:tc>
          <w:tcPr>
            <w:tcW w:w="1985"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系统数量</w:t>
            </w:r>
          </w:p>
        </w:tc>
        <w:tc>
          <w:tcPr>
            <w:tcW w:w="1559"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拟定级别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50"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3916"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HIS系统</w:t>
            </w:r>
          </w:p>
        </w:tc>
        <w:tc>
          <w:tcPr>
            <w:tcW w:w="1985"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1个</w:t>
            </w:r>
          </w:p>
        </w:tc>
        <w:tc>
          <w:tcPr>
            <w:tcW w:w="1559"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50"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3916"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病案系统</w:t>
            </w:r>
          </w:p>
        </w:tc>
        <w:tc>
          <w:tcPr>
            <w:tcW w:w="1985"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1个</w:t>
            </w:r>
          </w:p>
        </w:tc>
        <w:tc>
          <w:tcPr>
            <w:tcW w:w="1559"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50"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p>
        </w:tc>
        <w:tc>
          <w:tcPr>
            <w:tcW w:w="3916"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简竹护理院HIS系统</w:t>
            </w:r>
          </w:p>
        </w:tc>
        <w:tc>
          <w:tcPr>
            <w:tcW w:w="1985"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1个</w:t>
            </w:r>
          </w:p>
        </w:tc>
        <w:tc>
          <w:tcPr>
            <w:tcW w:w="1559"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50"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w:t>
            </w:r>
          </w:p>
        </w:tc>
        <w:tc>
          <w:tcPr>
            <w:tcW w:w="3916"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简竹护理院PACS系统</w:t>
            </w:r>
          </w:p>
        </w:tc>
        <w:tc>
          <w:tcPr>
            <w:tcW w:w="1985"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1个</w:t>
            </w:r>
          </w:p>
        </w:tc>
        <w:tc>
          <w:tcPr>
            <w:tcW w:w="1559" w:type="dxa"/>
            <w:vAlign w:val="center"/>
          </w:tcPr>
          <w:p>
            <w:pPr>
              <w:spacing w:after="60"/>
              <w:ind w:left="0" w:lef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二级</w:t>
            </w:r>
          </w:p>
        </w:tc>
      </w:tr>
    </w:tbl>
    <w:p>
      <w:pPr>
        <w:keepNext w:val="0"/>
        <w:keepLines w:val="0"/>
        <w:pageBreakBefore w:val="0"/>
        <w:widowControl w:val="0"/>
        <w:kinsoku/>
        <w:wordWrap/>
        <w:overflowPunct/>
        <w:topLinePunct w:val="0"/>
        <w:autoSpaceDE/>
        <w:autoSpaceDN/>
        <w:bidi w:val="0"/>
        <w:adjustRightInd/>
        <w:snapToGrid/>
        <w:spacing w:after="60"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（五）测评需求说明</w:t>
      </w:r>
    </w:p>
    <w:p>
      <w:pPr>
        <w:keepNext w:val="0"/>
        <w:keepLines w:val="0"/>
        <w:pageBreakBefore w:val="0"/>
        <w:widowControl w:val="0"/>
        <w:kinsoku/>
        <w:wordWrap/>
        <w:overflowPunct/>
        <w:topLinePunct w:val="0"/>
        <w:autoSpaceDE/>
        <w:autoSpaceDN/>
        <w:bidi w:val="0"/>
        <w:adjustRightInd/>
        <w:snapToGrid/>
        <w:spacing w:after="60"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bookmarkStart w:id="1" w:name="_Hlk18328566"/>
      <w:r>
        <w:rPr>
          <w:rFonts w:hint="eastAsia" w:ascii="仿宋_GB2312" w:hAnsi="仿宋_GB2312" w:eastAsia="仿宋_GB2312" w:cs="仿宋_GB2312"/>
          <w:kern w:val="2"/>
          <w:sz w:val="28"/>
          <w:szCs w:val="28"/>
          <w:lang w:val="en-US" w:eastAsia="zh-CN" w:bidi="ar-SA"/>
        </w:rPr>
        <w:t>依据《网络安全等级保护测评要求》</w:t>
      </w:r>
      <w:bookmarkEnd w:id="1"/>
      <w:r>
        <w:rPr>
          <w:rFonts w:hint="eastAsia" w:ascii="仿宋_GB2312" w:hAnsi="仿宋_GB2312" w:eastAsia="仿宋_GB2312" w:cs="仿宋_GB2312"/>
          <w:kern w:val="2"/>
          <w:sz w:val="28"/>
          <w:szCs w:val="28"/>
          <w:lang w:val="en-US" w:eastAsia="zh-CN" w:bidi="ar-SA"/>
        </w:rPr>
        <w:t>等技术标准与测评规范，编写测评实施方案，对深圳市龙岗区第七人民医院4个二级信息系统制定网络安全等级保护测评具体内容，开展测评工作。</w:t>
      </w:r>
    </w:p>
    <w:p>
      <w:pPr>
        <w:keepNext w:val="0"/>
        <w:keepLines w:val="0"/>
        <w:pageBreakBefore w:val="0"/>
        <w:widowControl w:val="0"/>
        <w:kinsoku/>
        <w:wordWrap/>
        <w:overflowPunct/>
        <w:topLinePunct w:val="0"/>
        <w:autoSpaceDE/>
        <w:autoSpaceDN/>
        <w:bidi w:val="0"/>
        <w:adjustRightInd/>
        <w:snapToGrid/>
        <w:spacing w:after="60"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通过等级保护测评，验证深圳市龙岗区第七人民医院信息系统的安全性，并对信息系统的安全防护能力提出建议和意见，为进一步完善信息系统的安全防护措施提供依据。</w:t>
      </w:r>
    </w:p>
    <w:p>
      <w:pPr>
        <w:keepNext w:val="0"/>
        <w:keepLines w:val="0"/>
        <w:pageBreakBefore w:val="0"/>
        <w:widowControl w:val="0"/>
        <w:kinsoku/>
        <w:wordWrap/>
        <w:overflowPunct/>
        <w:topLinePunct w:val="0"/>
        <w:autoSpaceDE/>
        <w:autoSpaceDN/>
        <w:bidi w:val="0"/>
        <w:adjustRightInd/>
        <w:snapToGrid/>
        <w:spacing w:after="60" w:line="40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w:t>
      </w:r>
      <w:r>
        <w:rPr>
          <w:rFonts w:hint="default" w:ascii="仿宋_GB2312" w:hAnsi="仿宋_GB2312" w:eastAsia="仿宋_GB2312" w:cs="仿宋_GB2312"/>
          <w:kern w:val="2"/>
          <w:sz w:val="28"/>
          <w:szCs w:val="28"/>
          <w:lang w:val="en-US" w:eastAsia="zh-CN" w:bidi="ar-SA"/>
        </w:rPr>
        <w:t>测评内容</w:t>
      </w:r>
    </w:p>
    <w:p>
      <w:pPr>
        <w:keepNext w:val="0"/>
        <w:keepLines w:val="0"/>
        <w:pageBreakBefore w:val="0"/>
        <w:widowControl w:val="0"/>
        <w:kinsoku/>
        <w:wordWrap/>
        <w:overflowPunct/>
        <w:topLinePunct w:val="0"/>
        <w:autoSpaceDE/>
        <w:autoSpaceDN/>
        <w:bidi w:val="0"/>
        <w:adjustRightInd/>
        <w:snapToGrid/>
        <w:spacing w:after="60"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依据网络安全等级保护测试要求的内容进行测评，包括安全技术与安全管理两大类：</w:t>
      </w:r>
    </w:p>
    <w:p>
      <w:pPr>
        <w:keepNext w:val="0"/>
        <w:keepLines w:val="0"/>
        <w:pageBreakBefore w:val="0"/>
        <w:widowControl w:val="0"/>
        <w:kinsoku/>
        <w:wordWrap/>
        <w:overflowPunct/>
        <w:topLinePunct w:val="0"/>
        <w:autoSpaceDE/>
        <w:autoSpaceDN/>
        <w:bidi w:val="0"/>
        <w:adjustRightInd/>
        <w:snapToGrid/>
        <w:spacing w:after="60"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安全技术测评：安全物理环境、安全通信网络、安全区域边界、安全计算环境和安全管理中心等五个方面测评要求。</w:t>
      </w:r>
    </w:p>
    <w:p>
      <w:pPr>
        <w:keepNext w:val="0"/>
        <w:keepLines w:val="0"/>
        <w:pageBreakBefore w:val="0"/>
        <w:widowControl w:val="0"/>
        <w:kinsoku/>
        <w:wordWrap/>
        <w:overflowPunct/>
        <w:topLinePunct w:val="0"/>
        <w:autoSpaceDE/>
        <w:autoSpaceDN/>
        <w:bidi w:val="0"/>
        <w:adjustRightInd/>
        <w:snapToGrid/>
        <w:spacing w:after="60"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安全管理测评：安全管理制度、安全管理机构、安全管理人员、安全建设管理和安全运维管理等五个方面测评要求。</w:t>
      </w:r>
    </w:p>
    <w:p>
      <w:pPr>
        <w:keepNext w:val="0"/>
        <w:keepLines w:val="0"/>
        <w:pageBreakBefore w:val="0"/>
        <w:widowControl w:val="0"/>
        <w:kinsoku/>
        <w:wordWrap/>
        <w:overflowPunct/>
        <w:topLinePunct w:val="0"/>
        <w:autoSpaceDE/>
        <w:autoSpaceDN/>
        <w:bidi w:val="0"/>
        <w:adjustRightInd/>
        <w:snapToGrid/>
        <w:spacing w:after="60"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测评服务内容：</w:t>
      </w:r>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689"/>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196" w:type="dxa"/>
            <w:vMerge w:val="restart"/>
            <w:vAlign w:val="center"/>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网络安全等级保护测评服务内容</w:t>
            </w:r>
          </w:p>
        </w:tc>
        <w:tc>
          <w:tcPr>
            <w:tcW w:w="1689" w:type="dxa"/>
            <w:vAlign w:val="center"/>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★差距测评</w:t>
            </w:r>
          </w:p>
        </w:tc>
        <w:tc>
          <w:tcPr>
            <w:tcW w:w="6395" w:type="dxa"/>
            <w:vAlign w:val="center"/>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根据已有信息系统安全等级保护定级情况，制定信息系统安全等级保护测评方案，对信息系统涉及的机房、网络/安全设备、主机、安全管理体系等进行等级保护差距测评，并提交不符合项表和整改建议（现场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96" w:type="dxa"/>
            <w:vMerge w:val="continue"/>
            <w:vAlign w:val="center"/>
          </w:tcPr>
          <w:p>
            <w:pPr>
              <w:keepNext w:val="0"/>
              <w:keepLines w:val="0"/>
              <w:pageBreakBefore w:val="0"/>
              <w:kinsoku/>
              <w:wordWrap/>
              <w:overflowPunct/>
              <w:topLinePunct w:val="0"/>
              <w:bidi w:val="0"/>
              <w:adjustRightInd/>
              <w:snapToGrid/>
              <w:spacing w:after="60"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p>
        </w:tc>
        <w:tc>
          <w:tcPr>
            <w:tcW w:w="1689" w:type="dxa"/>
            <w:vAlign w:val="center"/>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▲漏洞扫描服务</w:t>
            </w:r>
          </w:p>
        </w:tc>
        <w:tc>
          <w:tcPr>
            <w:tcW w:w="6395" w:type="dxa"/>
            <w:vAlign w:val="center"/>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对被测信息系统服务器、应用系统进行漏洞扫描，列出被测信息系统中存在的主要问题以及可能造成的后果，并提出整改建议。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96" w:type="dxa"/>
            <w:vMerge w:val="continue"/>
            <w:vAlign w:val="center"/>
          </w:tcPr>
          <w:p>
            <w:pPr>
              <w:keepNext w:val="0"/>
              <w:keepLines w:val="0"/>
              <w:pageBreakBefore w:val="0"/>
              <w:kinsoku/>
              <w:wordWrap/>
              <w:overflowPunct/>
              <w:topLinePunct w:val="0"/>
              <w:bidi w:val="0"/>
              <w:adjustRightInd/>
              <w:snapToGrid/>
              <w:spacing w:after="60"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p>
        </w:tc>
        <w:tc>
          <w:tcPr>
            <w:tcW w:w="1689" w:type="dxa"/>
            <w:vAlign w:val="center"/>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▲渗透测试服务</w:t>
            </w:r>
          </w:p>
        </w:tc>
        <w:tc>
          <w:tcPr>
            <w:tcW w:w="6395" w:type="dxa"/>
            <w:vAlign w:val="center"/>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根据扫描结果进行漏洞分析及说明，对系统开展渗透测试，进行弱口令测试及其他手工测试，并提交修复建议（互联网渗透+现场渗透）。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196" w:type="dxa"/>
            <w:vMerge w:val="continue"/>
            <w:vAlign w:val="center"/>
          </w:tcPr>
          <w:p>
            <w:pPr>
              <w:keepNext w:val="0"/>
              <w:keepLines w:val="0"/>
              <w:pageBreakBefore w:val="0"/>
              <w:kinsoku/>
              <w:wordWrap/>
              <w:overflowPunct/>
              <w:topLinePunct w:val="0"/>
              <w:bidi w:val="0"/>
              <w:adjustRightInd/>
              <w:snapToGrid/>
              <w:spacing w:after="60"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p>
        </w:tc>
        <w:tc>
          <w:tcPr>
            <w:tcW w:w="1689" w:type="dxa"/>
            <w:vAlign w:val="center"/>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★验收测评</w:t>
            </w:r>
          </w:p>
        </w:tc>
        <w:tc>
          <w:tcPr>
            <w:tcW w:w="6395" w:type="dxa"/>
            <w:vAlign w:val="center"/>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测评完成后，依据《GBT28448-2019信息安全技术网络安全等级保护测评要求》及相关等保2.0标准和要求，对信息系统进行验收性测评，并输出测评报告，通过测评后，由公安网监部门颁发证书。</w:t>
            </w:r>
          </w:p>
        </w:tc>
      </w:tr>
    </w:tbl>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bookmarkStart w:id="2" w:name="OLE_LINK7"/>
      <w:bookmarkStart w:id="3" w:name="OLE_LINK2"/>
      <w:r>
        <w:rPr>
          <w:rFonts w:hint="eastAsia" w:ascii="仿宋_GB2312" w:hAnsi="仿宋_GB2312" w:eastAsia="仿宋_GB2312" w:cs="仿宋_GB2312"/>
          <w:kern w:val="2"/>
          <w:sz w:val="28"/>
          <w:szCs w:val="28"/>
          <w:lang w:val="en-US" w:eastAsia="zh-CN" w:bidi="ar-SA"/>
        </w:rPr>
        <w:t>2.等保测评工具技术要求</w:t>
      </w:r>
    </w:p>
    <w:bookmarkEnd w:id="2"/>
    <w:bookmarkEnd w:id="3"/>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为确保项目专业性及合规性，对本次使用的测评工具在主机层和应用层的技术要求如下：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主机层测评工具技术要求：</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lang w:val="en-US" w:eastAsia="zh-CN" w:bidi="ar-SA"/>
        </w:rPr>
        <w:t>支持W</w:t>
      </w:r>
      <w:r>
        <w:rPr>
          <w:rFonts w:hint="eastAsia" w:ascii="仿宋_GB2312" w:hAnsi="仿宋_GB2312" w:eastAsia="仿宋_GB2312" w:cs="仿宋_GB2312"/>
          <w:kern w:val="2"/>
          <w:sz w:val="28"/>
          <w:szCs w:val="28"/>
          <w:highlight w:val="none"/>
          <w:lang w:val="en-US" w:eastAsia="zh-CN" w:bidi="ar-SA"/>
        </w:rPr>
        <w:t>eb登录扫描，支持Cookie认证、Form认证、Basic认证、NTLM认证、Session认证、Digest认证、SSL，支持自动探测网段的未知站点，并可转为WEB扫描资产。</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支持数据库登录扫描，至少应包括数据库账号，密码，SYSDBA、SYSOPER、NORMAL认证，SID、数据库名称、实例名称及实例号等登录选项的设置。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（3）支持50000条以上系统漏洞库，并按照漏洞类别及漏洞威胁程度进行分类。</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（4）支持至少三种漏洞验证方式，如浏览器验证、注入验证、通用验证等。</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highlight w:val="none"/>
          <w:lang w:val="en-US" w:eastAsia="zh-CN" w:bidi="ar-SA"/>
        </w:rPr>
        <w:t>（5）支持数据库在线登录验证；</w:t>
      </w:r>
      <w:r>
        <w:rPr>
          <w:rFonts w:hint="eastAsia" w:ascii="仿宋_GB2312" w:hAnsi="仿宋_GB2312" w:eastAsia="仿宋_GB2312" w:cs="仿宋_GB2312"/>
          <w:kern w:val="2"/>
          <w:sz w:val="28"/>
          <w:szCs w:val="28"/>
          <w:lang w:val="en-US" w:eastAsia="zh-CN" w:bidi="ar-SA"/>
        </w:rPr>
        <w:t>支持Web漏洞扫描检测。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应用层测评工具技术要求：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（1）支持对SQL注入、XSS攻击、文件包含类等漏洞在扫描结果中有验证性，给予管理员漏洞存在性、可利用性以及漏洞利用方式的提醒。</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（2）支持登录扫描功能，可自动通过内置的WEB代理来抓取用户登录信息，无需手工输入Cookies、Session等信息，即可实现登录扫描功能。</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（3）支持多用户配置，可以控制每个用户的扫描目的IP，扫描迸发，并且管理员可以对所有用户的扫描任务进行管理。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r>
        <w:rPr>
          <w:rFonts w:hint="default" w:ascii="仿宋_GB2312" w:hAnsi="仿宋_GB2312" w:eastAsia="仿宋_GB2312" w:cs="仿宋_GB2312"/>
          <w:kern w:val="2"/>
          <w:sz w:val="28"/>
          <w:szCs w:val="28"/>
          <w:lang w:val="en-US" w:eastAsia="zh-CN" w:bidi="ar-SA"/>
        </w:rPr>
        <w:t>保密要求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本项目在服务过程中，服务方对项目实施过程中所获得数据及文档等保密信息，必须承担以下保密义务：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（1）服务方应按要求与委托方签署保密协议。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（2）服务方应主动采取加密措施对上述所列及之保密信息进行保护，防止不承担同等保密义务的任何第三者知悉及使用。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（3）服务方不得刺探或者以其他不正当手段（包括利用计算机进行检索、浏览、复制等）获取与本职工作或本身业务无关的采购方关于该项目的商业秘密。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（4）服务方不得向不承担同等保密义务的任何第三人披露采购方关于该项目的商业秘密。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（5）服务方不得对用户提供的测评环境、数据、软件及相关的文档进行外发或第三方使用，一经发现，按损坏程度依法处理。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sz w:val="32"/>
          <w:szCs w:val="32"/>
          <w:lang w:val="en-US" w:eastAsia="zh-CN"/>
        </w:rPr>
      </w:pPr>
      <w:r>
        <w:rPr>
          <w:rFonts w:hint="eastAsia" w:ascii="仿宋_GB2312" w:hAnsi="仿宋_GB2312" w:eastAsia="仿宋_GB2312" w:cs="仿宋_GB2312"/>
          <w:color w:val="auto"/>
          <w:kern w:val="0"/>
          <w:sz w:val="28"/>
          <w:szCs w:val="28"/>
          <w:highlight w:val="none"/>
          <w:lang w:val="en-US" w:eastAsia="zh-CN" w:bidi="ar-SA"/>
        </w:rPr>
        <w:t>（六）</w:t>
      </w:r>
      <w:r>
        <w:rPr>
          <w:rFonts w:hint="eastAsia" w:ascii="仿宋_GB2312" w:hAnsi="仿宋_GB2312" w:eastAsia="仿宋_GB2312" w:cs="仿宋_GB2312"/>
          <w:b w:val="0"/>
          <w:bCs w:val="0"/>
          <w:color w:val="auto"/>
          <w:kern w:val="0"/>
          <w:sz w:val="28"/>
          <w:szCs w:val="28"/>
          <w:highlight w:val="none"/>
          <w:lang w:val="en-US" w:eastAsia="zh-CN" w:bidi="ar-SA"/>
        </w:rPr>
        <w:t>技术及质量参数要求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590"/>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keepNext w:val="0"/>
              <w:keepLines w:val="0"/>
              <w:pageBreakBefore w:val="0"/>
              <w:kinsoku/>
              <w:wordWrap/>
              <w:overflowPunct/>
              <w:topLinePunct w:val="0"/>
              <w:bidi w:val="0"/>
              <w:adjustRightInd/>
              <w:snapToGrid/>
              <w:spacing w:after="60" w:line="40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1590" w:type="dxa"/>
            <w:vAlign w:val="center"/>
          </w:tcPr>
          <w:p>
            <w:pPr>
              <w:keepNext w:val="0"/>
              <w:keepLines w:val="0"/>
              <w:pageBreakBefore w:val="0"/>
              <w:kinsoku/>
              <w:wordWrap/>
              <w:overflowPunct/>
              <w:topLinePunct w:val="0"/>
              <w:bidi w:val="0"/>
              <w:adjustRightInd/>
              <w:snapToGrid/>
              <w:spacing w:after="60" w:line="40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服务名称</w:t>
            </w:r>
          </w:p>
        </w:tc>
        <w:tc>
          <w:tcPr>
            <w:tcW w:w="6075" w:type="dxa"/>
            <w:vAlign w:val="center"/>
          </w:tcPr>
          <w:p>
            <w:pPr>
              <w:keepNext w:val="0"/>
              <w:keepLines w:val="0"/>
              <w:pageBreakBefore w:val="0"/>
              <w:kinsoku/>
              <w:wordWrap/>
              <w:overflowPunct/>
              <w:topLinePunct w:val="0"/>
              <w:bidi w:val="0"/>
              <w:adjustRightInd/>
              <w:snapToGrid/>
              <w:spacing w:after="60" w:line="40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主要技术参数及性能（配置）要求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vAlign w:val="center"/>
          </w:tcPr>
          <w:p>
            <w:pPr>
              <w:keepNext w:val="0"/>
              <w:keepLines w:val="0"/>
              <w:pageBreakBefore w:val="0"/>
              <w:kinsoku/>
              <w:wordWrap/>
              <w:overflowPunct/>
              <w:topLinePunct w:val="0"/>
              <w:bidi w:val="0"/>
              <w:adjustRightInd/>
              <w:snapToGrid/>
              <w:spacing w:after="60" w:line="400" w:lineRule="exact"/>
              <w:ind w:firstLine="280" w:firstLineChars="1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1590" w:type="dxa"/>
            <w:vMerge w:val="restart"/>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网络安全等级保护测评服务内容</w:t>
            </w:r>
          </w:p>
        </w:tc>
        <w:tc>
          <w:tcPr>
            <w:tcW w:w="6075"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差距测评：根据已有信息系统安全等级保护定级情况，制定信息系统安全等级保护测评方案，对信息系统涉及的机房、网络/安全设备、主机、安全管理体系等进行等级保护差距测评，并提交不符合项表和整改建议（现场测评）。（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tcPr>
          <w:p>
            <w:pPr>
              <w:keepNext w:val="0"/>
              <w:keepLines w:val="0"/>
              <w:pageBreakBefore w:val="0"/>
              <w:kinsoku/>
              <w:wordWrap/>
              <w:overflowPunct/>
              <w:topLinePunct w:val="0"/>
              <w:bidi w:val="0"/>
              <w:adjustRightInd/>
              <w:snapToGrid/>
              <w:spacing w:after="60" w:line="400" w:lineRule="exact"/>
              <w:ind w:firstLine="560" w:firstLineChars="200"/>
              <w:textAlignment w:val="auto"/>
              <w:rPr>
                <w:rFonts w:hint="default" w:ascii="仿宋_GB2312" w:hAnsi="仿宋_GB2312" w:eastAsia="仿宋_GB2312" w:cs="仿宋_GB2312"/>
                <w:kern w:val="2"/>
                <w:sz w:val="28"/>
                <w:szCs w:val="28"/>
                <w:lang w:val="en-US" w:eastAsia="zh-CN" w:bidi="ar-SA"/>
              </w:rPr>
            </w:pPr>
          </w:p>
        </w:tc>
        <w:tc>
          <w:tcPr>
            <w:tcW w:w="1590" w:type="dxa"/>
            <w:vMerge w:val="continue"/>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default" w:ascii="仿宋_GB2312" w:hAnsi="仿宋_GB2312" w:eastAsia="仿宋_GB2312" w:cs="仿宋_GB2312"/>
                <w:kern w:val="2"/>
                <w:sz w:val="24"/>
                <w:szCs w:val="24"/>
                <w:lang w:val="en-US" w:eastAsia="zh-CN" w:bidi="ar-SA"/>
              </w:rPr>
            </w:pPr>
          </w:p>
        </w:tc>
        <w:tc>
          <w:tcPr>
            <w:tcW w:w="6075"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▲漏洞扫描服务：对被测信息系统服务器、应用系统进行漏洞扫描，列出被测信息系统中存在的主要问题以及可能造成的后果，并提出整改建议。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tcPr>
          <w:p>
            <w:pPr>
              <w:keepNext w:val="0"/>
              <w:keepLines w:val="0"/>
              <w:pageBreakBefore w:val="0"/>
              <w:kinsoku/>
              <w:wordWrap/>
              <w:overflowPunct/>
              <w:topLinePunct w:val="0"/>
              <w:bidi w:val="0"/>
              <w:adjustRightInd/>
              <w:snapToGrid/>
              <w:spacing w:after="60" w:line="400" w:lineRule="exact"/>
              <w:ind w:firstLine="560" w:firstLineChars="200"/>
              <w:textAlignment w:val="auto"/>
              <w:rPr>
                <w:rFonts w:hint="default" w:ascii="仿宋_GB2312" w:hAnsi="仿宋_GB2312" w:eastAsia="仿宋_GB2312" w:cs="仿宋_GB2312"/>
                <w:kern w:val="2"/>
                <w:sz w:val="28"/>
                <w:szCs w:val="28"/>
                <w:lang w:val="en-US" w:eastAsia="zh-CN" w:bidi="ar-SA"/>
              </w:rPr>
            </w:pPr>
          </w:p>
        </w:tc>
        <w:tc>
          <w:tcPr>
            <w:tcW w:w="1590" w:type="dxa"/>
            <w:vMerge w:val="continue"/>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default" w:ascii="仿宋_GB2312" w:hAnsi="仿宋_GB2312" w:eastAsia="仿宋_GB2312" w:cs="仿宋_GB2312"/>
                <w:kern w:val="2"/>
                <w:sz w:val="24"/>
                <w:szCs w:val="24"/>
                <w:lang w:val="en-US" w:eastAsia="zh-CN" w:bidi="ar-SA"/>
              </w:rPr>
            </w:pPr>
          </w:p>
        </w:tc>
        <w:tc>
          <w:tcPr>
            <w:tcW w:w="6075"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▲渗透测试服务：根据扫描结果进行漏洞分析及说明，对系统开展渗透测试，进行弱口令测试及其他手工测试，并提交修复建议（互联网渗透+现场渗透）。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tcPr>
          <w:p>
            <w:pPr>
              <w:keepNext w:val="0"/>
              <w:keepLines w:val="0"/>
              <w:pageBreakBefore w:val="0"/>
              <w:kinsoku/>
              <w:wordWrap/>
              <w:overflowPunct/>
              <w:topLinePunct w:val="0"/>
              <w:bidi w:val="0"/>
              <w:adjustRightInd/>
              <w:snapToGrid/>
              <w:spacing w:after="60" w:line="400" w:lineRule="exact"/>
              <w:ind w:firstLine="560" w:firstLineChars="200"/>
              <w:textAlignment w:val="auto"/>
              <w:rPr>
                <w:rFonts w:hint="default" w:ascii="仿宋_GB2312" w:hAnsi="仿宋_GB2312" w:eastAsia="仿宋_GB2312" w:cs="仿宋_GB2312"/>
                <w:kern w:val="2"/>
                <w:sz w:val="28"/>
                <w:szCs w:val="28"/>
                <w:lang w:val="en-US" w:eastAsia="zh-CN" w:bidi="ar-SA"/>
              </w:rPr>
            </w:pPr>
          </w:p>
        </w:tc>
        <w:tc>
          <w:tcPr>
            <w:tcW w:w="1590" w:type="dxa"/>
            <w:vMerge w:val="continue"/>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default" w:ascii="仿宋_GB2312" w:hAnsi="仿宋_GB2312" w:eastAsia="仿宋_GB2312" w:cs="仿宋_GB2312"/>
                <w:kern w:val="2"/>
                <w:sz w:val="24"/>
                <w:szCs w:val="24"/>
                <w:lang w:val="en-US" w:eastAsia="zh-CN" w:bidi="ar-SA"/>
              </w:rPr>
            </w:pPr>
          </w:p>
        </w:tc>
        <w:tc>
          <w:tcPr>
            <w:tcW w:w="6075"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验收测评：测评完成后，依据《GBT28448-2019信息安全技术网络安全等级保护测评要求》及相关等保2.0标准和要求，对信息系统进行验收性测评，并输出测评报告，通过测评后，由公安网监部门颁发证书。（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vAlign w:val="center"/>
          </w:tcPr>
          <w:p>
            <w:pPr>
              <w:keepNext w:val="0"/>
              <w:keepLines w:val="0"/>
              <w:pageBreakBefore w:val="0"/>
              <w:kinsoku/>
              <w:wordWrap/>
              <w:overflowPunct/>
              <w:topLinePunct w:val="0"/>
              <w:bidi w:val="0"/>
              <w:adjustRightInd/>
              <w:snapToGrid/>
              <w:spacing w:after="60" w:line="400" w:lineRule="exact"/>
              <w:ind w:firstLine="280" w:firstLineChars="1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1590" w:type="dxa"/>
            <w:vMerge w:val="restart"/>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等保测评工具技术</w:t>
            </w:r>
          </w:p>
        </w:tc>
        <w:tc>
          <w:tcPr>
            <w:tcW w:w="6075"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主机层测评工具技术要求：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（1）支持Web登录扫描，支持Cookie认证、Form认证、Basic认证、NTLM认证、Session认证、Digest认证、SSL，支持自动探测网段的未知站点，并可转为WEB扫描资产；（须提供产品功能证明）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（2）支持数据库登录扫描，至少应包括数据库账号，密码，SYSDBA、SYSOPER、NORMAL认证，SID、数据库名称、实例名称及实例号等登录选项的设置；（须提供产品功能证明）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（3）支持50000条以上系统漏洞库，并按照漏洞类别及漏洞威胁程度进行分类；（须提供产品功能证明）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（4）支持至少三种漏洞验证方式，如浏览器验证、注入验证、通用验证等；（须提供产品功能证明）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（5）支持数据库在线登录验证；支持Web漏洞扫描检测。（须提供产品功能证明）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tcPr>
          <w:p>
            <w:pPr>
              <w:keepNext w:val="0"/>
              <w:keepLines w:val="0"/>
              <w:pageBreakBefore w:val="0"/>
              <w:kinsoku/>
              <w:wordWrap/>
              <w:overflowPunct/>
              <w:topLinePunct w:val="0"/>
              <w:bidi w:val="0"/>
              <w:adjustRightInd/>
              <w:snapToGrid/>
              <w:spacing w:after="60" w:line="400" w:lineRule="exact"/>
              <w:ind w:firstLine="560" w:firstLineChars="200"/>
              <w:textAlignment w:val="auto"/>
              <w:rPr>
                <w:rFonts w:hint="default" w:ascii="仿宋_GB2312" w:hAnsi="仿宋_GB2312" w:eastAsia="仿宋_GB2312" w:cs="仿宋_GB2312"/>
                <w:kern w:val="2"/>
                <w:sz w:val="28"/>
                <w:szCs w:val="28"/>
                <w:lang w:val="en-US" w:eastAsia="zh-CN" w:bidi="ar-SA"/>
              </w:rPr>
            </w:pPr>
          </w:p>
        </w:tc>
        <w:tc>
          <w:tcPr>
            <w:tcW w:w="1590" w:type="dxa"/>
            <w:vMerge w:val="continue"/>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default" w:ascii="仿宋_GB2312" w:hAnsi="仿宋_GB2312" w:eastAsia="仿宋_GB2312" w:cs="仿宋_GB2312"/>
                <w:kern w:val="2"/>
                <w:sz w:val="24"/>
                <w:szCs w:val="24"/>
                <w:lang w:val="en-US" w:eastAsia="zh-CN" w:bidi="ar-SA"/>
              </w:rPr>
            </w:pPr>
          </w:p>
        </w:tc>
        <w:tc>
          <w:tcPr>
            <w:tcW w:w="6075"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应用层测评工具技术要求：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（1）支持对SQL注入、XSS攻击、文件包含类等漏洞在扫描结果中有验证性，给予管理员漏洞存在性、可利用性以及漏洞利用方式的提醒；（须提供产品功能证明）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（2）支持登录扫描功能，可自动通过内置的WEB代理来抓取用户登录信息，无需手工输入Cookies、Session等信息，即可实现登录扫描功能；</w:t>
            </w:r>
            <w:r>
              <w:rPr>
                <w:rFonts w:hint="eastAsia" w:ascii="仿宋_GB2312" w:hAnsi="仿宋_GB2312" w:eastAsia="仿宋_GB2312" w:cs="仿宋_GB2312"/>
                <w:color w:val="auto"/>
                <w:kern w:val="2"/>
                <w:sz w:val="24"/>
                <w:szCs w:val="24"/>
                <w:highlight w:val="none"/>
                <w:lang w:val="en-US" w:eastAsia="zh-CN" w:bidi="ar-SA"/>
              </w:rPr>
              <w:t>（须提供产品功能证明）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（3）支持多用户配置，可以控制每个用户的扫描目的IP，扫描迸发，并且管理员可以对所有用户的扫描任务进行管理；（须提供产品功能证明）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（4）支持HTTP代理（提供HTTP代理服务器的功能。用来获取通过用户名和密码登录时的cookie，从而进行登录扫描）。（</w:t>
            </w:r>
            <w:bookmarkStart w:id="4" w:name="OLE_LINK4"/>
            <w:bookmarkStart w:id="5" w:name="OLE_LINK3"/>
            <w:r>
              <w:rPr>
                <w:rFonts w:hint="eastAsia" w:ascii="仿宋_GB2312" w:hAnsi="仿宋_GB2312" w:eastAsia="仿宋_GB2312" w:cs="仿宋_GB2312"/>
                <w:kern w:val="2"/>
                <w:sz w:val="24"/>
                <w:szCs w:val="24"/>
                <w:highlight w:val="none"/>
                <w:lang w:val="en-US" w:eastAsia="zh-CN" w:bidi="ar-SA"/>
              </w:rPr>
              <w:t>须</w:t>
            </w:r>
            <w:bookmarkEnd w:id="4"/>
            <w:bookmarkEnd w:id="5"/>
            <w:r>
              <w:rPr>
                <w:rFonts w:hint="eastAsia" w:ascii="仿宋_GB2312" w:hAnsi="仿宋_GB2312" w:eastAsia="仿宋_GB2312" w:cs="仿宋_GB2312"/>
                <w:kern w:val="2"/>
                <w:sz w:val="24"/>
                <w:szCs w:val="24"/>
                <w:highlight w:val="none"/>
                <w:lang w:val="en-US" w:eastAsia="zh-CN" w:bidi="ar-SA"/>
              </w:rPr>
              <w:t>提供产品功能证明）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keepNext w:val="0"/>
              <w:keepLines w:val="0"/>
              <w:pageBreakBefore w:val="0"/>
              <w:kinsoku/>
              <w:wordWrap/>
              <w:overflowPunct/>
              <w:topLinePunct w:val="0"/>
              <w:bidi w:val="0"/>
              <w:adjustRightInd/>
              <w:snapToGrid/>
              <w:spacing w:after="60" w:line="400" w:lineRule="exact"/>
              <w:ind w:firstLine="280" w:firstLineChars="1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p>
        </w:tc>
        <w:tc>
          <w:tcPr>
            <w:tcW w:w="1590" w:type="dxa"/>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保密要求</w:t>
            </w:r>
          </w:p>
        </w:tc>
        <w:tc>
          <w:tcPr>
            <w:tcW w:w="6075"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（1）服务方应按要求与委托方签署保密协议。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（2）服务方应主动采取加密措施对上述所列及之保密信息进行保护，防止不承担同等保密义务的任何第三者知悉及使用。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（3）服务方不得刺探或者以其他不正当手段（包括利用计算机进行检索、浏览、复制等）获取与本职工作或本身业务无关的采购方关于该项目的商业秘密。</w:t>
            </w:r>
          </w:p>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（4）服务方不得向不承担同等保密义务的任何第三人披露采购方关于该项目的商业秘密。</w:t>
            </w:r>
          </w:p>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（5）服务方不得对用户提供的测评环境、数据、软件及相关的文档进行外发或第三方使用，一经发现，按损坏程度依法处理。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keepNext w:val="0"/>
              <w:keepLines w:val="0"/>
              <w:pageBreakBefore w:val="0"/>
              <w:kinsoku/>
              <w:wordWrap/>
              <w:overflowPunct/>
              <w:topLinePunct w:val="0"/>
              <w:bidi w:val="0"/>
              <w:adjustRightInd/>
              <w:snapToGrid/>
              <w:spacing w:after="60" w:line="400" w:lineRule="exact"/>
              <w:ind w:firstLine="280" w:firstLineChars="1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w:t>
            </w:r>
          </w:p>
        </w:tc>
        <w:tc>
          <w:tcPr>
            <w:tcW w:w="1590" w:type="dxa"/>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时间要求</w:t>
            </w:r>
          </w:p>
        </w:tc>
        <w:tc>
          <w:tcPr>
            <w:tcW w:w="6075"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▲签订合同后六个月内完成测评并获取到公安部门出具的测评结果通知书。</w:t>
            </w:r>
          </w:p>
        </w:tc>
      </w:tr>
    </w:tbl>
    <w:p>
      <w:pPr>
        <w:pStyle w:val="18"/>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、验收工作</w:t>
      </w:r>
    </w:p>
    <w:p>
      <w:pPr>
        <w:pStyle w:val="18"/>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获取公安部门出具的结论为通过的测评结果通知书视为验收通过。</w:t>
      </w:r>
    </w:p>
    <w:p>
      <w:pPr>
        <w:pStyle w:val="18"/>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九、服务（交货）期限</w:t>
      </w:r>
    </w:p>
    <w:p>
      <w:pPr>
        <w:pStyle w:val="18"/>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签订合同后六个月内完成测评并获取到公安部门出具的测评结果通知书。</w:t>
      </w:r>
    </w:p>
    <w:p>
      <w:pPr>
        <w:pStyle w:val="18"/>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十、报价要求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sz w:val="28"/>
          <w:szCs w:val="28"/>
          <w:lang w:val="en-US" w:eastAsia="zh-CN"/>
        </w:rPr>
        <w:t>（一）</w:t>
      </w:r>
      <w:r>
        <w:rPr>
          <w:rFonts w:hint="eastAsia" w:ascii="仿宋_GB2312" w:hAnsi="仿宋_GB2312" w:eastAsia="仿宋_GB2312" w:cs="仿宋_GB2312"/>
          <w:bCs/>
          <w:kern w:val="0"/>
          <w:sz w:val="28"/>
          <w:szCs w:val="28"/>
        </w:rPr>
        <w:t>报价要求</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人民币报价：投标总价（人民币）须是完成该项目的一切费用总和，包括设备费、运输费、装卸费、保险费、技术培训费、设备安装费、调试费、售后服务费、国家规定的各项税费等全部费用</w:t>
      </w:r>
      <w:r>
        <w:rPr>
          <w:rFonts w:hint="eastAsia" w:ascii="仿宋_GB2312" w:hAnsi="仿宋_GB2312" w:eastAsia="仿宋_GB2312" w:cs="仿宋_GB2312"/>
          <w:bCs/>
          <w:kern w:val="0"/>
          <w:sz w:val="28"/>
          <w:szCs w:val="28"/>
          <w:lang w:eastAsia="zh-CN"/>
        </w:rPr>
        <w:t>。</w:t>
      </w:r>
    </w:p>
    <w:p>
      <w:pPr>
        <w:keepNext w:val="0"/>
        <w:keepLines w:val="0"/>
        <w:pageBreakBefore w:val="0"/>
        <w:numPr>
          <w:ilvl w:val="0"/>
          <w:numId w:val="4"/>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付款方式</w:t>
      </w:r>
    </w:p>
    <w:p>
      <w:pPr>
        <w:pStyle w:val="18"/>
        <w:keepNext w:val="0"/>
        <w:keepLines w:val="0"/>
        <w:pageBreakBefore w:val="0"/>
        <w:kinsoku/>
        <w:wordWrap/>
        <w:overflowPunct/>
        <w:topLinePunct w:val="0"/>
        <w:autoSpaceDE/>
        <w:autoSpaceDN/>
        <w:bidi w:val="0"/>
        <w:adjustRightInd/>
        <w:snapToGrid/>
        <w:spacing w:line="400" w:lineRule="exact"/>
        <w:ind w:left="-141" w:firstLine="420" w:firstLineChars="200"/>
        <w:textAlignment w:val="auto"/>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bCs/>
          <w:kern w:val="0"/>
          <w:sz w:val="28"/>
          <w:szCs w:val="28"/>
          <w:lang w:val="en-US" w:eastAsia="zh-CN" w:bidi="ar-SA"/>
        </w:rPr>
        <w:t>签订合同并由中标供应商开具发票后支付40%合同金额，完成测评并获取测评通过的测评结果通知书后，中标供应商开具发票，建设单位支付60%的合同金额。</w:t>
      </w:r>
    </w:p>
    <w:p>
      <w:pPr>
        <w:pStyle w:val="18"/>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、项目地点：</w:t>
      </w:r>
      <w:r>
        <w:rPr>
          <w:rFonts w:hint="eastAsia" w:ascii="仿宋_GB2312" w:hAnsi="仿宋_GB2312" w:eastAsia="仿宋_GB2312" w:cs="仿宋_GB2312"/>
          <w:sz w:val="28"/>
          <w:szCs w:val="28"/>
        </w:rPr>
        <w:t>深圳市</w:t>
      </w:r>
      <w:r>
        <w:rPr>
          <w:rFonts w:hint="eastAsia" w:ascii="仿宋_GB2312" w:hAnsi="仿宋_GB2312" w:eastAsia="仿宋_GB2312" w:cs="仿宋_GB2312"/>
          <w:kern w:val="2"/>
          <w:sz w:val="28"/>
          <w:szCs w:val="28"/>
        </w:rPr>
        <w:t>龙岗区</w:t>
      </w:r>
      <w:r>
        <w:rPr>
          <w:rFonts w:hint="eastAsia" w:ascii="仿宋_GB2312" w:hAnsi="仿宋_GB2312" w:eastAsia="仿宋_GB2312" w:cs="仿宋_GB2312"/>
          <w:sz w:val="28"/>
          <w:szCs w:val="28"/>
        </w:rPr>
        <w:t>第七人民医院指定地点。</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w:t>
      </w:r>
      <w:r>
        <w:rPr>
          <w:rFonts w:hint="eastAsia" w:ascii="仿宋_GB2312" w:hAnsi="仿宋_GB2312" w:eastAsia="仿宋_GB2312" w:cs="仿宋_GB2312"/>
          <w:b/>
          <w:bCs/>
          <w:kern w:val="0"/>
          <w:sz w:val="28"/>
          <w:szCs w:val="28"/>
          <w:lang w:val="en-US" w:eastAsia="zh-CN"/>
        </w:rPr>
        <w:t>二</w:t>
      </w:r>
      <w:r>
        <w:rPr>
          <w:rFonts w:hint="eastAsia" w:ascii="仿宋_GB2312" w:hAnsi="仿宋_GB2312" w:eastAsia="仿宋_GB2312" w:cs="仿宋_GB2312"/>
          <w:b/>
          <w:bCs/>
          <w:kern w:val="0"/>
          <w:sz w:val="28"/>
          <w:szCs w:val="28"/>
        </w:rPr>
        <w:t>、评标标准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评标方法：综合评分法。按照招标文件中规定的各项因素进行量化打分，以评标总得分的平均分最高的投标人为中标候选供应商；采购人根据评标委员会评审结果确定中标候选供应商为中标人。</w:t>
      </w:r>
    </w:p>
    <w:tbl>
      <w:tblPr>
        <w:tblStyle w:val="15"/>
        <w:tblpPr w:leftFromText="180" w:rightFromText="180" w:vertAnchor="text" w:horzAnchor="margin" w:tblpXSpec="center" w:tblpY="76"/>
        <w:tblOverlap w:val="never"/>
        <w:tblW w:w="94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932"/>
        <w:gridCol w:w="825"/>
        <w:gridCol w:w="811"/>
        <w:gridCol w:w="45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437"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评分项</w:t>
            </w:r>
          </w:p>
        </w:tc>
        <w:tc>
          <w:tcPr>
            <w:tcW w:w="5328" w:type="dxa"/>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0000FF"/>
                <w:sz w:val="24"/>
                <w:szCs w:val="24"/>
              </w:rPr>
            </w:pPr>
            <w:r>
              <w:rPr>
                <w:rFonts w:hint="eastAsia" w:ascii="仿宋" w:hAnsi="仿宋" w:eastAsia="仿宋" w:cs="仿宋"/>
                <w:b/>
                <w:bCs/>
                <w:color w:val="0000FF"/>
                <w:sz w:val="24"/>
                <w:szCs w:val="24"/>
              </w:rPr>
              <w:t>1</w:t>
            </w:r>
          </w:p>
        </w:tc>
        <w:tc>
          <w:tcPr>
            <w:tcW w:w="3437" w:type="dxa"/>
            <w:gridSpan w:val="3"/>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0000FF"/>
                <w:sz w:val="24"/>
                <w:szCs w:val="24"/>
              </w:rPr>
            </w:pPr>
            <w:r>
              <w:rPr>
                <w:rFonts w:hint="eastAsia" w:ascii="仿宋" w:hAnsi="仿宋" w:eastAsia="仿宋" w:cs="仿宋"/>
                <w:b/>
                <w:bCs/>
                <w:color w:val="0000FF"/>
                <w:sz w:val="24"/>
                <w:szCs w:val="24"/>
              </w:rPr>
              <w:t>价格</w:t>
            </w:r>
          </w:p>
        </w:tc>
        <w:tc>
          <w:tcPr>
            <w:tcW w:w="5328" w:type="dxa"/>
            <w:gridSpan w:val="2"/>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0000FF"/>
                <w:sz w:val="24"/>
                <w:szCs w:val="24"/>
              </w:rPr>
            </w:pPr>
            <w:r>
              <w:rPr>
                <w:rFonts w:hint="eastAsia" w:ascii="仿宋" w:hAnsi="仿宋" w:eastAsia="仿宋" w:cs="仿宋"/>
                <w:b/>
                <w:bCs/>
                <w:color w:val="0000FF"/>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9"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pStyle w:val="14"/>
              <w:spacing w:beforeAutospacing="0" w:afterAutospacing="0" w:line="324" w:lineRule="auto"/>
              <w:ind w:firstLine="420"/>
              <w:jc w:val="both"/>
              <w:rPr>
                <w:rFonts w:hint="eastAsia" w:ascii="仿宋" w:hAnsi="仿宋" w:eastAsia="仿宋" w:cs="仿宋"/>
                <w:kern w:val="2"/>
                <w:sz w:val="24"/>
                <w:szCs w:val="24"/>
              </w:rPr>
            </w:pPr>
          </w:p>
        </w:tc>
        <w:tc>
          <w:tcPr>
            <w:tcW w:w="8765" w:type="dxa"/>
            <w:gridSpan w:val="5"/>
            <w:tcBorders>
              <w:top w:val="single" w:color="000000" w:sz="8" w:space="0"/>
              <w:left w:val="single" w:color="000000" w:sz="8" w:space="0"/>
              <w:bottom w:val="single" w:color="000000" w:sz="8" w:space="0"/>
              <w:right w:val="single" w:color="000000" w:sz="8" w:space="0"/>
            </w:tcBorders>
            <w:vAlign w:val="center"/>
          </w:tcPr>
          <w:p>
            <w:pPr>
              <w:spacing w:line="560" w:lineRule="exact"/>
              <w:ind w:firstLine="560" w:firstLineChars="200"/>
              <w:jc w:val="left"/>
              <w:rPr>
                <w:rFonts w:hint="eastAsia" w:ascii="仿宋" w:hAnsi="仿宋" w:eastAsia="仿宋" w:cs="仿宋"/>
                <w:sz w:val="24"/>
                <w:szCs w:val="24"/>
              </w:rPr>
            </w:pPr>
            <w:r>
              <w:rPr>
                <w:rFonts w:hint="eastAsia" w:ascii="仿宋_GB2312" w:hAnsi="仿宋_GB2312" w:eastAsia="仿宋_GB2312" w:cs="仿宋_GB2312"/>
                <w:b w:val="0"/>
                <w:bCs/>
                <w:color w:val="auto"/>
                <w:kern w:val="0"/>
                <w:sz w:val="28"/>
                <w:szCs w:val="28"/>
              </w:rPr>
              <w:t>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0000FF"/>
                <w:sz w:val="24"/>
                <w:szCs w:val="24"/>
              </w:rPr>
            </w:pPr>
            <w:r>
              <w:rPr>
                <w:rFonts w:hint="eastAsia" w:ascii="仿宋" w:hAnsi="仿宋" w:eastAsia="仿宋" w:cs="仿宋"/>
                <w:b/>
                <w:bCs/>
                <w:color w:val="0000FF"/>
                <w:sz w:val="24"/>
                <w:szCs w:val="24"/>
              </w:rPr>
              <w:t>2</w:t>
            </w:r>
          </w:p>
        </w:tc>
        <w:tc>
          <w:tcPr>
            <w:tcW w:w="3437" w:type="dxa"/>
            <w:gridSpan w:val="3"/>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0000FF"/>
                <w:sz w:val="24"/>
                <w:szCs w:val="24"/>
              </w:rPr>
            </w:pPr>
            <w:r>
              <w:rPr>
                <w:rFonts w:hint="eastAsia" w:ascii="仿宋" w:hAnsi="仿宋" w:eastAsia="仿宋" w:cs="仿宋"/>
                <w:b/>
                <w:bCs/>
                <w:color w:val="0000FF"/>
                <w:sz w:val="24"/>
                <w:szCs w:val="24"/>
              </w:rPr>
              <w:t>商务部分</w:t>
            </w:r>
          </w:p>
        </w:tc>
        <w:tc>
          <w:tcPr>
            <w:tcW w:w="5328" w:type="dxa"/>
            <w:gridSpan w:val="2"/>
            <w:tcBorders>
              <w:top w:val="single" w:color="000000" w:sz="8" w:space="0"/>
              <w:left w:val="single" w:color="000000" w:sz="8" w:space="0"/>
              <w:bottom w:val="single" w:color="000000" w:sz="8" w:space="0"/>
              <w:right w:val="single" w:color="000000" w:sz="8" w:space="0"/>
            </w:tcBorders>
          </w:tcPr>
          <w:p>
            <w:pPr>
              <w:jc w:val="center"/>
              <w:rPr>
                <w:rFonts w:hint="default" w:ascii="仿宋" w:hAnsi="仿宋" w:eastAsia="仿宋" w:cs="仿宋"/>
                <w:b/>
                <w:bCs/>
                <w:color w:val="0000FF"/>
                <w:sz w:val="24"/>
                <w:szCs w:val="24"/>
                <w:lang w:val="en-US" w:eastAsia="zh-CN"/>
              </w:rPr>
            </w:pPr>
            <w:r>
              <w:rPr>
                <w:rFonts w:hint="eastAsia" w:ascii="仿宋" w:hAnsi="仿宋" w:eastAsia="仿宋" w:cs="仿宋"/>
                <w:b/>
                <w:bCs/>
                <w:color w:val="0000FF"/>
                <w:sz w:val="24"/>
                <w:szCs w:val="24"/>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7"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0000FF"/>
                <w:sz w:val="24"/>
                <w:szCs w:val="24"/>
              </w:rPr>
            </w:pPr>
          </w:p>
        </w:tc>
        <w:tc>
          <w:tcPr>
            <w:tcW w:w="8765" w:type="dxa"/>
            <w:gridSpan w:val="5"/>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0000FF"/>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仿宋" w:hAnsi="仿宋" w:eastAsia="仿宋" w:cs="仿宋"/>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32"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sz w:val="24"/>
                <w:szCs w:val="24"/>
              </w:rPr>
            </w:pPr>
            <w:r>
              <w:rPr>
                <w:rFonts w:hint="eastAsia" w:ascii="仿宋" w:hAnsi="仿宋" w:eastAsia="仿宋" w:cs="仿宋"/>
                <w:sz w:val="24"/>
                <w:szCs w:val="24"/>
              </w:rPr>
              <w:t>评分因素</w:t>
            </w:r>
          </w:p>
        </w:tc>
        <w:tc>
          <w:tcPr>
            <w:tcW w:w="825"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sz w:val="24"/>
                <w:szCs w:val="24"/>
              </w:rPr>
            </w:pPr>
            <w:r>
              <w:rPr>
                <w:rFonts w:hint="eastAsia" w:ascii="仿宋" w:hAnsi="仿宋" w:eastAsia="仿宋" w:cs="仿宋"/>
                <w:sz w:val="24"/>
                <w:szCs w:val="24"/>
              </w:rPr>
              <w:t>分值范围</w:t>
            </w:r>
          </w:p>
        </w:tc>
        <w:tc>
          <w:tcPr>
            <w:tcW w:w="5328"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sz w:val="24"/>
                <w:szCs w:val="24"/>
              </w:rPr>
            </w:pPr>
            <w:r>
              <w:rPr>
                <w:rFonts w:hint="eastAsia" w:ascii="仿宋" w:hAnsi="仿宋" w:eastAsia="仿宋" w:cs="仿宋"/>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3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同类项目业绩</w:t>
            </w:r>
          </w:p>
        </w:tc>
        <w:tc>
          <w:tcPr>
            <w:tcW w:w="82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5328" w:type="dxa"/>
            <w:gridSpan w:val="2"/>
            <w:tcBorders>
              <w:top w:val="single" w:color="000000" w:sz="8" w:space="0"/>
              <w:left w:val="single" w:color="000000" w:sz="8" w:space="0"/>
              <w:bottom w:val="single" w:color="000000" w:sz="8" w:space="0"/>
              <w:right w:val="single" w:color="000000" w:sz="8" w:space="0"/>
            </w:tcBorders>
          </w:tcPr>
          <w:p>
            <w:p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评审标准：</w:t>
            </w:r>
          </w:p>
          <w:p>
            <w:pPr>
              <w:rPr>
                <w:rFonts w:hint="eastAsia" w:ascii="仿宋" w:hAnsi="仿宋" w:eastAsia="仿宋" w:cs="仿宋"/>
                <w:sz w:val="24"/>
                <w:szCs w:val="24"/>
              </w:rPr>
            </w:pPr>
            <w:r>
              <w:rPr>
                <w:rFonts w:hint="eastAsia" w:ascii="仿宋" w:hAnsi="仿宋" w:eastAsia="仿宋" w:cs="仿宋"/>
                <w:sz w:val="24"/>
                <w:szCs w:val="24"/>
              </w:rPr>
              <w:t>投标人自202</w:t>
            </w:r>
            <w:r>
              <w:rPr>
                <w:rFonts w:hint="eastAsia" w:ascii="仿宋" w:hAnsi="仿宋" w:eastAsia="仿宋" w:cs="仿宋"/>
                <w:sz w:val="24"/>
                <w:szCs w:val="24"/>
                <w:lang w:val="en-US" w:eastAsia="zh-CN"/>
              </w:rPr>
              <w:t>2</w:t>
            </w:r>
            <w:r>
              <w:rPr>
                <w:rFonts w:hint="eastAsia" w:ascii="仿宋" w:hAnsi="仿宋" w:eastAsia="仿宋" w:cs="仿宋"/>
                <w:sz w:val="24"/>
                <w:szCs w:val="24"/>
              </w:rPr>
              <w:t>年1月1日至投标截止时间前完成的同类项目业绩(同类业绩指合同内容包含等保测评服务的项目，以合同签订时间为准，同一采购人续签合同的，不重复计分)，每项业绩得1分，如能提供相应项目测评通过的结果通知书</w:t>
            </w:r>
            <w:r>
              <w:rPr>
                <w:rFonts w:hint="eastAsia" w:ascii="仿宋" w:hAnsi="仿宋" w:eastAsia="仿宋" w:cs="仿宋"/>
                <w:sz w:val="24"/>
                <w:szCs w:val="24"/>
                <w:lang w:val="en-US" w:eastAsia="zh-CN"/>
              </w:rPr>
              <w:t>复印件</w:t>
            </w:r>
            <w:r>
              <w:rPr>
                <w:rFonts w:hint="eastAsia" w:ascii="仿宋" w:hAnsi="仿宋" w:eastAsia="仿宋" w:cs="仿宋"/>
                <w:sz w:val="24"/>
                <w:szCs w:val="24"/>
              </w:rPr>
              <w:t>扫描件，该项目</w:t>
            </w:r>
            <w:r>
              <w:rPr>
                <w:rFonts w:hint="eastAsia" w:ascii="仿宋" w:hAnsi="仿宋" w:eastAsia="仿宋" w:cs="仿宋"/>
                <w:sz w:val="24"/>
                <w:szCs w:val="24"/>
                <w:lang w:val="en-US" w:eastAsia="zh-CN"/>
              </w:rPr>
              <w:t>可</w:t>
            </w:r>
            <w:r>
              <w:rPr>
                <w:rFonts w:hint="eastAsia" w:ascii="仿宋" w:hAnsi="仿宋" w:eastAsia="仿宋" w:cs="仿宋"/>
                <w:sz w:val="24"/>
                <w:szCs w:val="24"/>
              </w:rPr>
              <w:t>另</w:t>
            </w:r>
            <w:r>
              <w:rPr>
                <w:rFonts w:hint="eastAsia" w:ascii="仿宋" w:hAnsi="仿宋" w:eastAsia="仿宋" w:cs="仿宋"/>
                <w:sz w:val="24"/>
                <w:szCs w:val="24"/>
                <w:highlight w:val="none"/>
              </w:rPr>
              <w:t>加1分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本小项</w:t>
            </w:r>
            <w:r>
              <w:rPr>
                <w:rFonts w:hint="eastAsia" w:ascii="仿宋" w:hAnsi="仿宋" w:eastAsia="仿宋" w:cs="仿宋"/>
                <w:sz w:val="24"/>
                <w:szCs w:val="24"/>
                <w:highlight w:val="none"/>
              </w:rPr>
              <w:t>最</w:t>
            </w:r>
            <w:r>
              <w:rPr>
                <w:rFonts w:hint="eastAsia" w:ascii="仿宋" w:hAnsi="仿宋" w:eastAsia="仿宋" w:cs="仿宋"/>
                <w:sz w:val="24"/>
                <w:szCs w:val="24"/>
              </w:rPr>
              <w:t>高得5分。</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证明文件：</w:t>
            </w:r>
          </w:p>
          <w:p>
            <w:pPr>
              <w:rPr>
                <w:rFonts w:hint="eastAsia" w:ascii="仿宋" w:hAnsi="仿宋" w:eastAsia="仿宋" w:cs="仿宋"/>
                <w:sz w:val="24"/>
                <w:szCs w:val="24"/>
              </w:rPr>
            </w:pPr>
            <w:r>
              <w:rPr>
                <w:rFonts w:hint="eastAsia" w:ascii="仿宋" w:hAnsi="仿宋" w:eastAsia="仿宋" w:cs="仿宋"/>
                <w:sz w:val="24"/>
                <w:szCs w:val="24"/>
              </w:rPr>
              <w:t>投标人须提供项目合同关键页</w:t>
            </w:r>
            <w:r>
              <w:rPr>
                <w:rFonts w:hint="default" w:ascii="仿宋" w:hAnsi="仿宋" w:eastAsia="仿宋" w:cs="仿宋"/>
                <w:sz w:val="24"/>
                <w:szCs w:val="24"/>
              </w:rPr>
              <w:t>（含签订合同双方的单位名称、合同项目名称、签订合同双方的落款盖章、签订日期</w:t>
            </w:r>
            <w:r>
              <w:rPr>
                <w:rFonts w:hint="eastAsia" w:ascii="仿宋" w:hAnsi="仿宋" w:eastAsia="仿宋" w:cs="仿宋"/>
                <w:sz w:val="24"/>
                <w:szCs w:val="24"/>
                <w:lang w:val="en-US" w:eastAsia="zh-CN"/>
              </w:rPr>
              <w:t>等</w:t>
            </w:r>
            <w:r>
              <w:rPr>
                <w:rFonts w:hint="default" w:ascii="仿宋" w:hAnsi="仿宋" w:eastAsia="仿宋" w:cs="仿宋"/>
                <w:sz w:val="24"/>
                <w:szCs w:val="24"/>
              </w:rPr>
              <w:t>）</w:t>
            </w:r>
            <w:r>
              <w:rPr>
                <w:rFonts w:hint="eastAsia" w:ascii="仿宋" w:hAnsi="仿宋" w:eastAsia="仿宋" w:cs="仿宋"/>
                <w:sz w:val="24"/>
                <w:szCs w:val="24"/>
              </w:rPr>
              <w:t>原件扫描件，原件备查。未提供或提供不清晰导致无法判断的，不得分。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1"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3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履约评价</w:t>
            </w:r>
          </w:p>
        </w:tc>
        <w:tc>
          <w:tcPr>
            <w:tcW w:w="82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5328" w:type="dxa"/>
            <w:gridSpan w:val="2"/>
            <w:tcBorders>
              <w:top w:val="single" w:color="000000" w:sz="8" w:space="0"/>
              <w:left w:val="single" w:color="000000" w:sz="8" w:space="0"/>
              <w:bottom w:val="single" w:color="000000" w:sz="8" w:space="0"/>
              <w:right w:val="single" w:color="000000" w:sz="8" w:space="0"/>
            </w:tcBorders>
          </w:tcPr>
          <w:p>
            <w:p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评审标准：</w:t>
            </w:r>
          </w:p>
          <w:p>
            <w:pPr>
              <w:rPr>
                <w:rFonts w:hint="eastAsia" w:ascii="仿宋" w:hAnsi="仿宋" w:eastAsia="仿宋" w:cs="仿宋"/>
                <w:sz w:val="24"/>
                <w:szCs w:val="24"/>
              </w:rPr>
            </w:pPr>
            <w:r>
              <w:rPr>
                <w:rFonts w:hint="eastAsia" w:ascii="仿宋" w:hAnsi="仿宋" w:eastAsia="仿宋" w:cs="仿宋"/>
                <w:sz w:val="24"/>
                <w:szCs w:val="24"/>
              </w:rPr>
              <w:t>投标人在上述“同类项目业绩”评审项中参加评审的业绩，能够提供用户出具的履约评价书，且评价为优（或满意等最高等次评价）的，每份得2分，评价为</w:t>
            </w:r>
            <w:r>
              <w:rPr>
                <w:rFonts w:hint="eastAsia" w:ascii="仿宋" w:hAnsi="仿宋" w:eastAsia="仿宋" w:cs="仿宋"/>
                <w:sz w:val="24"/>
                <w:szCs w:val="24"/>
                <w:lang w:val="en-US" w:eastAsia="zh-CN"/>
              </w:rPr>
              <w:t>良</w:t>
            </w:r>
            <w:r>
              <w:rPr>
                <w:rFonts w:hint="eastAsia" w:ascii="仿宋" w:hAnsi="仿宋" w:eastAsia="仿宋" w:cs="仿宋"/>
                <w:sz w:val="24"/>
                <w:szCs w:val="24"/>
              </w:rPr>
              <w:t>（或</w:t>
            </w:r>
            <w:r>
              <w:rPr>
                <w:rFonts w:hint="eastAsia" w:ascii="仿宋" w:hAnsi="仿宋" w:eastAsia="仿宋" w:cs="仿宋"/>
                <w:sz w:val="24"/>
                <w:szCs w:val="24"/>
                <w:lang w:val="en-US" w:eastAsia="zh-CN"/>
              </w:rPr>
              <w:t>合格</w:t>
            </w:r>
            <w:r>
              <w:rPr>
                <w:rFonts w:hint="eastAsia" w:ascii="仿宋" w:hAnsi="仿宋" w:eastAsia="仿宋" w:cs="仿宋"/>
                <w:sz w:val="24"/>
                <w:szCs w:val="24"/>
              </w:rPr>
              <w:t>、基本满意等居中档次评价）的，每份得1分，其他情况不得分；最高得5分。</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证明文件：</w:t>
            </w:r>
          </w:p>
          <w:p>
            <w:pPr>
              <w:rPr>
                <w:rFonts w:hint="eastAsia" w:ascii="仿宋" w:hAnsi="仿宋" w:eastAsia="仿宋" w:cs="仿宋"/>
                <w:sz w:val="24"/>
                <w:szCs w:val="24"/>
              </w:rPr>
            </w:pPr>
            <w:r>
              <w:rPr>
                <w:rFonts w:hint="eastAsia" w:ascii="仿宋" w:hAnsi="仿宋" w:eastAsia="仿宋" w:cs="仿宋"/>
                <w:sz w:val="24"/>
                <w:szCs w:val="24"/>
              </w:rPr>
              <w:t>投标人提供用户出具的履约评价书（加盖用户单位公章）原件扫描件，原件备查，未提供或提供不清晰导致无法判断的，不得分。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1" w:hRule="atLeast"/>
          <w:jc w:val="center"/>
        </w:trPr>
        <w:tc>
          <w:tcPr>
            <w:tcW w:w="680" w:type="dxa"/>
            <w:vMerge w:val="restart"/>
            <w:tcBorders>
              <w:top w:val="single" w:color="000000" w:sz="8" w:space="0"/>
              <w:left w:val="single" w:color="000000" w:sz="8" w:space="0"/>
              <w:right w:val="single" w:color="000000" w:sz="8" w:space="0"/>
            </w:tcBorders>
            <w:vAlign w:val="center"/>
          </w:tcPr>
          <w:p>
            <w:pPr>
              <w:rPr>
                <w:rFonts w:hint="eastAsia" w:ascii="仿宋" w:hAnsi="仿宋" w:eastAsia="仿宋" w:cs="仿宋"/>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93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服务方案</w:t>
            </w:r>
          </w:p>
        </w:tc>
        <w:tc>
          <w:tcPr>
            <w:tcW w:w="82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5328" w:type="dxa"/>
            <w:gridSpan w:val="2"/>
            <w:tcBorders>
              <w:top w:val="single" w:color="000000" w:sz="8" w:space="0"/>
              <w:left w:val="single" w:color="000000" w:sz="8" w:space="0"/>
              <w:bottom w:val="single" w:color="000000" w:sz="8" w:space="0"/>
              <w:right w:val="single" w:color="000000" w:sz="8" w:space="0"/>
            </w:tcBorders>
          </w:tcPr>
          <w:p>
            <w:pPr>
              <w:numPr>
                <w:ilvl w:val="0"/>
                <w:numId w:val="0"/>
              </w:numPr>
              <w:jc w:val="left"/>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（一）</w:t>
            </w:r>
            <w:r>
              <w:rPr>
                <w:rFonts w:hint="eastAsia" w:ascii="仿宋" w:hAnsi="仿宋" w:eastAsia="仿宋" w:cs="仿宋"/>
                <w:color w:val="000000"/>
                <w:sz w:val="24"/>
                <w:szCs w:val="24"/>
              </w:rPr>
              <w:t>评分内容：</w:t>
            </w:r>
          </w:p>
          <w:p>
            <w:pPr>
              <w:ind w:left="-78" w:leftChars="-37" w:right="-73" w:rightChars="-35"/>
              <w:jc w:val="left"/>
              <w:rPr>
                <w:rFonts w:hint="eastAsia" w:ascii="仿宋" w:hAnsi="仿宋" w:eastAsia="仿宋" w:cs="仿宋"/>
                <w:sz w:val="24"/>
                <w:szCs w:val="24"/>
              </w:rPr>
            </w:pPr>
            <w:r>
              <w:rPr>
                <w:rFonts w:hint="eastAsia" w:ascii="仿宋" w:hAnsi="仿宋" w:eastAsia="仿宋" w:cs="仿宋"/>
                <w:sz w:val="24"/>
                <w:szCs w:val="24"/>
                <w:lang w:val="en-US" w:eastAsia="zh-CN"/>
              </w:rPr>
              <w:t>根据</w:t>
            </w:r>
            <w:r>
              <w:rPr>
                <w:rFonts w:hint="eastAsia" w:ascii="仿宋" w:hAnsi="仿宋" w:eastAsia="仿宋" w:cs="仿宋"/>
                <w:sz w:val="24"/>
                <w:szCs w:val="24"/>
              </w:rPr>
              <w:t>投标人提供的服务方案响应情况进行评审：</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sz w:val="24"/>
                <w:szCs w:val="24"/>
              </w:rPr>
              <w:t>项目服务内容</w:t>
            </w:r>
          </w:p>
          <w:p>
            <w:pPr>
              <w:jc w:val="left"/>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2</w:t>
            </w:r>
            <w:r>
              <w:rPr>
                <w:rFonts w:hint="eastAsia" w:ascii="仿宋" w:hAnsi="仿宋" w:eastAsia="仿宋" w:cs="仿宋"/>
                <w:color w:val="000000"/>
                <w:sz w:val="24"/>
                <w:szCs w:val="24"/>
                <w:lang w:val="en-US" w:eastAsia="zh-CN"/>
              </w:rPr>
              <w:t>.</w:t>
            </w:r>
            <w:r>
              <w:rPr>
                <w:rFonts w:hint="eastAsia" w:ascii="仿宋" w:hAnsi="仿宋" w:eastAsia="仿宋" w:cs="仿宋"/>
                <w:sz w:val="24"/>
                <w:szCs w:val="24"/>
              </w:rPr>
              <w:t>实施</w:t>
            </w:r>
            <w:r>
              <w:rPr>
                <w:rFonts w:hint="eastAsia" w:ascii="仿宋" w:hAnsi="仿宋" w:eastAsia="仿宋" w:cs="仿宋"/>
                <w:sz w:val="24"/>
                <w:szCs w:val="24"/>
                <w:lang w:val="en-US" w:eastAsia="zh-CN"/>
              </w:rPr>
              <w:t>管理</w:t>
            </w:r>
          </w:p>
          <w:p>
            <w:pPr>
              <w:jc w:val="left"/>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sz w:val="24"/>
                <w:szCs w:val="24"/>
              </w:rPr>
              <w:t>进度</w:t>
            </w:r>
            <w:r>
              <w:rPr>
                <w:rFonts w:hint="eastAsia" w:ascii="仿宋" w:hAnsi="仿宋" w:eastAsia="仿宋" w:cs="仿宋"/>
                <w:sz w:val="24"/>
                <w:szCs w:val="24"/>
                <w:lang w:val="en-US" w:eastAsia="zh-CN"/>
              </w:rPr>
              <w:t>安排</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）评分标准：</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投标文件满足评审内容情况，每</w:t>
            </w:r>
            <w:r>
              <w:rPr>
                <w:rFonts w:hint="eastAsia" w:ascii="仿宋" w:hAnsi="仿宋" w:eastAsia="仿宋" w:cs="仿宋"/>
                <w:color w:val="000000"/>
                <w:sz w:val="24"/>
                <w:szCs w:val="24"/>
                <w:lang w:val="en-US" w:eastAsia="zh-CN"/>
              </w:rPr>
              <w:t>满足</w:t>
            </w:r>
            <w:r>
              <w:rPr>
                <w:rFonts w:hint="eastAsia" w:ascii="仿宋" w:hAnsi="仿宋" w:eastAsia="仿宋" w:cs="仿宋"/>
                <w:color w:val="000000"/>
                <w:sz w:val="24"/>
                <w:szCs w:val="24"/>
              </w:rPr>
              <w:t>1项得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分，本项最高得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未提供方案的不得分。</w:t>
            </w:r>
          </w:p>
          <w:p>
            <w:pPr>
              <w:jc w:val="left"/>
              <w:rPr>
                <w:rFonts w:hint="eastAsia"/>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在此基础上，根据方案的全面性、</w:t>
            </w:r>
            <w:r>
              <w:rPr>
                <w:rFonts w:hint="eastAsia" w:ascii="仿宋" w:hAnsi="仿宋" w:eastAsia="仿宋" w:cs="仿宋"/>
                <w:color w:val="000000"/>
                <w:sz w:val="24"/>
                <w:szCs w:val="24"/>
                <w:lang w:val="en-US" w:eastAsia="zh-CN"/>
              </w:rPr>
              <w:t>科学性、针对性、可行性</w:t>
            </w:r>
            <w:r>
              <w:rPr>
                <w:rFonts w:hint="eastAsia" w:ascii="仿宋" w:hAnsi="仿宋" w:eastAsia="仿宋" w:cs="仿宋"/>
                <w:color w:val="000000"/>
                <w:sz w:val="24"/>
                <w:szCs w:val="24"/>
              </w:rPr>
              <w:t>等进行评分。</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服务方案全面性、科学性、</w:t>
            </w:r>
            <w:r>
              <w:rPr>
                <w:rFonts w:hint="eastAsia" w:ascii="仿宋" w:hAnsi="仿宋" w:eastAsia="仿宋" w:cs="仿宋"/>
                <w:color w:val="000000"/>
                <w:sz w:val="24"/>
                <w:szCs w:val="24"/>
              </w:rPr>
              <w:t>针对性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可行性高的，为优</w:t>
            </w:r>
            <w:r>
              <w:rPr>
                <w:rFonts w:hint="eastAsia" w:ascii="仿宋" w:hAnsi="仿宋" w:eastAsia="仿宋" w:cs="仿宋"/>
                <w:color w:val="000000"/>
                <w:sz w:val="24"/>
                <w:szCs w:val="24"/>
                <w:lang w:val="en-US" w:eastAsia="zh-CN"/>
              </w:rPr>
              <w:t>加7</w:t>
            </w:r>
            <w:r>
              <w:rPr>
                <w:rFonts w:hint="eastAsia" w:ascii="仿宋" w:hAnsi="仿宋" w:eastAsia="仿宋" w:cs="仿宋"/>
                <w:color w:val="000000"/>
                <w:sz w:val="24"/>
                <w:szCs w:val="24"/>
              </w:rPr>
              <w:t>分；</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服务方案全面性、科学性、</w:t>
            </w:r>
            <w:r>
              <w:rPr>
                <w:rFonts w:hint="eastAsia" w:ascii="仿宋" w:hAnsi="仿宋" w:eastAsia="仿宋" w:cs="仿宋"/>
                <w:color w:val="000000"/>
                <w:sz w:val="24"/>
                <w:szCs w:val="24"/>
              </w:rPr>
              <w:t>针对性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可行性</w:t>
            </w:r>
            <w:r>
              <w:rPr>
                <w:rFonts w:hint="eastAsia" w:ascii="仿宋" w:hAnsi="仿宋" w:eastAsia="仿宋" w:cs="仿宋"/>
                <w:color w:val="000000"/>
                <w:sz w:val="24"/>
                <w:szCs w:val="24"/>
                <w:lang w:val="en-US" w:eastAsia="zh-CN"/>
              </w:rPr>
              <w:t>较</w:t>
            </w:r>
            <w:r>
              <w:rPr>
                <w:rFonts w:hint="eastAsia" w:ascii="仿宋" w:hAnsi="仿宋" w:eastAsia="仿宋" w:cs="仿宋"/>
                <w:color w:val="000000"/>
                <w:sz w:val="24"/>
                <w:szCs w:val="24"/>
              </w:rPr>
              <w:t>高的，</w:t>
            </w:r>
            <w:r>
              <w:rPr>
                <w:rFonts w:hint="eastAsia" w:ascii="仿宋" w:hAnsi="仿宋" w:eastAsia="仿宋" w:cs="仿宋"/>
                <w:sz w:val="24"/>
                <w:szCs w:val="24"/>
              </w:rPr>
              <w:t>为良</w:t>
            </w:r>
            <w:r>
              <w:rPr>
                <w:rFonts w:hint="eastAsia" w:ascii="仿宋" w:hAnsi="仿宋" w:eastAsia="仿宋" w:cs="仿宋"/>
                <w:color w:val="000000"/>
                <w:sz w:val="24"/>
                <w:szCs w:val="24"/>
                <w:lang w:val="en-US" w:eastAsia="zh-CN"/>
              </w:rPr>
              <w:t>加5</w:t>
            </w:r>
            <w:r>
              <w:rPr>
                <w:rFonts w:hint="eastAsia" w:ascii="仿宋" w:hAnsi="仿宋" w:eastAsia="仿宋" w:cs="仿宋"/>
                <w:color w:val="000000"/>
                <w:sz w:val="24"/>
                <w:szCs w:val="24"/>
              </w:rPr>
              <w:t>分；</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服务方案全面性、科学性、</w:t>
            </w:r>
            <w:r>
              <w:rPr>
                <w:rFonts w:hint="eastAsia" w:ascii="仿宋" w:hAnsi="仿宋" w:eastAsia="仿宋" w:cs="仿宋"/>
                <w:color w:val="000000"/>
                <w:sz w:val="24"/>
                <w:szCs w:val="24"/>
              </w:rPr>
              <w:t>针对性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可行性</w:t>
            </w:r>
            <w:r>
              <w:rPr>
                <w:rFonts w:hint="eastAsia" w:ascii="仿宋" w:hAnsi="仿宋" w:eastAsia="仿宋" w:cs="仿宋"/>
                <w:color w:val="000000"/>
                <w:sz w:val="24"/>
                <w:szCs w:val="24"/>
                <w:lang w:val="en-US" w:eastAsia="zh-CN"/>
              </w:rPr>
              <w:t>一般</w:t>
            </w:r>
            <w:r>
              <w:rPr>
                <w:rFonts w:hint="eastAsia" w:ascii="仿宋" w:hAnsi="仿宋" w:eastAsia="仿宋" w:cs="仿宋"/>
                <w:color w:val="000000"/>
                <w:sz w:val="24"/>
                <w:szCs w:val="24"/>
              </w:rPr>
              <w:t>的，</w:t>
            </w:r>
            <w:r>
              <w:rPr>
                <w:rFonts w:hint="eastAsia" w:ascii="仿宋" w:hAnsi="仿宋" w:eastAsia="仿宋" w:cs="仿宋"/>
                <w:sz w:val="24"/>
                <w:szCs w:val="24"/>
              </w:rPr>
              <w:t>为中</w:t>
            </w:r>
            <w:r>
              <w:rPr>
                <w:rFonts w:hint="eastAsia" w:ascii="仿宋" w:hAnsi="仿宋" w:eastAsia="仿宋" w:cs="仿宋"/>
                <w:color w:val="000000"/>
                <w:sz w:val="24"/>
                <w:szCs w:val="24"/>
                <w:lang w:val="en-US" w:eastAsia="zh-CN"/>
              </w:rPr>
              <w:t>加3</w:t>
            </w:r>
            <w:r>
              <w:rPr>
                <w:rFonts w:hint="eastAsia" w:ascii="仿宋" w:hAnsi="仿宋" w:eastAsia="仿宋" w:cs="仿宋"/>
                <w:color w:val="000000"/>
                <w:sz w:val="24"/>
                <w:szCs w:val="24"/>
              </w:rPr>
              <w:t>分。</w:t>
            </w:r>
          </w:p>
          <w:p>
            <w:pPr>
              <w:jc w:val="left"/>
              <w:rPr>
                <w:rFonts w:hint="eastAsia" w:ascii="仿宋" w:hAnsi="仿宋" w:eastAsia="仿宋" w:cs="仿宋"/>
                <w:b/>
                <w:sz w:val="24"/>
                <w:szCs w:val="24"/>
              </w:rPr>
            </w:pPr>
            <w:r>
              <w:rPr>
                <w:rFonts w:hint="eastAsia" w:ascii="仿宋" w:hAnsi="仿宋" w:eastAsia="仿宋" w:cs="仿宋"/>
                <w:color w:val="000000"/>
                <w:sz w:val="24"/>
                <w:szCs w:val="24"/>
              </w:rPr>
              <w:t>（4）</w:t>
            </w:r>
            <w:r>
              <w:rPr>
                <w:rFonts w:hint="eastAsia" w:ascii="仿宋" w:hAnsi="仿宋" w:eastAsia="仿宋" w:cs="仿宋"/>
                <w:kern w:val="0"/>
                <w:sz w:val="24"/>
                <w:szCs w:val="24"/>
              </w:rPr>
              <w:t>项</w:t>
            </w:r>
            <w:r>
              <w:rPr>
                <w:rFonts w:hint="eastAsia" w:ascii="仿宋" w:hAnsi="仿宋" w:eastAsia="仿宋" w:cs="仿宋"/>
                <w:color w:val="000000"/>
                <w:sz w:val="24"/>
                <w:szCs w:val="24"/>
                <w:lang w:val="en-US" w:eastAsia="zh-CN"/>
              </w:rPr>
              <w:t>服务方案全面性、科学性、</w:t>
            </w:r>
            <w:r>
              <w:rPr>
                <w:rFonts w:hint="eastAsia" w:ascii="仿宋" w:hAnsi="仿宋" w:eastAsia="仿宋" w:cs="仿宋"/>
                <w:color w:val="000000"/>
                <w:sz w:val="24"/>
                <w:szCs w:val="24"/>
              </w:rPr>
              <w:t>针对性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可行性</w:t>
            </w:r>
            <w:r>
              <w:rPr>
                <w:rFonts w:hint="eastAsia" w:ascii="仿宋" w:hAnsi="仿宋" w:eastAsia="仿宋" w:cs="仿宋"/>
                <w:color w:val="000000"/>
                <w:sz w:val="24"/>
                <w:szCs w:val="24"/>
                <w:lang w:val="en-US" w:eastAsia="zh-CN"/>
              </w:rPr>
              <w:t>差，或</w:t>
            </w:r>
            <w:r>
              <w:rPr>
                <w:rFonts w:hint="eastAsia" w:ascii="仿宋" w:hAnsi="仿宋" w:eastAsia="仿宋" w:cs="仿宋"/>
                <w:color w:val="000000"/>
                <w:sz w:val="24"/>
                <w:szCs w:val="24"/>
              </w:rPr>
              <w:t>未提供</w:t>
            </w:r>
            <w:r>
              <w:rPr>
                <w:rFonts w:hint="eastAsia" w:ascii="仿宋" w:hAnsi="仿宋" w:eastAsia="仿宋" w:cs="仿宋"/>
                <w:kern w:val="0"/>
                <w:sz w:val="24"/>
                <w:szCs w:val="24"/>
                <w:lang w:val="en-US" w:eastAsia="zh-CN"/>
              </w:rPr>
              <w:t>服务方案</w:t>
            </w:r>
            <w:r>
              <w:rPr>
                <w:rFonts w:hint="eastAsia" w:ascii="仿宋" w:hAnsi="仿宋" w:eastAsia="仿宋" w:cs="仿宋"/>
                <w:color w:val="000000"/>
                <w:sz w:val="24"/>
                <w:szCs w:val="24"/>
              </w:rPr>
              <w:t>的</w:t>
            </w:r>
            <w:r>
              <w:rPr>
                <w:rFonts w:hint="eastAsia" w:ascii="仿宋" w:hAnsi="仿宋" w:eastAsia="仿宋" w:cs="仿宋"/>
                <w:sz w:val="24"/>
                <w:szCs w:val="24"/>
              </w:rPr>
              <w:t>为</w:t>
            </w:r>
            <w:r>
              <w:rPr>
                <w:rFonts w:hint="eastAsia" w:ascii="仿宋" w:hAnsi="仿宋" w:eastAsia="仿宋" w:cs="仿宋"/>
                <w:sz w:val="24"/>
                <w:szCs w:val="24"/>
                <w:lang w:val="en-US" w:eastAsia="zh-CN"/>
              </w:rPr>
              <w:t>差，</w:t>
            </w:r>
            <w:r>
              <w:rPr>
                <w:rFonts w:hint="eastAsia" w:ascii="仿宋" w:hAnsi="仿宋" w:eastAsia="仿宋" w:cs="仿宋"/>
                <w:color w:val="000000"/>
                <w:sz w:val="24"/>
                <w:szCs w:val="24"/>
              </w:rPr>
              <w:t>不</w:t>
            </w:r>
            <w:r>
              <w:rPr>
                <w:rFonts w:hint="eastAsia" w:ascii="仿宋" w:hAnsi="仿宋" w:eastAsia="仿宋" w:cs="仿宋"/>
                <w:color w:val="000000"/>
                <w:sz w:val="24"/>
                <w:szCs w:val="24"/>
                <w:lang w:val="en-US" w:eastAsia="zh-CN"/>
              </w:rPr>
              <w:t>加</w:t>
            </w:r>
            <w:r>
              <w:rPr>
                <w:rFonts w:hint="eastAsia" w:ascii="仿宋" w:hAnsi="仿宋" w:eastAsia="仿宋" w:cs="仿宋"/>
                <w:color w:val="000000"/>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1" w:hRule="atLeast"/>
          <w:jc w:val="center"/>
        </w:trPr>
        <w:tc>
          <w:tcPr>
            <w:tcW w:w="680" w:type="dxa"/>
            <w:vMerge w:val="continue"/>
            <w:tcBorders>
              <w:left w:val="single" w:color="000000" w:sz="8" w:space="0"/>
              <w:right w:val="single" w:color="000000" w:sz="8" w:space="0"/>
            </w:tcBorders>
            <w:vAlign w:val="center"/>
          </w:tcPr>
          <w:p>
            <w:pPr>
              <w:rPr>
                <w:rFonts w:hint="eastAsia" w:ascii="仿宋" w:hAnsi="仿宋" w:eastAsia="仿宋" w:cs="仿宋"/>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93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项目重点难点分析、应对措施及相关的合理化建议</w:t>
            </w:r>
          </w:p>
        </w:tc>
        <w:tc>
          <w:tcPr>
            <w:tcW w:w="82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5328" w:type="dxa"/>
            <w:gridSpan w:val="2"/>
            <w:tcBorders>
              <w:top w:val="single" w:color="000000" w:sz="8" w:space="0"/>
              <w:left w:val="single" w:color="000000" w:sz="8" w:space="0"/>
              <w:bottom w:val="single" w:color="000000" w:sz="8" w:space="0"/>
              <w:right w:val="single" w:color="000000" w:sz="8" w:space="0"/>
            </w:tcBorders>
          </w:tcPr>
          <w:p>
            <w:pPr>
              <w:numPr>
                <w:ilvl w:val="0"/>
                <w:numId w:val="0"/>
              </w:numPr>
              <w:jc w:val="left"/>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（一）</w:t>
            </w:r>
            <w:r>
              <w:rPr>
                <w:rFonts w:hint="eastAsia" w:ascii="仿宋" w:hAnsi="仿宋" w:eastAsia="仿宋" w:cs="仿宋"/>
                <w:color w:val="000000"/>
                <w:sz w:val="24"/>
                <w:szCs w:val="24"/>
              </w:rPr>
              <w:t>评分内容：</w:t>
            </w:r>
          </w:p>
          <w:p>
            <w:pPr>
              <w:numPr>
                <w:ilvl w:val="0"/>
                <w:numId w:val="0"/>
              </w:numPr>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根据投标人提供的项目重点难点分析、应对措施及相关的合理化建议响应情况进行评审：</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项目重点难点分析</w:t>
            </w:r>
          </w:p>
          <w:p>
            <w:pPr>
              <w:jc w:val="left"/>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应对措施</w:t>
            </w:r>
          </w:p>
          <w:p>
            <w:pPr>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相关的合理化建议</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）评分标准：</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投标文件满足评审内容情况，每</w:t>
            </w:r>
            <w:r>
              <w:rPr>
                <w:rFonts w:hint="eastAsia" w:ascii="仿宋" w:hAnsi="仿宋" w:eastAsia="仿宋" w:cs="仿宋"/>
                <w:color w:val="000000"/>
                <w:sz w:val="24"/>
                <w:szCs w:val="24"/>
                <w:lang w:val="en-US" w:eastAsia="zh-CN"/>
              </w:rPr>
              <w:t>满足</w:t>
            </w:r>
            <w:r>
              <w:rPr>
                <w:rFonts w:hint="eastAsia" w:ascii="仿宋" w:hAnsi="仿宋" w:eastAsia="仿宋" w:cs="仿宋"/>
                <w:color w:val="000000"/>
                <w:sz w:val="24"/>
                <w:szCs w:val="24"/>
              </w:rPr>
              <w:t>1项得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分，本项最高得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未提供方案的不得分。</w:t>
            </w:r>
          </w:p>
          <w:p>
            <w:pPr>
              <w:jc w:val="left"/>
              <w:rPr>
                <w:rFonts w:hint="eastAsia"/>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在此基础上，根据方案的全面性、</w:t>
            </w:r>
            <w:r>
              <w:rPr>
                <w:rFonts w:hint="eastAsia" w:ascii="仿宋" w:hAnsi="仿宋" w:eastAsia="仿宋" w:cs="仿宋"/>
                <w:color w:val="000000"/>
                <w:sz w:val="24"/>
                <w:szCs w:val="24"/>
                <w:lang w:val="en-US" w:eastAsia="zh-CN"/>
              </w:rPr>
              <w:t>针对性、可行性</w:t>
            </w:r>
            <w:r>
              <w:rPr>
                <w:rFonts w:hint="eastAsia" w:ascii="仿宋" w:hAnsi="仿宋" w:eastAsia="仿宋" w:cs="仿宋"/>
                <w:color w:val="000000"/>
                <w:sz w:val="24"/>
                <w:szCs w:val="24"/>
              </w:rPr>
              <w:t>等进行评分。</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（1）项目重点难点分析、应对措施及相关的合理化建议</w:t>
            </w:r>
            <w:r>
              <w:rPr>
                <w:rFonts w:hint="eastAsia" w:ascii="仿宋" w:hAnsi="仿宋" w:eastAsia="仿宋" w:cs="仿宋"/>
                <w:color w:val="000000"/>
                <w:sz w:val="24"/>
                <w:szCs w:val="24"/>
                <w:lang w:val="en-US" w:eastAsia="zh-CN"/>
              </w:rPr>
              <w:t>全面性、</w:t>
            </w:r>
            <w:r>
              <w:rPr>
                <w:rFonts w:hint="eastAsia" w:ascii="仿宋" w:hAnsi="仿宋" w:eastAsia="仿宋" w:cs="仿宋"/>
                <w:color w:val="000000"/>
                <w:sz w:val="24"/>
                <w:szCs w:val="24"/>
              </w:rPr>
              <w:t>针对性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可行性高的，为优</w:t>
            </w:r>
            <w:r>
              <w:rPr>
                <w:rFonts w:hint="eastAsia" w:ascii="仿宋" w:hAnsi="仿宋" w:eastAsia="仿宋" w:cs="仿宋"/>
                <w:color w:val="000000"/>
                <w:sz w:val="24"/>
                <w:szCs w:val="24"/>
                <w:lang w:val="en-US" w:eastAsia="zh-CN"/>
              </w:rPr>
              <w:t>加7</w:t>
            </w:r>
            <w:r>
              <w:rPr>
                <w:rFonts w:hint="eastAsia" w:ascii="仿宋" w:hAnsi="仿宋" w:eastAsia="仿宋" w:cs="仿宋"/>
                <w:color w:val="000000"/>
                <w:sz w:val="24"/>
                <w:szCs w:val="24"/>
              </w:rPr>
              <w:t>分；</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kern w:val="0"/>
                <w:sz w:val="24"/>
                <w:szCs w:val="24"/>
              </w:rPr>
              <w:t>项目重点难点分析、应对措施及相关的合理化建议</w:t>
            </w:r>
            <w:r>
              <w:rPr>
                <w:rFonts w:hint="eastAsia" w:ascii="仿宋" w:hAnsi="仿宋" w:eastAsia="仿宋" w:cs="仿宋"/>
                <w:color w:val="000000"/>
                <w:sz w:val="24"/>
                <w:szCs w:val="24"/>
                <w:lang w:val="en-US" w:eastAsia="zh-CN"/>
              </w:rPr>
              <w:t>全面性、</w:t>
            </w:r>
            <w:r>
              <w:rPr>
                <w:rFonts w:hint="eastAsia" w:ascii="仿宋" w:hAnsi="仿宋" w:eastAsia="仿宋" w:cs="仿宋"/>
                <w:color w:val="000000"/>
                <w:sz w:val="24"/>
                <w:szCs w:val="24"/>
              </w:rPr>
              <w:t>针对性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可行性</w:t>
            </w:r>
            <w:r>
              <w:rPr>
                <w:rFonts w:hint="eastAsia" w:ascii="仿宋" w:hAnsi="仿宋" w:eastAsia="仿宋" w:cs="仿宋"/>
                <w:color w:val="000000"/>
                <w:sz w:val="24"/>
                <w:szCs w:val="24"/>
                <w:lang w:val="en-US" w:eastAsia="zh-CN"/>
              </w:rPr>
              <w:t>较</w:t>
            </w:r>
            <w:r>
              <w:rPr>
                <w:rFonts w:hint="eastAsia" w:ascii="仿宋" w:hAnsi="仿宋" w:eastAsia="仿宋" w:cs="仿宋"/>
                <w:color w:val="000000"/>
                <w:sz w:val="24"/>
                <w:szCs w:val="24"/>
              </w:rPr>
              <w:t>高的，</w:t>
            </w:r>
            <w:r>
              <w:rPr>
                <w:rFonts w:hint="eastAsia" w:ascii="仿宋" w:hAnsi="仿宋" w:eastAsia="仿宋" w:cs="仿宋"/>
                <w:sz w:val="24"/>
                <w:szCs w:val="24"/>
              </w:rPr>
              <w:t>为良</w:t>
            </w:r>
            <w:r>
              <w:rPr>
                <w:rFonts w:hint="eastAsia" w:ascii="仿宋" w:hAnsi="仿宋" w:eastAsia="仿宋" w:cs="仿宋"/>
                <w:color w:val="000000"/>
                <w:sz w:val="24"/>
                <w:szCs w:val="24"/>
                <w:lang w:val="en-US" w:eastAsia="zh-CN"/>
              </w:rPr>
              <w:t>加5</w:t>
            </w:r>
            <w:r>
              <w:rPr>
                <w:rFonts w:hint="eastAsia" w:ascii="仿宋" w:hAnsi="仿宋" w:eastAsia="仿宋" w:cs="仿宋"/>
                <w:color w:val="000000"/>
                <w:sz w:val="24"/>
                <w:szCs w:val="24"/>
              </w:rPr>
              <w:t>分；</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kern w:val="0"/>
                <w:sz w:val="24"/>
                <w:szCs w:val="24"/>
              </w:rPr>
              <w:t>项目重点难点分析、应对措施及相关的合理化建议</w:t>
            </w:r>
            <w:r>
              <w:rPr>
                <w:rFonts w:hint="eastAsia" w:ascii="仿宋" w:hAnsi="仿宋" w:eastAsia="仿宋" w:cs="仿宋"/>
                <w:color w:val="000000"/>
                <w:sz w:val="24"/>
                <w:szCs w:val="24"/>
                <w:lang w:val="en-US" w:eastAsia="zh-CN"/>
              </w:rPr>
              <w:t>全面性、</w:t>
            </w:r>
            <w:r>
              <w:rPr>
                <w:rFonts w:hint="eastAsia" w:ascii="仿宋" w:hAnsi="仿宋" w:eastAsia="仿宋" w:cs="仿宋"/>
                <w:color w:val="000000"/>
                <w:sz w:val="24"/>
                <w:szCs w:val="24"/>
              </w:rPr>
              <w:t>针对性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可行性</w:t>
            </w:r>
            <w:r>
              <w:rPr>
                <w:rFonts w:hint="eastAsia" w:ascii="仿宋" w:hAnsi="仿宋" w:eastAsia="仿宋" w:cs="仿宋"/>
                <w:color w:val="000000"/>
                <w:sz w:val="24"/>
                <w:szCs w:val="24"/>
                <w:lang w:val="en-US" w:eastAsia="zh-CN"/>
              </w:rPr>
              <w:t>一般</w:t>
            </w:r>
            <w:r>
              <w:rPr>
                <w:rFonts w:hint="eastAsia" w:ascii="仿宋" w:hAnsi="仿宋" w:eastAsia="仿宋" w:cs="仿宋"/>
                <w:color w:val="000000"/>
                <w:sz w:val="24"/>
                <w:szCs w:val="24"/>
              </w:rPr>
              <w:t>的，</w:t>
            </w:r>
            <w:r>
              <w:rPr>
                <w:rFonts w:hint="eastAsia" w:ascii="仿宋" w:hAnsi="仿宋" w:eastAsia="仿宋" w:cs="仿宋"/>
                <w:sz w:val="24"/>
                <w:szCs w:val="24"/>
              </w:rPr>
              <w:t>为中</w:t>
            </w:r>
            <w:r>
              <w:rPr>
                <w:rFonts w:hint="eastAsia" w:ascii="仿宋" w:hAnsi="仿宋" w:eastAsia="仿宋" w:cs="仿宋"/>
                <w:color w:val="000000"/>
                <w:sz w:val="24"/>
                <w:szCs w:val="24"/>
                <w:lang w:val="en-US" w:eastAsia="zh-CN"/>
              </w:rPr>
              <w:t>加3</w:t>
            </w:r>
            <w:r>
              <w:rPr>
                <w:rFonts w:hint="eastAsia" w:ascii="仿宋" w:hAnsi="仿宋" w:eastAsia="仿宋" w:cs="仿宋"/>
                <w:color w:val="000000"/>
                <w:sz w:val="24"/>
                <w:szCs w:val="24"/>
              </w:rPr>
              <w:t>分。</w:t>
            </w:r>
          </w:p>
          <w:p>
            <w:pPr>
              <w:jc w:val="left"/>
              <w:rPr>
                <w:rFonts w:hint="eastAsia" w:ascii="仿宋" w:hAnsi="仿宋" w:eastAsia="仿宋" w:cs="仿宋"/>
                <w:b/>
                <w:sz w:val="24"/>
                <w:szCs w:val="24"/>
              </w:rPr>
            </w:pPr>
            <w:r>
              <w:rPr>
                <w:rFonts w:hint="eastAsia" w:ascii="仿宋" w:hAnsi="仿宋" w:eastAsia="仿宋" w:cs="仿宋"/>
                <w:color w:val="000000"/>
                <w:sz w:val="24"/>
                <w:szCs w:val="24"/>
              </w:rPr>
              <w:t>（4）</w:t>
            </w:r>
            <w:r>
              <w:rPr>
                <w:rFonts w:hint="eastAsia" w:ascii="仿宋" w:hAnsi="仿宋" w:eastAsia="仿宋" w:cs="仿宋"/>
                <w:kern w:val="0"/>
                <w:sz w:val="24"/>
                <w:szCs w:val="24"/>
              </w:rPr>
              <w:t>项目重点难点分析、应对措施及相关的合理化建议</w:t>
            </w:r>
            <w:r>
              <w:rPr>
                <w:rFonts w:hint="eastAsia" w:ascii="仿宋" w:hAnsi="仿宋" w:eastAsia="仿宋" w:cs="仿宋"/>
                <w:color w:val="000000"/>
                <w:sz w:val="24"/>
                <w:szCs w:val="24"/>
                <w:lang w:val="en-US" w:eastAsia="zh-CN"/>
              </w:rPr>
              <w:t>全面性、</w:t>
            </w:r>
            <w:r>
              <w:rPr>
                <w:rFonts w:hint="eastAsia" w:ascii="仿宋" w:hAnsi="仿宋" w:eastAsia="仿宋" w:cs="仿宋"/>
                <w:color w:val="000000"/>
                <w:sz w:val="24"/>
                <w:szCs w:val="24"/>
              </w:rPr>
              <w:t>针对性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可行性</w:t>
            </w:r>
            <w:r>
              <w:rPr>
                <w:rFonts w:hint="eastAsia" w:ascii="仿宋" w:hAnsi="仿宋" w:eastAsia="仿宋" w:cs="仿宋"/>
                <w:color w:val="000000"/>
                <w:sz w:val="24"/>
                <w:szCs w:val="24"/>
                <w:lang w:val="en-US" w:eastAsia="zh-CN"/>
              </w:rPr>
              <w:t>差，或</w:t>
            </w:r>
            <w:r>
              <w:rPr>
                <w:rFonts w:hint="eastAsia" w:ascii="仿宋" w:hAnsi="仿宋" w:eastAsia="仿宋" w:cs="仿宋"/>
                <w:color w:val="000000"/>
                <w:sz w:val="24"/>
                <w:szCs w:val="24"/>
              </w:rPr>
              <w:t>未提供</w:t>
            </w:r>
            <w:r>
              <w:rPr>
                <w:rFonts w:hint="eastAsia" w:ascii="仿宋" w:hAnsi="仿宋" w:eastAsia="仿宋" w:cs="仿宋"/>
                <w:kern w:val="0"/>
                <w:sz w:val="24"/>
                <w:szCs w:val="24"/>
              </w:rPr>
              <w:t>项目重点难点分析、应对措施及相关的合理化建议</w:t>
            </w:r>
            <w:r>
              <w:rPr>
                <w:rFonts w:hint="eastAsia" w:ascii="仿宋" w:hAnsi="仿宋" w:eastAsia="仿宋" w:cs="仿宋"/>
                <w:color w:val="000000"/>
                <w:sz w:val="24"/>
                <w:szCs w:val="24"/>
              </w:rPr>
              <w:t>的</w:t>
            </w:r>
            <w:r>
              <w:rPr>
                <w:rFonts w:hint="eastAsia" w:ascii="仿宋" w:hAnsi="仿宋" w:eastAsia="仿宋" w:cs="仿宋"/>
                <w:sz w:val="24"/>
                <w:szCs w:val="24"/>
              </w:rPr>
              <w:t>为</w:t>
            </w:r>
            <w:r>
              <w:rPr>
                <w:rFonts w:hint="eastAsia" w:ascii="仿宋" w:hAnsi="仿宋" w:eastAsia="仿宋" w:cs="仿宋"/>
                <w:sz w:val="24"/>
                <w:szCs w:val="24"/>
                <w:lang w:val="en-US" w:eastAsia="zh-CN"/>
              </w:rPr>
              <w:t>差，</w:t>
            </w:r>
            <w:r>
              <w:rPr>
                <w:rFonts w:hint="eastAsia" w:ascii="仿宋" w:hAnsi="仿宋" w:eastAsia="仿宋" w:cs="仿宋"/>
                <w:color w:val="000000"/>
                <w:sz w:val="24"/>
                <w:szCs w:val="24"/>
              </w:rPr>
              <w:t>不</w:t>
            </w:r>
            <w:r>
              <w:rPr>
                <w:rFonts w:hint="eastAsia" w:ascii="仿宋" w:hAnsi="仿宋" w:eastAsia="仿宋" w:cs="仿宋"/>
                <w:color w:val="000000"/>
                <w:sz w:val="24"/>
                <w:szCs w:val="24"/>
                <w:lang w:val="en-US" w:eastAsia="zh-CN"/>
              </w:rPr>
              <w:t>加</w:t>
            </w:r>
            <w:r>
              <w:rPr>
                <w:rFonts w:hint="eastAsia" w:ascii="仿宋" w:hAnsi="仿宋" w:eastAsia="仿宋" w:cs="仿宋"/>
                <w:color w:val="000000"/>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1" w:hRule="atLeast"/>
          <w:jc w:val="center"/>
        </w:trPr>
        <w:tc>
          <w:tcPr>
            <w:tcW w:w="680" w:type="dxa"/>
            <w:vMerge w:val="continue"/>
            <w:tcBorders>
              <w:left w:val="single" w:color="000000" w:sz="8" w:space="0"/>
              <w:bottom w:val="single" w:color="000000" w:sz="8" w:space="0"/>
              <w:right w:val="single" w:color="000000" w:sz="8" w:space="0"/>
            </w:tcBorders>
            <w:vAlign w:val="center"/>
          </w:tcPr>
          <w:p>
            <w:pPr>
              <w:rPr>
                <w:rFonts w:hint="eastAsia" w:ascii="仿宋" w:hAnsi="仿宋" w:eastAsia="仿宋" w:cs="仿宋"/>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93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诚信管理情况</w:t>
            </w:r>
          </w:p>
        </w:tc>
        <w:tc>
          <w:tcPr>
            <w:tcW w:w="82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5328" w:type="dxa"/>
            <w:gridSpan w:val="2"/>
            <w:tcBorders>
              <w:top w:val="single" w:color="000000" w:sz="8" w:space="0"/>
              <w:left w:val="single" w:color="000000" w:sz="8" w:space="0"/>
              <w:bottom w:val="single" w:color="000000" w:sz="8" w:space="0"/>
              <w:right w:val="single" w:color="000000" w:sz="8" w:space="0"/>
            </w:tcBorders>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（一）评审内容：</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（二）评分依据：</w:t>
            </w:r>
          </w:p>
          <w:p>
            <w:pPr>
              <w:jc w:val="left"/>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sz w:val="24"/>
                <w:szCs w:val="24"/>
              </w:rPr>
              <w:t>采购人通过“信用中国</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中国政府采购网</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深圳市政府采购监管网”等渠道查询供应商信用信息，投标人无需提供证明材料。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nil"/>
              <w:right w:val="single" w:color="000000" w:sz="8" w:space="0"/>
            </w:tcBorders>
          </w:tcPr>
          <w:p>
            <w:pPr>
              <w:jc w:val="center"/>
              <w:rPr>
                <w:rFonts w:hint="eastAsia" w:ascii="仿宋" w:hAnsi="仿宋" w:eastAsia="仿宋" w:cs="仿宋"/>
                <w:b/>
                <w:bCs/>
                <w:color w:val="0000FF"/>
                <w:sz w:val="24"/>
                <w:szCs w:val="24"/>
              </w:rPr>
            </w:pPr>
            <w:r>
              <w:rPr>
                <w:rFonts w:hint="eastAsia" w:ascii="仿宋" w:hAnsi="仿宋" w:eastAsia="仿宋" w:cs="仿宋"/>
                <w:b/>
                <w:bCs/>
                <w:color w:val="0000FF"/>
                <w:sz w:val="24"/>
                <w:szCs w:val="24"/>
              </w:rPr>
              <w:t>3</w:t>
            </w:r>
          </w:p>
        </w:tc>
        <w:tc>
          <w:tcPr>
            <w:tcW w:w="3437" w:type="dxa"/>
            <w:gridSpan w:val="3"/>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0000FF"/>
                <w:sz w:val="24"/>
                <w:szCs w:val="24"/>
              </w:rPr>
            </w:pPr>
            <w:r>
              <w:rPr>
                <w:rFonts w:hint="eastAsia" w:ascii="仿宋" w:hAnsi="仿宋" w:eastAsia="仿宋" w:cs="仿宋"/>
                <w:b/>
                <w:bCs/>
                <w:color w:val="0000FF"/>
                <w:sz w:val="24"/>
                <w:szCs w:val="24"/>
              </w:rPr>
              <w:t>技术部分</w:t>
            </w:r>
          </w:p>
        </w:tc>
        <w:tc>
          <w:tcPr>
            <w:tcW w:w="5328" w:type="dxa"/>
            <w:gridSpan w:val="2"/>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0000FF"/>
                <w:sz w:val="24"/>
                <w:szCs w:val="24"/>
                <w:lang w:eastAsia="zh-CN"/>
              </w:rPr>
            </w:pPr>
            <w:r>
              <w:rPr>
                <w:rFonts w:hint="eastAsia" w:ascii="仿宋" w:hAnsi="仿宋" w:eastAsia="仿宋" w:cs="仿宋"/>
                <w:b/>
                <w:bCs/>
                <w:color w:val="0000FF"/>
                <w:sz w:val="24"/>
                <w:szCs w:val="24"/>
              </w:rPr>
              <w:t>4</w:t>
            </w:r>
            <w:r>
              <w:rPr>
                <w:rFonts w:hint="eastAsia" w:ascii="仿宋" w:hAnsi="仿宋" w:eastAsia="仿宋" w:cs="仿宋"/>
                <w:b/>
                <w:bCs/>
                <w:color w:val="0000FF"/>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4" w:hRule="atLeast"/>
          <w:jc w:val="center"/>
        </w:trPr>
        <w:tc>
          <w:tcPr>
            <w:tcW w:w="680" w:type="dxa"/>
            <w:vMerge w:val="continue"/>
            <w:tcBorders>
              <w:top w:val="nil"/>
              <w:left w:val="single" w:color="000000" w:sz="8" w:space="0"/>
              <w:bottom w:val="nil"/>
              <w:right w:val="single" w:color="000000" w:sz="8" w:space="0"/>
            </w:tcBorders>
            <w:vAlign w:val="center"/>
          </w:tcPr>
          <w:p>
            <w:pPr>
              <w:rPr>
                <w:rFonts w:hint="eastAsia" w:ascii="仿宋" w:hAnsi="仿宋" w:eastAsia="仿宋" w:cs="仿宋"/>
                <w:b/>
                <w:bCs/>
                <w:color w:val="0000FF"/>
                <w:sz w:val="24"/>
                <w:szCs w:val="24"/>
              </w:rPr>
            </w:pPr>
          </w:p>
        </w:tc>
        <w:tc>
          <w:tcPr>
            <w:tcW w:w="8765" w:type="dxa"/>
            <w:gridSpan w:val="5"/>
            <w:tcBorders>
              <w:top w:val="single" w:color="000000" w:sz="8" w:space="0"/>
              <w:left w:val="single" w:color="000000" w:sz="8" w:space="0"/>
              <w:bottom w:val="single" w:color="000000" w:sz="8" w:space="0"/>
              <w:right w:val="single" w:color="000000" w:sz="8" w:space="0"/>
            </w:tcBorders>
          </w:tcPr>
          <w:p>
            <w:pP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auto" w:sz="0" w:space="0"/>
              <w:left w:val="single" w:color="000000" w:sz="8" w:space="0"/>
              <w:bottom w:val="single" w:color="auto" w:sz="0" w:space="0"/>
              <w:right w:val="single" w:color="000000" w:sz="8" w:space="0"/>
            </w:tcBorders>
            <w:shd w:val="clear" w:color="auto" w:fill="E6EFFA"/>
            <w:vAlign w:val="center"/>
          </w:tcPr>
          <w:p>
            <w:pPr>
              <w:rPr>
                <w:rFonts w:hint="eastAsia" w:ascii="仿宋" w:hAnsi="仿宋" w:eastAsia="仿宋" w:cs="仿宋"/>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32"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sz w:val="24"/>
                <w:szCs w:val="24"/>
              </w:rPr>
            </w:pPr>
            <w:r>
              <w:rPr>
                <w:rFonts w:hint="eastAsia" w:ascii="仿宋" w:hAnsi="仿宋" w:eastAsia="仿宋" w:cs="仿宋"/>
                <w:sz w:val="24"/>
                <w:szCs w:val="24"/>
              </w:rPr>
              <w:t>评分因素</w:t>
            </w:r>
          </w:p>
        </w:tc>
        <w:tc>
          <w:tcPr>
            <w:tcW w:w="1636"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sz w:val="24"/>
                <w:szCs w:val="24"/>
              </w:rPr>
            </w:pPr>
            <w:r>
              <w:rPr>
                <w:rFonts w:hint="eastAsia" w:ascii="仿宋" w:hAnsi="仿宋" w:eastAsia="仿宋" w:cs="仿宋"/>
                <w:sz w:val="24"/>
                <w:szCs w:val="24"/>
              </w:rPr>
              <w:t>分值范围</w:t>
            </w:r>
          </w:p>
        </w:tc>
        <w:tc>
          <w:tcPr>
            <w:tcW w:w="4517"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sz w:val="24"/>
                <w:szCs w:val="24"/>
              </w:rPr>
            </w:pPr>
            <w:r>
              <w:rPr>
                <w:rFonts w:hint="eastAsia" w:ascii="仿宋" w:hAnsi="仿宋" w:eastAsia="仿宋" w:cs="仿宋"/>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nil"/>
              <w:left w:val="single" w:color="000000" w:sz="8" w:space="0"/>
              <w:bottom w:val="nil"/>
              <w:right w:val="single" w:color="000000" w:sz="8" w:space="0"/>
            </w:tcBorders>
            <w:vAlign w:val="center"/>
          </w:tcPr>
          <w:p>
            <w:pPr>
              <w:rPr>
                <w:rFonts w:hint="eastAsia" w:ascii="仿宋" w:hAnsi="仿宋" w:eastAsia="仿宋" w:cs="仿宋"/>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pStyle w:val="2"/>
              <w:rPr>
                <w:rFonts w:hint="eastAsia"/>
              </w:rPr>
            </w:pPr>
          </w:p>
          <w:p>
            <w:pPr>
              <w:pStyle w:val="2"/>
              <w:rPr>
                <w:rFonts w:hint="eastAsia" w:ascii="仿宋" w:hAnsi="仿宋" w:eastAsia="仿宋" w:cs="仿宋"/>
                <w:sz w:val="24"/>
                <w:szCs w:val="24"/>
              </w:rPr>
            </w:pPr>
          </w:p>
          <w:p>
            <w:pPr>
              <w:rPr>
                <w:rFonts w:hint="eastAsia"/>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3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pStyle w:val="2"/>
              <w:rPr>
                <w:rFonts w:hint="eastAsia"/>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拟安排的项目团队情况（含项目负责人，项目团队成员）</w:t>
            </w:r>
          </w:p>
        </w:tc>
        <w:tc>
          <w:tcPr>
            <w:tcW w:w="825" w:type="dxa"/>
            <w:tcBorders>
              <w:top w:val="single" w:color="000000" w:sz="8" w:space="0"/>
              <w:left w:val="single" w:color="000000" w:sz="8" w:space="0"/>
              <w:bottom w:val="single" w:color="000000" w:sz="8" w:space="0"/>
              <w:right w:val="single" w:color="000000" w:sz="8" w:space="0"/>
            </w:tcBorders>
            <w:vAlign w:val="center"/>
          </w:tcPr>
          <w:p>
            <w:pPr>
              <w:ind w:firstLine="120" w:firstLineChars="50"/>
              <w:jc w:val="left"/>
              <w:rPr>
                <w:rFonts w:hint="eastAsia" w:ascii="仿宋" w:hAnsi="仿宋" w:eastAsia="仿宋" w:cs="仿宋"/>
                <w:sz w:val="24"/>
                <w:szCs w:val="24"/>
              </w:rPr>
            </w:pPr>
            <w:r>
              <w:rPr>
                <w:rFonts w:hint="eastAsia" w:ascii="仿宋" w:hAnsi="仿宋" w:eastAsia="仿宋" w:cs="仿宋"/>
                <w:sz w:val="24"/>
                <w:szCs w:val="24"/>
              </w:rPr>
              <w:t>10</w:t>
            </w:r>
          </w:p>
        </w:tc>
        <w:tc>
          <w:tcPr>
            <w:tcW w:w="5328" w:type="dxa"/>
            <w:gridSpan w:val="2"/>
            <w:tcBorders>
              <w:top w:val="single" w:color="000000" w:sz="8" w:space="0"/>
              <w:left w:val="single" w:color="000000" w:sz="8" w:space="0"/>
              <w:bottom w:val="single" w:color="000000" w:sz="8" w:space="0"/>
              <w:right w:val="single" w:color="000000" w:sz="8" w:space="0"/>
            </w:tcBorders>
          </w:tcPr>
          <w:p>
            <w:pPr>
              <w:numPr>
                <w:ilvl w:val="0"/>
                <w:numId w:val="5"/>
              </w:numPr>
              <w:ind w:left="0" w:hanging="318"/>
              <w:rPr>
                <w:rFonts w:hint="eastAsia" w:ascii="仿宋" w:hAnsi="仿宋" w:eastAsia="仿宋" w:cs="仿宋"/>
                <w:b/>
                <w:sz w:val="24"/>
                <w:szCs w:val="24"/>
              </w:rPr>
            </w:pPr>
            <w:r>
              <w:rPr>
                <w:rFonts w:hint="eastAsia" w:ascii="仿宋" w:hAnsi="仿宋" w:eastAsia="仿宋" w:cs="仿宋"/>
                <w:b/>
                <w:sz w:val="24"/>
                <w:szCs w:val="24"/>
              </w:rPr>
              <w:t>（一）评审内容</w:t>
            </w:r>
          </w:p>
          <w:p>
            <w:pPr>
              <w:numPr>
                <w:ilvl w:val="0"/>
                <w:numId w:val="5"/>
              </w:numPr>
              <w:ind w:left="0" w:hanging="318"/>
              <w:rPr>
                <w:rFonts w:hint="eastAsia" w:ascii="仿宋" w:hAnsi="仿宋" w:eastAsia="仿宋" w:cs="仿宋"/>
                <w:sz w:val="24"/>
                <w:szCs w:val="24"/>
              </w:rPr>
            </w:pPr>
            <w:r>
              <w:rPr>
                <w:rFonts w:hint="eastAsia" w:ascii="仿宋" w:hAnsi="仿宋" w:eastAsia="仿宋" w:cs="仿宋"/>
                <w:sz w:val="24"/>
                <w:szCs w:val="24"/>
              </w:rPr>
              <w:t>拟安排的项目团队人员要求，需为投标人自有员工，否则本项不得分。在此基础上：</w:t>
            </w:r>
          </w:p>
          <w:p>
            <w:pPr>
              <w:numPr>
                <w:ilvl w:val="0"/>
                <w:numId w:val="5"/>
              </w:numPr>
              <w:ind w:left="0" w:hanging="318"/>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w:t>
            </w:r>
            <w:r>
              <w:rPr>
                <w:rFonts w:hint="eastAsia" w:ascii="仿宋" w:hAnsi="仿宋" w:eastAsia="仿宋" w:cs="仿宋"/>
                <w:b/>
                <w:sz w:val="24"/>
                <w:szCs w:val="24"/>
              </w:rPr>
              <w:t>拟安排的项目负责人（1名）：</w:t>
            </w:r>
            <w:r>
              <w:rPr>
                <w:rFonts w:hint="eastAsia" w:ascii="仿宋" w:hAnsi="仿宋" w:eastAsia="仿宋" w:cs="仿宋"/>
                <w:b/>
                <w:sz w:val="24"/>
                <w:szCs w:val="24"/>
                <w:lang w:val="en-US" w:eastAsia="zh-CN"/>
              </w:rPr>
              <w:t>5</w:t>
            </w:r>
            <w:r>
              <w:rPr>
                <w:rFonts w:hint="eastAsia" w:ascii="仿宋" w:hAnsi="仿宋" w:eastAsia="仿宋" w:cs="仿宋"/>
                <w:b/>
                <w:sz w:val="24"/>
                <w:szCs w:val="24"/>
              </w:rPr>
              <w:t>分</w:t>
            </w:r>
          </w:p>
          <w:p>
            <w:pPr>
              <w:numPr>
                <w:ilvl w:val="0"/>
                <w:numId w:val="5"/>
              </w:numPr>
              <w:ind w:left="0" w:hanging="318"/>
              <w:rPr>
                <w:rFonts w:hint="eastAsia" w:ascii="仿宋" w:hAnsi="仿宋" w:eastAsia="仿宋" w:cs="仿宋"/>
                <w:sz w:val="24"/>
                <w:szCs w:val="24"/>
              </w:rPr>
            </w:pPr>
            <w:r>
              <w:rPr>
                <w:rFonts w:hint="eastAsia" w:ascii="仿宋" w:hAnsi="仿宋" w:eastAsia="仿宋" w:cs="仿宋"/>
                <w:sz w:val="24"/>
                <w:szCs w:val="24"/>
              </w:rPr>
              <w:t>（1）具有公安部第三研究所颁发的网络安全等级测评师证书，高级得3分，中级得2分，初级得1分，无网络安全等级测评师证书的，项目负责人部分整体不得分；</w:t>
            </w:r>
          </w:p>
          <w:p>
            <w:pPr>
              <w:numPr>
                <w:ilvl w:val="0"/>
                <w:numId w:val="5"/>
              </w:numPr>
              <w:ind w:left="0" w:hanging="318"/>
              <w:rPr>
                <w:rFonts w:hint="eastAsia" w:ascii="仿宋" w:hAnsi="仿宋" w:eastAsia="仿宋" w:cs="仿宋"/>
                <w:sz w:val="24"/>
                <w:szCs w:val="24"/>
              </w:rPr>
            </w:pPr>
            <w:r>
              <w:rPr>
                <w:rFonts w:hint="eastAsia" w:ascii="仿宋" w:hAnsi="仿宋" w:eastAsia="仿宋" w:cs="仿宋"/>
                <w:sz w:val="24"/>
                <w:szCs w:val="24"/>
              </w:rPr>
              <w:t>（2）具有国家</w:t>
            </w:r>
            <w:r>
              <w:rPr>
                <w:rFonts w:hint="eastAsia" w:ascii="仿宋" w:hAnsi="仿宋" w:eastAsia="仿宋" w:cs="仿宋"/>
                <w:sz w:val="24"/>
                <w:szCs w:val="24"/>
                <w:lang w:val="en-US" w:eastAsia="zh-CN"/>
              </w:rPr>
              <w:t>相关</w:t>
            </w:r>
            <w:r>
              <w:rPr>
                <w:rFonts w:hint="eastAsia" w:ascii="仿宋" w:hAnsi="仿宋" w:eastAsia="仿宋" w:cs="仿宋"/>
                <w:sz w:val="24"/>
                <w:szCs w:val="24"/>
              </w:rPr>
              <w:t>部门颁发的其他信息安全相关证书的（如CISP系列证书、CCSC证书等），每项加1分，最高加</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numPr>
                <w:ilvl w:val="0"/>
                <w:numId w:val="5"/>
              </w:numPr>
              <w:ind w:left="0" w:hanging="318"/>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w:t>
            </w:r>
            <w:r>
              <w:rPr>
                <w:rFonts w:hint="eastAsia" w:ascii="仿宋" w:hAnsi="仿宋" w:eastAsia="仿宋" w:cs="仿宋"/>
                <w:b/>
                <w:sz w:val="24"/>
                <w:szCs w:val="24"/>
              </w:rPr>
              <w:t>拟安排的项目团队其他成员（不含负责人）：</w:t>
            </w:r>
            <w:r>
              <w:rPr>
                <w:rFonts w:hint="eastAsia" w:ascii="仿宋" w:hAnsi="仿宋" w:eastAsia="仿宋" w:cs="仿宋"/>
                <w:b/>
                <w:sz w:val="24"/>
                <w:szCs w:val="24"/>
                <w:lang w:val="en-US" w:eastAsia="zh-CN"/>
              </w:rPr>
              <w:t>5</w:t>
            </w:r>
            <w:r>
              <w:rPr>
                <w:rFonts w:hint="eastAsia" w:ascii="仿宋" w:hAnsi="仿宋" w:eastAsia="仿宋" w:cs="仿宋"/>
                <w:b/>
                <w:sz w:val="24"/>
                <w:szCs w:val="24"/>
              </w:rPr>
              <w:t>分</w:t>
            </w:r>
          </w:p>
          <w:p>
            <w:pPr>
              <w:numPr>
                <w:ilvl w:val="0"/>
                <w:numId w:val="6"/>
              </w:numPr>
              <w:ind w:left="0" w:hanging="318"/>
              <w:rPr>
                <w:rFonts w:hint="eastAsia" w:ascii="仿宋" w:hAnsi="仿宋" w:eastAsia="仿宋" w:cs="仿宋"/>
                <w:sz w:val="24"/>
                <w:szCs w:val="24"/>
              </w:rPr>
            </w:pPr>
            <w:r>
              <w:rPr>
                <w:rFonts w:hint="eastAsia" w:ascii="仿宋" w:hAnsi="仿宋" w:eastAsia="仿宋" w:cs="仿宋"/>
                <w:sz w:val="24"/>
                <w:szCs w:val="24"/>
              </w:rPr>
              <w:t>（1）具有</w:t>
            </w:r>
            <w:r>
              <w:rPr>
                <w:rFonts w:hint="eastAsia" w:ascii="仿宋" w:hAnsi="仿宋" w:eastAsia="仿宋" w:cs="仿宋"/>
                <w:sz w:val="24"/>
                <w:szCs w:val="24"/>
                <w:highlight w:val="none"/>
              </w:rPr>
              <w:t>公安部第三研究所</w:t>
            </w:r>
            <w:r>
              <w:rPr>
                <w:rFonts w:hint="eastAsia" w:ascii="仿宋" w:hAnsi="仿宋" w:eastAsia="仿宋" w:cs="仿宋"/>
                <w:sz w:val="24"/>
                <w:szCs w:val="24"/>
              </w:rPr>
              <w:t>颁发的网络安全等级测评师证书，提供1个高级得3分，提供1个中级得2分，提供1个初级得1分，其他不得分；</w:t>
            </w:r>
          </w:p>
          <w:p>
            <w:pPr>
              <w:numPr>
                <w:ilvl w:val="0"/>
                <w:numId w:val="6"/>
              </w:numPr>
              <w:ind w:left="0" w:hanging="318"/>
              <w:rPr>
                <w:rFonts w:hint="eastAsia" w:ascii="仿宋" w:hAnsi="仿宋" w:eastAsia="仿宋" w:cs="仿宋"/>
                <w:sz w:val="24"/>
                <w:szCs w:val="24"/>
              </w:rPr>
            </w:pPr>
            <w:r>
              <w:rPr>
                <w:rFonts w:hint="eastAsia" w:ascii="仿宋" w:hAnsi="仿宋" w:eastAsia="仿宋" w:cs="仿宋"/>
                <w:sz w:val="24"/>
                <w:szCs w:val="24"/>
              </w:rPr>
              <w:t>（2）具有国家</w:t>
            </w:r>
            <w:r>
              <w:rPr>
                <w:rFonts w:hint="eastAsia" w:ascii="仿宋" w:hAnsi="仿宋" w:eastAsia="仿宋" w:cs="仿宋"/>
                <w:sz w:val="24"/>
                <w:szCs w:val="24"/>
                <w:lang w:val="en-US" w:eastAsia="zh-CN"/>
              </w:rPr>
              <w:t>相关</w:t>
            </w:r>
            <w:r>
              <w:rPr>
                <w:rFonts w:hint="eastAsia" w:ascii="仿宋" w:hAnsi="仿宋" w:eastAsia="仿宋" w:cs="仿宋"/>
                <w:sz w:val="24"/>
                <w:szCs w:val="24"/>
              </w:rPr>
              <w:t>部门颁发的其他信息安全相关证书的（如CISP系列证书、CCSC证书等），每项加1分</w:t>
            </w:r>
            <w:r>
              <w:rPr>
                <w:rFonts w:hint="eastAsia" w:ascii="仿宋" w:hAnsi="仿宋" w:eastAsia="仿宋" w:cs="仿宋"/>
                <w:sz w:val="24"/>
                <w:szCs w:val="24"/>
                <w:lang w:eastAsia="zh-CN"/>
              </w:rPr>
              <w:t>，</w:t>
            </w:r>
            <w:r>
              <w:rPr>
                <w:rFonts w:hint="eastAsia" w:ascii="仿宋" w:hAnsi="仿宋" w:eastAsia="仿宋" w:cs="仿宋"/>
                <w:sz w:val="24"/>
                <w:szCs w:val="24"/>
              </w:rPr>
              <w:t>本项最高得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numPr>
                <w:ilvl w:val="0"/>
                <w:numId w:val="5"/>
              </w:numPr>
              <w:ind w:left="0" w:hanging="318"/>
              <w:rPr>
                <w:rFonts w:hint="eastAsia" w:ascii="仿宋" w:hAnsi="仿宋" w:eastAsia="仿宋" w:cs="仿宋"/>
                <w:sz w:val="24"/>
                <w:szCs w:val="24"/>
              </w:rPr>
            </w:pPr>
            <w:r>
              <w:rPr>
                <w:rFonts w:hint="eastAsia" w:ascii="仿宋" w:hAnsi="仿宋" w:eastAsia="仿宋" w:cs="仿宋"/>
                <w:b/>
                <w:sz w:val="24"/>
                <w:szCs w:val="24"/>
              </w:rPr>
              <w:t>（二）评审依据</w:t>
            </w:r>
          </w:p>
          <w:p>
            <w:pPr>
              <w:numPr>
                <w:ilvl w:val="0"/>
                <w:numId w:val="5"/>
              </w:numPr>
              <w:ind w:left="0" w:hanging="318"/>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要求提供投标人相关证书资料作为得分依据；</w:t>
            </w:r>
          </w:p>
          <w:p>
            <w:pPr>
              <w:numPr>
                <w:ilvl w:val="0"/>
                <w:numId w:val="5"/>
              </w:numPr>
              <w:ind w:left="0" w:hanging="318"/>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考察自有员工的，要求投标人提供由投标人为其缴交的载有政府部门公章（或专用章）的近</w:t>
            </w:r>
            <w:r>
              <w:rPr>
                <w:rFonts w:hint="eastAsia" w:ascii="仿宋" w:hAnsi="仿宋" w:eastAsia="仿宋" w:cs="仿宋"/>
                <w:sz w:val="24"/>
                <w:szCs w:val="24"/>
                <w:lang w:val="en-US" w:eastAsia="zh-CN"/>
              </w:rPr>
              <w:t>1</w:t>
            </w:r>
            <w:r>
              <w:rPr>
                <w:rFonts w:hint="eastAsia" w:ascii="仿宋" w:hAnsi="仿宋" w:eastAsia="仿宋" w:cs="仿宋"/>
                <w:sz w:val="24"/>
                <w:szCs w:val="24"/>
              </w:rPr>
              <w:t>个月社保缴交证明材料（社保缴交证明须体现缴费单位名称，只体现代码的需同时提供其代码与缴费单位名称对应的证明材料（具体指系统查询证明或政府部门出具的证明），否则不予认可）。若供应商成立不足</w:t>
            </w:r>
            <w:r>
              <w:rPr>
                <w:rFonts w:hint="eastAsia" w:ascii="仿宋" w:hAnsi="仿宋" w:eastAsia="仿宋" w:cs="仿宋"/>
                <w:sz w:val="24"/>
                <w:szCs w:val="24"/>
                <w:lang w:val="en-US" w:eastAsia="zh-CN"/>
              </w:rPr>
              <w:t>1</w:t>
            </w:r>
            <w:r>
              <w:rPr>
                <w:rFonts w:hint="eastAsia" w:ascii="仿宋" w:hAnsi="仿宋" w:eastAsia="仿宋" w:cs="仿宋"/>
                <w:sz w:val="24"/>
                <w:szCs w:val="24"/>
              </w:rPr>
              <w:t>个月的，需提供成立情况说明函（格式自拟），无需提供相关人员社保，亦可得分；若为退休返聘人员，需提供说明函（格式自拟），无需提供相关人员社保，亦可得分；</w:t>
            </w:r>
          </w:p>
          <w:p>
            <w:pPr>
              <w:numPr>
                <w:ilvl w:val="0"/>
                <w:numId w:val="5"/>
              </w:numPr>
              <w:ind w:left="0" w:hanging="318"/>
              <w:rPr>
                <w:rFonts w:hint="eastAsia" w:ascii="仿宋" w:hAnsi="仿宋" w:eastAsia="仿宋" w:cs="仿宋"/>
                <w:kern w:val="0"/>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以上资料均要求提供扫描件或复印件，原件备查。评分中出现无证明资料或专家无法凭所提供资料判断是否得分的情况，一律作不得分处理。</w:t>
            </w:r>
            <w:r>
              <w:rPr>
                <w:rFonts w:hint="eastAsia" w:ascii="仿宋" w:hAnsi="仿宋" w:eastAsia="仿宋" w:cs="仿宋"/>
                <w:b/>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8" w:hRule="atLeast"/>
          <w:jc w:val="center"/>
        </w:trPr>
        <w:tc>
          <w:tcPr>
            <w:tcW w:w="680" w:type="dxa"/>
            <w:vMerge w:val="continue"/>
            <w:tcBorders>
              <w:left w:val="single" w:color="000000" w:sz="8" w:space="0"/>
              <w:right w:val="single" w:color="000000" w:sz="8" w:space="0"/>
            </w:tcBorders>
            <w:vAlign w:val="center"/>
          </w:tcPr>
          <w:p>
            <w:pPr>
              <w:rPr>
                <w:rFonts w:hint="eastAsia" w:ascii="仿宋" w:hAnsi="仿宋" w:eastAsia="仿宋" w:cs="仿宋"/>
                <w:b/>
                <w:bCs/>
                <w:color w:val="0000FF"/>
                <w:sz w:val="24"/>
                <w:szCs w:val="24"/>
              </w:rPr>
            </w:pPr>
          </w:p>
        </w:tc>
        <w:tc>
          <w:tcPr>
            <w:tcW w:w="680" w:type="dxa"/>
            <w:tcBorders>
              <w:top w:val="single" w:color="000000" w:sz="8" w:space="0"/>
              <w:left w:val="single" w:color="000000" w:sz="8" w:space="0"/>
              <w:right w:val="single" w:color="000000" w:sz="8"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932" w:type="dxa"/>
            <w:tcBorders>
              <w:top w:val="single" w:color="000000" w:sz="8" w:space="0"/>
              <w:left w:val="single" w:color="000000" w:sz="8" w:space="0"/>
              <w:right w:val="single" w:color="000000" w:sz="8" w:space="0"/>
            </w:tcBorders>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kern w:val="0"/>
                <w:sz w:val="24"/>
                <w:szCs w:val="24"/>
              </w:rPr>
              <w:t>技术条款响应情况</w:t>
            </w:r>
          </w:p>
        </w:tc>
        <w:tc>
          <w:tcPr>
            <w:tcW w:w="825" w:type="dxa"/>
            <w:tcBorders>
              <w:top w:val="single" w:color="000000" w:sz="8" w:space="0"/>
              <w:left w:val="single" w:color="000000" w:sz="8" w:space="0"/>
              <w:right w:val="single" w:color="000000" w:sz="8"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p>
        </w:tc>
        <w:tc>
          <w:tcPr>
            <w:tcW w:w="5328" w:type="dxa"/>
            <w:gridSpan w:val="2"/>
            <w:tcBorders>
              <w:top w:val="single" w:color="000000" w:sz="8" w:space="0"/>
              <w:left w:val="single" w:color="000000" w:sz="8" w:space="0"/>
              <w:bottom w:val="single" w:color="000000" w:sz="8" w:space="0"/>
              <w:right w:val="single" w:color="000000" w:sz="8" w:space="0"/>
            </w:tcBorders>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投标人应按照</w:t>
            </w:r>
            <w:r>
              <w:rPr>
                <w:rFonts w:hint="eastAsia" w:ascii="仿宋" w:hAnsi="仿宋" w:eastAsia="仿宋" w:cs="仿宋"/>
                <w:color w:val="000000"/>
                <w:sz w:val="24"/>
                <w:szCs w:val="24"/>
                <w:lang w:val="en-US" w:eastAsia="zh-CN"/>
              </w:rPr>
              <w:t>招标文件中的技术及质量参数要求</w:t>
            </w:r>
            <w:r>
              <w:rPr>
                <w:rFonts w:hint="eastAsia" w:ascii="仿宋" w:hAnsi="仿宋" w:eastAsia="仿宋" w:cs="仿宋"/>
                <w:color w:val="000000"/>
                <w:sz w:val="24"/>
                <w:szCs w:val="24"/>
              </w:rPr>
              <w:t>，如实填写《技术条款偏离表》，评审委员会根据技术需求参数响应情况进行打分，各项技术参数指标及要求全部满足的得满分2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分，带“★”号的参数为实质性条款，任意一项负偏离视为该投标人不符合招投标要求，直接淘汰，带“▲”号参数为重要参数，</w:t>
            </w:r>
            <w:r>
              <w:rPr>
                <w:rFonts w:hint="eastAsia" w:ascii="仿宋" w:hAnsi="仿宋" w:eastAsia="仿宋" w:cs="仿宋"/>
                <w:color w:val="000000"/>
                <w:sz w:val="24"/>
                <w:szCs w:val="24"/>
                <w:lang w:eastAsia="zh-CN"/>
              </w:rPr>
              <w:t>每</w:t>
            </w:r>
            <w:r>
              <w:rPr>
                <w:rFonts w:hint="eastAsia" w:ascii="仿宋" w:hAnsi="仿宋" w:eastAsia="仿宋" w:cs="仿宋"/>
                <w:color w:val="000000"/>
                <w:sz w:val="24"/>
                <w:szCs w:val="24"/>
              </w:rPr>
              <w:t>负偏离一项扣5分，一般参数每负偏离一项扣1分，扣完为止。</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提供资料：</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提供产品功能证明</w:t>
            </w:r>
            <w:r>
              <w:rPr>
                <w:rFonts w:hint="eastAsia" w:ascii="仿宋" w:hAnsi="仿宋" w:eastAsia="仿宋" w:cs="仿宋"/>
                <w:color w:val="000000"/>
                <w:sz w:val="24"/>
                <w:szCs w:val="24"/>
              </w:rPr>
              <w:t>”包括产品功能截图或产品彩页</w:t>
            </w:r>
            <w:r>
              <w:rPr>
                <w:rFonts w:hint="eastAsia" w:ascii="仿宋" w:hAnsi="仿宋" w:eastAsia="仿宋" w:cs="仿宋"/>
                <w:color w:val="000000"/>
                <w:sz w:val="24"/>
                <w:szCs w:val="24"/>
                <w:lang w:val="en-US" w:eastAsia="zh-CN"/>
              </w:rPr>
              <w:t>说明</w:t>
            </w:r>
            <w:r>
              <w:rPr>
                <w:rFonts w:hint="eastAsia" w:ascii="仿宋" w:hAnsi="仿宋" w:eastAsia="仿宋" w:cs="仿宋"/>
                <w:color w:val="000000"/>
                <w:sz w:val="24"/>
                <w:szCs w:val="24"/>
              </w:rPr>
              <w:t>或技术白皮书或产品宣传画册或官网截图（附链接）</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，评</w:t>
            </w:r>
            <w:r>
              <w:rPr>
                <w:rFonts w:hint="eastAsia" w:ascii="仿宋" w:hAnsi="仿宋" w:eastAsia="仿宋" w:cs="仿宋"/>
                <w:sz w:val="24"/>
                <w:szCs w:val="24"/>
              </w:rPr>
              <w:t>分中出现无证明资料或专家无法凭所提供资料判断是否得分的情况，</w:t>
            </w:r>
            <w:r>
              <w:rPr>
                <w:rFonts w:hint="eastAsia" w:ascii="仿宋" w:hAnsi="仿宋" w:eastAsia="仿宋" w:cs="仿宋"/>
                <w:color w:val="000000"/>
                <w:sz w:val="24"/>
                <w:szCs w:val="24"/>
              </w:rPr>
              <w:t>否则一律作不得分处理。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8" w:hRule="atLeast"/>
          <w:jc w:val="center"/>
        </w:trPr>
        <w:tc>
          <w:tcPr>
            <w:tcW w:w="680" w:type="dxa"/>
            <w:vMerge w:val="continue"/>
            <w:tcBorders>
              <w:left w:val="single" w:color="000000" w:sz="8" w:space="0"/>
              <w:bottom w:val="single" w:color="000000" w:sz="8" w:space="0"/>
              <w:right w:val="single" w:color="000000" w:sz="8" w:space="0"/>
            </w:tcBorders>
            <w:vAlign w:val="center"/>
          </w:tcPr>
          <w:p>
            <w:pPr>
              <w:rPr>
                <w:rFonts w:hint="eastAsia" w:ascii="仿宋" w:hAnsi="仿宋" w:eastAsia="仿宋" w:cs="仿宋"/>
                <w:b/>
                <w:bCs/>
                <w:color w:val="0000FF"/>
                <w:sz w:val="24"/>
                <w:szCs w:val="24"/>
              </w:rPr>
            </w:pPr>
          </w:p>
        </w:tc>
        <w:tc>
          <w:tcPr>
            <w:tcW w:w="680" w:type="dxa"/>
            <w:tcBorders>
              <w:top w:val="single" w:color="000000" w:sz="8" w:space="0"/>
              <w:left w:val="single" w:color="000000" w:sz="8" w:space="0"/>
              <w:right w:val="single" w:color="000000" w:sz="8"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932" w:type="dxa"/>
            <w:tcBorders>
              <w:top w:val="single" w:color="000000" w:sz="8" w:space="0"/>
              <w:left w:val="single" w:color="000000" w:sz="8" w:space="0"/>
              <w:right w:val="single" w:color="000000" w:sz="8" w:space="0"/>
            </w:tcBorders>
            <w:vAlign w:val="center"/>
          </w:tcPr>
          <w:p>
            <w:pPr>
              <w:pStyle w:val="7"/>
              <w:spacing w:line="360" w:lineRule="auto"/>
              <w:ind w:firstLine="0"/>
              <w:jc w:val="center"/>
              <w:rPr>
                <w:rFonts w:hint="eastAsia" w:ascii="仿宋" w:hAnsi="仿宋" w:eastAsia="仿宋" w:cs="仿宋"/>
                <w:kern w:val="0"/>
                <w:sz w:val="24"/>
                <w:szCs w:val="24"/>
              </w:rPr>
            </w:pPr>
            <w:r>
              <w:rPr>
                <w:rFonts w:hint="eastAsia" w:ascii="仿宋" w:hAnsi="仿宋" w:eastAsia="仿宋" w:cs="仿宋"/>
                <w:color w:val="000000"/>
                <w:sz w:val="24"/>
                <w:szCs w:val="24"/>
              </w:rPr>
              <w:t>投标人自主知识产权产品（创新、设计）情况</w:t>
            </w:r>
          </w:p>
        </w:tc>
        <w:tc>
          <w:tcPr>
            <w:tcW w:w="825" w:type="dxa"/>
            <w:tcBorders>
              <w:top w:val="single" w:color="000000" w:sz="8" w:space="0"/>
              <w:left w:val="single" w:color="000000" w:sz="8" w:space="0"/>
              <w:right w:val="single" w:color="000000" w:sz="8" w:space="0"/>
            </w:tcBorders>
            <w:vAlign w:val="center"/>
          </w:tcPr>
          <w:p>
            <w:pPr>
              <w:ind w:firstLine="120" w:firstLineChars="50"/>
              <w:jc w:val="left"/>
              <w:rPr>
                <w:rFonts w:hint="eastAsia" w:ascii="仿宋" w:hAnsi="仿宋" w:eastAsia="仿宋" w:cs="仿宋"/>
                <w:sz w:val="24"/>
                <w:szCs w:val="24"/>
              </w:rPr>
            </w:pPr>
            <w:r>
              <w:rPr>
                <w:rFonts w:hint="eastAsia" w:ascii="仿宋" w:hAnsi="仿宋" w:eastAsia="仿宋" w:cs="仿宋"/>
                <w:sz w:val="24"/>
                <w:szCs w:val="24"/>
              </w:rPr>
              <w:t>10</w:t>
            </w:r>
          </w:p>
        </w:tc>
        <w:tc>
          <w:tcPr>
            <w:tcW w:w="5328" w:type="dxa"/>
            <w:gridSpan w:val="2"/>
            <w:tcBorders>
              <w:top w:val="single" w:color="000000" w:sz="8" w:space="0"/>
              <w:left w:val="single" w:color="000000" w:sz="8" w:space="0"/>
              <w:bottom w:val="single" w:color="000000" w:sz="8" w:space="0"/>
              <w:right w:val="single" w:color="000000" w:sz="8" w:space="0"/>
            </w:tcBorders>
            <w:vAlign w:val="center"/>
          </w:tcPr>
          <w:p>
            <w:pPr>
              <w:numPr>
                <w:ilvl w:val="0"/>
                <w:numId w:val="5"/>
              </w:numPr>
              <w:ind w:left="0" w:hanging="318"/>
              <w:rPr>
                <w:rFonts w:hint="eastAsia" w:ascii="仿宋" w:hAnsi="仿宋" w:eastAsia="仿宋" w:cs="仿宋"/>
                <w:b/>
                <w:sz w:val="24"/>
                <w:szCs w:val="24"/>
              </w:rPr>
            </w:pPr>
            <w:r>
              <w:rPr>
                <w:rFonts w:hint="eastAsia" w:ascii="仿宋" w:hAnsi="仿宋" w:eastAsia="仿宋" w:cs="仿宋"/>
                <w:b/>
                <w:sz w:val="24"/>
                <w:szCs w:val="24"/>
              </w:rPr>
              <w:t>（一）评审内容</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考察投标人具有软件著作权登记证书情况：</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（1）投标人具有等保测</w:t>
            </w:r>
            <w:r>
              <w:rPr>
                <w:rFonts w:hint="eastAsia" w:ascii="仿宋" w:hAnsi="仿宋" w:eastAsia="仿宋" w:cs="仿宋"/>
                <w:color w:val="000000"/>
                <w:sz w:val="24"/>
                <w:szCs w:val="24"/>
                <w:highlight w:val="none"/>
              </w:rPr>
              <w:t>评相关软件著作权登记证书，每份得2分；</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（2）投标人具有等保测评相关发明专利证书，</w:t>
            </w:r>
            <w:r>
              <w:rPr>
                <w:rFonts w:hint="eastAsia" w:ascii="仿宋" w:hAnsi="仿宋" w:eastAsia="仿宋" w:cs="仿宋"/>
                <w:color w:val="000000"/>
                <w:sz w:val="24"/>
                <w:szCs w:val="24"/>
              </w:rPr>
              <w:t>每份得2分；</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以著作权和专利证书份数计算得分，与等保测评无直接关系的证书不计分，本项最高得10分。</w:t>
            </w:r>
          </w:p>
          <w:p>
            <w:pPr>
              <w:numPr>
                <w:ilvl w:val="0"/>
                <w:numId w:val="5"/>
              </w:numPr>
              <w:ind w:left="0" w:hanging="318"/>
              <w:rPr>
                <w:rFonts w:hint="eastAsia" w:ascii="仿宋" w:hAnsi="仿宋" w:eastAsia="仿宋" w:cs="仿宋"/>
                <w:b/>
                <w:sz w:val="24"/>
                <w:szCs w:val="24"/>
              </w:rPr>
            </w:pPr>
            <w:r>
              <w:rPr>
                <w:rFonts w:hint="eastAsia" w:ascii="仿宋" w:hAnsi="仿宋" w:eastAsia="仿宋" w:cs="仿宋"/>
                <w:b/>
                <w:sz w:val="24"/>
                <w:szCs w:val="24"/>
              </w:rPr>
              <w:t>（二）评审依据</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1.自有：提供软件著作权证书、发明专利证书盖章复印件（著作权人、发明人须为投标人）。</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购买或租赁：提供软件著作权证书、发明专利证书盖章复印件（著作权人、发明人须为出售/出租方）、购买（或租赁）合同、购买（或租赁）发票。</w:t>
            </w:r>
          </w:p>
          <w:p>
            <w:pPr>
              <w:jc w:val="left"/>
              <w:rPr>
                <w:rFonts w:hint="eastAsia" w:ascii="仿宋" w:hAnsi="仿宋" w:eastAsia="仿宋" w:cs="仿宋"/>
                <w:sz w:val="24"/>
                <w:szCs w:val="24"/>
              </w:rPr>
            </w:pPr>
            <w:r>
              <w:rPr>
                <w:rFonts w:hint="eastAsia" w:ascii="仿宋" w:hAnsi="仿宋" w:eastAsia="仿宋" w:cs="仿宋"/>
                <w:color w:val="000000"/>
                <w:sz w:val="24"/>
                <w:szCs w:val="24"/>
              </w:rPr>
              <w:t>3.评分中出现无证明资料或专家无法凭所提供资料判断是否得分的情况，一律作不得分处理。</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eastAsia" w:ascii="黑体" w:hAnsi="黑体" w:eastAsia="黑体" w:cs="黑体"/>
          <w:sz w:val="32"/>
          <w:szCs w:val="32"/>
        </w:rPr>
      </w:pPr>
      <w:r>
        <w:rPr>
          <w:rFonts w:hint="eastAsia" w:ascii="黑体" w:hAnsi="黑体" w:eastAsia="黑体" w:cs="黑体"/>
          <w:b/>
          <w:bCs/>
          <w:kern w:val="0"/>
          <w:sz w:val="32"/>
          <w:szCs w:val="32"/>
          <w:lang w:val="en-US" w:eastAsia="zh-CN" w:bidi="ar-SA"/>
        </w:rPr>
        <w:t>十六、</w:t>
      </w:r>
      <w:r>
        <w:rPr>
          <w:rFonts w:hint="eastAsia" w:ascii="黑体" w:hAnsi="黑体" w:eastAsia="黑体" w:cs="黑体"/>
          <w:sz w:val="32"/>
          <w:szCs w:val="32"/>
        </w:rPr>
        <w:t>政策导向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（1）投标人提供的服务全部均由优惠主体承接，则对其投标总价给予</w:t>
      </w:r>
      <w:r>
        <w:rPr>
          <w:rFonts w:hint="eastAsia" w:ascii="仿宋_GB2312" w:hAnsi="仿宋_GB2312" w:eastAsia="仿宋_GB2312" w:cs="仿宋_GB2312"/>
          <w:b/>
          <w:bCs w:val="0"/>
          <w:kern w:val="0"/>
          <w:sz w:val="28"/>
          <w:szCs w:val="28"/>
          <w:u w:val="single"/>
        </w:rPr>
        <w:t>10%</w:t>
      </w:r>
      <w:r>
        <w:rPr>
          <w:rFonts w:hint="eastAsia" w:ascii="仿宋_GB2312" w:hAnsi="仿宋_GB2312" w:eastAsia="仿宋_GB2312" w:cs="仿宋_GB2312"/>
          <w:bCs/>
          <w:kern w:val="0"/>
          <w:sz w:val="28"/>
          <w:szCs w:val="28"/>
        </w:rPr>
        <w:t>的扣除，用扣除后的价格参与评审。满足多项优惠政策的企业，不重复享受多项价格扣除政策。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根据《工业和信息化部、国家统计局、国家发展和改革委员会、财政部关于印发中小企业划型标准规定的通知》（工信部联企业〔2011〕300号），本项目采购标的（项目需求）对应的中小企业划分标准所属行业为</w:t>
      </w:r>
      <w:r>
        <w:rPr>
          <w:rFonts w:hint="eastAsia" w:ascii="仿宋_GB2312" w:hAnsi="仿宋_GB2312" w:eastAsia="仿宋_GB2312" w:cs="仿宋_GB2312"/>
          <w:b/>
          <w:bCs w:val="0"/>
          <w:kern w:val="0"/>
          <w:sz w:val="28"/>
          <w:szCs w:val="28"/>
          <w:u w:val="single"/>
          <w:lang w:val="en-US" w:eastAsia="zh-CN"/>
        </w:rPr>
        <w:t>软件和信息技术服务业</w:t>
      </w:r>
      <w:r>
        <w:rPr>
          <w:rFonts w:hint="eastAsia" w:ascii="仿宋_GB2312" w:hAnsi="仿宋_GB2312" w:eastAsia="仿宋_GB2312" w:cs="仿宋_GB2312"/>
          <w:bCs/>
          <w:kern w:val="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（3）小型企业、微型企业、残疾人福利性单位作为优惠主体的认定资料为《中小企业声明函</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残疾人福利性单位声明函》；监狱企业作为优惠主体的认定资料为省级以上监狱管理局、戒毒管理局出具的监狱企业证明文件。监狱企业或者代理提供监狱企业货物的供应商如须享受优惠政策，除上述资料外，还须提供省级以上监狱管理局、戒毒管理局出具的监狱企业证明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享受价格扣除获得政府采购合同的，小微企业不得将合同分包给大中型企业。根据《工业和信息化部、国家统计局、国家发展和改革委员会、财政部关于印发中小企业划型标准规定的通知》（工信部联企业〔2011〕300号），本项目采购标的（项目需求）对应的中小企业划分标准所属行业为</w:t>
      </w:r>
      <w:r>
        <w:rPr>
          <w:rFonts w:hint="eastAsia" w:ascii="仿宋_GB2312" w:hAnsi="仿宋_GB2312" w:eastAsia="仿宋_GB2312" w:cs="仿宋_GB2312"/>
          <w:b w:val="0"/>
          <w:bCs/>
          <w:kern w:val="0"/>
          <w:sz w:val="28"/>
          <w:szCs w:val="28"/>
          <w:u w:val="none"/>
          <w:lang w:val="en-US" w:eastAsia="zh-CN"/>
        </w:rPr>
        <w:t>工</w:t>
      </w:r>
      <w:r>
        <w:rPr>
          <w:rFonts w:hint="eastAsia" w:ascii="仿宋_GB2312" w:hAnsi="仿宋_GB2312" w:eastAsia="仿宋_GB2312" w:cs="仿宋_GB2312"/>
          <w:b w:val="0"/>
          <w:bCs/>
          <w:kern w:val="0"/>
          <w:sz w:val="28"/>
          <w:szCs w:val="28"/>
          <w:u w:val="none"/>
          <w:lang w:eastAsia="zh-CN"/>
        </w:rPr>
        <w:t>业</w:t>
      </w:r>
      <w:r>
        <w:rPr>
          <w:rFonts w:hint="eastAsia" w:ascii="仿宋_GB2312" w:hAnsi="仿宋_GB2312" w:eastAsia="仿宋_GB2312" w:cs="仿宋_GB2312"/>
          <w:bCs/>
          <w:kern w:val="0"/>
          <w:sz w:val="28"/>
          <w:szCs w:val="28"/>
        </w:rPr>
        <w:t>。</w:t>
      </w:r>
    </w:p>
    <w:p>
      <w:pPr>
        <w:numPr>
          <w:ilvl w:val="0"/>
          <w:numId w:val="0"/>
        </w:numPr>
        <w:jc w:val="center"/>
        <w:rPr>
          <w:rFonts w:ascii="仿宋_GB2312" w:hAnsi="仿宋_GB2312" w:eastAsia="仿宋_GB2312" w:cs="仿宋_GB2312"/>
          <w:b/>
          <w:bCs/>
          <w:kern w:val="2"/>
          <w:sz w:val="36"/>
          <w:szCs w:val="36"/>
          <w:lang w:val="en-US" w:eastAsia="zh-CN" w:bidi="ar-SA"/>
        </w:rPr>
      </w:pPr>
    </w:p>
    <w:p>
      <w:pPr>
        <w:pStyle w:val="21"/>
        <w:rPr>
          <w:rFonts w:ascii="仿宋_GB2312" w:hAnsi="仿宋_GB2312" w:eastAsia="仿宋_GB2312" w:cs="仿宋_GB2312"/>
          <w:b/>
          <w:bCs/>
          <w:kern w:val="2"/>
          <w:sz w:val="36"/>
          <w:szCs w:val="36"/>
          <w:lang w:val="en-US" w:eastAsia="zh-CN" w:bidi="ar-SA"/>
        </w:rPr>
      </w:pPr>
    </w:p>
    <w:p>
      <w:pPr>
        <w:rPr>
          <w:rFonts w:ascii="仿宋_GB2312" w:hAnsi="仿宋_GB2312" w:eastAsia="仿宋_GB2312" w:cs="仿宋_GB2312"/>
          <w:b/>
          <w:bCs/>
          <w:kern w:val="2"/>
          <w:sz w:val="36"/>
          <w:szCs w:val="36"/>
          <w:lang w:val="en-US" w:eastAsia="zh-CN" w:bidi="ar-SA"/>
        </w:rPr>
      </w:pPr>
    </w:p>
    <w:p>
      <w:pPr>
        <w:pStyle w:val="21"/>
        <w:rPr>
          <w:rFonts w:ascii="仿宋_GB2312" w:hAnsi="仿宋_GB2312" w:eastAsia="仿宋_GB2312" w:cs="仿宋_GB2312"/>
          <w:b/>
          <w:bCs/>
          <w:kern w:val="2"/>
          <w:sz w:val="36"/>
          <w:szCs w:val="36"/>
          <w:lang w:val="en-US" w:eastAsia="zh-CN" w:bidi="ar-SA"/>
        </w:rPr>
      </w:pPr>
    </w:p>
    <w:p>
      <w:pPr>
        <w:rPr>
          <w:rFonts w:ascii="仿宋_GB2312" w:hAnsi="仿宋_GB2312" w:eastAsia="仿宋_GB2312" w:cs="仿宋_GB2312"/>
          <w:b/>
          <w:bCs/>
          <w:kern w:val="2"/>
          <w:sz w:val="36"/>
          <w:szCs w:val="36"/>
          <w:lang w:val="en-US" w:eastAsia="zh-CN" w:bidi="ar-SA"/>
        </w:rPr>
      </w:pPr>
    </w:p>
    <w:p>
      <w:pPr>
        <w:pStyle w:val="2"/>
        <w:rPr>
          <w:rFonts w:ascii="仿宋_GB2312" w:hAnsi="仿宋_GB2312" w:eastAsia="仿宋_GB2312" w:cs="仿宋_GB2312"/>
          <w:b/>
          <w:bCs/>
          <w:kern w:val="2"/>
          <w:sz w:val="36"/>
          <w:szCs w:val="36"/>
          <w:lang w:val="en-US" w:eastAsia="zh-CN" w:bidi="ar-SA"/>
        </w:rPr>
      </w:pPr>
    </w:p>
    <w:p>
      <w:pPr>
        <w:rPr>
          <w:rFonts w:ascii="仿宋_GB2312" w:hAnsi="仿宋_GB2312" w:eastAsia="仿宋_GB2312" w:cs="仿宋_GB2312"/>
          <w:b/>
          <w:bCs/>
          <w:kern w:val="2"/>
          <w:sz w:val="36"/>
          <w:szCs w:val="36"/>
          <w:lang w:val="en-US" w:eastAsia="zh-CN" w:bidi="ar-SA"/>
        </w:rPr>
      </w:pPr>
    </w:p>
    <w:p>
      <w:pPr>
        <w:pStyle w:val="2"/>
        <w:rPr>
          <w:rFonts w:ascii="仿宋_GB2312" w:hAnsi="仿宋_GB2312" w:eastAsia="仿宋_GB2312" w:cs="仿宋_GB2312"/>
          <w:b/>
          <w:bCs/>
          <w:kern w:val="2"/>
          <w:sz w:val="36"/>
          <w:szCs w:val="36"/>
          <w:lang w:val="en-US" w:eastAsia="zh-CN" w:bidi="ar-SA"/>
        </w:rPr>
      </w:pPr>
    </w:p>
    <w:p>
      <w:pPr>
        <w:rPr>
          <w:rFonts w:ascii="仿宋_GB2312" w:hAnsi="仿宋_GB2312" w:eastAsia="仿宋_GB2312" w:cs="仿宋_GB2312"/>
          <w:b/>
          <w:bCs/>
          <w:kern w:val="2"/>
          <w:sz w:val="36"/>
          <w:szCs w:val="36"/>
          <w:lang w:val="en-US" w:eastAsia="zh-CN" w:bidi="ar-SA"/>
        </w:rPr>
      </w:pPr>
    </w:p>
    <w:p/>
    <w:p>
      <w:pPr>
        <w:pStyle w:val="2"/>
      </w:pPr>
    </w:p>
    <w:p>
      <w:pPr>
        <w:pStyle w:val="13"/>
      </w:pPr>
    </w:p>
    <w:p>
      <w:pPr>
        <w:pStyle w:val="13"/>
      </w:pPr>
    </w:p>
    <w:p>
      <w:pPr>
        <w:pStyle w:val="13"/>
      </w:pPr>
    </w:p>
    <w:p>
      <w:pPr>
        <w:pStyle w:val="13"/>
      </w:pPr>
    </w:p>
    <w:p>
      <w:pPr>
        <w:pStyle w:val="13"/>
      </w:pPr>
    </w:p>
    <w:p>
      <w:pPr>
        <w:pStyle w:val="13"/>
      </w:pPr>
    </w:p>
    <w:p/>
    <w:p>
      <w:pPr>
        <w:pStyle w:val="2"/>
      </w:pPr>
    </w:p>
    <w:p/>
    <w:p>
      <w:pPr>
        <w:pStyle w:val="3"/>
      </w:pPr>
    </w:p>
    <w:p/>
    <w:p>
      <w:pPr>
        <w:jc w:val="center"/>
        <w:rPr>
          <w:rFonts w:ascii="仿宋_GB2312" w:hAnsi="仿宋_GB2312" w:eastAsia="仿宋_GB2312" w:cs="仿宋_GB2312"/>
          <w:b/>
          <w:bCs/>
          <w:sz w:val="36"/>
          <w:szCs w:val="36"/>
        </w:rPr>
      </w:pPr>
      <w:r>
        <w:rPr>
          <w:rFonts w:ascii="仿宋_GB2312" w:hAnsi="仿宋_GB2312" w:eastAsia="仿宋_GB2312" w:cs="仿宋_GB2312"/>
          <w:b/>
          <w:bCs/>
          <w:sz w:val="36"/>
          <w:szCs w:val="36"/>
        </w:rPr>
        <w:t>第三章</w:t>
      </w:r>
      <w:r>
        <w:rPr>
          <w:rFonts w:hint="eastAsia" w:ascii="仿宋_GB2312" w:hAnsi="仿宋_GB2312" w:eastAsia="仿宋_GB2312" w:cs="仿宋_GB2312"/>
          <w:b/>
          <w:bCs/>
          <w:sz w:val="36"/>
          <w:szCs w:val="36"/>
        </w:rPr>
        <w:t xml:space="preserve"> 投标文件初审表</w:t>
      </w:r>
    </w:p>
    <w:p>
      <w:pPr>
        <w:jc w:val="center"/>
        <w:rPr>
          <w:rFonts w:asciiTheme="majorEastAsia" w:hAnsiTheme="majorEastAsia" w:eastAsiaTheme="majorEastAsia"/>
          <w:sz w:val="30"/>
          <w:szCs w:val="30"/>
        </w:rPr>
      </w:pPr>
      <w:r>
        <w:rPr>
          <w:rFonts w:hint="eastAsia" w:ascii="仿宋" w:hAnsi="仿宋" w:eastAsia="仿宋" w:cs="仿宋"/>
          <w:b/>
          <w:sz w:val="22"/>
          <w:szCs w:val="28"/>
        </w:rPr>
        <w:t>（凡未满足下列情形的，投标文件无效，投标作废标处理）</w:t>
      </w:r>
    </w:p>
    <w:p>
      <w:pPr>
        <w:pStyle w:val="3"/>
        <w:ind w:left="-420" w:leftChars="-200" w:firstLine="4"/>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（一）资格性审查表</w:t>
      </w:r>
    </w:p>
    <w:tbl>
      <w:tblPr>
        <w:tblStyle w:val="15"/>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rPr>
            </w:pPr>
            <w:r>
              <w:rPr>
                <w:rFonts w:hint="eastAsia" w:ascii="宋体" w:cs="宋体"/>
                <w:b/>
              </w:rPr>
              <w:t>序号</w:t>
            </w:r>
          </w:p>
        </w:tc>
        <w:tc>
          <w:tcPr>
            <w:tcW w:w="8014"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ind w:left="342"/>
              <w:jc w:val="center"/>
              <w:rPr>
                <w:rFonts w:ascii="宋体" w:hAnsi="宋体" w:cs="宋体"/>
              </w:rPr>
            </w:pPr>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具备招标文件中规定要求的资格，且资格证明文件齐全；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ind w:left="342"/>
              <w:jc w:val="center"/>
              <w:rPr>
                <w:rFonts w:ascii="宋体" w:hAnsi="宋体" w:cs="宋体"/>
              </w:rPr>
            </w:pPr>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投标及履约承诺函已提交并符合招标文件要求的；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ind w:left="342"/>
              <w:jc w:val="center"/>
              <w:rPr>
                <w:rFonts w:ascii="宋体" w:hAnsi="宋体" w:cs="宋体"/>
              </w:rPr>
            </w:pPr>
            <w:bookmarkStart w:id="6" w:name="_Toc15975"/>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供应商基本情况表已提交，提供法定代表人、主要经营负责人、项目投标授权代表人、项目负责人(如有)、主要技术人员(如有)最近一个月的社会保险证明。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1.法定代表人、主要经营负责人、项目投标授权代表人的社会保险未由投标人单位缴纳，亦须提供相应单位为其缴纳的社会保险证明。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2.项目负责人和主要技术人员的社会保险须由投标人单位缴纳。</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3.投标人为新成立企业且成立时间不足一个月可提供加盖投标人公章的情况说明或者证明材料亦视为符合。</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4.若为退休人员，提供退休证明。如依法不需要缴纳社会保险的，应提供相应文件证明。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5.若因社保部门原因无法提供的，需提供劳动合同及社保部门官方通知证明(或官网公告截图)。</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6.如本项目未安排项目负责人、主要技术人员的，无需提供项目负责人、主要技术人员的社保。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ind w:left="342"/>
              <w:jc w:val="center"/>
              <w:rPr>
                <w:rFonts w:ascii="宋体" w:hAnsi="宋体" w:cs="宋体"/>
              </w:rPr>
            </w:pPr>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同供应商的法定代表人、主要经营负责人、项目投标授权代表人、项目负责人(如有)、主要技术人员(如有)不存在为同一人或在同一单位缴纳社会保险；或者不存在直接控股、管理关系；不存在因违法行为而被禁止参加政府采购活动等情形。</w:t>
            </w:r>
          </w:p>
        </w:tc>
      </w:tr>
    </w:tbl>
    <w:p>
      <w:pPr>
        <w:adjustRightInd w:val="0"/>
        <w:snapToGrid w:val="0"/>
        <w:spacing w:line="360" w:lineRule="auto"/>
        <w:jc w:val="left"/>
        <w:rPr>
          <w:rFonts w:ascii="宋体" w:hAnsi="宋体" w:cs="宋体"/>
        </w:rPr>
      </w:pPr>
    </w:p>
    <w:bookmarkEnd w:id="6"/>
    <w:p/>
    <w:p>
      <w:pPr>
        <w:pStyle w:val="2"/>
      </w:pPr>
    </w:p>
    <w:p>
      <w:pPr>
        <w:pStyle w:val="13"/>
      </w:pPr>
    </w:p>
    <w:p>
      <w:pPr>
        <w:pStyle w:val="13"/>
      </w:pPr>
    </w:p>
    <w:p>
      <w:pPr>
        <w:pStyle w:val="13"/>
      </w:pPr>
    </w:p>
    <w:p>
      <w:pPr>
        <w:pStyle w:val="13"/>
      </w:pPr>
    </w:p>
    <w:p>
      <w:pPr>
        <w:pStyle w:val="13"/>
      </w:pPr>
    </w:p>
    <w:p>
      <w:pPr>
        <w:pStyle w:val="13"/>
      </w:pPr>
    </w:p>
    <w:p>
      <w:pPr>
        <w:pStyle w:val="13"/>
      </w:pPr>
    </w:p>
    <w:p>
      <w:pPr>
        <w:pStyle w:val="13"/>
      </w:pPr>
    </w:p>
    <w:p>
      <w:pPr>
        <w:pStyle w:val="3"/>
        <w:ind w:left="-420" w:leftChars="-200" w:firstLine="4"/>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（二）符合性检查表</w:t>
      </w:r>
    </w:p>
    <w:tbl>
      <w:tblPr>
        <w:tblStyle w:val="15"/>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5" w:type="dxa"/>
            <w:noWrap/>
            <w:vAlign w:val="center"/>
          </w:tcPr>
          <w:p>
            <w:pPr>
              <w:jc w:val="center"/>
              <w:rPr>
                <w:rFonts w:ascii="宋体" w:hAnsi="宋体" w:cs="宋体"/>
                <w:b/>
              </w:rPr>
            </w:pPr>
            <w:r>
              <w:rPr>
                <w:rFonts w:hint="eastAsia" w:ascii="宋体" w:hAnsi="宋体" w:cs="宋体"/>
                <w:b/>
              </w:rPr>
              <w:t>序号</w:t>
            </w:r>
          </w:p>
        </w:tc>
        <w:tc>
          <w:tcPr>
            <w:tcW w:w="7929" w:type="dxa"/>
            <w:noWrap/>
            <w:vAlign w:val="center"/>
          </w:tcPr>
          <w:p>
            <w:pPr>
              <w:jc w:val="center"/>
              <w:rPr>
                <w:rFonts w:ascii="宋体" w:hAnsi="宋体" w:cs="宋体"/>
                <w:b/>
              </w:rPr>
            </w:pPr>
            <w:r>
              <w:rPr>
                <w:rFonts w:hint="eastAsia" w:ascii="宋体" w:hAnsi="宋体" w:cs="宋体"/>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sz w:val="22"/>
                <w:szCs w:val="22"/>
              </w:rPr>
            </w:pPr>
            <w:r>
              <w:rPr>
                <w:rFonts w:hint="eastAsia"/>
              </w:rPr>
              <w:t>未</w:t>
            </w:r>
            <w:r>
              <w:rPr>
                <w:rFonts w:hint="eastAsia" w:ascii="宋体" w:hAnsi="宋体" w:cs="宋体"/>
                <w:bCs/>
                <w:sz w:val="22"/>
                <w:szCs w:val="22"/>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招标文件未规定允许有替代方案时，对同一货物投标时，</w:t>
            </w:r>
            <w:r>
              <w:rPr>
                <w:rFonts w:hint="eastAsia"/>
              </w:rPr>
              <w:t>未</w:t>
            </w:r>
            <w:r>
              <w:rPr>
                <w:rFonts w:hint="eastAsia" w:ascii="宋体" w:hAnsi="宋体" w:cs="宋体"/>
                <w:bCs/>
                <w:sz w:val="22"/>
                <w:szCs w:val="22"/>
              </w:rPr>
              <w:t>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ascii="宋体" w:hAnsi="宋体" w:cs="宋体"/>
                <w:bCs/>
                <w:sz w:val="22"/>
                <w:szCs w:val="22"/>
              </w:rPr>
            </w:pPr>
            <w:r>
              <w:rPr>
                <w:rFonts w:hint="eastAsia" w:ascii="宋体" w:hAnsi="宋体" w:cs="宋体"/>
                <w:color w:val="000000" w:themeColor="text1"/>
                <w:szCs w:val="21"/>
                <w14:textFill>
                  <w14:solidFill>
                    <w14:schemeClr w14:val="tx1"/>
                  </w14:solidFill>
                </w14:textFill>
              </w:rPr>
              <w:t>投标报价按照招标文件要求进行报价，</w:t>
            </w:r>
            <w:r>
              <w:rPr>
                <w:rFonts w:hint="eastAsia" w:ascii="宋体" w:hAnsi="宋体" w:cs="宋体"/>
                <w:bCs/>
                <w:sz w:val="22"/>
                <w:szCs w:val="22"/>
              </w:rPr>
              <w:t>投标总价或分项报价</w:t>
            </w:r>
            <w:r>
              <w:rPr>
                <w:rFonts w:hint="eastAsia"/>
              </w:rPr>
              <w:t>未</w:t>
            </w:r>
            <w:r>
              <w:rPr>
                <w:rFonts w:hint="eastAsia" w:ascii="宋体" w:hAnsi="宋体" w:cs="宋体"/>
                <w:bCs/>
                <w:sz w:val="22"/>
                <w:szCs w:val="22"/>
              </w:rPr>
              <w:t>高于项目预算限额。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人的报价未明显低于其他通过符合性审查投标人的报价，不会影响产品质量或者诚信履约。评委会有权要求投标供应商在规定时间内提供书面说明以及必要的证明材料，投标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ascii="宋体" w:hAnsi="宋体" w:cs="宋体"/>
                <w:bCs/>
                <w:sz w:val="22"/>
                <w:szCs w:val="22"/>
              </w:rPr>
            </w:pPr>
            <w:r>
              <w:rPr>
                <w:rFonts w:hint="eastAsia" w:ascii="宋体" w:hAnsi="宋体" w:cs="宋体"/>
                <w:bCs/>
                <w:sz w:val="22"/>
                <w:szCs w:val="22"/>
              </w:rPr>
              <w:t>同一项目未出现两个或以上报价、单价汇总与总价不符的情况。评委会有权要求投标供应商在规定时间内进行书面澄清说明，投标供应商不能及时进行澄清说明的，评标委员会应当将其作为无效投标处理。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投标报价无缺漏项目或未对采购文件规定的服务清单项目及数量进行修改。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ascii="宋体" w:hAnsi="宋体" w:cs="宋体"/>
                <w:bCs/>
                <w:sz w:val="22"/>
                <w:szCs w:val="22"/>
              </w:rPr>
            </w:pPr>
            <w:r>
              <w:rPr>
                <w:rFonts w:hint="eastAsia" w:ascii="宋体" w:hAnsi="宋体" w:cs="宋体"/>
                <w:bCs/>
                <w:sz w:val="22"/>
                <w:szCs w:val="22"/>
              </w:rPr>
              <w:t>所投产品、工程、服务在质量、技术、方案等方面实质性满足采购文件要求，本项目实质性条款以标注“★”条款为准（是否实质性满足招标文件要求，由评审委员会根据《实质性条款响应情况表》作出评判）。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ascii="宋体" w:hAnsi="宋体" w:cs="宋体"/>
                <w:bCs/>
                <w:sz w:val="22"/>
                <w:szCs w:val="22"/>
              </w:rPr>
            </w:pPr>
            <w:r>
              <w:rPr>
                <w:rFonts w:hint="eastAsia" w:ascii="宋体" w:hAnsi="宋体" w:cs="宋体"/>
                <w:bCs/>
                <w:sz w:val="22"/>
                <w:szCs w:val="22"/>
              </w:rPr>
              <w:t>《开标一览表》《投标及履约承诺函》按采购文件规定的格式和内容响应；按采购文件对投标文件组成的要求提供投标文件的（投标文件组成完整）；按照招标文件要求提供密封投标文件；投标文件的数量、密封、签字盖章符合采购文件要求，提供投标文件电子文档；按照采购文件规定的样式及要求填写“法定代表人资格证明书”或“</w:t>
            </w:r>
            <w:r>
              <w:rPr>
                <w:rFonts w:hint="eastAsia" w:ascii="宋体" w:hAnsi="宋体" w:cs="宋体"/>
                <w:bCs/>
                <w:sz w:val="22"/>
                <w:szCs w:val="22"/>
                <w:lang w:bidi="ar"/>
              </w:rPr>
              <w:t>法定代表人授权书</w:t>
            </w:r>
            <w:r>
              <w:rPr>
                <w:rFonts w:hint="eastAsia" w:ascii="宋体" w:hAnsi="宋体" w:cs="宋体"/>
                <w:bCs/>
                <w:sz w:val="22"/>
                <w:szCs w:val="22"/>
              </w:rPr>
              <w:t>”或“分项报价表”。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ascii="宋体" w:hAnsi="宋体" w:cs="宋体"/>
                <w:bCs/>
                <w:sz w:val="22"/>
                <w:szCs w:val="22"/>
              </w:rPr>
            </w:pPr>
            <w:r>
              <w:rPr>
                <w:rFonts w:hint="eastAsia" w:ascii="宋体" w:hAnsi="宋体" w:cs="宋体"/>
                <w:bCs/>
                <w:sz w:val="22"/>
                <w:szCs w:val="22"/>
              </w:rPr>
              <w:t>与其他投标供应商的投标文件未存在异常雷同现象的。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ascii="宋体" w:hAnsi="宋体" w:cs="宋体"/>
                <w:bCs/>
                <w:sz w:val="22"/>
                <w:szCs w:val="22"/>
              </w:rPr>
            </w:pPr>
            <w:r>
              <w:rPr>
                <w:rFonts w:hint="eastAsia" w:ascii="宋体" w:hAnsi="宋体" w:cs="宋体"/>
                <w:bCs/>
                <w:sz w:val="22"/>
                <w:szCs w:val="22"/>
              </w:rPr>
              <w:t>未存在招标文件规定的其他投标无效情形。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r>
    </w:tbl>
    <w:p>
      <w:pPr>
        <w:rPr>
          <w:rFonts w:ascii="仿宋" w:hAnsi="仿宋" w:eastAsia="仿宋" w:cs="仿宋"/>
          <w:b/>
          <w:bCs/>
          <w:sz w:val="36"/>
          <w:szCs w:val="36"/>
        </w:rPr>
      </w:pPr>
    </w:p>
    <w:p>
      <w:pPr>
        <w:adjustRightInd w:val="0"/>
        <w:snapToGrid w:val="0"/>
        <w:spacing w:line="360" w:lineRule="auto"/>
        <w:jc w:val="left"/>
        <w:rPr>
          <w:rFonts w:ascii="宋体" w:hAnsi="宋体"/>
        </w:rPr>
      </w:pPr>
      <w:r>
        <w:rPr>
          <w:rFonts w:hint="eastAsia" w:ascii="宋体" w:hAnsi="宋体" w:cs="宋体"/>
        </w:rPr>
        <w:t>说明：</w:t>
      </w:r>
      <w:r>
        <w:rPr>
          <w:rFonts w:hint="eastAsia" w:ascii="宋体" w:hAnsi="宋体"/>
        </w:rPr>
        <w:t>投标人必须严格按照《资格性审查表》《符合性检查表》的评审内容的要求如实提供材料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pStyle w:val="3"/>
      </w:pPr>
    </w:p>
    <w:p>
      <w:pPr>
        <w:pStyle w:val="5"/>
      </w:pPr>
    </w:p>
    <w:p/>
    <w:p>
      <w:pPr>
        <w:pStyle w:val="21"/>
      </w:pPr>
    </w:p>
    <w:p>
      <w:pPr>
        <w:pStyle w:val="21"/>
        <w:ind w:firstLine="0" w:firstLineChars="0"/>
      </w:pPr>
    </w:p>
    <w:p>
      <w:pPr>
        <w:jc w:val="center"/>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t>第四章</w:t>
      </w:r>
      <w:r>
        <w:rPr>
          <w:rFonts w:hint="eastAsia" w:ascii="仿宋_GB2312" w:hAnsi="仿宋_GB2312" w:eastAsia="仿宋_GB2312" w:cs="仿宋_GB2312"/>
          <w:b/>
          <w:bCs/>
          <w:sz w:val="36"/>
          <w:szCs w:val="36"/>
        </w:rPr>
        <w:t>投标须知</w:t>
      </w:r>
    </w:p>
    <w:p>
      <w:pPr>
        <w:pStyle w:val="3"/>
      </w:pP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（一）本项目的潜在供应商应在递交投标文件截止日之前到医院招采办报名投标。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b/>
          <w:bCs/>
          <w:sz w:val="28"/>
          <w:szCs w:val="28"/>
        </w:rPr>
      </w:pPr>
      <w:r>
        <w:rPr>
          <w:rFonts w:hint="eastAsia" w:ascii="仿宋" w:hAnsi="仿宋" w:eastAsia="仿宋" w:cs="仿宋"/>
          <w:sz w:val="28"/>
          <w:szCs w:val="28"/>
        </w:rPr>
        <w:t>（二）符合条件的供应商严格按照采购单位提供的招标文件，认真填写投标资料，并在规定时间内将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送达指定地点。投标单位法定代表人或授权代表人在规定的时间内未递交投标资料的，视为自动放弃。</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（三）院内公开招标有效投标的供应商不足三家，不得开标。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（四）存在下列情形的，应予废标：</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（五）投标文件有效期</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1.所有资料要有封面、目录、页码、装订成册。</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2.所有资料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3.所有资料须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（六）投标人的产品质量及服务承诺书不能严重低于招标文件中的服务要求标准作出响应，允许出现负偏差，但不得出现严重负偏差。</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（七）评审结束，中标结果公示3天，中标供应商须在收到我院中标通知书后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三、招标文件的澄清</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1.投标人在收到招标文件后，可以对已发出的招标文件进行必要的澄清或者修改。澄清或者修改应当在原公告发布媒体上发布澄清（更正/变更）公告。</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3.采购人发出的澄清或修改（更正/变更）的内容为招标文件的组成部分，并对供应商具有约束力。</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四、招标文件的补充和修正</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采购人可以对已发出的招标文件进行必要的澄清或者修改。澄清或者修改应当在原公告发布媒体上发布澄清（更正/变更）公告。</w:t>
      </w:r>
    </w:p>
    <w:p>
      <w:pPr>
        <w:pStyle w:val="3"/>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lang w:val="en-US" w:eastAsia="zh-CN"/>
        </w:rPr>
        <w:t>.</w:t>
      </w:r>
      <w:r>
        <w:rPr>
          <w:rFonts w:ascii="仿宋" w:hAnsi="仿宋" w:eastAsia="仿宋" w:cs="仿宋"/>
          <w:sz w:val="28"/>
          <w:szCs w:val="28"/>
        </w:rPr>
        <w:t>采购人对招标文件的补充和修正，将以电子文件等方式发给所有获得招标文件的供应商，补充通知作为招标文件的组成部分，对同意参与招标单位起约束作用。</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五、投标文件有效期</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在递交投标文件截止日期之后的60天内有效。</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在原定投标文件有效期满之前，如果出现特殊情况，招采办可以书面形式向投标人提出延长投标文件有效期的要求。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sectPr>
          <w:footerReference r:id="rId3" w:type="default"/>
          <w:pgSz w:w="11906" w:h="16838"/>
          <w:pgMar w:top="1440" w:right="1576" w:bottom="1440" w:left="1576" w:header="851" w:footer="992" w:gutter="0"/>
          <w:cols w:space="425" w:num="1"/>
          <w:docGrid w:type="lines" w:linePitch="312" w:charSpace="0"/>
        </w:sectPr>
      </w:pPr>
      <w:r>
        <w:rPr>
          <w:rFonts w:hint="eastAsia" w:ascii="仿宋" w:hAnsi="仿宋" w:eastAsia="仿宋" w:cs="仿宋"/>
          <w:sz w:val="28"/>
          <w:szCs w:val="28"/>
          <w:lang w:val="en-US" w:eastAsia="zh-CN"/>
        </w:rPr>
        <w:t>4.</w:t>
      </w:r>
      <w:r>
        <w:rPr>
          <w:rFonts w:hint="eastAsia" w:ascii="仿宋" w:hAnsi="仿宋" w:eastAsia="仿宋" w:cs="仿宋"/>
          <w:sz w:val="28"/>
          <w:szCs w:val="28"/>
        </w:rPr>
        <w:t>招采办将作出澄清和解答，逾期未提交质疑文件的视同无问题。</w:t>
      </w:r>
    </w:p>
    <w:p>
      <w:pPr>
        <w:spacing w:line="560" w:lineRule="exact"/>
        <w:ind w:left="2882"/>
      </w:pPr>
      <w:r>
        <w:rPr>
          <w:rFonts w:hint="eastAsia" w:ascii="仿宋" w:hAnsi="仿宋" w:eastAsia="仿宋" w:cs="仿宋"/>
          <w:sz w:val="44"/>
          <w:szCs w:val="44"/>
        </w:rPr>
        <w:t>第五章 供应商标书</w:t>
      </w:r>
    </w:p>
    <w:tbl>
      <w:tblPr>
        <w:tblStyle w:val="15"/>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pStyle w:val="18"/>
              <w:spacing w:line="46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项目名称:</w:t>
            </w:r>
            <w:r>
              <w:rPr>
                <w:rFonts w:hint="eastAsia" w:ascii="仿宋_GB2312" w:hAnsi="仿宋_GB2312" w:eastAsia="仿宋_GB2312" w:cs="仿宋_GB2312"/>
                <w:sz w:val="44"/>
                <w:szCs w:val="44"/>
                <w:lang w:val="en-US" w:eastAsia="zh-CN"/>
              </w:rPr>
              <w:t>深圳市龙岗区第七人民医院2025   年度等保测评服务项目</w:t>
            </w:r>
          </w:p>
          <w:p>
            <w:pPr>
              <w:snapToGrid w:val="0"/>
              <w:spacing w:line="360" w:lineRule="auto"/>
              <w:rPr>
                <w:rFonts w:ascii="仿宋_GB2312" w:hAnsi="仿宋_GB2312" w:eastAsia="仿宋_GB2312" w:cs="仿宋_GB2312"/>
                <w:sz w:val="44"/>
                <w:szCs w:val="44"/>
              </w:rPr>
            </w:pPr>
          </w:p>
          <w:p>
            <w:pPr>
              <w:pStyle w:val="25"/>
              <w:spacing w:line="480" w:lineRule="exact"/>
              <w:ind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w:t>
            </w:r>
            <w:r>
              <w:rPr>
                <w:rFonts w:hint="eastAsia" w:ascii="仿宋_GB2312" w:hAnsi="仿宋_GB2312" w:eastAsia="仿宋_GB2312" w:cs="仿宋_GB2312"/>
                <w:sz w:val="36"/>
                <w:szCs w:val="36"/>
              </w:rPr>
              <w:t>深龙七医采[LGQY2025XX00</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w:t>
            </w:r>
            <w:r>
              <w:rPr>
                <w:rFonts w:hint="eastAsia" w:ascii="仿宋_GB2312" w:hAnsi="仿宋_GB2312" w:eastAsia="仿宋_GB2312" w:cs="仿宋_GB2312"/>
                <w:sz w:val="44"/>
                <w:szCs w:val="44"/>
              </w:rPr>
              <w:t>）</w:t>
            </w:r>
          </w:p>
          <w:p>
            <w:pPr>
              <w:pStyle w:val="25"/>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2025年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目录</w:t>
      </w:r>
    </w:p>
    <w:p>
      <w:pPr>
        <w:spacing w:line="500" w:lineRule="exact"/>
        <w:jc w:val="left"/>
        <w:rPr>
          <w:rFonts w:ascii="仿宋_GB2312" w:hAnsi="仿宋_GB2312" w:eastAsia="仿宋_GB2312" w:cs="仿宋_GB2312"/>
          <w:sz w:val="28"/>
          <w:szCs w:val="28"/>
        </w:rPr>
      </w:pP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3.法定代表人资格证明书及身份证复印件</w:t>
      </w:r>
    </w:p>
    <w:p>
      <w:pPr>
        <w:widowControl/>
        <w:tabs>
          <w:tab w:val="left" w:pos="630"/>
          <w:tab w:val="left" w:pos="840"/>
        </w:tabs>
        <w:spacing w:line="500" w:lineRule="exact"/>
        <w:ind w:left="4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bidi="ar"/>
        </w:rPr>
        <w:t>法定代表人授权书</w:t>
      </w:r>
      <w:r>
        <w:rPr>
          <w:rFonts w:hint="eastAsia" w:ascii="仿宋_GB2312" w:hAnsi="仿宋_GB2312" w:eastAsia="仿宋_GB2312" w:cs="仿宋_GB2312"/>
          <w:sz w:val="28"/>
          <w:szCs w:val="28"/>
        </w:rPr>
        <w:t>及授权代表人身份证复印件（如有）</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5.供应商“三证合一”（工商营业执照、组织机构代码证和税务登记</w:t>
      </w:r>
    </w:p>
    <w:p>
      <w:pPr>
        <w:tabs>
          <w:tab w:val="left" w:pos="630"/>
          <w:tab w:val="left" w:pos="840"/>
        </w:tabs>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证）复印件</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6.投标文件初审表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7.投标函</w:t>
      </w:r>
    </w:p>
    <w:p>
      <w:pPr>
        <w:tabs>
          <w:tab w:val="left" w:pos="630"/>
          <w:tab w:val="left" w:pos="840"/>
        </w:tabs>
        <w:spacing w:line="500" w:lineRule="exact"/>
        <w:ind w:left="420"/>
      </w:pPr>
      <w:r>
        <w:rPr>
          <w:rFonts w:hint="eastAsia" w:ascii="仿宋_GB2312" w:hAnsi="仿宋_GB2312" w:eastAsia="仿宋_GB2312" w:cs="仿宋_GB2312"/>
          <w:sz w:val="28"/>
          <w:szCs w:val="28"/>
        </w:rPr>
        <w:t>8.投标及履约承诺函</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9.供应商基本情况表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10.社会保险证明</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11.开标一览表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.同类项目业绩</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.履约评价</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.服务方案</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.项目重点难点分析、应对措施及相关的合理化建议</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.拟安排的项目团队情况（含项目负责人，项目团队成员）</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.技术条款响应情况</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投标人自主知识产权产品（创新、设计）情况</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中小企业声明函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其他证明材料</w:t>
      </w:r>
    </w:p>
    <w:p>
      <w:pPr>
        <w:pStyle w:val="2"/>
      </w:pPr>
    </w:p>
    <w:p>
      <w:pPr>
        <w:pStyle w:val="13"/>
      </w:pPr>
    </w:p>
    <w:p>
      <w:pPr>
        <w:pStyle w:val="13"/>
      </w:pPr>
    </w:p>
    <w:p>
      <w:pPr>
        <w:jc w:val="cente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投 标 函</w:t>
      </w:r>
    </w:p>
    <w:p>
      <w:pPr>
        <w:spacing w:line="560" w:lineRule="exact"/>
        <w:jc w:val="center"/>
        <w:rPr>
          <w:rFonts w:ascii="仿宋" w:hAnsi="仿宋" w:eastAsia="仿宋" w:cs="仿宋"/>
          <w:b/>
          <w:bCs/>
          <w:sz w:val="36"/>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我司已经认真仔细阅读了贵单位关于</w:t>
      </w: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项目的招标文件，完全同意招标文件中的所有条款，愿意按招标文件要求，决定以投标报价：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元提供与招标文件中描述相一致的产品与服务，并许以如下承诺：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1.我方愿意向招标人提供与本次招标的相关资料，并对其真实性、合法性、有效性负责。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2.我方将严格履行本投标文件中的全部承诺和责任，并遵守招标文件中对投标人的所有规定。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3.我方完全理解招标人有保留在授标之前，任何时候根据评标委员会的意见接受或拒绝任何投标的权利，并完全理解招标人对此无解释的义务。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4.我方完全理解招标人不保证投标价最低的投标人中标。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5.我方承诺在此次招标过程中涉及的一切应当保密的事项，不向任何第三方泄露，否则承担一切法律责任。  </w:t>
      </w:r>
    </w:p>
    <w:p>
      <w:pPr>
        <w:pStyle w:val="2"/>
      </w:pPr>
    </w:p>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法定代表人或其授权代表人（签字）：</w:t>
      </w:r>
    </w:p>
    <w:p>
      <w:pPr>
        <w:rPr>
          <w:rFonts w:ascii="宋体" w:hAnsi="宋体" w:cs="宋体"/>
          <w:b/>
          <w:bCs/>
          <w:sz w:val="44"/>
          <w:szCs w:val="44"/>
        </w:rPr>
      </w:pPr>
      <w:r>
        <w:rPr>
          <w:rFonts w:hint="eastAsia" w:ascii="仿宋_GB2312" w:hAnsi="仿宋_GB2312" w:eastAsia="仿宋_GB2312" w:cs="仿宋_GB2312"/>
          <w:sz w:val="32"/>
          <w:szCs w:val="32"/>
        </w:rPr>
        <w:t xml:space="preserve">                投标单位全称（加盖公章）：</w:t>
      </w: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我公司参与XX单位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项目（以下简称本项目”）政府采购活动，承诺：</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我公司参与本项目所提供的货物或服务未侵犯知识产权。</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2.我公司参加本项目政府采购活动时，不存在《中华人民共和国政府采购法实施条例》第十八条规定的与</w:t>
      </w:r>
      <w:r>
        <w:rPr>
          <w:rFonts w:ascii="仿宋_GB2312" w:hAnsi="仿宋_GB2312" w:eastAsia="仿宋_GB2312" w:cs="仿宋_GB2312"/>
          <w:sz w:val="32"/>
          <w:szCs w:val="32"/>
        </w:rPr>
        <w:t>参加同一项目的</w:t>
      </w:r>
      <w:r>
        <w:rPr>
          <w:rFonts w:hint="eastAsia" w:ascii="仿宋_GB2312" w:hAnsi="仿宋_GB2312" w:eastAsia="仿宋_GB2312" w:cs="仿宋_GB2312"/>
          <w:sz w:val="32"/>
          <w:szCs w:val="32"/>
        </w:rPr>
        <w:t>其他供应商“单位负责人为同一人或者存在直接控股、管理关系”的情形</w:t>
      </w:r>
      <w:r>
        <w:rPr>
          <w:rFonts w:ascii="仿宋_GB2312" w:hAnsi="仿宋_GB2312" w:eastAsia="仿宋_GB2312" w:cs="仿宋_GB2312"/>
          <w:sz w:val="32"/>
          <w:szCs w:val="32"/>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3.我公司参与本项目政府采购活动前三年内，在经营活动中没有《中华人民共和国政府采购法实施条例》第十九条规定的重大违法记录。</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4.我公司参与本项目政府采购活动时不存在被有关部门禁止参与政府采购活动且在有效期内的情况。</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5.我公司具备《中华人民共和国政府采购法》第二十二条第一款规定的六项条件。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6.我公司未被列入失信被执行人、重大税收违法案件当事人名单、政府采购严重违法失信行为记录名单。</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11.我公司承诺不非法转包、分包，不提供进口产品。</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以上承诺，如有违反，愿依照国家相关法律法规处理，并承担由此给采购人带来的损失。</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供应商：</w:t>
      </w:r>
    </w:p>
    <w:p>
      <w:pPr>
        <w:widowControl/>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widowControl/>
        <w:jc w:val="center"/>
        <w:textAlignment w:val="center"/>
        <w:rPr>
          <w:rFonts w:ascii="宋体" w:hAnsi="宋体" w:cs="宋体"/>
          <w:color w:val="000000"/>
          <w:kern w:val="0"/>
          <w:sz w:val="44"/>
          <w:szCs w:val="44"/>
          <w:lang w:bidi="ar"/>
        </w:rPr>
      </w:pPr>
      <w:bookmarkStart w:id="7" w:name="_Toc24111"/>
    </w:p>
    <w:p>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先生/小姐，现任我单位职务，为法定代表人，特此证明。</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有效日期：               签发日期：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单位：                   （盖章）</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身份证复印件：</w:t>
      </w:r>
    </w:p>
    <w:tbl>
      <w:tblPr>
        <w:tblStyle w:val="15"/>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2"/>
            </w:pPr>
          </w:p>
          <w:p>
            <w:pPr>
              <w:ind w:firstLine="2100" w:firstLineChars="1000"/>
            </w:pPr>
            <w:r>
              <w:rPr>
                <w:rFonts w:hint="eastAsia"/>
              </w:rPr>
              <w:t>正反面</w:t>
            </w:r>
          </w:p>
        </w:tc>
      </w:tr>
    </w:tbl>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w:t>
      </w:r>
    </w:p>
    <w:p>
      <w:pPr>
        <w:spacing w:line="4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特此声明。</w:t>
      </w:r>
    </w:p>
    <w:p>
      <w:pPr>
        <w:spacing w:line="440" w:lineRule="exact"/>
        <w:ind w:firstLine="480" w:firstLineChars="200"/>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法定代表人签字：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单位盖章：　</w:t>
      </w:r>
    </w:p>
    <w:p>
      <w:pPr>
        <w:spacing w:line="440" w:lineRule="exact"/>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职务：</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详细通信地址：</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邮政编码：</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移动电话：</w:t>
      </w:r>
    </w:p>
    <w:p>
      <w:pPr>
        <w:spacing w:line="440" w:lineRule="exact"/>
        <w:rPr>
          <w:rFonts w:ascii="仿宋" w:hAnsi="仿宋" w:eastAsia="仿宋" w:cs="仿宋"/>
          <w:color w:val="000000"/>
          <w:sz w:val="24"/>
          <w:szCs w:val="32"/>
        </w:rPr>
      </w:pPr>
      <w:r>
        <w:rPr>
          <w:rFonts w:hint="eastAsia" w:ascii="仿宋" w:hAnsi="仿宋" w:eastAsia="仿宋" w:cs="仿宋"/>
          <w:color w:val="000000"/>
          <w:sz w:val="32"/>
          <w:szCs w:val="32"/>
        </w:rPr>
        <w:t>传真：</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15"/>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pStyle w:val="3"/>
        <w:ind w:left="420" w:hanging="420"/>
        <w:jc w:val="center"/>
        <w:rPr>
          <w:rFonts w:ascii="宋体" w:hAnsi="宋体" w:cs="宋体"/>
          <w:b/>
          <w:bCs/>
          <w:sz w:val="44"/>
          <w:szCs w:val="44"/>
        </w:rPr>
      </w:pPr>
    </w:p>
    <w:p>
      <w:pPr>
        <w:pStyle w:val="3"/>
        <w:ind w:left="420" w:hanging="420"/>
        <w:jc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供应商基本情况表</w:t>
      </w:r>
      <w:bookmarkEnd w:id="7"/>
    </w:p>
    <w:p>
      <w:pPr>
        <w:rPr>
          <w:u w:val="single"/>
        </w:rPr>
      </w:pPr>
      <w:r>
        <w:rPr>
          <w:rFonts w:hint="eastAsia"/>
        </w:rPr>
        <w:t>填表单位：</w:t>
      </w:r>
      <w:r>
        <w:rPr>
          <w:rFonts w:hint="eastAsia"/>
          <w:u w:val="single"/>
        </w:rPr>
        <w:t xml:space="preserve">           </w:t>
      </w:r>
      <w:r>
        <w:rPr>
          <w:rFonts w:hint="eastAsia"/>
        </w:rPr>
        <w:t xml:space="preserve"> （加盖单位公章）                       填表日期：      年  月  日</w:t>
      </w:r>
    </w:p>
    <w:tbl>
      <w:tblPr>
        <w:tblStyle w:val="1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rPr>
              <w:t>采购</w:t>
            </w:r>
            <w:r>
              <w:rPr>
                <w:rFonts w:hint="eastAsia" w:ascii="宋体" w:hAnsi="宋体" w:cs="宋体"/>
                <w:szCs w:val="21"/>
                <w:lang w:val="en-US" w:eastAsia="zh-CN"/>
              </w:rPr>
              <w:t>单位</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投标（响应）供应商</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供应商统一社会信用代码</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职务</w:t>
            </w:r>
          </w:p>
        </w:tc>
        <w:tc>
          <w:tcPr>
            <w:tcW w:w="1429"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身份证号码</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劳动合同</w:t>
            </w:r>
          </w:p>
          <w:p>
            <w:pPr>
              <w:spacing w:line="360" w:lineRule="auto"/>
              <w:jc w:val="center"/>
              <w:rPr>
                <w:rFonts w:ascii="宋体" w:hAnsi="宋体" w:cs="宋体"/>
                <w:szCs w:val="21"/>
              </w:rPr>
            </w:pPr>
            <w:r>
              <w:rPr>
                <w:rFonts w:hint="eastAsia" w:ascii="宋体" w:hAnsi="宋体" w:cs="宋体"/>
                <w:szCs w:val="21"/>
              </w:rPr>
              <w:t>关系单位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缴纳社会</w:t>
            </w:r>
          </w:p>
          <w:p>
            <w:pPr>
              <w:spacing w:line="360" w:lineRule="auto"/>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法定代表人/单位负责人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主要经营负责人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项目投标授权代表人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主要技术人员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投标文件编制人员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关联关系类型</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关联主体名称</w:t>
            </w: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控股股东</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管理关系</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说明：同一关联关系类型有多个主体的，应分行填写。</w:t>
            </w:r>
          </w:p>
        </w:tc>
      </w:tr>
    </w:tbl>
    <w:p/>
    <w:p>
      <w:pPr>
        <w:rPr>
          <w:rFonts w:ascii="宋体" w:hAnsi="宋体" w:cs="宋体"/>
          <w:sz w:val="30"/>
          <w:szCs w:val="30"/>
        </w:rPr>
      </w:pPr>
      <w:r>
        <w:rPr>
          <w:rFonts w:hint="eastAsia" w:ascii="宋体" w:hAnsi="宋体" w:cs="宋体"/>
          <w:sz w:val="30"/>
          <w:szCs w:val="30"/>
        </w:rPr>
        <w:br w:type="page"/>
      </w:r>
    </w:p>
    <w:p>
      <w:pPr>
        <w:pStyle w:val="3"/>
        <w:ind w:left="420" w:hanging="420"/>
        <w:jc w:val="center"/>
        <w:rPr>
          <w:rFonts w:ascii="宋体" w:hAnsi="宋体" w:cs="宋体"/>
          <w:color w:val="000000"/>
          <w:kern w:val="0"/>
          <w:sz w:val="44"/>
          <w:szCs w:val="44"/>
          <w:lang w:bidi="ar"/>
        </w:rPr>
      </w:pPr>
      <w:bookmarkStart w:id="8" w:name="_Toc17532"/>
      <w:bookmarkStart w:id="9" w:name="_Toc14311"/>
      <w:r>
        <w:rPr>
          <w:rFonts w:hint="eastAsia" w:ascii="宋体" w:hAnsi="宋体" w:cs="宋体"/>
          <w:color w:val="000000"/>
          <w:kern w:val="0"/>
          <w:sz w:val="44"/>
          <w:szCs w:val="44"/>
          <w:lang w:bidi="ar"/>
        </w:rPr>
        <w:t>提供社会保险证明</w:t>
      </w:r>
      <w:bookmarkEnd w:id="8"/>
      <w:bookmarkEnd w:id="9"/>
    </w:p>
    <w:p>
      <w:pPr>
        <w:pStyle w:val="26"/>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提供法定代表人最近一个月的社保证明：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提供主要经营负责人最近一个月的社保证明：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项目投标授权代表人最近一个月的社保证明：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提供项目负责人最近一个月的社保证明（如有）：</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提供主要技术人员最近一个月的社保证明（如有）：</w:t>
      </w:r>
    </w:p>
    <w:p>
      <w:pPr>
        <w:spacing w:line="500" w:lineRule="exact"/>
        <w:rPr>
          <w:rFonts w:ascii="宋体" w:hAnsi="宋体"/>
        </w:rPr>
      </w:pPr>
    </w:p>
    <w:p>
      <w:pPr>
        <w:pStyle w:val="2"/>
        <w:ind w:firstLine="640" w:firstLineChars="200"/>
      </w:pPr>
      <w:r>
        <w:rPr>
          <w:rFonts w:hint="eastAsia"/>
        </w:rPr>
        <w:t>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1.法定代表人、主要经营负责人、项目投标授权代表人的社会保险未由投标人单位缴纳，亦须提供相应单位为其缴纳的社会保险证明。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2.项目负责人和主要技术人员的社会保险须由投标人单位缴纳。</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3.投标人为新成立企业且成立时间不足一个月可提供加盖投标人公章的情况说明或者证明材料亦视为符合。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4.由于社保部门或税务部门的原因最近一个月的社保证明无法提供的可往前顺延一个月。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5.如依法不需要缴纳社会保险的，应提供相应文件证明；如为退休返聘人员提供退休证明和聘用合同。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6.若因社保部门原因无法提供的，需提供劳动合同及社保部门官方通知证明(或官网公告截图)。</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7.如本项目未安排项目负责人、主要技术人员的，无需提供项目负责人、主要技术人员的社会保险证明。</w:t>
      </w:r>
    </w:p>
    <w:p>
      <w:pPr>
        <w:rPr>
          <w:rFonts w:ascii="仿宋_GB2312" w:hAnsi="仿宋_GB2312" w:eastAsia="仿宋_GB2312" w:cs="仿宋_GB2312"/>
          <w:sz w:val="32"/>
          <w:szCs w:val="32"/>
        </w:rPr>
      </w:pPr>
    </w:p>
    <w:p>
      <w:pPr>
        <w:pStyle w:val="5"/>
      </w:pPr>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4"/>
        <w:spacing w:beforeAutospacing="0" w:afterAutospacing="0" w:line="500" w:lineRule="exact"/>
        <w:jc w:val="center"/>
        <w:rPr>
          <w:rFonts w:hint="default" w:ascii="黑体"/>
          <w:sz w:val="32"/>
          <w:szCs w:val="32"/>
        </w:rPr>
      </w:pPr>
    </w:p>
    <w:p>
      <w:pPr>
        <w:pStyle w:val="4"/>
        <w:spacing w:beforeAutospacing="0" w:afterAutospacing="0" w:line="500" w:lineRule="exact"/>
        <w:ind w:firstLine="640" w:firstLineChars="200"/>
        <w:jc w:val="both"/>
        <w:rPr>
          <w:rFonts w:hint="default" w:ascii="黑体" w:hAnsi="黑体" w:eastAsia="黑体" w:cs="黑体"/>
          <w:bCs/>
          <w:sz w:val="32"/>
          <w:szCs w:val="32"/>
        </w:rPr>
      </w:pPr>
      <w:r>
        <w:rPr>
          <w:rFonts w:ascii="黑体" w:hAnsi="黑体" w:eastAsia="黑体" w:cs="黑体"/>
          <w:sz w:val="32"/>
          <w:szCs w:val="32"/>
        </w:rPr>
        <w:t>一、投标人情况及资格证明文件</w:t>
      </w:r>
      <w:bookmarkStart w:id="10" w:name="_Hlk72257590"/>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（一）投标人资格证明文件</w:t>
      </w:r>
    </w:p>
    <w:p>
      <w:pPr>
        <w:spacing w:line="500" w:lineRule="exact"/>
        <w:ind w:firstLine="640" w:firstLineChars="200"/>
        <w:rPr>
          <w:rFonts w:hint="eastAsia" w:eastAsia="仿宋_GB2312"/>
          <w:b/>
          <w:bCs/>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特别提示：投标人须按本招标文件第一册第一章招标公告“申请人的资格要求”（即投标人资格要求）提供相关的资格证明资料，未提供或提供不完整、不符合要求的，将作投标无效处理</w:t>
      </w:r>
      <w:r>
        <w:rPr>
          <w:rFonts w:hint="eastAsia" w:ascii="仿宋_GB2312" w:hAnsi="仿宋_GB2312" w:eastAsia="仿宋_GB2312" w:cs="仿宋_GB2312"/>
          <w:sz w:val="32"/>
          <w:szCs w:val="32"/>
          <w:lang w:val="en-US" w:eastAsia="zh-CN"/>
        </w:rPr>
        <w:t>]</w:t>
      </w:r>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（二）中小企业声明函、残疾人福利性单位声明函及监狱企业声明函</w:t>
      </w:r>
      <w:bookmarkEnd w:id="10"/>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填写指引：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2.该部分内容填写需要参考的相关文件：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(1)财政部《政府采购促进中小企业发展管理办法》（财库〔2020〕46号）；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11" w:name="_Hlk71925120"/>
      <w:r>
        <w:rPr>
          <w:rFonts w:hint="eastAsia" w:ascii="仿宋_GB2312" w:hAnsi="仿宋_GB2312" w:eastAsia="仿宋_GB2312" w:cs="仿宋_GB2312"/>
          <w:sz w:val="32"/>
          <w:szCs w:val="32"/>
        </w:rPr>
        <w:t>《工业和信息化部、国家统计局、国家发展和改革委员会、财政部关于印发中小企业划型标准规定的通知》（工信部联企业〔2011〕300号</w:t>
      </w:r>
      <w:bookmarkEnd w:id="11"/>
      <w:r>
        <w:rPr>
          <w:rFonts w:hint="eastAsia" w:ascii="仿宋_GB2312" w:hAnsi="仿宋_GB2312" w:eastAsia="仿宋_GB2312" w:cs="仿宋_GB2312"/>
          <w:sz w:val="32"/>
          <w:szCs w:val="32"/>
        </w:rPr>
        <w:t>，以下简称300号文）；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(3)《政府采购促进中小企业发展管理办法》（财库〔2020〕46号）；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(4)《关于印发中小企业划型标准规定的通知》（工信部联企业〔2011〕300号）；</w:t>
      </w:r>
    </w:p>
    <w:p>
      <w:pPr>
        <w:spacing w:line="500" w:lineRule="exact"/>
        <w:ind w:firstLine="640" w:firstLineChars="200"/>
        <w:jc w:val="left"/>
      </w:pPr>
      <w:r>
        <w:rPr>
          <w:rFonts w:hint="eastAsia" w:ascii="仿宋_GB2312" w:hAnsi="仿宋_GB2312" w:eastAsia="仿宋_GB2312" w:cs="仿宋_GB2312"/>
          <w:sz w:val="32"/>
          <w:szCs w:val="32"/>
        </w:rPr>
        <w:t>(5)《统计上大中小微型企业划分办法(2017)》（国统字〔2017〕213号）；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(6)《关于促进残疾人就业政府采购政策的通知》（财库〔2017〕141号）；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(7)《关于政府采购支持监狱企业发展有关问题的通知》（财库〔2014〕68号）。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请依照提供的格式和内容填写声明函，不要随意变更格式；声明函不需要盖章或签字；满足多项优惠政策的投标人，不重复享受多项价格扣除政策。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声明函具体填写要求：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（1）声明是中小企业须填写《中小企业声明函》的以下内容：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第一处，在“单位名称”下划线处如实填写采购人名称（深圳公共资源交易中心不是本项目的采购人，而是组织实施机构）；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第二处，在“项目名称”下划线处如实填写采购项目名称；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第三处，在“标的名称”下划线处填写所采购货物（标的）的具体名称；如果涉及多项货物（标的）为同一企业制造，“标的名称”下划线处可以如实填写多项货物；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第四处，在“招标文件中明确的所属行业”下划线处填写采购标的对应的中小企业划分标准所属行业；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（2）声明：残疾人福利性单位须填写《残疾人福利性单位声明函》的相关内容，具体参照以上《中小企业声明函》填写要求执行。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（3）声明：监狱企业须填写《监狱企业声明函》的三项内容（填写位置的字体已加粗），具体参照以上《中小企业声明函》填写要求执行。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声明函的有效性最终由评审委员会判定；如评审委员会判定声明函无效，相关供应商不享受价格扣除（但不作投标无效处理）。</w:t>
      </w:r>
    </w:p>
    <w:p>
      <w:pPr>
        <w:pStyle w:val="4"/>
        <w:spacing w:beforeAutospacing="0" w:afterAutospacing="0" w:line="500" w:lineRule="exact"/>
        <w:ind w:firstLine="640" w:firstLineChars="200"/>
        <w:jc w:val="both"/>
        <w:rPr>
          <w:rFonts w:hint="default"/>
          <w:b/>
          <w:sz w:val="36"/>
          <w:szCs w:val="36"/>
        </w:rPr>
      </w:pPr>
      <w:r>
        <w:rPr>
          <w:rFonts w:ascii="黑体" w:hAnsi="黑体" w:eastAsia="黑体" w:cs="黑体"/>
          <w:sz w:val="32"/>
          <w:szCs w:val="32"/>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2"/>
        <w:rPr>
          <w:b/>
          <w:sz w:val="36"/>
          <w:szCs w:val="36"/>
        </w:rPr>
      </w:pPr>
    </w:p>
    <w:p>
      <w:pPr>
        <w:rPr>
          <w:b/>
          <w:sz w:val="36"/>
          <w:szCs w:val="36"/>
        </w:rPr>
      </w:pPr>
    </w:p>
    <w:p>
      <w:pPr>
        <w:pStyle w:val="2"/>
        <w:rPr>
          <w:b/>
          <w:sz w:val="36"/>
          <w:szCs w:val="36"/>
        </w:rPr>
      </w:pPr>
    </w:p>
    <w:p>
      <w:pPr>
        <w:rPr>
          <w:b/>
          <w:sz w:val="36"/>
          <w:szCs w:val="36"/>
        </w:rPr>
      </w:pPr>
    </w:p>
    <w:p>
      <w:pPr>
        <w:pStyle w:val="21"/>
        <w:ind w:firstLine="723"/>
        <w:rPr>
          <w:b/>
          <w:sz w:val="36"/>
          <w:szCs w:val="36"/>
        </w:rPr>
      </w:pPr>
    </w:p>
    <w:p>
      <w:pPr>
        <w:rPr>
          <w:b/>
          <w:sz w:val="36"/>
          <w:szCs w:val="36"/>
        </w:rPr>
      </w:pPr>
    </w:p>
    <w:p>
      <w:pPr>
        <w:pStyle w:val="2"/>
      </w:pPr>
    </w:p>
    <w:p/>
    <w:p>
      <w:pPr>
        <w:spacing w:line="500" w:lineRule="exact"/>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相应责任。</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本公司（联合体）郑重声明，根据《政府采购促进中小企业发展管理办法》（财库〔2020〕46号）的规定，本公司（联合体）参加</w:t>
      </w:r>
      <w:r>
        <w:rPr>
          <w:rFonts w:hint="eastAsia" w:ascii="仿宋_GB2312" w:hAnsi="仿宋_GB2312" w:eastAsia="仿宋_GB2312" w:cs="仿宋_GB2312"/>
          <w:sz w:val="32"/>
          <w:szCs w:val="32"/>
          <w:u w:val="single"/>
        </w:rPr>
        <w:t>（单位名称）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采购活动，提供的货物全部由符合政策要求的中小企业制造。相关企业（含联合体中的中小企业、签订分包意向协议的中小企业）的具体情况如下：</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（采购文件中明确的所属行业）</w:t>
      </w:r>
      <w:r>
        <w:rPr>
          <w:rFonts w:hint="eastAsia" w:ascii="仿宋_GB2312" w:hAnsi="仿宋_GB2312" w:eastAsia="仿宋_GB2312" w:cs="仿宋_GB2312"/>
          <w:sz w:val="32"/>
          <w:szCs w:val="32"/>
        </w:rPr>
        <w:t>行业；制造商为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人，营业收入为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万元，资产总额为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万元，属于</w:t>
      </w:r>
      <w:r>
        <w:rPr>
          <w:rFonts w:hint="eastAsia" w:ascii="仿宋_GB2312" w:hAnsi="仿宋_GB2312" w:eastAsia="仿宋_GB2312" w:cs="仿宋_GB2312"/>
          <w:sz w:val="32"/>
          <w:szCs w:val="32"/>
          <w:u w:val="single"/>
        </w:rPr>
        <w:t>（中型企业、小型企业、微型企业）</w:t>
      </w: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以上企业，不属于大企业的分支机构，不存在控股股东为大企业的情形，也不存在与大企业的负责人为同一人的情形。</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本企业对上述声明内容的真实性负责。如有虚假，将依法承担相应责任。</w:t>
      </w:r>
    </w:p>
    <w:p>
      <w:pPr>
        <w:pStyle w:val="2"/>
      </w:pPr>
    </w:p>
    <w:p>
      <w:pPr>
        <w:spacing w:line="44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企业名称（盖章）：</w:t>
      </w:r>
    </w:p>
    <w:p>
      <w:pPr>
        <w:spacing w:line="440" w:lineRule="exact"/>
        <w:ind w:firstLine="640" w:firstLineChars="200"/>
        <w:rPr>
          <w:b/>
          <w:sz w:val="36"/>
          <w:szCs w:val="36"/>
        </w:rPr>
      </w:pPr>
      <w:r>
        <w:rPr>
          <w:rFonts w:hint="eastAsia" w:ascii="仿宋_GB2312" w:hAnsi="仿宋_GB2312" w:eastAsia="仿宋_GB2312" w:cs="仿宋_GB2312"/>
          <w:sz w:val="32"/>
          <w:szCs w:val="32"/>
        </w:rPr>
        <w:t xml:space="preserve">                       日期： </w:t>
      </w:r>
    </w:p>
    <w:p>
      <w:pPr>
        <w:spacing w:line="500" w:lineRule="exact"/>
        <w:jc w:val="center"/>
        <w:rPr>
          <w:b/>
          <w:sz w:val="36"/>
          <w:szCs w:val="36"/>
        </w:rPr>
      </w:pPr>
    </w:p>
    <w:p>
      <w:pPr>
        <w:spacing w:line="500" w:lineRule="exact"/>
        <w:jc w:val="center"/>
        <w:rPr>
          <w:b/>
          <w:sz w:val="36"/>
          <w:szCs w:val="36"/>
        </w:rPr>
      </w:pPr>
    </w:p>
    <w:p>
      <w:pPr>
        <w:pStyle w:val="2"/>
        <w:rPr>
          <w:b/>
          <w:sz w:val="36"/>
          <w:szCs w:val="36"/>
        </w:rPr>
      </w:pPr>
    </w:p>
    <w:p>
      <w:pPr>
        <w:rPr>
          <w:b/>
          <w:sz w:val="36"/>
          <w:szCs w:val="36"/>
        </w:rPr>
      </w:pPr>
    </w:p>
    <w:p>
      <w:pPr>
        <w:pStyle w:val="2"/>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本单位知悉《促进残疾人就业政府采购政策的通知》（财库〔2017〕141号）的规定，承诺提供的声明函内容是真实的，如提供声明函内容不实，则依法追究相关法律责任。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pStyle w:val="2"/>
        <w:tabs>
          <w:tab w:val="left" w:pos="562"/>
          <w:tab w:val="left" w:pos="3372"/>
          <w:tab w:val="left" w:pos="3653"/>
        </w:tabs>
        <w:spacing w:line="560" w:lineRule="exact"/>
        <w:rPr>
          <w:rFonts w:ascii="仿宋_GB2312" w:hAnsi="仿宋_GB2312" w:eastAsia="仿宋_GB2312" w:cs="仿宋_GB2312"/>
        </w:rPr>
      </w:pPr>
    </w:p>
    <w:p>
      <w:pPr>
        <w:spacing w:line="560" w:lineRule="exact"/>
      </w:pP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pStyle w:val="2"/>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sz w:val="32"/>
          <w:szCs w:val="32"/>
        </w:rPr>
      </w:pPr>
    </w:p>
    <w:p>
      <w:pPr>
        <w:pStyle w:val="21"/>
      </w:pPr>
    </w:p>
    <w:p/>
    <w:p/>
    <w:p/>
    <w:p>
      <w:pPr>
        <w:numPr>
          <w:ilvl w:val="0"/>
          <w:numId w:val="8"/>
        </w:numPr>
        <w:spacing w:line="500" w:lineRule="exact"/>
        <w:jc w:val="center"/>
        <w:rPr>
          <w:b/>
          <w:sz w:val="36"/>
          <w:szCs w:val="36"/>
        </w:rPr>
      </w:pPr>
      <w:r>
        <w:rPr>
          <w:rFonts w:hint="eastAsia"/>
          <w:b/>
          <w:sz w:val="36"/>
          <w:szCs w:val="36"/>
        </w:rPr>
        <w:t>监狱企业声明函</w:t>
      </w:r>
    </w:p>
    <w:p>
      <w:pPr>
        <w:pStyle w:val="2"/>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附：省级以上监狱管理局、戒毒管理局（含新疆生产建设兵团）出具的监狱企业证明文件。</w:t>
      </w:r>
    </w:p>
    <w:p>
      <w:pPr>
        <w:spacing w:line="560" w:lineRule="exact"/>
        <w:ind w:firstLine="640" w:firstLineChars="200"/>
        <w:jc w:val="left"/>
        <w:rPr>
          <w:rFonts w:ascii="仿宋_GB2312" w:hAnsi="仿宋_GB2312" w:eastAsia="仿宋_GB2312" w:cs="仿宋_GB2312"/>
          <w:sz w:val="32"/>
          <w:szCs w:val="32"/>
        </w:rPr>
      </w:pPr>
    </w:p>
    <w:p>
      <w:pPr>
        <w:pStyle w:val="2"/>
      </w:pPr>
    </w:p>
    <w:p>
      <w:pPr>
        <w:spacing w:line="560" w:lineRule="exact"/>
        <w:ind w:firstLine="5120" w:firstLineChars="1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5120" w:firstLineChars="1600"/>
        <w:jc w:val="left"/>
        <w:rPr>
          <w:b/>
          <w:sz w:val="32"/>
          <w:szCs w:val="32"/>
        </w:rPr>
      </w:pPr>
      <w:r>
        <w:rPr>
          <w:rFonts w:hint="eastAsia" w:ascii="仿宋_GB2312" w:hAnsi="仿宋_GB2312" w:eastAsia="仿宋_GB2312" w:cs="仿宋_GB2312"/>
          <w:sz w:val="32"/>
          <w:szCs w:val="32"/>
        </w:rPr>
        <w:t>日  期：</w:t>
      </w:r>
    </w:p>
    <w:p>
      <w:pPr>
        <w:pStyle w:val="4"/>
        <w:spacing w:beforeAutospacing="0" w:afterAutospacing="0" w:line="500" w:lineRule="exact"/>
        <w:ind w:firstLine="643" w:firstLineChars="200"/>
        <w:jc w:val="both"/>
        <w:rPr>
          <w:rFonts w:hint="default" w:ascii="Calibri" w:hAnsi="Calibri" w:cs="黑体"/>
          <w:b/>
          <w:kern w:val="2"/>
          <w:sz w:val="32"/>
          <w:szCs w:val="32"/>
        </w:rPr>
      </w:pPr>
    </w:p>
    <w:p>
      <w:pPr>
        <w:pStyle w:val="4"/>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15"/>
        <w:tblW w:w="13061" w:type="dxa"/>
        <w:tblInd w:w="0" w:type="dxa"/>
        <w:tblLayout w:type="fixed"/>
        <w:tblCellMar>
          <w:top w:w="15" w:type="dxa"/>
          <w:left w:w="15" w:type="dxa"/>
          <w:bottom w:w="15" w:type="dxa"/>
          <w:right w:w="15" w:type="dxa"/>
        </w:tblCellMar>
      </w:tblPr>
      <w:tblGrid>
        <w:gridCol w:w="6581"/>
        <w:gridCol w:w="4949"/>
        <w:gridCol w:w="1531"/>
      </w:tblGrid>
      <w:tr>
        <w:tblPrEx>
          <w:tblCellMar>
            <w:top w:w="15" w:type="dxa"/>
            <w:left w:w="15" w:type="dxa"/>
            <w:bottom w:w="15" w:type="dxa"/>
            <w:right w:w="15" w:type="dxa"/>
          </w:tblCellMar>
        </w:tblPrEx>
        <w:trPr>
          <w:trHeight w:val="705" w:hRule="atLeast"/>
        </w:trPr>
        <w:tc>
          <w:tcPr>
            <w:tcW w:w="13061" w:type="dxa"/>
            <w:gridSpan w:val="3"/>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85" w:hRule="atLeast"/>
        </w:trPr>
        <w:tc>
          <w:tcPr>
            <w:tcW w:w="1306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8"/>
                <w:szCs w:val="28"/>
              </w:rPr>
              <w:t>采购项目编号:深龙七医采[LGQY2025XX00</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w:t>
            </w:r>
          </w:p>
        </w:tc>
      </w:tr>
      <w:tr>
        <w:tblPrEx>
          <w:tblCellMar>
            <w:top w:w="15" w:type="dxa"/>
            <w:left w:w="15" w:type="dxa"/>
            <w:bottom w:w="15" w:type="dxa"/>
            <w:right w:w="15" w:type="dxa"/>
          </w:tblCellMar>
        </w:tblPrEx>
        <w:trPr>
          <w:trHeight w:val="759" w:hRule="atLeast"/>
        </w:trPr>
        <w:tc>
          <w:tcPr>
            <w:tcW w:w="6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p>
            <w:pPr>
              <w:widowControl/>
              <w:jc w:val="center"/>
              <w:textAlignment w:val="center"/>
              <w:rPr>
                <w:rFonts w:ascii="仿宋" w:hAnsi="仿宋" w:eastAsia="仿宋" w:cs="仿宋"/>
                <w:color w:val="000000"/>
                <w:sz w:val="24"/>
              </w:rPr>
            </w:pPr>
          </w:p>
        </w:tc>
        <w:tc>
          <w:tcPr>
            <w:tcW w:w="4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投标报价</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15" w:type="dxa"/>
            <w:left w:w="15" w:type="dxa"/>
            <w:bottom w:w="15" w:type="dxa"/>
            <w:right w:w="15" w:type="dxa"/>
          </w:tblCellMar>
        </w:tblPrEx>
        <w:trPr>
          <w:trHeight w:val="655" w:hRule="atLeast"/>
        </w:trPr>
        <w:tc>
          <w:tcPr>
            <w:tcW w:w="65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p>
            <w:pPr>
              <w:pStyle w:val="12"/>
              <w:rPr>
                <w:rFonts w:ascii="仿宋" w:hAnsi="仿宋" w:eastAsia="仿宋" w:cs="仿宋"/>
                <w:color w:val="000000"/>
                <w:sz w:val="22"/>
                <w:szCs w:val="22"/>
              </w:rPr>
            </w:pPr>
          </w:p>
          <w:p/>
        </w:tc>
        <w:tc>
          <w:tcPr>
            <w:tcW w:w="494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r>
              <w:rPr>
                <w:rFonts w:hint="eastAsia" w:ascii="仿宋" w:hAnsi="仿宋" w:eastAsia="仿宋" w:cs="仿宋"/>
                <w:color w:val="000000"/>
                <w:sz w:val="22"/>
                <w:szCs w:val="22"/>
              </w:rPr>
              <w:t>大写：</w:t>
            </w:r>
          </w:p>
          <w:p>
            <w:pPr>
              <w:pStyle w:val="2"/>
            </w:pPr>
            <w:r>
              <w:rPr>
                <w:rFonts w:hint="eastAsia" w:ascii="仿宋" w:hAnsi="仿宋" w:eastAsia="仿宋" w:cs="仿宋"/>
                <w:color w:val="000000"/>
                <w:sz w:val="22"/>
                <w:szCs w:val="22"/>
              </w:rPr>
              <w:t>小写</w:t>
            </w: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lang w:val="en-US" w:eastAsia="zh-CN"/>
              </w:rPr>
              <w:t>元</w:t>
            </w: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rPr>
              <w:t>：</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bl>
    <w:p>
      <w:pPr>
        <w:numPr>
          <w:ilvl w:val="0"/>
          <w:numId w:val="9"/>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9"/>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9"/>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p>
    <w:p>
      <w:pPr>
        <w:rPr>
          <w:rFonts w:ascii="仿宋" w:hAnsi="仿宋" w:eastAsia="仿宋" w:cs="仿宋"/>
          <w:sz w:val="28"/>
          <w:szCs w:val="28"/>
        </w:rPr>
      </w:pP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法定代表人或其授权代表人（签字）：</w:t>
      </w:r>
    </w:p>
    <w:p>
      <w:pPr>
        <w:rPr>
          <w:rFonts w:hint="eastAsia" w:ascii="仿宋" w:hAnsi="仿宋" w:eastAsia="仿宋" w:cs="仿宋"/>
          <w:sz w:val="28"/>
          <w:szCs w:val="28"/>
        </w:rPr>
      </w:pPr>
      <w:r>
        <w:rPr>
          <w:rFonts w:hint="eastAsia" w:ascii="仿宋" w:hAnsi="仿宋" w:eastAsia="仿宋" w:cs="仿宋"/>
          <w:sz w:val="28"/>
          <w:szCs w:val="28"/>
        </w:rPr>
        <w:t xml:space="preserve">  投标单位全称（加盖公章）：</w:t>
      </w:r>
    </w:p>
    <w:p>
      <w:pPr>
        <w:rPr>
          <w:rFonts w:hint="eastAsia" w:ascii="仿宋" w:hAnsi="仿宋" w:eastAsia="仿宋" w:cs="仿宋"/>
          <w:sz w:val="28"/>
          <w:szCs w:val="28"/>
        </w:rPr>
      </w:pPr>
    </w:p>
    <w:p>
      <w:pPr>
        <w:rPr>
          <w:rFonts w:hint="eastAsia" w:ascii="仿宋" w:hAnsi="仿宋" w:eastAsia="仿宋" w:cs="仿宋"/>
          <w:sz w:val="28"/>
          <w:szCs w:val="28"/>
        </w:rPr>
      </w:pPr>
    </w:p>
    <w:p>
      <w:pPr>
        <w:pStyle w:val="2"/>
      </w:pPr>
    </w:p>
    <w:p>
      <w:pPr>
        <w:pStyle w:val="3"/>
        <w:numPr>
          <w:ilvl w:val="0"/>
          <w:numId w:val="0"/>
        </w:numPr>
        <w:spacing w:line="240" w:lineRule="auto"/>
        <w:ind w:left="420" w:hanging="420"/>
        <w:jc w:val="center"/>
        <w:rPr>
          <w:rFonts w:hint="eastAsia" w:ascii="宋体" w:hAnsi="宋体" w:eastAsia="宋体" w:cs="Times New Roman"/>
          <w:sz w:val="30"/>
          <w:szCs w:val="30"/>
        </w:rPr>
      </w:pPr>
      <w:bookmarkStart w:id="12" w:name="_Toc8890"/>
      <w:r>
        <w:rPr>
          <w:rFonts w:hint="eastAsia" w:ascii="仿宋" w:hAnsi="仿宋" w:eastAsia="仿宋" w:cs="仿宋"/>
          <w:b/>
          <w:color w:val="000000"/>
          <w:kern w:val="0"/>
          <w:sz w:val="44"/>
          <w:szCs w:val="44"/>
          <w:lang w:val="en-US" w:eastAsia="zh-CN" w:bidi="ar-SA"/>
        </w:rPr>
        <w:t>技术条款响应表</w:t>
      </w:r>
    </w:p>
    <w:bookmarkEnd w:id="12"/>
    <w:p>
      <w:pPr>
        <w:spacing w:line="400" w:lineRule="exact"/>
        <w:rPr>
          <w:rFonts w:hint="eastAsia" w:ascii="宋体" w:hAnsi="宋体"/>
        </w:rPr>
      </w:pPr>
      <w:r>
        <w:rPr>
          <w:rFonts w:hint="eastAsia" w:ascii="宋体" w:hAnsi="宋体"/>
        </w:rPr>
        <w:t>说明：投标人必须对应招标文件</w:t>
      </w:r>
      <w:r>
        <w:rPr>
          <w:rFonts w:hint="eastAsia" w:ascii="宋体" w:hAnsi="宋体" w:eastAsia="宋体" w:cs="Times New Roman"/>
          <w:color w:val="auto"/>
          <w:sz w:val="21"/>
          <w:szCs w:val="21"/>
          <w:lang w:val="en-US" w:eastAsia="zh-CN"/>
        </w:rPr>
        <w:t>根据“第二章 院内公开采购项目需求”中的系统功能要求</w:t>
      </w:r>
      <w:r>
        <w:rPr>
          <w:rFonts w:hint="eastAsia" w:ascii="宋体" w:hAnsi="宋体"/>
        </w:rPr>
        <w:t>逐条应答并按要求填写下表。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766"/>
        <w:gridCol w:w="4836"/>
        <w:gridCol w:w="3572"/>
        <w:gridCol w:w="1978"/>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序号</w:t>
            </w:r>
          </w:p>
        </w:tc>
        <w:tc>
          <w:tcPr>
            <w:tcW w:w="766"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服务名称</w:t>
            </w:r>
          </w:p>
        </w:tc>
        <w:tc>
          <w:tcPr>
            <w:tcW w:w="4836" w:type="dxa"/>
            <w:vAlign w:val="center"/>
          </w:tcPr>
          <w:p>
            <w:pPr>
              <w:jc w:val="center"/>
              <w:rPr>
                <w:rFonts w:hint="default" w:ascii="宋体" w:hAnsi="宋体" w:eastAsia="宋体"/>
                <w:szCs w:val="21"/>
                <w:lang w:val="en-US" w:eastAsia="zh-CN"/>
              </w:rPr>
            </w:pPr>
            <w:r>
              <w:rPr>
                <w:rFonts w:hint="eastAsia" w:ascii="宋体" w:hAnsi="宋体" w:eastAsia="宋体"/>
                <w:szCs w:val="21"/>
              </w:rPr>
              <w:t>招标条款</w:t>
            </w:r>
          </w:p>
        </w:tc>
        <w:tc>
          <w:tcPr>
            <w:tcW w:w="3572" w:type="dxa"/>
            <w:vAlign w:val="center"/>
          </w:tcPr>
          <w:p>
            <w:pPr>
              <w:jc w:val="center"/>
              <w:rPr>
                <w:rFonts w:hint="eastAsia" w:ascii="宋体" w:hAnsi="宋体" w:eastAsia="宋体"/>
                <w:szCs w:val="21"/>
                <w:lang w:val="en-US" w:eastAsia="zh-CN"/>
              </w:rPr>
            </w:pPr>
            <w:r>
              <w:rPr>
                <w:rFonts w:hint="eastAsia" w:ascii="宋体" w:hAnsi="宋体" w:eastAsia="宋体"/>
                <w:szCs w:val="21"/>
              </w:rPr>
              <w:t>投标条款</w:t>
            </w:r>
          </w:p>
        </w:tc>
        <w:tc>
          <w:tcPr>
            <w:tcW w:w="1978" w:type="dxa"/>
            <w:vAlign w:val="center"/>
          </w:tcPr>
          <w:p>
            <w:pPr>
              <w:jc w:val="center"/>
              <w:rPr>
                <w:rFonts w:hint="eastAsia" w:ascii="宋体" w:hAnsi="宋体" w:eastAsia="宋体"/>
                <w:szCs w:val="21"/>
                <w:lang w:val="en-US" w:eastAsia="zh-CN"/>
              </w:rPr>
            </w:pPr>
            <w:r>
              <w:rPr>
                <w:rFonts w:hint="eastAsia" w:ascii="宋体" w:hAnsi="宋体" w:eastAsia="宋体"/>
                <w:szCs w:val="21"/>
              </w:rPr>
              <w:t>偏离情况（填写“正偏离、</w:t>
            </w:r>
            <w:r>
              <w:rPr>
                <w:rFonts w:hint="eastAsia" w:ascii="宋体" w:hAnsi="宋体"/>
                <w:szCs w:val="21"/>
                <w:lang w:val="en-US" w:eastAsia="zh-CN"/>
              </w:rPr>
              <w:t>无偏离</w:t>
            </w:r>
            <w:r>
              <w:rPr>
                <w:rFonts w:hint="eastAsia" w:ascii="宋体" w:hAnsi="宋体" w:eastAsia="宋体"/>
                <w:szCs w:val="21"/>
              </w:rPr>
              <w:t>或负偏离”）</w:t>
            </w:r>
          </w:p>
        </w:tc>
        <w:tc>
          <w:tcPr>
            <w:tcW w:w="1254" w:type="dxa"/>
            <w:vAlign w:val="center"/>
          </w:tcPr>
          <w:p>
            <w:pPr>
              <w:jc w:val="center"/>
              <w:rPr>
                <w:rFonts w:hint="eastAsia" w:ascii="宋体" w:hAnsi="宋体" w:eastAsia="宋体"/>
                <w:szCs w:val="21"/>
                <w:lang w:val="en-US" w:eastAsia="zh-CN"/>
              </w:rPr>
            </w:pPr>
            <w:r>
              <w:rPr>
                <w:rFonts w:hint="eastAsia" w:ascii="宋体" w:hAnsi="宋体" w:eastAsia="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restart"/>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766" w:type="dxa"/>
            <w:vMerge w:val="restart"/>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网络安全等级保护测评服务内容</w:t>
            </w:r>
          </w:p>
        </w:tc>
        <w:tc>
          <w:tcPr>
            <w:tcW w:w="4836"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差距测评：根据已有信息系统安全等级保护定级情况，制定信息系统安全等级保护测评方案，对信息系统涉及的机房、网络/安全设备、主机、安全管理体系等进行等级保护差距测评，并提交不符合项表和整改建议（现场测评）。（提供承诺函，格式自拟）</w:t>
            </w:r>
          </w:p>
        </w:tc>
        <w:tc>
          <w:tcPr>
            <w:tcW w:w="3572"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978"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254"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continue"/>
            <w:vAlign w:val="center"/>
          </w:tcPr>
          <w:p>
            <w:pPr>
              <w:keepNext w:val="0"/>
              <w:keepLines w:val="0"/>
              <w:pageBreakBefore w:val="0"/>
              <w:kinsoku/>
              <w:wordWrap/>
              <w:overflowPunct/>
              <w:topLinePunct w:val="0"/>
              <w:bidi w:val="0"/>
              <w:adjustRightInd/>
              <w:snapToGrid/>
              <w:spacing w:after="60" w:line="400" w:lineRule="exact"/>
              <w:ind w:firstLine="560" w:firstLineChars="200"/>
              <w:jc w:val="center"/>
              <w:textAlignment w:val="auto"/>
              <w:rPr>
                <w:rFonts w:hint="default" w:ascii="仿宋_GB2312" w:hAnsi="仿宋_GB2312" w:eastAsia="仿宋_GB2312" w:cs="仿宋_GB2312"/>
                <w:kern w:val="2"/>
                <w:sz w:val="28"/>
                <w:szCs w:val="28"/>
                <w:lang w:val="en-US" w:eastAsia="zh-CN" w:bidi="ar-SA"/>
              </w:rPr>
            </w:pPr>
          </w:p>
        </w:tc>
        <w:tc>
          <w:tcPr>
            <w:tcW w:w="766" w:type="dxa"/>
            <w:vMerge w:val="continue"/>
            <w:vAlign w:val="center"/>
          </w:tcPr>
          <w:p>
            <w:pPr>
              <w:keepNext w:val="0"/>
              <w:keepLines w:val="0"/>
              <w:pageBreakBefore w:val="0"/>
              <w:kinsoku/>
              <w:wordWrap/>
              <w:overflowPunct/>
              <w:topLinePunct w:val="0"/>
              <w:bidi w:val="0"/>
              <w:adjustRightInd/>
              <w:snapToGrid/>
              <w:spacing w:after="60" w:line="400" w:lineRule="exact"/>
              <w:ind w:firstLine="480" w:firstLineChars="200"/>
              <w:jc w:val="center"/>
              <w:textAlignment w:val="auto"/>
              <w:rPr>
                <w:rFonts w:hint="default" w:ascii="仿宋_GB2312" w:hAnsi="仿宋_GB2312" w:eastAsia="仿宋_GB2312" w:cs="仿宋_GB2312"/>
                <w:kern w:val="2"/>
                <w:sz w:val="24"/>
                <w:szCs w:val="24"/>
                <w:lang w:val="en-US" w:eastAsia="zh-CN" w:bidi="ar-SA"/>
              </w:rPr>
            </w:pPr>
          </w:p>
        </w:tc>
        <w:tc>
          <w:tcPr>
            <w:tcW w:w="4836"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▲漏洞扫描服务：对被测信息系统服务器、应用系统进行漏洞扫描，列出被测信息系统中存在的主要问题以及可能造成的后果，并提出整改建议。</w:t>
            </w:r>
          </w:p>
        </w:tc>
        <w:tc>
          <w:tcPr>
            <w:tcW w:w="3572"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978"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254"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continue"/>
            <w:vAlign w:val="center"/>
          </w:tcPr>
          <w:p>
            <w:pPr>
              <w:keepNext w:val="0"/>
              <w:keepLines w:val="0"/>
              <w:pageBreakBefore w:val="0"/>
              <w:kinsoku/>
              <w:wordWrap/>
              <w:overflowPunct/>
              <w:topLinePunct w:val="0"/>
              <w:bidi w:val="0"/>
              <w:adjustRightInd/>
              <w:snapToGrid/>
              <w:spacing w:after="60" w:line="400" w:lineRule="exact"/>
              <w:ind w:firstLine="560" w:firstLineChars="200"/>
              <w:jc w:val="center"/>
              <w:textAlignment w:val="auto"/>
              <w:rPr>
                <w:rFonts w:hint="default" w:ascii="仿宋_GB2312" w:hAnsi="仿宋_GB2312" w:eastAsia="仿宋_GB2312" w:cs="仿宋_GB2312"/>
                <w:kern w:val="2"/>
                <w:sz w:val="28"/>
                <w:szCs w:val="28"/>
                <w:lang w:val="en-US" w:eastAsia="zh-CN" w:bidi="ar-SA"/>
              </w:rPr>
            </w:pPr>
          </w:p>
        </w:tc>
        <w:tc>
          <w:tcPr>
            <w:tcW w:w="766" w:type="dxa"/>
            <w:vMerge w:val="continue"/>
            <w:vAlign w:val="center"/>
          </w:tcPr>
          <w:p>
            <w:pPr>
              <w:keepNext w:val="0"/>
              <w:keepLines w:val="0"/>
              <w:pageBreakBefore w:val="0"/>
              <w:kinsoku/>
              <w:wordWrap/>
              <w:overflowPunct/>
              <w:topLinePunct w:val="0"/>
              <w:bidi w:val="0"/>
              <w:adjustRightInd/>
              <w:snapToGrid/>
              <w:spacing w:after="60" w:line="400" w:lineRule="exact"/>
              <w:ind w:firstLine="480" w:firstLineChars="200"/>
              <w:jc w:val="center"/>
              <w:textAlignment w:val="auto"/>
              <w:rPr>
                <w:rFonts w:hint="default" w:ascii="仿宋_GB2312" w:hAnsi="仿宋_GB2312" w:eastAsia="仿宋_GB2312" w:cs="仿宋_GB2312"/>
                <w:kern w:val="2"/>
                <w:sz w:val="24"/>
                <w:szCs w:val="24"/>
                <w:lang w:val="en-US" w:eastAsia="zh-CN" w:bidi="ar-SA"/>
              </w:rPr>
            </w:pPr>
          </w:p>
        </w:tc>
        <w:tc>
          <w:tcPr>
            <w:tcW w:w="4836" w:type="dxa"/>
          </w:tcPr>
          <w:p>
            <w:pPr>
              <w:keepNext w:val="0"/>
              <w:keepLines w:val="0"/>
              <w:pageBreakBefore w:val="0"/>
              <w:kinsoku/>
              <w:wordWrap/>
              <w:overflowPunct/>
              <w:topLinePunct w:val="0"/>
              <w:bidi w:val="0"/>
              <w:adjustRightInd/>
              <w:snapToGrid/>
              <w:spacing w:after="60" w:line="400" w:lineRule="exac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▲渗透测试服务：根据扫描结果进行漏洞分析及说明，对系统开展渗透测试，进行弱口令测试及其他手工测试，并提交修复建议（互联网渗透+现场渗透）。</w:t>
            </w:r>
          </w:p>
        </w:tc>
        <w:tc>
          <w:tcPr>
            <w:tcW w:w="3572"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978"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254"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continue"/>
            <w:vAlign w:val="center"/>
          </w:tcPr>
          <w:p>
            <w:pPr>
              <w:keepNext w:val="0"/>
              <w:keepLines w:val="0"/>
              <w:pageBreakBefore w:val="0"/>
              <w:kinsoku/>
              <w:wordWrap/>
              <w:overflowPunct/>
              <w:topLinePunct w:val="0"/>
              <w:bidi w:val="0"/>
              <w:adjustRightInd/>
              <w:snapToGrid/>
              <w:spacing w:after="60" w:line="400" w:lineRule="exact"/>
              <w:ind w:firstLine="560" w:firstLineChars="200"/>
              <w:jc w:val="center"/>
              <w:textAlignment w:val="auto"/>
              <w:rPr>
                <w:rFonts w:hint="default" w:ascii="仿宋_GB2312" w:hAnsi="仿宋_GB2312" w:eastAsia="仿宋_GB2312" w:cs="仿宋_GB2312"/>
                <w:kern w:val="2"/>
                <w:sz w:val="28"/>
                <w:szCs w:val="28"/>
                <w:lang w:val="en-US" w:eastAsia="zh-CN" w:bidi="ar-SA"/>
              </w:rPr>
            </w:pPr>
          </w:p>
        </w:tc>
        <w:tc>
          <w:tcPr>
            <w:tcW w:w="766" w:type="dxa"/>
            <w:vMerge w:val="continue"/>
            <w:vAlign w:val="center"/>
          </w:tcPr>
          <w:p>
            <w:pPr>
              <w:keepNext w:val="0"/>
              <w:keepLines w:val="0"/>
              <w:pageBreakBefore w:val="0"/>
              <w:kinsoku/>
              <w:wordWrap/>
              <w:overflowPunct/>
              <w:topLinePunct w:val="0"/>
              <w:bidi w:val="0"/>
              <w:adjustRightInd/>
              <w:snapToGrid/>
              <w:spacing w:after="60" w:line="400" w:lineRule="exact"/>
              <w:ind w:firstLine="480" w:firstLineChars="200"/>
              <w:jc w:val="center"/>
              <w:textAlignment w:val="auto"/>
              <w:rPr>
                <w:rFonts w:hint="default" w:ascii="仿宋_GB2312" w:hAnsi="仿宋_GB2312" w:eastAsia="仿宋_GB2312" w:cs="仿宋_GB2312"/>
                <w:kern w:val="2"/>
                <w:sz w:val="24"/>
                <w:szCs w:val="24"/>
                <w:lang w:val="en-US" w:eastAsia="zh-CN" w:bidi="ar-SA"/>
              </w:rPr>
            </w:pPr>
          </w:p>
        </w:tc>
        <w:tc>
          <w:tcPr>
            <w:tcW w:w="4836"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验收测评：测评完成后，依据《GBT28448-2019信息安全技术网络安全等级保护测评要求》及相关等保2.0标准和要求，对信息系统进行验收性测评，并输出测评报告，通过测评后，由公安网监部门颁发证书。（提供承诺函，格式自拟）</w:t>
            </w:r>
          </w:p>
        </w:tc>
        <w:tc>
          <w:tcPr>
            <w:tcW w:w="3572"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978"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254"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restart"/>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766" w:type="dxa"/>
            <w:vMerge w:val="restart"/>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等保测评工具技术</w:t>
            </w:r>
          </w:p>
        </w:tc>
        <w:tc>
          <w:tcPr>
            <w:tcW w:w="4836"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主机层测评工具技术要求：</w:t>
            </w:r>
          </w:p>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（1）支持Web登录扫描，支持Cookie认证、Form认证、Basic认证、NTLM认证、Session认证、Digest认证、SSL，支持自动探测网段的未知站点，并可转为WEB扫描资产；（须提供产品功能证明）</w:t>
            </w:r>
          </w:p>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（2）支持数据库登录扫描，至少应包括数据库账号，密码，SYSDBA、SYSOPER、NORMAL认证，SID、数据库名称、实例名称及实例号等登录选项的设置；（须提供产品功能证明）</w:t>
            </w:r>
          </w:p>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（3）支持50000条以上系统漏洞库，并按照漏洞类别及漏洞威胁程度进行分类；（须提供产品功能证明）</w:t>
            </w:r>
          </w:p>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（4）支持至少三种漏洞验证方式，如浏览器验证、注入验证、通用验证等；（须提供产品功能证明）</w:t>
            </w:r>
          </w:p>
          <w:p>
            <w:pPr>
              <w:keepNext w:val="0"/>
              <w:keepLines w:val="0"/>
              <w:pageBreakBefore w:val="0"/>
              <w:kinsoku/>
              <w:wordWrap/>
              <w:overflowPunct/>
              <w:topLinePunct w:val="0"/>
              <w:bidi w:val="0"/>
              <w:adjustRightInd/>
              <w:snapToGrid/>
              <w:spacing w:after="60" w:line="400" w:lineRule="exact"/>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（5）支持数据库在线登录验证；支持Web漏洞扫描检测。（须提供产品功能证明）</w:t>
            </w:r>
          </w:p>
        </w:tc>
        <w:tc>
          <w:tcPr>
            <w:tcW w:w="3572"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978"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254"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continue"/>
            <w:vAlign w:val="center"/>
          </w:tcPr>
          <w:p>
            <w:pPr>
              <w:keepNext w:val="0"/>
              <w:keepLines w:val="0"/>
              <w:pageBreakBefore w:val="0"/>
              <w:kinsoku/>
              <w:wordWrap/>
              <w:overflowPunct/>
              <w:topLinePunct w:val="0"/>
              <w:bidi w:val="0"/>
              <w:adjustRightInd/>
              <w:snapToGrid/>
              <w:spacing w:after="60" w:line="400" w:lineRule="exact"/>
              <w:ind w:firstLine="560" w:firstLineChars="200"/>
              <w:jc w:val="center"/>
              <w:textAlignment w:val="auto"/>
              <w:rPr>
                <w:rFonts w:hint="default" w:ascii="仿宋_GB2312" w:hAnsi="仿宋_GB2312" w:eastAsia="仿宋_GB2312" w:cs="仿宋_GB2312"/>
                <w:kern w:val="2"/>
                <w:sz w:val="28"/>
                <w:szCs w:val="28"/>
                <w:lang w:val="en-US" w:eastAsia="zh-CN" w:bidi="ar-SA"/>
              </w:rPr>
            </w:pPr>
          </w:p>
        </w:tc>
        <w:tc>
          <w:tcPr>
            <w:tcW w:w="766" w:type="dxa"/>
            <w:vMerge w:val="continue"/>
            <w:vAlign w:val="center"/>
          </w:tcPr>
          <w:p>
            <w:pPr>
              <w:keepNext w:val="0"/>
              <w:keepLines w:val="0"/>
              <w:pageBreakBefore w:val="0"/>
              <w:kinsoku/>
              <w:wordWrap/>
              <w:overflowPunct/>
              <w:topLinePunct w:val="0"/>
              <w:bidi w:val="0"/>
              <w:adjustRightInd/>
              <w:snapToGrid/>
              <w:spacing w:after="60" w:line="400" w:lineRule="exact"/>
              <w:ind w:firstLine="480" w:firstLineChars="200"/>
              <w:jc w:val="center"/>
              <w:textAlignment w:val="auto"/>
              <w:rPr>
                <w:rFonts w:hint="default" w:ascii="仿宋_GB2312" w:hAnsi="仿宋_GB2312" w:eastAsia="仿宋_GB2312" w:cs="仿宋_GB2312"/>
                <w:kern w:val="2"/>
                <w:sz w:val="24"/>
                <w:szCs w:val="24"/>
                <w:lang w:val="en-US" w:eastAsia="zh-CN" w:bidi="ar-SA"/>
              </w:rPr>
            </w:pPr>
          </w:p>
        </w:tc>
        <w:tc>
          <w:tcPr>
            <w:tcW w:w="4836"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应用层测评工具技术要求：</w:t>
            </w:r>
          </w:p>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（1）支持对SQL注入、XSS攻击、文件包含类等漏洞在扫描结果中有验证性，给予管理员漏洞存在性、可利用性以及漏洞利用方式的提醒（须提供产品功能证明）</w:t>
            </w:r>
          </w:p>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（2）支持登录扫描功能，可自动通过内置的WEB代理来抓取用户登录信息，无需手工输入Cookies、Session等信息，即可实现登录扫描功能；</w:t>
            </w:r>
            <w:r>
              <w:rPr>
                <w:rFonts w:hint="eastAsia" w:ascii="仿宋_GB2312" w:hAnsi="仿宋_GB2312" w:eastAsia="仿宋_GB2312" w:cs="仿宋_GB2312"/>
                <w:color w:val="auto"/>
                <w:kern w:val="2"/>
                <w:sz w:val="24"/>
                <w:szCs w:val="24"/>
                <w:lang w:val="en-US" w:eastAsia="zh-CN" w:bidi="ar-SA"/>
              </w:rPr>
              <w:t>（须提供产品功能证明）</w:t>
            </w:r>
          </w:p>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（3）支持多用户配置，可以控制每个用户的扫描目的IP，扫描迸发，并且管理员可以对所有用户的扫描任务进行管理（须提供产品功能证明）</w:t>
            </w:r>
          </w:p>
          <w:p>
            <w:pPr>
              <w:keepNext w:val="0"/>
              <w:keepLines w:val="0"/>
              <w:pageBreakBefore w:val="0"/>
              <w:kinsoku/>
              <w:wordWrap/>
              <w:overflowPunct/>
              <w:topLinePunct w:val="0"/>
              <w:bidi w:val="0"/>
              <w:adjustRightInd/>
              <w:snapToGrid/>
              <w:spacing w:after="60" w:line="400" w:lineRule="exac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（4）支持HTTP代理（提供HTTP代理服务器的功能。用来获取通过用户名和密码登录时的cookie，从而进行登录扫描）（须提供产品功能证明）</w:t>
            </w:r>
          </w:p>
        </w:tc>
        <w:tc>
          <w:tcPr>
            <w:tcW w:w="3572"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978"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254"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p>
        </w:tc>
        <w:tc>
          <w:tcPr>
            <w:tcW w:w="766" w:type="dxa"/>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保密要求</w:t>
            </w:r>
          </w:p>
        </w:tc>
        <w:tc>
          <w:tcPr>
            <w:tcW w:w="4836"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（1）服务方应按要求与委托方签署保密协议。</w:t>
            </w:r>
          </w:p>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（2）服务方应主动采取加密措施对上述所列及之保密信息进行保护，防止不承担同等保密义务的任何第三者知悉及使用。</w:t>
            </w:r>
          </w:p>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（3）服务方不得刺探或者以其他不正当手段（包括利用计算机进行检索、浏览、复制等）获取与本职工作或本身业务无关的采购方关于该项目的商业秘密。</w:t>
            </w:r>
          </w:p>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（4）服务方不得向不承担同等保密义务的任何第三人披露采购方关于该项目的商业秘密。</w:t>
            </w:r>
          </w:p>
          <w:p>
            <w:pPr>
              <w:keepNext w:val="0"/>
              <w:keepLines w:val="0"/>
              <w:pageBreakBefore w:val="0"/>
              <w:kinsoku/>
              <w:wordWrap/>
              <w:overflowPunct/>
              <w:topLinePunct w:val="0"/>
              <w:bidi w:val="0"/>
              <w:adjustRightInd/>
              <w:snapToGrid/>
              <w:spacing w:after="60" w:line="400" w:lineRule="exac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（5）服务方不得对用户提供的测评环境、数据、软件及相关的文档进行外发或第三方使用，一经发现，按损坏程度依法处理。</w:t>
            </w:r>
          </w:p>
        </w:tc>
        <w:tc>
          <w:tcPr>
            <w:tcW w:w="3572"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978"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c>
          <w:tcPr>
            <w:tcW w:w="1254" w:type="dxa"/>
          </w:tcPr>
          <w:p>
            <w:pPr>
              <w:keepNext w:val="0"/>
              <w:keepLines w:val="0"/>
              <w:pageBreakBefore w:val="0"/>
              <w:kinsoku/>
              <w:wordWrap/>
              <w:overflowPunct/>
              <w:topLinePunct w:val="0"/>
              <w:bidi w:val="0"/>
              <w:adjustRightInd/>
              <w:snapToGrid/>
              <w:spacing w:after="60"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w:t>
            </w:r>
          </w:p>
        </w:tc>
        <w:tc>
          <w:tcPr>
            <w:tcW w:w="766" w:type="dxa"/>
            <w:vAlign w:val="center"/>
          </w:tcPr>
          <w:p>
            <w:pPr>
              <w:keepNext w:val="0"/>
              <w:keepLines w:val="0"/>
              <w:pageBreakBefore w:val="0"/>
              <w:kinsoku/>
              <w:wordWrap/>
              <w:overflowPunct/>
              <w:topLinePunct w:val="0"/>
              <w:bidi w:val="0"/>
              <w:adjustRightInd/>
              <w:snapToGrid/>
              <w:spacing w:after="60" w:line="4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时间要求</w:t>
            </w:r>
          </w:p>
        </w:tc>
        <w:tc>
          <w:tcPr>
            <w:tcW w:w="4836"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▲签订合同后六个月内完成测评并获取到公安部门出具的测评结果通知书。</w:t>
            </w:r>
          </w:p>
        </w:tc>
        <w:tc>
          <w:tcPr>
            <w:tcW w:w="3572"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p>
        </w:tc>
        <w:tc>
          <w:tcPr>
            <w:tcW w:w="1978"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p>
        </w:tc>
        <w:tc>
          <w:tcPr>
            <w:tcW w:w="1254" w:type="dxa"/>
          </w:tcPr>
          <w:p>
            <w:pPr>
              <w:keepNext w:val="0"/>
              <w:keepLines w:val="0"/>
              <w:pageBreakBefore w:val="0"/>
              <w:kinsoku/>
              <w:wordWrap/>
              <w:overflowPunct/>
              <w:topLinePunct w:val="0"/>
              <w:bidi w:val="0"/>
              <w:adjustRightInd/>
              <w:snapToGrid/>
              <w:spacing w:after="60" w:line="400" w:lineRule="exact"/>
              <w:textAlignment w:val="auto"/>
              <w:rPr>
                <w:rFonts w:hint="eastAsia" w:ascii="仿宋_GB2312" w:hAnsi="仿宋_GB2312" w:eastAsia="仿宋_GB2312" w:cs="仿宋_GB2312"/>
                <w:kern w:val="2"/>
                <w:sz w:val="24"/>
                <w:szCs w:val="24"/>
                <w:lang w:val="en-US" w:eastAsia="zh-CN" w:bidi="ar-SA"/>
              </w:rPr>
            </w:pPr>
          </w:p>
        </w:tc>
      </w:tr>
    </w:tbl>
    <w:p/>
    <w:p>
      <w:pPr>
        <w:rPr>
          <w:rFonts w:hint="eastAsia"/>
        </w:rPr>
      </w:pPr>
      <w:r>
        <w:rPr>
          <w:rFonts w:hint="eastAsia" w:ascii="宋体" w:hAnsi="宋体"/>
          <w:szCs w:val="21"/>
        </w:rPr>
        <w:t>备注：</w:t>
      </w:r>
      <w:r>
        <w:rPr>
          <w:rFonts w:hint="eastAsia" w:ascii="宋体" w:hAnsi="宋体"/>
          <w:szCs w:val="21"/>
          <w:lang w:val="en-US" w:eastAsia="zh-CN"/>
        </w:rPr>
        <w:t>如要求提供相关证明文件的，</w:t>
      </w:r>
      <w:r>
        <w:rPr>
          <w:rFonts w:hint="eastAsia" w:ascii="宋体" w:hAnsi="宋体"/>
          <w:szCs w:val="21"/>
        </w:rPr>
        <w:t>投标人必须按招标文件要求附相关证明文件，如未提供的视为负偏离。</w:t>
      </w:r>
    </w:p>
    <w:p>
      <w:pPr>
        <w:sectPr>
          <w:pgSz w:w="16838" w:h="11906" w:orient="landscape"/>
          <w:pgMar w:top="1304" w:right="2098" w:bottom="1474" w:left="1984" w:header="851" w:footer="1417" w:gutter="0"/>
          <w:pgNumType w:fmt="numberInDash"/>
          <w:cols w:space="0" w:num="1"/>
          <w:docGrid w:type="lines" w:linePitch="327" w:charSpace="0"/>
        </w:sectPr>
      </w:pPr>
    </w:p>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lang w:val="en-US" w:eastAsia="zh-CN"/>
        </w:rPr>
        <w:t>服务类</w:t>
      </w:r>
      <w:r>
        <w:rPr>
          <w:rFonts w:hint="eastAsia" w:ascii="仿宋" w:hAnsi="仿宋" w:eastAsia="仿宋" w:cs="仿宋"/>
          <w:b/>
          <w:bCs/>
          <w:sz w:val="32"/>
          <w:szCs w:val="32"/>
        </w:rPr>
        <w:t>合同模板</w:t>
      </w:r>
      <w:r>
        <w:rPr>
          <w:rFonts w:hint="eastAsia" w:ascii="仿宋" w:hAnsi="仿宋" w:eastAsia="仿宋" w:cs="仿宋"/>
          <w:b/>
          <w:color w:val="000000"/>
          <w:kern w:val="0"/>
          <w:sz w:val="28"/>
          <w:szCs w:val="28"/>
        </w:rPr>
        <w:t>(合同模板仅供参考，中标人根据招投标文件拟定)</w:t>
      </w:r>
    </w:p>
    <w:p>
      <w:pPr>
        <w:jc w:val="center"/>
        <w:rPr>
          <w:rFonts w:hint="eastAsia"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w:t>
      </w:r>
      <w:r>
        <w:rPr>
          <w:rFonts w:hint="eastAsia" w:ascii="仿宋" w:hAnsi="仿宋" w:eastAsia="仿宋"/>
          <w:b/>
          <w:sz w:val="44"/>
          <w:szCs w:val="44"/>
          <w:lang w:eastAsia="zh-CN"/>
        </w:rPr>
        <w:t>龙岗区第七人民医院</w:t>
      </w:r>
      <w:r>
        <w:rPr>
          <w:rFonts w:hint="eastAsia" w:ascii="仿宋" w:hAnsi="仿宋" w:eastAsia="仿宋"/>
          <w:b/>
          <w:sz w:val="44"/>
          <w:szCs w:val="44"/>
        </w:rPr>
        <w:t>采购合同》</w:t>
      </w:r>
    </w:p>
    <w:p>
      <w:pPr>
        <w:spacing w:line="440" w:lineRule="exact"/>
        <w:ind w:firstLine="560" w:firstLineChars="200"/>
        <w:rPr>
          <w:rFonts w:ascii="仿宋" w:hAnsi="仿宋" w:eastAsia="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宋体"/>
          <w:sz w:val="28"/>
          <w:szCs w:val="28"/>
          <w:u w:val="single"/>
        </w:rPr>
        <w:t xml:space="preserve">                     </w:t>
      </w:r>
    </w:p>
    <w:p>
      <w:pPr>
        <w:spacing w:line="44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项目编号：</w:t>
      </w:r>
      <w:r>
        <w:rPr>
          <w:rFonts w:hint="eastAsia" w:ascii="仿宋" w:hAnsi="仿宋" w:eastAsia="仿宋" w:cs="仿宋_GB2312"/>
          <w:sz w:val="28"/>
          <w:szCs w:val="28"/>
          <w:u w:val="single"/>
          <w:lang w:val="en-US" w:eastAsia="zh-CN"/>
        </w:rPr>
        <w:t xml:space="preserve">                     </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sz w:val="28"/>
          <w:szCs w:val="28"/>
          <w:u w:val="single"/>
        </w:rPr>
        <w:t>服务类</w:t>
      </w:r>
      <w:r>
        <w:rPr>
          <w:rFonts w:hint="eastAsia" w:ascii="仿宋" w:hAnsi="仿宋" w:eastAsia="仿宋" w:cs="仿宋"/>
          <w:sz w:val="28"/>
          <w:szCs w:val="28"/>
          <w:u w:val="single"/>
        </w:rPr>
        <w:t>　</w:t>
      </w:r>
    </w:p>
    <w:p>
      <w:pPr>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采购单位（甲方）：</w:t>
      </w:r>
      <w:r>
        <w:rPr>
          <w:rFonts w:hint="eastAsia" w:ascii="仿宋" w:hAnsi="仿宋" w:eastAsia="仿宋"/>
          <w:sz w:val="28"/>
          <w:szCs w:val="28"/>
          <w:u w:val="single"/>
        </w:rPr>
        <w:t>深圳市</w:t>
      </w:r>
      <w:r>
        <w:rPr>
          <w:rFonts w:hint="eastAsia" w:ascii="仿宋" w:hAnsi="仿宋" w:eastAsia="仿宋"/>
          <w:sz w:val="28"/>
          <w:szCs w:val="28"/>
          <w:u w:val="single"/>
          <w:lang w:eastAsia="zh-CN"/>
        </w:rPr>
        <w:t>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r>
        <w:rPr>
          <w:rFonts w:hint="eastAsia" w:ascii="仿宋" w:hAnsi="仿宋" w:eastAsia="仿宋" w:cs="宋体"/>
          <w:kern w:val="0"/>
          <w:sz w:val="28"/>
          <w:szCs w:val="28"/>
          <w:u w:val="single"/>
        </w:rPr>
        <w:t xml:space="preserve">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 xml:space="preserve">                  </w:t>
      </w:r>
      <w:r>
        <w:rPr>
          <w:rFonts w:hint="eastAsia" w:ascii="仿宋" w:hAnsi="仿宋" w:eastAsia="仿宋" w:cs="仿宋"/>
          <w:sz w:val="28"/>
          <w:szCs w:val="28"/>
        </w:rPr>
        <w:t>的招标结果并经双方协商签订本合同。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第一条</w:t>
      </w:r>
      <w:r>
        <w:rPr>
          <w:rFonts w:hint="eastAsia" w:ascii="仿宋_GB2312" w:hAnsi="仿宋_GB2312" w:eastAsia="仿宋" w:cs="仿宋_GB2312"/>
          <w:b/>
          <w:bCs/>
          <w:sz w:val="28"/>
          <w:szCs w:val="28"/>
        </w:rPr>
        <w:t> </w:t>
      </w:r>
      <w:r>
        <w:rPr>
          <w:rFonts w:hint="eastAsia" w:ascii="仿宋" w:hAnsi="仿宋" w:eastAsia="仿宋" w:cs="仿宋_GB2312"/>
          <w:b/>
          <w:bCs/>
          <w:sz w:val="28"/>
          <w:szCs w:val="28"/>
        </w:rPr>
        <w:t xml:space="preserve"> 合同标的</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项目内容：</w:t>
      </w:r>
      <w:r>
        <w:rPr>
          <w:rFonts w:hint="eastAsia" w:ascii="仿宋" w:hAnsi="仿宋" w:eastAsia="仿宋" w:cs="仿宋_GB2312"/>
          <w:sz w:val="28"/>
          <w:szCs w:val="28"/>
          <w:u w:val="single"/>
        </w:rPr>
        <w:t xml:space="preserve">                        </w:t>
      </w:r>
    </w:p>
    <w:p>
      <w:pPr>
        <w:spacing w:line="480" w:lineRule="exact"/>
        <w:ind w:firstLine="560" w:firstLineChars="200"/>
        <w:rPr>
          <w:rFonts w:hint="eastAsia" w:ascii="仿宋" w:hAnsi="仿宋" w:eastAsia="仿宋" w:cs="仿宋_GB2312"/>
          <w:sz w:val="28"/>
          <w:szCs w:val="28"/>
          <w:u w:val="single"/>
        </w:rPr>
      </w:pPr>
      <w:r>
        <w:rPr>
          <w:rFonts w:hint="eastAsia" w:ascii="仿宋" w:hAnsi="仿宋" w:eastAsia="仿宋" w:cs="仿宋_GB2312"/>
          <w:sz w:val="28"/>
          <w:szCs w:val="28"/>
        </w:rPr>
        <w:t>合同期限为1年，合同有效期自</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一年合同期满后，经履约考核为优或良好的可按原合同条款续签下一年度合同，每次续签期限为1年，最多可续签2次。（是否续约应以公开招标文件</w:t>
      </w:r>
      <w:r>
        <w:rPr>
          <w:rFonts w:hint="eastAsia" w:ascii="仿宋" w:hAnsi="仿宋" w:eastAsia="仿宋" w:cs="仿宋_GB2312"/>
          <w:sz w:val="28"/>
          <w:szCs w:val="28"/>
          <w:lang w:val="en-US" w:eastAsia="zh-CN"/>
        </w:rPr>
        <w:t>或</w:t>
      </w:r>
      <w:r>
        <w:rPr>
          <w:rFonts w:hint="eastAsia" w:ascii="仿宋" w:hAnsi="仿宋" w:eastAsia="仿宋" w:cs="仿宋_GB2312"/>
          <w:sz w:val="28"/>
          <w:szCs w:val="28"/>
        </w:rPr>
        <w:t>中标通知书中有明确约定的可在合同内约定续签事项）。</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第二条  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本合同价款：合同总价为人民币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r>
        <w:rPr>
          <w:rFonts w:hint="eastAsia" w:ascii="仿宋" w:hAnsi="仿宋" w:eastAsia="仿宋" w:cs="仿宋"/>
          <w:sz w:val="28"/>
          <w:szCs w:val="28"/>
        </w:rPr>
        <w:t>（￥</w:t>
      </w:r>
      <w:r>
        <w:rPr>
          <w:rFonts w:hint="eastAsia" w:ascii="仿宋" w:hAnsi="仿宋" w:eastAsia="仿宋" w:cs="宋体"/>
          <w:b/>
          <w:sz w:val="28"/>
          <w:szCs w:val="28"/>
          <w:u w:val="single"/>
        </w:rPr>
        <w:t xml:space="preserve">     </w:t>
      </w:r>
      <w:r>
        <w:rPr>
          <w:rFonts w:hint="eastAsia" w:ascii="仿宋" w:hAnsi="仿宋" w:eastAsia="仿宋" w:cs="仿宋"/>
          <w:sz w:val="28"/>
          <w:szCs w:val="28"/>
        </w:rPr>
        <w:t>）</w:t>
      </w:r>
      <w:r>
        <w:rPr>
          <w:rFonts w:hint="eastAsia" w:ascii="仿宋" w:hAnsi="仿宋" w:eastAsia="仿宋" w:cs="仿宋_GB2312"/>
          <w:sz w:val="28"/>
          <w:szCs w:val="28"/>
        </w:rPr>
        <w:t>。</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人民币报价，</w:t>
      </w:r>
      <w:r>
        <w:rPr>
          <w:rFonts w:hint="eastAsia" w:ascii="仿宋" w:hAnsi="仿宋" w:eastAsia="仿宋" w:cs="仿宋"/>
          <w:sz w:val="28"/>
          <w:szCs w:val="28"/>
        </w:rPr>
        <w:t>总承包报价。报价</w:t>
      </w:r>
      <w:r>
        <w:rPr>
          <w:rFonts w:hint="eastAsia" w:ascii="仿宋" w:hAnsi="仿宋" w:eastAsia="仿宋" w:cs="仿宋_GB2312"/>
          <w:sz w:val="28"/>
          <w:szCs w:val="28"/>
        </w:rPr>
        <w:t>包含税费、人工费、材料费、培训费、维保费等所有费用。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第三条  付款方式</w:t>
      </w:r>
    </w:p>
    <w:p>
      <w:pPr>
        <w:pStyle w:val="7"/>
        <w:spacing w:line="480" w:lineRule="exac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1.详细约定参照招标文件中的约定。</w:t>
      </w:r>
    </w:p>
    <w:p>
      <w:pPr>
        <w:pStyle w:val="7"/>
        <w:spacing w:line="480" w:lineRule="exact"/>
        <w:rPr>
          <w:rFonts w:hint="eastAsia" w:ascii="仿宋" w:hAnsi="仿宋" w:eastAsia="仿宋" w:cs="仿宋_GB2312"/>
          <w:sz w:val="28"/>
          <w:szCs w:val="28"/>
        </w:rPr>
      </w:pPr>
      <w:r>
        <w:rPr>
          <w:rFonts w:hint="eastAsia" w:ascii="仿宋" w:hAnsi="仿宋" w:eastAsia="仿宋" w:cs="仿宋_GB2312"/>
          <w:sz w:val="28"/>
          <w:szCs w:val="28"/>
        </w:rPr>
        <w:t>2.甲乙双方所有款项往来均通过银行转账方式进行，双方指定的收款银行账户信息详见本合同落款处。</w:t>
      </w:r>
    </w:p>
    <w:p>
      <w:pPr>
        <w:pStyle w:val="7"/>
        <w:spacing w:line="480" w:lineRule="exact"/>
        <w:rPr>
          <w:rFonts w:hint="eastAsia" w:ascii="仿宋" w:hAnsi="仿宋" w:eastAsia="仿宋" w:cs="仿宋_GB2312"/>
          <w:sz w:val="28"/>
          <w:szCs w:val="28"/>
        </w:rPr>
      </w:pPr>
      <w:r>
        <w:rPr>
          <w:rFonts w:hint="eastAsia" w:ascii="仿宋" w:hAnsi="仿宋" w:eastAsia="仿宋" w:cs="仿宋_GB2312"/>
          <w:sz w:val="28"/>
          <w:szCs w:val="28"/>
        </w:rPr>
        <w:t>3.乙方应在甲方付款前开具合法有效的发票，甲方收到乙方合法的增值税发票后，根据双方约定时间支付款项。若由于乙方逾期未提供合法有效的增值税发票或者提供发票不齐全，甲方有权拒绝付款，直至票据齐全、合法，且不视为甲方违约。</w:t>
      </w:r>
    </w:p>
    <w:p>
      <w:pPr>
        <w:pStyle w:val="7"/>
        <w:spacing w:line="480" w:lineRule="exact"/>
        <w:rPr>
          <w:rFonts w:hint="eastAsia" w:ascii="仿宋" w:hAnsi="仿宋" w:eastAsia="仿宋" w:cs="仿宋_GB2312"/>
          <w:sz w:val="28"/>
          <w:szCs w:val="28"/>
        </w:rPr>
      </w:pPr>
      <w:r>
        <w:rPr>
          <w:rFonts w:hint="eastAsia" w:ascii="仿宋" w:hAnsi="仿宋" w:eastAsia="仿宋" w:cs="仿宋_GB2312"/>
          <w:sz w:val="28"/>
          <w:szCs w:val="28"/>
        </w:rPr>
        <w:t>4.乙方应向甲方提供真实有效的银行账户，银行账户如有变更，应立即书面通知甲方，如乙方银行账户变更未书面通知甲方，甲方向本合同约定的收款账户付款造成乙方实际未收到款的，该责任由乙方自行承担。未经甲方书面认可，乙方不得将应收款项转让给任何第三方或让任何第三方代收，否则甲方有权拒绝付款。</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5.若本合同付款涉及甲方内部或财政审批迟延的特殊情况，甲方未能按约付款的，乙方对此表示理解，甲方应向乙方进行说明并明确新的付款期限。</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第四条  项目概况</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第五条  服务内容及要求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1.合同签订日起</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天内完成项目实施的准备工作，包括服务内容的大纲及服务团队的组建；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2.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第六条  服务团队</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1.乙方指派</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为负责人（联系方式：</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）的工作团队为甲方提供服务。未经甲方书面同意，乙方不得随意更换团队成员。</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2.必须使用公司直属人员参与本项目服务，不得使用挂靠队伍。</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指派的团队成员资质和能力必须与投标文件中的服务承诺书和服务组织实施方案一致。如甲方对团队成员有异议或要求，乙方保证无条件配合甲方更换团队成员，且更换后人员的资质和能力符合甲方的要求。</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4.自乙方向甲方提供服务之日起，甲乙双方</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举行一次工作例会，由乙方团队主要成员向甲方汇报工作进展和需求，并就服务工作进行沟通和交流。</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第七条  服务资料归属</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1.所有提交给甲方的服务文件及相关的资料的最后文本，包括为履行服务范围所编制的图纸、计划和证明资料等，都属于甲方的财产，乙方在提交给甲方之前应将上述资料进行整理归类和编制索引。</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2.乙方未经甲方的书面同意，不得将上述资料用于与本咨询服务项目之外的任何项目。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3.合同履行完毕，未经甲方的书面同意，乙方不得保存在履行合同过程中所获得或接触到的任何内部数据资料。</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第八条  甲方的权利与义务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1.甲方有权对乙方的工作进行监督和检查、有权对乙方提出修改意见和建议。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2.甲方有权对乙方提交的服务成果进行验收，验收不合格的有权要求乙方修改，直至甲方验收合格。</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3.对于验收合格后的服务成果，甲方应向乙方支付服务费用。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第九条　乙方的权利与义务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1.乙方有权要求甲方支付服务费用。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2.对于服务需求不明确的，乙方有权要求甲方明确具体服务需求。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3.乙方应勤勉尽职地为甲方提供服务，并尽最大努力为满足甲方对乙方的专业服务需求。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4.乙方应在约定时间内按照甲方要求的形式、数量提交服务成果。</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5.未经甲方书面同意，乙方不得将本合同项下的服务内容全部或部分委托给第三方完成。</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6.如乙方为提供本合同项下的服务而保管甲方交付的设备、物品等，保管期间，乙方应谨慎尽职，不论何种原因包括不可抗力因素，乙方均需确保设备、物品的安全，不遭受损害。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7.乙方应做到合法用工，与工作人员建立合法的劳动/劳务关系，负责工作人员的工资、社会保险及其他保险的购买。乙方与其工作人员发生的一切纠纷均与甲方无关。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8.乙方应按照国家规定为工作人员提供合理的工作条件与保护设施，乙方工作人员在甲方场地内发生的一切意外、事故等均由乙方承担，与甲方无关。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9.乙方在甲方院内提供服务的，应保证其工作人员严格遵守甲方各项管理规定，服务过程中如造成甲方场所及设施损坏、工作人员人身伤害或第三方人身伤害、财产损失，乙方应承担全部赔偿责任。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第十条 保证与承诺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1.乙方保证所提供的产品/服务/成果不侵犯任何第三方的知识产权或其他合法权益。</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2.甲乙双方保证对在本次合作中知悉对方的商业秘密履行保密义务，在与本协议无关的工作中，不泄露、不以任何原因任意使用相关的合同、数据、资料与信息等。</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在向甲方提供服务的过程中，如乙方可能从设备上存取、查看和/或下载包括个人数据、用来直接或间接地识别出个人相关信息等计算机文档。个人数据可能包括个人健康信息（例如图像、心脏监控数据、病例编号等）和非健康信息（如姓名、出生日期、性别等）。乙方对个人数据等相关文档的使用仅限于履行本合同规定的义务所必</w:t>
      </w:r>
      <w:r>
        <w:rPr>
          <w:rFonts w:hint="eastAsia" w:ascii="仿宋" w:hAnsi="仿宋" w:eastAsia="仿宋" w:cs="仿宋_GB2312"/>
          <w:sz w:val="28"/>
          <w:szCs w:val="28"/>
          <w:lang w:val="en-US" w:eastAsia="zh-CN"/>
        </w:rPr>
        <w:t>需</w:t>
      </w:r>
      <w:r>
        <w:rPr>
          <w:rFonts w:hint="eastAsia" w:ascii="仿宋" w:hAnsi="仿宋" w:eastAsia="仿宋" w:cs="仿宋_GB2312"/>
          <w:sz w:val="28"/>
          <w:szCs w:val="28"/>
        </w:rPr>
        <w:t>的限度内，不得擅自翻阅、复制、传播所接触的用户资料或数据，乙方和相关人员保证不涉露、以任何原因使用或允许他人使用用户设备数据、资料与信息等。乙方对其指派的工作人员的保密义务承担责任。</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保密义务应同样适用于甲乙双方的员工、辅助人员和三方合作者。本条款的效力长期有效，不因合同履行完毕、终止而失效。如因司法机关或政府部门要求，甲方上级检查及同级单位学习而对外披露商业秘密的，不视为违反保密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5.合同履行期间，乙方应主动维护甲方的名誉与利益，不作出任何损害甲方名誉与利益的行为。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6.未经甲方事先书面同意，乙方不得使用甲方名义等对外进行宣传。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7.乙方及乙方参加项目的有关人员均需同甲方签订保密协议。</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免责条款</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若甲、乙双方的任何一方由于不可抗力原因造成不能及时履行或不能履行合同时，应及时向对方通报不能履行或不能及时履行的理由，在取得有关证明后，允许延期履行、部分履行或不履行合同，并根据情况，免除相应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违约责任</w:t>
      </w:r>
    </w:p>
    <w:p>
      <w:pPr>
        <w:spacing w:line="480" w:lineRule="exact"/>
        <w:ind w:firstLine="560" w:firstLineChars="200"/>
        <w:rPr>
          <w:rFonts w:hint="eastAsia" w:ascii="仿宋" w:hAnsi="仿宋" w:eastAsia="仿宋" w:cs="仿宋_GB2312"/>
          <w:sz w:val="28"/>
          <w:szCs w:val="28"/>
        </w:rPr>
      </w:pPr>
      <w:bookmarkStart w:id="13" w:name="_Hlk42353112"/>
      <w:r>
        <w:rPr>
          <w:rFonts w:hint="eastAsia" w:ascii="仿宋" w:hAnsi="仿宋" w:eastAsia="仿宋" w:cs="仿宋_GB2312"/>
          <w:sz w:val="28"/>
          <w:szCs w:val="28"/>
        </w:rPr>
        <w:t>1.双方均应忠实履行合同约定的各项内容，任何一方违反本合同，均应承担违约责任。双方约定如一方违反合同约定，则违约方应向守约方支付违约金，违约金的金额为合同总价款的（）%，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bookmarkEnd w:id="13"/>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2.乙方未按照双方约定的时间提交服务成果的，每延迟一天，应该按照服务费用金额的（）%向甲方支付违约金。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3.发生以下情形之一，甲方有权单方解除本合同，乙方应向甲方退回已支付的全部款项，且甲方有权要求乙方按照服务费总金额的（）%支付违约金：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（1）乙方延迟提交服务成果超过</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（2）未经甲方书面同意，乙方将本合同项下部分或全部工作委托给第三方承担的；</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4.如乙方原因导致提供的服务成果存在侵犯第三方知识产权或其他合法权益的情形，乙方除了承担全部赔偿责任之外，还应按照合同总金额（）%向甲方支付违约金。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5.甲方有权自应支付给乙方的服务费用中直接扣除各种索赔款项，包括但不限于赔偿款、违约金、律师费、诉讼费、鉴定费等。</w:t>
      </w:r>
    </w:p>
    <w:p>
      <w:pPr>
        <w:pStyle w:val="27"/>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6.服务期间，若乙方被甲方用户投诉，经确认为有效投诉的每次扣除人民币</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元。</w:t>
      </w:r>
    </w:p>
    <w:p>
      <w:pPr>
        <w:pStyle w:val="27"/>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7.甲方每</w:t>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个月组织一次履约评价，总分低</w:t>
      </w:r>
      <w:r>
        <w:rPr>
          <w:rFonts w:hint="eastAsia" w:ascii="仿宋" w:hAnsi="仿宋" w:eastAsia="仿宋" w:cs="仿宋_GB2312"/>
          <w:sz w:val="28"/>
          <w:szCs w:val="28"/>
          <w:u w:val="none"/>
        </w:rPr>
        <w:t>于</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分的根据差额分进行经济处罚。处罚约定根据招标文件中的约定执行。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争议解决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因履行本合同引起的或与本合同有关的争议，甲乙双方应首先通过友好协商解决，如果协商不能解决，则通过向甲方所在地有管辖权的人民法院提起诉讼解决。</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本合同附件</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以下附件及乙方投标时提供的投标文件和其他相关资料作为本合同的补充内容，具有同等法律效力。</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附件1：服务项目清单（加盖公章）；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附件2：深圳市龙岗区第七人民医院廉洁购销合同；</w:t>
      </w:r>
    </w:p>
    <w:p>
      <w:pPr>
        <w:spacing w:line="48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rPr>
        <w:t>附件3：龙岗区进一步规范政商交往行为告知书</w:t>
      </w:r>
      <w:r>
        <w:rPr>
          <w:rFonts w:hint="eastAsia" w:ascii="仿宋" w:hAnsi="仿宋" w:eastAsia="仿宋" w:cs="仿宋_GB2312"/>
          <w:sz w:val="28"/>
          <w:szCs w:val="28"/>
          <w:lang w:eastAsia="zh-CN"/>
        </w:rPr>
        <w:t>；</w:t>
      </w:r>
    </w:p>
    <w:p>
      <w:pPr>
        <w:pStyle w:val="2"/>
        <w:ind w:firstLine="560" w:firstLineChars="200"/>
        <w:rPr>
          <w:rFonts w:hint="default"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附件4：.....。</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第十三条  合同生效及其它</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r>
        <w:rPr>
          <w:rFonts w:hint="eastAsia" w:ascii="仿宋" w:hAnsi="仿宋" w:eastAsia="仿宋" w:cs="仿宋"/>
          <w:sz w:val="28"/>
          <w:szCs w:val="28"/>
          <w:u w:val="single"/>
        </w:rPr>
        <w:t xml:space="preserve">      </w:t>
      </w:r>
      <w:bookmarkStart w:id="14" w:name="_GoBack"/>
      <w:bookmarkEnd w:id="14"/>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w:t>
      </w:r>
      <w:r>
        <w:rPr>
          <w:rFonts w:hint="eastAsia" w:ascii="仿宋" w:hAnsi="仿宋" w:eastAsia="仿宋" w:cs="仿宋"/>
          <w:sz w:val="28"/>
          <w:szCs w:val="28"/>
        </w:rPr>
        <w:t>有关条文执行。</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4.本合同正本一式</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肆</w:t>
      </w:r>
      <w:r>
        <w:rPr>
          <w:rFonts w:hint="eastAsia" w:ascii="仿宋" w:hAnsi="仿宋" w:eastAsia="仿宋" w:cs="仿宋"/>
          <w:sz w:val="28"/>
          <w:szCs w:val="28"/>
          <w:u w:val="single"/>
        </w:rPr>
        <w:t xml:space="preserve"> </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叁</w:t>
      </w:r>
      <w:r>
        <w:rPr>
          <w:rFonts w:hint="eastAsia" w:ascii="仿宋" w:hAnsi="仿宋" w:eastAsia="仿宋" w:cs="仿宋"/>
          <w:sz w:val="28"/>
          <w:szCs w:val="28"/>
          <w:u w:val="single"/>
        </w:rPr>
        <w:t xml:space="preserve"> </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p>
      <w:pPr>
        <w:pStyle w:val="7"/>
        <w:spacing w:line="440" w:lineRule="exact"/>
      </w:pPr>
    </w:p>
    <w:tbl>
      <w:tblPr>
        <w:tblStyle w:val="15"/>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hint="eastAsia" w:ascii="仿宋" w:hAnsi="仿宋" w:eastAsia="仿宋" w:cs="仿宋"/>
                <w:b/>
                <w:bCs/>
                <w:kern w:val="0"/>
                <w:sz w:val="24"/>
                <w:lang w:eastAsia="zh-CN"/>
              </w:rPr>
            </w:pPr>
            <w:r>
              <w:rPr>
                <w:rFonts w:hint="eastAsia" w:ascii="仿宋" w:hAnsi="仿宋" w:eastAsia="仿宋" w:cs="仿宋"/>
                <w:b/>
                <w:bCs/>
                <w:kern w:val="0"/>
                <w:sz w:val="24"/>
              </w:rPr>
              <w:t>甲方：深圳市</w:t>
            </w:r>
            <w:r>
              <w:rPr>
                <w:rFonts w:hint="eastAsia" w:ascii="仿宋" w:hAnsi="仿宋" w:eastAsia="仿宋" w:cs="仿宋"/>
                <w:b/>
                <w:bCs/>
                <w:kern w:val="0"/>
                <w:sz w:val="24"/>
                <w:lang w:eastAsia="zh-CN"/>
              </w:rPr>
              <w:t>龙岗区第七人民医院</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hint="default" w:ascii="仿宋" w:hAnsi="仿宋" w:eastAsia="仿宋" w:cs="仿宋"/>
                <w:kern w:val="0"/>
                <w:sz w:val="24"/>
                <w:lang w:val="en-US" w:eastAsia="zh-CN"/>
              </w:rPr>
            </w:pPr>
            <w:r>
              <w:rPr>
                <w:rFonts w:hint="eastAsia" w:ascii="仿宋" w:hAnsi="仿宋" w:eastAsia="仿宋" w:cs="仿宋"/>
                <w:b/>
                <w:bCs/>
                <w:color w:val="000000"/>
                <w:sz w:val="24"/>
              </w:rPr>
              <w:t>纳税人识别号:12440307</w:t>
            </w:r>
            <w:r>
              <w:rPr>
                <w:rFonts w:hint="eastAsia" w:ascii="仿宋" w:hAnsi="仿宋" w:eastAsia="仿宋" w:cs="仿宋"/>
                <w:b/>
                <w:bCs/>
                <w:color w:val="000000"/>
                <w:sz w:val="24"/>
                <w:lang w:val="en-US" w:eastAsia="zh-CN"/>
              </w:rPr>
              <w:t>G34813567P</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11" w:type="dxa"/>
            <w:noWrap/>
            <w:vAlign w:val="top"/>
          </w:tcPr>
          <w:p>
            <w:pPr>
              <w:spacing w:line="360" w:lineRule="auto"/>
            </w:pPr>
            <w:r>
              <w:rPr>
                <w:rFonts w:hint="eastAsia" w:ascii="仿宋" w:hAnsi="仿宋" w:eastAsia="仿宋" w:cs="仿宋"/>
                <w:b/>
                <w:bCs/>
                <w:kern w:val="0"/>
                <w:sz w:val="24"/>
              </w:rPr>
              <w:t>开户银行：</w:t>
            </w:r>
          </w:p>
        </w:tc>
        <w:tc>
          <w:tcPr>
            <w:tcW w:w="4111" w:type="dxa"/>
            <w:noWrap/>
            <w:vAlign w:val="to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kern w:val="0"/>
                <w:sz w:val="24"/>
              </w:rPr>
            </w:pPr>
            <w:r>
              <w:rPr>
                <w:rFonts w:hint="eastAsia" w:ascii="仿宋" w:hAnsi="仿宋" w:eastAsia="仿宋" w:cs="仿宋"/>
                <w:b/>
                <w:bCs/>
                <w:color w:val="000000"/>
                <w:sz w:val="24"/>
              </w:rPr>
              <w:t>帐    号：</w:t>
            </w:r>
          </w:p>
        </w:tc>
        <w:tc>
          <w:tcPr>
            <w:tcW w:w="4111"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w:t>
            </w:r>
          </w:p>
        </w:tc>
        <w:tc>
          <w:tcPr>
            <w:tcW w:w="4111"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甲方法定代表人或授权人（签字）：</w:t>
            </w:r>
          </w:p>
          <w:p>
            <w:pPr>
              <w:pStyle w:val="7"/>
              <w:ind w:firstLine="0"/>
            </w:pPr>
          </w:p>
          <w:p>
            <w:pPr>
              <w:pStyle w:val="7"/>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分管领导、经办科室负责人（签字）：</w:t>
            </w:r>
          </w:p>
          <w:p>
            <w:pPr>
              <w:pStyle w:val="7"/>
              <w:ind w:firstLine="0"/>
            </w:pPr>
          </w:p>
          <w:p>
            <w:pPr>
              <w:pStyle w:val="7"/>
              <w:ind w:firstLine="0"/>
            </w:pP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乙方法定代表人（签字）：</w:t>
            </w:r>
          </w:p>
          <w:p>
            <w:pPr>
              <w:pStyle w:val="7"/>
              <w:ind w:firstLine="0"/>
            </w:pPr>
          </w:p>
          <w:p>
            <w:pPr>
              <w:pStyle w:val="7"/>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或授权人（签字）：</w:t>
            </w:r>
          </w:p>
          <w:p>
            <w:pPr>
              <w:pStyle w:val="7"/>
              <w:ind w:firstLine="0"/>
            </w:pPr>
          </w:p>
          <w:p>
            <w:pPr>
              <w:pStyle w:val="7"/>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22" w:type="dxa"/>
            <w:gridSpan w:val="2"/>
            <w:noWrap/>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签约时间：    年  月  日</w:t>
            </w:r>
          </w:p>
          <w:p>
            <w:pPr>
              <w:spacing w:line="480" w:lineRule="exact"/>
              <w:jc w:val="center"/>
              <w:rPr>
                <w:rFonts w:hint="eastAsia" w:ascii="宋体" w:hAnsi="宋体" w:eastAsia="仿宋"/>
                <w:kern w:val="0"/>
                <w:sz w:val="24"/>
                <w:lang w:eastAsia="zh-CN"/>
              </w:rPr>
            </w:pPr>
            <w:r>
              <w:rPr>
                <w:rFonts w:hint="eastAsia" w:ascii="仿宋" w:hAnsi="仿宋" w:eastAsia="仿宋" w:cs="仿宋"/>
                <w:b/>
                <w:bCs/>
                <w:color w:val="000000"/>
                <w:sz w:val="28"/>
                <w:szCs w:val="28"/>
              </w:rPr>
              <w:t>签约地址：深圳市</w:t>
            </w:r>
            <w:r>
              <w:rPr>
                <w:rFonts w:hint="eastAsia" w:ascii="仿宋" w:hAnsi="仿宋" w:eastAsia="仿宋" w:cs="仿宋"/>
                <w:b/>
                <w:bCs/>
                <w:color w:val="000000"/>
                <w:sz w:val="28"/>
                <w:szCs w:val="28"/>
                <w:lang w:eastAsia="zh-CN"/>
              </w:rPr>
              <w:t>龙岗区第七人民医院</w:t>
            </w:r>
          </w:p>
        </w:tc>
      </w:tr>
    </w:tbl>
    <w:p>
      <w:pPr>
        <w:spacing w:line="500" w:lineRule="exact"/>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tabs>
          <w:tab w:val="left" w:pos="0"/>
        </w:tabs>
        <w:snapToGrid w:val="0"/>
        <w:spacing w:line="480" w:lineRule="exact"/>
        <w:rPr>
          <w:rFonts w:ascii="仿宋" w:hAnsi="仿宋" w:eastAsia="仿宋" w:cs="仿宋"/>
          <w:b/>
          <w:bCs/>
          <w:sz w:val="32"/>
          <w:szCs w:val="32"/>
        </w:rPr>
        <w:sectPr>
          <w:pgSz w:w="11906" w:h="16838"/>
          <w:pgMar w:top="2098" w:right="1474" w:bottom="1984" w:left="1304" w:header="851" w:footer="1417" w:gutter="0"/>
          <w:pgNumType w:fmt="numberInDash"/>
          <w:cols w:space="0" w:num="1"/>
          <w:docGrid w:type="lines" w:linePitch="338"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spacing w:line="560" w:lineRule="exact"/>
        <w:rPr>
          <w:rFonts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 xml:space="preserve">项目名称：            </w:t>
      </w:r>
    </w:p>
    <w:p>
      <w:pPr>
        <w:spacing w:line="560" w:lineRule="exact"/>
        <w:rPr>
          <w:rFonts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主办科室：</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一、甲乙双方按照《中华人民共和国民法典》及产品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spacing w:line="560" w:lineRule="exact"/>
        <w:ind w:firstLine="640" w:firstLineChars="200"/>
        <w:rPr>
          <w:rFonts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（国卫法制发〔2013〕50号）</w:t>
      </w:r>
      <w:r>
        <w:rPr>
          <w:rFonts w:hint="eastAsia" w:ascii="仿宋_GB2312" w:eastAsia="仿宋_GB2312"/>
          <w:sz w:val="32"/>
          <w:szCs w:val="32"/>
        </w:rPr>
        <w:t>相关规定处理。</w:t>
      </w:r>
    </w:p>
    <w:p>
      <w:pPr>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spacing w:line="560" w:lineRule="exact"/>
        <w:rPr>
          <w:rFonts w:ascii="仿宋_GB2312" w:eastAsia="仿宋_GB2312"/>
          <w:sz w:val="32"/>
          <w:szCs w:val="32"/>
        </w:rPr>
      </w:pPr>
    </w:p>
    <w:p>
      <w:pPr>
        <w:spacing w:line="560" w:lineRule="exact"/>
        <w:rPr>
          <w:rFonts w:ascii="楷体_GB2312" w:eastAsia="楷体_GB2312"/>
          <w:b/>
          <w:sz w:val="32"/>
          <w:szCs w:val="32"/>
        </w:rPr>
      </w:pPr>
      <w:r>
        <w:rPr>
          <w:rFonts w:hint="eastAsia" w:ascii="楷体_GB2312" w:eastAsia="楷体_GB2312"/>
          <w:b/>
          <w:sz w:val="32"/>
          <w:szCs w:val="32"/>
        </w:rPr>
        <w:t>甲方（盖章）：                  乙方（盖章）：</w:t>
      </w:r>
    </w:p>
    <w:p>
      <w:pPr>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spacing w:line="560" w:lineRule="exact"/>
      </w:pPr>
      <w:r>
        <w:rPr>
          <w:rFonts w:hint="eastAsia" w:ascii="楷体_GB2312" w:eastAsia="楷体_GB2312"/>
          <w:b/>
          <w:sz w:val="32"/>
          <w:szCs w:val="32"/>
        </w:rPr>
        <w:t>授权代表人签名：               经办人签名：</w:t>
      </w:r>
    </w:p>
    <w:p>
      <w:pPr>
        <w:spacing w:line="560" w:lineRule="exact"/>
        <w:ind w:firstLine="640" w:firstLineChars="200"/>
        <w:rPr>
          <w:rFonts w:ascii="宋体" w:hAnsi="宋体" w:cs="宋体"/>
          <w:color w:val="000000"/>
          <w:kern w:val="0"/>
          <w:sz w:val="44"/>
          <w:szCs w:val="44"/>
          <w:lang w:bidi="ar"/>
        </w:rPr>
      </w:pPr>
      <w:r>
        <w:rPr>
          <w:rFonts w:hint="eastAsia" w:ascii="仿宋_GB2312" w:eastAsia="仿宋_GB2312"/>
          <w:sz w:val="32"/>
          <w:szCs w:val="32"/>
        </w:rPr>
        <w:t>年    月   日                 年    月   日</w:t>
      </w:r>
    </w:p>
    <w:p>
      <w:pPr>
        <w:widowControl/>
        <w:spacing w:line="440" w:lineRule="exact"/>
        <w:jc w:val="center"/>
        <w:textAlignment w:val="center"/>
        <w:rPr>
          <w:rFonts w:ascii="宋体" w:hAnsi="宋体" w:cs="宋体"/>
          <w:color w:val="000000"/>
          <w:kern w:val="0"/>
          <w:sz w:val="44"/>
          <w:szCs w:val="44"/>
          <w:lang w:bidi="ar"/>
        </w:rPr>
        <w:sectPr>
          <w:headerReference r:id="rId6" w:type="default"/>
          <w:footerReference r:id="rId7" w:type="default"/>
          <w:pgSz w:w="11906" w:h="16838"/>
          <w:pgMar w:top="2098" w:right="1474" w:bottom="1984" w:left="1304" w:header="851" w:footer="1417" w:gutter="0"/>
          <w:cols w:space="0" w:num="1"/>
          <w:docGrid w:type="lines" w:linePitch="338" w:charSpace="0"/>
        </w:sect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spacing w:line="440" w:lineRule="exact"/>
        <w:ind w:firstLine="5760" w:firstLineChars="18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440" w:lineRule="exact"/>
        <w:ind w:firstLine="4480" w:firstLineChars="1400"/>
        <w:rPr>
          <w:rFonts w:ascii="仿宋_GB2312" w:hAnsi="仿宋_GB2312" w:eastAsia="仿宋_GB2312" w:cs="仿宋_GB2312"/>
          <w:sz w:val="32"/>
          <w:szCs w:val="32"/>
        </w:rPr>
      </w:pPr>
    </w:p>
    <w:p>
      <w:pPr>
        <w:pStyle w:val="9"/>
        <w:spacing w:line="44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单位名称（盖章）：</w:t>
      </w:r>
    </w:p>
    <w:p>
      <w:pPr>
        <w:pStyle w:val="9"/>
        <w:spacing w:line="440" w:lineRule="exact"/>
        <w:jc w:val="center"/>
        <w:rPr>
          <w:rFonts w:hint="default" w:ascii="仿宋" w:hAnsi="仿宋" w:eastAsia="仿宋" w:cs="仿宋"/>
          <w:sz w:val="28"/>
          <w:szCs w:val="28"/>
        </w:rPr>
      </w:pPr>
      <w:r>
        <w:rPr>
          <w:rFonts w:ascii="仿宋_GB2312" w:hAnsi="仿宋_GB2312" w:eastAsia="仿宋_GB2312" w:cs="仿宋_GB2312"/>
          <w:sz w:val="32"/>
          <w:szCs w:val="32"/>
        </w:rPr>
        <w:t xml:space="preserve">                   年  月  日</w:t>
      </w:r>
    </w:p>
    <w:p>
      <w:pPr>
        <w:pStyle w:val="2"/>
        <w:rPr>
          <w:rFonts w:ascii="仿宋_GB2312" w:hAnsi="仿宋_GB2312" w:eastAsia="仿宋_GB2312" w:cs="仿宋_GB2312"/>
          <w:b/>
          <w:bCs/>
          <w:kern w:val="2"/>
          <w:sz w:val="36"/>
          <w:szCs w:val="36"/>
        </w:rPr>
      </w:pPr>
    </w:p>
    <w:p/>
    <w:p>
      <w:pPr>
        <w:pStyle w:val="2"/>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7BE7E"/>
    <w:multiLevelType w:val="singleLevel"/>
    <w:tmpl w:val="22B7BE7E"/>
    <w:lvl w:ilvl="0" w:tentative="0">
      <w:start w:val="3"/>
      <w:numFmt w:val="chineseCounting"/>
      <w:suff w:val="nothing"/>
      <w:lvlText w:val="（%1）"/>
      <w:lvlJc w:val="left"/>
      <w:rPr>
        <w:rFonts w:hint="eastAsia"/>
      </w:rPr>
    </w:lvl>
  </w:abstractNum>
  <w:abstractNum w:abstractNumId="1">
    <w:nsid w:val="37C1C332"/>
    <w:multiLevelType w:val="singleLevel"/>
    <w:tmpl w:val="37C1C332"/>
    <w:lvl w:ilvl="0" w:tentative="0">
      <w:start w:val="2"/>
      <w:numFmt w:val="chineseCounting"/>
      <w:suff w:val="space"/>
      <w:lvlText w:val="第%1章"/>
      <w:lvlJc w:val="left"/>
      <w:rPr>
        <w:rFonts w:hint="eastAsia"/>
      </w:rPr>
    </w:lvl>
  </w:abstractNum>
  <w:abstractNum w:abstractNumId="2">
    <w:nsid w:val="4D2A5CDB"/>
    <w:multiLevelType w:val="singleLevel"/>
    <w:tmpl w:val="4D2A5CDB"/>
    <w:lvl w:ilvl="0" w:tentative="0">
      <w:start w:val="7"/>
      <w:numFmt w:val="chineseCounting"/>
      <w:suff w:val="nothing"/>
      <w:lvlText w:val="%1、"/>
      <w:lvlJc w:val="left"/>
      <w:rPr>
        <w:rFonts w:hint="eastAsia"/>
      </w:rPr>
    </w:lvl>
  </w:abstractNum>
  <w:abstractNum w:abstractNumId="3">
    <w:nsid w:val="5444DF61"/>
    <w:multiLevelType w:val="singleLevel"/>
    <w:tmpl w:val="5444DF61"/>
    <w:lvl w:ilvl="0" w:tentative="0">
      <w:start w:val="1"/>
      <w:numFmt w:val="decimal"/>
      <w:suff w:val="nothing"/>
      <w:lvlText w:val="（%1）"/>
      <w:lvlJc w:val="left"/>
    </w:lvl>
  </w:abstractNum>
  <w:abstractNum w:abstractNumId="4">
    <w:nsid w:val="58C64E55"/>
    <w:multiLevelType w:val="singleLevel"/>
    <w:tmpl w:val="58C64E55"/>
    <w:lvl w:ilvl="0" w:tentative="0">
      <w:start w:val="1"/>
      <w:numFmt w:val="decimal"/>
      <w:lvlText w:val="%1."/>
      <w:lvlJc w:val="left"/>
      <w:pPr>
        <w:ind w:left="425" w:hanging="425"/>
      </w:pPr>
      <w:rPr>
        <w:rFonts w:hint="default"/>
      </w:rPr>
    </w:lvl>
  </w:abstractNum>
  <w:abstractNum w:abstractNumId="5">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CB43AB6"/>
    <w:multiLevelType w:val="singleLevel"/>
    <w:tmpl w:val="6CB43AB6"/>
    <w:lvl w:ilvl="0" w:tentative="0">
      <w:start w:val="2"/>
      <w:numFmt w:val="chineseCounting"/>
      <w:suff w:val="nothing"/>
      <w:lvlText w:val="（%1）"/>
      <w:lvlJc w:val="left"/>
      <w:rPr>
        <w:rFonts w:hint="eastAsia"/>
      </w:rPr>
    </w:lvl>
  </w:abstractNum>
  <w:abstractNum w:abstractNumId="7">
    <w:nsid w:val="734F7D83"/>
    <w:multiLevelType w:val="multilevel"/>
    <w:tmpl w:val="734F7D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4E07504C"/>
    <w:rsid w:val="02047256"/>
    <w:rsid w:val="069D1FD3"/>
    <w:rsid w:val="06E94E42"/>
    <w:rsid w:val="087655AA"/>
    <w:rsid w:val="08D8516E"/>
    <w:rsid w:val="0D1F7866"/>
    <w:rsid w:val="0E9E6313"/>
    <w:rsid w:val="11114953"/>
    <w:rsid w:val="13977902"/>
    <w:rsid w:val="149A1EBD"/>
    <w:rsid w:val="16797E6D"/>
    <w:rsid w:val="17F61B9F"/>
    <w:rsid w:val="1890336F"/>
    <w:rsid w:val="196C5B8A"/>
    <w:rsid w:val="19F95BB8"/>
    <w:rsid w:val="1A8B6784"/>
    <w:rsid w:val="1BF652AB"/>
    <w:rsid w:val="1F4D3D68"/>
    <w:rsid w:val="25331C52"/>
    <w:rsid w:val="27BE796C"/>
    <w:rsid w:val="27EB4D2D"/>
    <w:rsid w:val="28606759"/>
    <w:rsid w:val="29F311DA"/>
    <w:rsid w:val="2C2B3683"/>
    <w:rsid w:val="2CBD4E6E"/>
    <w:rsid w:val="2CD47877"/>
    <w:rsid w:val="2E3D769E"/>
    <w:rsid w:val="2FEA115F"/>
    <w:rsid w:val="302F165E"/>
    <w:rsid w:val="30DC1C6C"/>
    <w:rsid w:val="30F2476F"/>
    <w:rsid w:val="350F1DC4"/>
    <w:rsid w:val="36C546D4"/>
    <w:rsid w:val="38AC78FA"/>
    <w:rsid w:val="3A1A0893"/>
    <w:rsid w:val="43B25C38"/>
    <w:rsid w:val="484E277B"/>
    <w:rsid w:val="4D41354B"/>
    <w:rsid w:val="4E07504C"/>
    <w:rsid w:val="4E28581D"/>
    <w:rsid w:val="505D2E3A"/>
    <w:rsid w:val="50FB36C9"/>
    <w:rsid w:val="57754922"/>
    <w:rsid w:val="57F97435"/>
    <w:rsid w:val="5BFE7BBD"/>
    <w:rsid w:val="5CAF3C3D"/>
    <w:rsid w:val="5CB67973"/>
    <w:rsid w:val="5FA10F8B"/>
    <w:rsid w:val="5FB84304"/>
    <w:rsid w:val="61C97E28"/>
    <w:rsid w:val="6650370B"/>
    <w:rsid w:val="67303132"/>
    <w:rsid w:val="6E7855AD"/>
    <w:rsid w:val="6EB20ABF"/>
    <w:rsid w:val="75A66EA3"/>
    <w:rsid w:val="7BEA50DF"/>
    <w:rsid w:val="7C01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autoRedefine/>
    <w:semiHidden/>
    <w:unhideWhenUsed/>
    <w:qFormat/>
    <w:uiPriority w:val="0"/>
    <w:pPr>
      <w:outlineLvl w:val="1"/>
    </w:pPr>
    <w:rPr>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autoSpaceDE w:val="0"/>
      <w:autoSpaceDN w:val="0"/>
      <w:jc w:val="left"/>
    </w:pPr>
    <w:rPr>
      <w:rFonts w:ascii="宋体" w:hAnsi="宋体"/>
      <w:kern w:val="0"/>
      <w:sz w:val="32"/>
      <w:szCs w:val="32"/>
    </w:r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style>
  <w:style w:type="paragraph" w:styleId="8">
    <w:name w:val="annotation text"/>
    <w:basedOn w:val="1"/>
    <w:autoRedefine/>
    <w:qFormat/>
    <w:uiPriority w:val="0"/>
    <w:pPr>
      <w:jc w:val="left"/>
    </w:pPr>
  </w:style>
  <w:style w:type="paragraph" w:styleId="9">
    <w:name w:val="Plain Text"/>
    <w:basedOn w:val="1"/>
    <w:next w:val="6"/>
    <w:autoRedefine/>
    <w:qFormat/>
    <w:uiPriority w:val="0"/>
    <w:rPr>
      <w:rFonts w:hint="eastAsia" w:ascii="宋体" w:hAnsi="Courier New"/>
      <w:kern w:val="0"/>
      <w:sz w:val="20"/>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Body Text 2"/>
    <w:basedOn w:val="1"/>
    <w:autoRedefine/>
    <w:qFormat/>
    <w:uiPriority w:val="0"/>
    <w:pPr>
      <w:spacing w:line="360" w:lineRule="auto"/>
    </w:pPr>
    <w:rPr>
      <w:rFonts w:ascii="Times New Roman" w:hAnsi="Times New Roman"/>
      <w:kern w:val="0"/>
      <w:sz w:val="24"/>
    </w:rPr>
  </w:style>
  <w:style w:type="paragraph" w:styleId="14">
    <w:name w:val="Normal (Web)"/>
    <w:basedOn w:val="1"/>
    <w:autoRedefine/>
    <w:qFormat/>
    <w:uiPriority w:val="0"/>
    <w:pPr>
      <w:spacing w:beforeAutospacing="1" w:afterAutospacing="1"/>
      <w:jc w:val="left"/>
    </w:pPr>
    <w:rPr>
      <w:rFonts w:cs="Times New Roman"/>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0"/>
    <w:basedOn w:val="1"/>
    <w:autoRedefine/>
    <w:qFormat/>
    <w:uiPriority w:val="0"/>
    <w:pPr>
      <w:widowControl/>
    </w:pPr>
    <w:rPr>
      <w:kern w:val="0"/>
      <w:szCs w:val="21"/>
    </w:rPr>
  </w:style>
  <w:style w:type="paragraph" w:customStyle="1" w:styleId="19">
    <w:name w:val="列出段落111"/>
    <w:basedOn w:val="1"/>
    <w:autoRedefine/>
    <w:qFormat/>
    <w:uiPriority w:val="0"/>
    <w:pPr>
      <w:ind w:firstLine="420" w:firstLineChars="200"/>
    </w:pPr>
  </w:style>
  <w:style w:type="paragraph" w:customStyle="1" w:styleId="20">
    <w:name w:val="Table Text"/>
    <w:basedOn w:val="1"/>
    <w:autoRedefine/>
    <w:semiHidden/>
    <w:qFormat/>
    <w:uiPriority w:val="0"/>
    <w:rPr>
      <w:rFonts w:ascii="仿宋" w:hAnsi="仿宋" w:eastAsia="仿宋" w:cs="仿宋"/>
      <w:sz w:val="21"/>
      <w:szCs w:val="21"/>
      <w:lang w:val="en-US" w:eastAsia="en-US" w:bidi="ar-SA"/>
    </w:rPr>
  </w:style>
  <w:style w:type="paragraph" w:customStyle="1" w:styleId="21">
    <w:name w:val="_Style 1"/>
    <w:basedOn w:val="1"/>
    <w:next w:val="1"/>
    <w:autoRedefine/>
    <w:qFormat/>
    <w:uiPriority w:val="99"/>
    <w:pPr>
      <w:ind w:firstLine="420" w:firstLineChars="200"/>
    </w:pPr>
  </w:style>
  <w:style w:type="character" w:customStyle="1" w:styleId="22">
    <w:name w:val="正文_2 Char"/>
    <w:autoRedefine/>
    <w:qFormat/>
    <w:uiPriority w:val="0"/>
    <w:rPr>
      <w:rFonts w:hint="eastAsia" w:ascii="宋体" w:hAnsi="宋体" w:eastAsia="宋体"/>
      <w:kern w:val="2"/>
      <w:sz w:val="21"/>
      <w:szCs w:val="22"/>
      <w:lang w:val="en-US" w:eastAsia="zh-CN"/>
    </w:rPr>
  </w:style>
  <w:style w:type="paragraph" w:customStyle="1" w:styleId="23">
    <w:name w:val="正文+首行缩进2 字符"/>
    <w:basedOn w:val="1"/>
    <w:autoRedefine/>
    <w:qFormat/>
    <w:uiPriority w:val="0"/>
    <w:pPr>
      <w:spacing w:afterLines="25" w:line="300" w:lineRule="auto"/>
      <w:ind w:firstLine="480" w:firstLineChars="200"/>
    </w:pPr>
    <w:rPr>
      <w:rFonts w:ascii="Times New Roman" w:hAnsi="Times New Roman" w:cs="宋体"/>
      <w:szCs w:val="20"/>
    </w:rPr>
  </w:style>
  <w:style w:type="paragraph" w:customStyle="1" w:styleId="24">
    <w:name w:val="列出段落3"/>
    <w:basedOn w:val="1"/>
    <w:autoRedefine/>
    <w:qFormat/>
    <w:uiPriority w:val="34"/>
    <w:pPr>
      <w:ind w:firstLine="420" w:firstLineChars="200"/>
    </w:pPr>
  </w:style>
  <w:style w:type="paragraph" w:customStyle="1" w:styleId="25">
    <w:name w:val="列出段落1"/>
    <w:basedOn w:val="1"/>
    <w:autoRedefine/>
    <w:qFormat/>
    <w:uiPriority w:val="34"/>
    <w:pPr>
      <w:ind w:firstLine="420" w:firstLineChars="200"/>
    </w:pPr>
  </w:style>
  <w:style w:type="paragraph" w:styleId="2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
    <w:name w:val="纯文本1"/>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4451</Words>
  <Characters>4763</Characters>
  <Lines>0</Lines>
  <Paragraphs>0</Paragraphs>
  <TotalTime>9</TotalTime>
  <ScaleCrop>false</ScaleCrop>
  <LinksUpToDate>false</LinksUpToDate>
  <CharactersWithSpaces>4837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2025-05-27T09:58:00Z</dcterms:created>
  <dc:creator>张生</dc:creator>
  <cp:lastModifiedBy>HyoQi</cp:lastModifiedBy>
  <cp:lastPrinted>2025-05-28T00:24:00Z</cp:lastPrinted>
  <dcterms:modified xsi:type="dcterms:W3CDTF">2025-06-23T03:51:16Z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E63050435E70420EBB2501DD3CC7A10F_13</vt:lpwstr>
  </property>
  <property fmtid="{D5CDD505-2E9C-101B-9397-08002B2CF9AE}" pid="4" name="KSOTemplateDocerSaveRecord">
    <vt:lpwstr>eyJoZGlkIjoiN2RiNWQ5NGYzY2IxYzY2OGVkMjg0YWI2OWFlOGVkZmIiLCJ1c2VySWQiOiI0MDk2MDE5NTQifQ==</vt:lpwstr>
  </property>
</Properties>
</file>