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420"/>
        <w:rPr>
          <w:rFonts w:hint="eastAsia" w:ascii="方正小标宋简体" w:hAnsi="方正小标宋简体" w:eastAsia="方正小标宋简体" w:cs="方正小标宋简体"/>
          <w:b w:val="0"/>
          <w:bCs/>
          <w:sz w:val="52"/>
          <w:szCs w:val="52"/>
          <w:lang w:val="en-US" w:eastAsia="zh-CN"/>
        </w:rPr>
      </w:pPr>
    </w:p>
    <w:p>
      <w:pPr>
        <w:pStyle w:val="7"/>
        <w:ind w:firstLine="420"/>
        <w:rPr>
          <w:rFonts w:hint="eastAsia" w:ascii="方正小标宋简体" w:hAnsi="方正小标宋简体" w:eastAsia="方正小标宋简体" w:cs="方正小标宋简体"/>
          <w:b w:val="0"/>
          <w:bCs/>
          <w:sz w:val="52"/>
          <w:szCs w:val="52"/>
          <w:lang w:val="en-US" w:eastAsia="zh-CN"/>
        </w:rPr>
      </w:pPr>
    </w:p>
    <w:p>
      <w:pPr>
        <w:pStyle w:val="7"/>
        <w:ind w:firstLine="420"/>
        <w:rPr>
          <w:rFonts w:hint="eastAsia" w:ascii="方正小标宋简体" w:hAnsi="方正小标宋简体" w:eastAsia="方正小标宋简体" w:cs="方正小标宋简体"/>
          <w:b w:val="0"/>
          <w:bCs/>
          <w:sz w:val="52"/>
          <w:szCs w:val="52"/>
          <w:lang w:val="en-US" w:eastAsia="zh-CN"/>
        </w:rPr>
      </w:pPr>
    </w:p>
    <w:p>
      <w:pPr>
        <w:pStyle w:val="7"/>
        <w:ind w:left="0" w:leftChars="0" w:firstLine="0" w:firstLineChars="0"/>
        <w:jc w:val="both"/>
        <w:rPr>
          <w:rFonts w:hint="eastAsia" w:ascii="方正小标宋简体" w:hAnsi="方正小标宋简体" w:eastAsia="方正小标宋简体" w:cs="方正小标宋简体"/>
          <w:b w:val="0"/>
          <w:bCs/>
          <w:sz w:val="52"/>
          <w:szCs w:val="52"/>
          <w:lang w:val="en-US" w:eastAsia="zh-CN"/>
        </w:rPr>
      </w:pPr>
    </w:p>
    <w:p>
      <w:pPr>
        <w:pStyle w:val="7"/>
        <w:ind w:left="0" w:leftChars="0" w:firstLine="0" w:firstLineChars="0"/>
        <w:jc w:val="center"/>
        <w:rPr>
          <w:rFonts w:hint="default" w:ascii="方正小标宋简体" w:hAnsi="方正小标宋简体" w:eastAsia="方正小标宋简体" w:cs="方正小标宋简体"/>
          <w:b w:val="0"/>
          <w:bCs/>
          <w:sz w:val="52"/>
          <w:szCs w:val="52"/>
          <w:lang w:val="en-US" w:eastAsia="zh-CN"/>
        </w:rPr>
      </w:pPr>
      <w:r>
        <w:rPr>
          <w:rFonts w:hint="eastAsia" w:ascii="方正小标宋简体" w:hAnsi="方正小标宋简体" w:eastAsia="方正小标宋简体" w:cs="方正小标宋简体"/>
          <w:b w:val="0"/>
          <w:bCs/>
          <w:sz w:val="52"/>
          <w:szCs w:val="52"/>
          <w:lang w:val="en-US" w:eastAsia="zh-CN"/>
        </w:rPr>
        <w:t>资产评估服务任务书</w:t>
      </w:r>
    </w:p>
    <w:p/>
    <w:p/>
    <w:p/>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jc w:val="center"/>
        <w:rPr>
          <w:sz w:val="28"/>
          <w:szCs w:val="28"/>
        </w:rPr>
      </w:pPr>
    </w:p>
    <w:p>
      <w:pPr>
        <w:rPr>
          <w:rFonts w:hint="eastAsia"/>
          <w:b/>
          <w:bCs/>
          <w:sz w:val="28"/>
          <w:szCs w:val="28"/>
        </w:rPr>
        <w:sectPr>
          <w:footerReference r:id="rId3" w:type="default"/>
          <w:pgSz w:w="11906" w:h="16838"/>
          <w:pgMar w:top="1440" w:right="1800" w:bottom="1440" w:left="1800" w:header="851" w:footer="992" w:gutter="0"/>
          <w:pgNumType w:fmt="decimal"/>
          <w:cols w:space="720" w:num="1"/>
          <w:docGrid w:type="lines" w:linePitch="312" w:charSpace="0"/>
        </w:sectPr>
      </w:pPr>
    </w:p>
    <w:p>
      <w:p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一、关于拟投资的目标公司</w:t>
      </w:r>
    </w:p>
    <w:p>
      <w:pPr>
        <w:pStyle w:val="7"/>
        <w:spacing w:line="560" w:lineRule="exact"/>
        <w:ind w:firstLine="64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本次股权投资为战略性入股，目标公司位于湖南怀化，属湖南省专精特新中小企业，注册资本3000万元。公司产品包括装配式高效机房、空调水处理设备、配电箱柜、智慧配电箱（临时）、新型桥架、源网荷储一体化系统、光伏一体化箱式房、成品支架和抗震支架等装配式机电全专业产品。</w:t>
      </w:r>
    </w:p>
    <w:p>
      <w:pPr>
        <w:pStyle w:val="7"/>
        <w:spacing w:line="560" w:lineRule="exact"/>
        <w:ind w:firstLine="640"/>
        <w:rPr>
          <w:rFonts w:ascii="仿宋_GB2312" w:hAnsi="仿宋_GB2312" w:eastAsia="仿宋_GB2312" w:cs="仿宋_GB2312"/>
          <w:b/>
          <w:bCs/>
          <w:sz w:val="32"/>
          <w:szCs w:val="32"/>
          <w:lang w:val="en-US"/>
        </w:rPr>
      </w:pPr>
      <w:r>
        <w:rPr>
          <w:rFonts w:hint="eastAsia" w:ascii="黑体" w:hAnsi="黑体" w:eastAsia="黑体" w:cs="黑体"/>
          <w:sz w:val="32"/>
          <w:szCs w:val="32"/>
          <w:lang w:val="en-US"/>
        </w:rPr>
        <w:t>二、资产评估服务内容</w:t>
      </w:r>
    </w:p>
    <w:p>
      <w:pPr>
        <w:pStyle w:val="7"/>
        <w:spacing w:line="560" w:lineRule="exact"/>
        <w:ind w:firstLine="64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服务内容</w:t>
      </w:r>
      <w:r>
        <w:rPr>
          <w:rFonts w:hint="eastAsia" w:ascii="仿宋_GB2312" w:hAnsi="仿宋_GB2312" w:eastAsia="仿宋_GB2312" w:cs="仿宋_GB2312"/>
          <w:sz w:val="32"/>
          <w:szCs w:val="32"/>
          <w:lang w:val="en-US"/>
        </w:rPr>
        <w:t>包括但不限于以下内容：</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对目标公司（含参控股公司）的资产、负债、业务、市场等各方面进行全面、深入的评估，确定目标公司的公允价值，在评估基准日的股东全部权益价值进行评估，通过现场调查、资料收集和相关部门访谈等评估程序的基础上出具资产评估报告；评估方法的选用需满足深圳市国资委等监管部门要求；评估报告需同时符合深圳市国资委评估和备案要求</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2.参加与项目相关的沟通工作会议，并提供相关咨询意见或建议</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3.协助完成专家评审及备案或核准相关工作</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4.完成委托方要求的其他相关工作。</w:t>
      </w:r>
    </w:p>
    <w:p>
      <w:pPr>
        <w:widowControl/>
        <w:spacing w:line="36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三、其他事项</w:t>
      </w:r>
    </w:p>
    <w:p>
      <w:pPr>
        <w:spacing w:line="560" w:lineRule="exact"/>
        <w:ind w:firstLine="640" w:firstLineChars="200"/>
        <w:rPr>
          <w:rFonts w:hint="eastAsia" w:ascii="楷体" w:hAnsi="楷体" w:eastAsia="楷体" w:cs="仿宋_GB2312"/>
          <w:color w:val="000000"/>
          <w:sz w:val="32"/>
          <w:szCs w:val="32"/>
        </w:rPr>
      </w:pPr>
      <w:r>
        <w:rPr>
          <w:rFonts w:hint="eastAsia" w:ascii="楷体" w:hAnsi="楷体" w:eastAsia="楷体" w:cs="仿宋_GB2312"/>
          <w:color w:val="000000"/>
          <w:sz w:val="32"/>
          <w:szCs w:val="32"/>
        </w:rPr>
        <w:t>（一）关于服务费用</w:t>
      </w:r>
    </w:p>
    <w:p>
      <w:pPr>
        <w:pStyle w:val="7"/>
        <w:spacing w:line="560" w:lineRule="exact"/>
        <w:ind w:firstLine="64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资产评估服务报费用为包干价（含税），包含且不限于现场调查、资料收集、相关部门访谈和专家评审等一切为完成本项目资产评估咨询服务所发生的费用，以及一个有经验的咨询服务单位可以合理预见的各项成本和税费。</w:t>
      </w:r>
    </w:p>
    <w:p>
      <w:pPr>
        <w:spacing w:line="560" w:lineRule="exact"/>
        <w:ind w:firstLine="640" w:firstLineChars="200"/>
        <w:rPr>
          <w:rFonts w:ascii="楷体" w:hAnsi="楷体" w:eastAsia="楷体" w:cs="仿宋_GB2312"/>
          <w:color w:val="000000"/>
          <w:sz w:val="32"/>
          <w:szCs w:val="32"/>
        </w:rPr>
      </w:pPr>
      <w:r>
        <w:rPr>
          <w:rFonts w:hint="eastAsia" w:ascii="楷体" w:hAnsi="楷体" w:eastAsia="楷体" w:cs="仿宋_GB2312"/>
          <w:color w:val="000000"/>
          <w:sz w:val="32"/>
          <w:szCs w:val="32"/>
        </w:rPr>
        <w:t>（二）支付条款</w:t>
      </w:r>
    </w:p>
    <w:p>
      <w:pPr>
        <w:pStyle w:val="7"/>
        <w:spacing w:line="560" w:lineRule="exact"/>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相关费用</w:t>
      </w:r>
      <w:r>
        <w:rPr>
          <w:rFonts w:hint="eastAsia" w:ascii="仿宋_GB2312" w:hAnsi="仿宋_GB2312" w:eastAsia="仿宋_GB2312" w:cs="仿宋_GB2312"/>
          <w:sz w:val="32"/>
          <w:szCs w:val="32"/>
          <w:lang w:val="en-US" w:eastAsia="zh-CN"/>
        </w:rPr>
        <w:t>多节点</w:t>
      </w:r>
      <w:r>
        <w:rPr>
          <w:rFonts w:hint="eastAsia" w:ascii="仿宋_GB2312" w:hAnsi="仿宋_GB2312" w:eastAsia="仿宋_GB2312" w:cs="仿宋_GB2312"/>
          <w:sz w:val="32"/>
          <w:szCs w:val="32"/>
          <w:lang w:val="en-US"/>
        </w:rPr>
        <w:t>支付，支付节点分别为提交初步成果、提交终稿、合同结算且完成履约评价后</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rPr>
        <w:t>。</w:t>
      </w:r>
    </w:p>
    <w:p>
      <w:pPr>
        <w:pStyle w:val="7"/>
        <w:spacing w:line="560" w:lineRule="exact"/>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若出现甲方书面要求调整基准日的情况，调整总费用将在最终结算后一次性支付。履约评价结果同时适用于调整总费用，即调整总费用的10%作为履约评价考核费。</w:t>
      </w:r>
      <w:bookmarkStart w:id="0" w:name="_GoBack"/>
      <w:bookmarkEnd w:id="0"/>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C5781"/>
    <w:rsid w:val="027B74B9"/>
    <w:rsid w:val="0ED748AE"/>
    <w:rsid w:val="12E0220F"/>
    <w:rsid w:val="12FE476F"/>
    <w:rsid w:val="162B11E5"/>
    <w:rsid w:val="1A3D0696"/>
    <w:rsid w:val="25751F17"/>
    <w:rsid w:val="25A46238"/>
    <w:rsid w:val="2B453164"/>
    <w:rsid w:val="2B4C7984"/>
    <w:rsid w:val="2CAF499A"/>
    <w:rsid w:val="2EF64671"/>
    <w:rsid w:val="306F1E46"/>
    <w:rsid w:val="3E6C6A9E"/>
    <w:rsid w:val="3FFA449D"/>
    <w:rsid w:val="4113520C"/>
    <w:rsid w:val="463A5070"/>
    <w:rsid w:val="4AE1644F"/>
    <w:rsid w:val="4DBF20C0"/>
    <w:rsid w:val="4DEA25E4"/>
    <w:rsid w:val="4EF7222A"/>
    <w:rsid w:val="515C5885"/>
    <w:rsid w:val="5D205E03"/>
    <w:rsid w:val="6E230E36"/>
    <w:rsid w:val="722E1CF7"/>
    <w:rsid w:val="72414CFF"/>
    <w:rsid w:val="728C1448"/>
    <w:rsid w:val="75B75A41"/>
    <w:rsid w:val="79B60B13"/>
    <w:rsid w:val="7D7A3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semiHidden/>
    <w:qFormat/>
    <w:uiPriority w:val="0"/>
    <w:rPr>
      <w:rFonts w:ascii="仿宋" w:hAnsi="仿宋" w:eastAsia="仿宋" w:cs="仿宋"/>
      <w:sz w:val="28"/>
      <w:szCs w:val="28"/>
      <w:lang w:val="en-US" w:eastAsia="en-US" w:bidi="ar-SA"/>
    </w:rPr>
  </w:style>
  <w:style w:type="paragraph" w:styleId="4">
    <w:name w:val="footer"/>
    <w:basedOn w:val="1"/>
    <w:qFormat/>
    <w:uiPriority w:val="99"/>
    <w:pPr>
      <w:tabs>
        <w:tab w:val="center" w:pos="4153"/>
        <w:tab w:val="right" w:pos="8306"/>
      </w:tabs>
      <w:snapToGrid w:val="0"/>
      <w:jc w:val="left"/>
    </w:pPr>
    <w:rPr>
      <w:sz w:val="18"/>
    </w:rPr>
  </w:style>
  <w:style w:type="paragraph" w:customStyle="1" w:styleId="7">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2021-11-15T04:07:00Z</dcterms:created>
  <dc:creator>luosh</dc:creator>
  <cp:lastModifiedBy>姚隽</cp:lastModifiedBy>
  <dcterms:modified xsi:type="dcterms:W3CDTF">2025-06-19T08:22:16Z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eyJoZGlkIjoiOGMyZTllMjlkNzdjODU3NmJmOTZjNGZlNGNmZDc4NmMiLCJ1c2VySWQiOiIxMTQ4NTY5ODI4In0=</vt:lpwstr>
  </property>
  <property fmtid="{D5CDD505-2E9C-101B-9397-08002B2CF9AE}" pid="4" name="ICV">
    <vt:lpwstr>BAB9C0DFF06F4AE7A1E997DC4383C2AE_12</vt:lpwstr>
  </property>
</Properties>
</file>