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Times New Roman"/>
          <w:b w:val="0"/>
          <w:bCs w:val="0"/>
          <w:sz w:val="30"/>
          <w:szCs w:val="30"/>
          <w:lang w:val="en-US" w:eastAsia="zh-CN"/>
        </w:rPr>
      </w:pPr>
      <w:r>
        <w:rPr>
          <w:rFonts w:hint="eastAsia" w:ascii="仿宋_GB2312" w:hAnsi="Times New Roman" w:eastAsia="仿宋_GB2312" w:cs="Times New Roman"/>
          <w:b w:val="0"/>
          <w:bCs w:val="0"/>
          <w:sz w:val="30"/>
          <w:szCs w:val="30"/>
          <w:lang w:val="en-US" w:eastAsia="zh-CN"/>
        </w:rPr>
        <w:t>附件1：</w:t>
      </w:r>
    </w:p>
    <w:p>
      <w:pPr>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val="en-US" w:eastAsia="zh-CN"/>
        </w:rPr>
        <w:t>罗山国际交流服务中心项目M组团及罗山国际创新中心项目合院</w:t>
      </w:r>
      <w:r>
        <w:rPr>
          <w:rFonts w:hint="eastAsia" w:ascii="方正小标宋简体" w:hAnsi="方正小标宋简体" w:eastAsia="方正小标宋简体" w:cs="方正小标宋简体"/>
          <w:b w:val="0"/>
          <w:bCs w:val="0"/>
          <w:color w:val="auto"/>
          <w:sz w:val="44"/>
          <w:szCs w:val="44"/>
          <w:lang w:eastAsia="zh-CN"/>
        </w:rPr>
        <w:t>开业筹备顾问</w:t>
      </w:r>
    </w:p>
    <w:p>
      <w:pPr>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服务项目任务书</w:t>
      </w:r>
    </w:p>
    <w:p>
      <w:pPr>
        <w:pageBreakBefore w:val="0"/>
        <w:kinsoku/>
        <w:wordWrap/>
        <w:overflowPunct/>
        <w:topLinePunct w:val="0"/>
        <w:autoSpaceDE/>
        <w:autoSpaceDN/>
        <w:bidi w:val="0"/>
        <w:adjustRightInd/>
        <w:snapToGrid/>
        <w:spacing w:line="560" w:lineRule="exact"/>
        <w:jc w:val="both"/>
        <w:textAlignment w:val="auto"/>
        <w:rPr>
          <w:rFonts w:hint="eastAsia" w:ascii="仿宋_GB2312" w:eastAsia="仿宋_GB2312"/>
          <w:b/>
          <w:bCs/>
          <w:color w:val="auto"/>
          <w:sz w:val="30"/>
          <w:szCs w:val="30"/>
          <w:lang w:val="en-US" w:eastAsia="zh-CN"/>
        </w:rPr>
      </w:pPr>
    </w:p>
    <w:p>
      <w:pPr>
        <w:pStyle w:val="5"/>
        <w:pageBreakBefore w:val="0"/>
        <w:widowControl w:val="0"/>
        <w:numPr>
          <w:ilvl w:val="0"/>
          <w:numId w:val="1"/>
        </w:numPr>
        <w:kinsoku/>
        <w:wordWrap/>
        <w:overflowPunct/>
        <w:topLinePunct w:val="0"/>
        <w:autoSpaceDE/>
        <w:autoSpaceDN/>
        <w:bidi w:val="0"/>
        <w:adjustRightInd/>
        <w:snapToGrid/>
        <w:spacing w:before="0" w:after="0" w:line="560" w:lineRule="exact"/>
        <w:ind w:left="210" w:leftChars="0" w:firstLine="420" w:firstLineChars="0"/>
        <w:jc w:val="both"/>
        <w:textAlignment w:val="auto"/>
        <w:rPr>
          <w:rFonts w:ascii="黑体" w:hAnsi="黑体" w:eastAsia="黑体"/>
          <w:color w:val="auto"/>
        </w:rPr>
      </w:pPr>
      <w:r>
        <w:rPr>
          <w:rFonts w:hint="eastAsia" w:ascii="黑体" w:hAnsi="黑体" w:eastAsia="黑体"/>
          <w:color w:val="auto"/>
        </w:rPr>
        <w:t>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bookmarkStart w:id="0" w:name="_Toc97651388"/>
      <w:r>
        <w:rPr>
          <w:rFonts w:hint="eastAsia" w:ascii="仿宋_GB2312" w:hAnsi="仿宋_GB2312" w:eastAsia="仿宋_GB2312" w:cs="仿宋_GB2312"/>
          <w:color w:val="auto"/>
          <w:sz w:val="32"/>
          <w:szCs w:val="32"/>
          <w:lang w:val="en-US" w:eastAsia="zh-CN"/>
        </w:rPr>
        <w:t>罗山国际交流服务中心项目M组团及罗山国际创新中心项目合院（以下简称“本项目”）作为区属国资体系首个高端全服务型酒店项目，总投资约12.6亿元，占地约4.4公顷，总建筑面积约8万㎡，由准五星级酒店（约7.5万㎡/324间客房）与生态接待合院（约0.6万㎡/15间客房）构成，现已启动地基施工。主体酒店配备约1800㎡智能宴会空间（含1000㎡/800㎡双主厅）、10个多功能会议室及高端餐饮康体设施，合院特设精品会议室与定制化接待空间。项目依托罗山科技园门户区位，集成产业配套、商务服务与生态景观功能，通过政企资源协同与产业链服务闭环生态，构建集全球科技社交主场、人才培训基地、国际交流枢纽于一体的产城融合标杆，全面填补片区高端产业服务配套空白。</w:t>
      </w:r>
    </w:p>
    <w:p>
      <w:pPr>
        <w:pStyle w:val="5"/>
        <w:pageBreakBefore w:val="0"/>
        <w:widowControl w:val="0"/>
        <w:numPr>
          <w:ilvl w:val="0"/>
          <w:numId w:val="1"/>
        </w:numPr>
        <w:kinsoku/>
        <w:wordWrap/>
        <w:overflowPunct/>
        <w:topLinePunct w:val="0"/>
        <w:autoSpaceDE/>
        <w:autoSpaceDN/>
        <w:bidi w:val="0"/>
        <w:adjustRightInd/>
        <w:snapToGrid/>
        <w:spacing w:before="0" w:after="0" w:line="560" w:lineRule="exact"/>
        <w:ind w:left="210" w:leftChars="0" w:firstLine="420" w:firstLineChars="0"/>
        <w:jc w:val="both"/>
        <w:textAlignment w:val="auto"/>
        <w:rPr>
          <w:rFonts w:ascii="黑体" w:hAnsi="黑体" w:eastAsia="黑体"/>
          <w:b w:val="0"/>
          <w:bCs w:val="0"/>
          <w:color w:val="auto"/>
        </w:rPr>
      </w:pPr>
      <w:r>
        <w:rPr>
          <w:rFonts w:hint="eastAsia" w:ascii="黑体" w:hAnsi="黑体" w:eastAsia="黑体"/>
          <w:b w:val="0"/>
          <w:bCs w:val="0"/>
          <w:color w:val="auto"/>
          <w:lang w:val="en-US" w:eastAsia="zh-CN"/>
        </w:rPr>
        <w:t>服务</w:t>
      </w:r>
      <w:r>
        <w:rPr>
          <w:rFonts w:hint="eastAsia" w:ascii="黑体" w:hAnsi="黑体" w:eastAsia="黑体"/>
          <w:b w:val="0"/>
          <w:bCs w:val="0"/>
          <w:color w:val="auto"/>
        </w:rPr>
        <w:t>内容</w:t>
      </w:r>
      <w:bookmarkEnd w:id="0"/>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仿宋_GB2312" w:hAnsi="仿宋_GB2312" w:eastAsia="仿宋_GB2312" w:cs="仿宋_GB2312"/>
          <w:color w:val="auto"/>
          <w:sz w:val="32"/>
          <w:szCs w:val="32"/>
          <w:lang w:val="en-US" w:eastAsia="zh-CN"/>
        </w:rPr>
      </w:pPr>
      <w:bookmarkStart w:id="1" w:name="_Toc15570_WPSOffice_Level3"/>
      <w:bookmarkStart w:id="2" w:name="_Hlk97709903"/>
      <w:r>
        <w:rPr>
          <w:rFonts w:hint="eastAsia" w:ascii="仿宋_GB2312" w:hAnsi="仿宋_GB2312" w:eastAsia="仿宋_GB2312" w:cs="仿宋_GB2312"/>
          <w:b/>
          <w:bCs/>
          <w:i w:val="0"/>
          <w:iCs w:val="0"/>
          <w:caps w:val="0"/>
          <w:color w:val="auto"/>
          <w:spacing w:val="0"/>
          <w:sz w:val="32"/>
          <w:szCs w:val="32"/>
          <w:shd w:val="clear" w:color="auto" w:fill="auto"/>
        </w:rPr>
        <w:t>公司需要</w:t>
      </w:r>
      <w:r>
        <w:rPr>
          <w:rFonts w:hint="eastAsia" w:ascii="仿宋_GB2312" w:hAnsi="仿宋_GB2312" w:eastAsia="仿宋_GB2312" w:cs="仿宋_GB2312"/>
          <w:b/>
          <w:bCs/>
          <w:i w:val="0"/>
          <w:iCs w:val="0"/>
          <w:caps w:val="0"/>
          <w:color w:val="auto"/>
          <w:spacing w:val="0"/>
          <w:sz w:val="32"/>
          <w:szCs w:val="32"/>
          <w:shd w:val="clear" w:color="auto" w:fill="auto"/>
          <w:lang w:eastAsia="zh-CN"/>
        </w:rPr>
        <w:t>的</w:t>
      </w:r>
      <w:r>
        <w:rPr>
          <w:rFonts w:hint="eastAsia" w:ascii="仿宋_GB2312" w:hAnsi="仿宋_GB2312" w:eastAsia="仿宋_GB2312" w:cs="仿宋_GB2312"/>
          <w:b/>
          <w:bCs/>
          <w:i w:val="0"/>
          <w:iCs w:val="0"/>
          <w:caps w:val="0"/>
          <w:color w:val="auto"/>
          <w:spacing w:val="0"/>
          <w:sz w:val="32"/>
          <w:szCs w:val="32"/>
          <w:shd w:val="clear" w:color="auto" w:fill="auto"/>
          <w:lang w:val="en-US" w:eastAsia="zh-CN"/>
        </w:rPr>
        <w:t>管理</w:t>
      </w:r>
      <w:r>
        <w:rPr>
          <w:rFonts w:hint="eastAsia" w:ascii="仿宋_GB2312" w:hAnsi="仿宋_GB2312" w:eastAsia="仿宋_GB2312" w:cs="仿宋_GB2312"/>
          <w:b/>
          <w:bCs/>
          <w:i w:val="0"/>
          <w:iCs w:val="0"/>
          <w:caps w:val="0"/>
          <w:color w:val="auto"/>
          <w:spacing w:val="0"/>
          <w:sz w:val="32"/>
          <w:szCs w:val="32"/>
          <w:shd w:val="clear" w:color="auto" w:fill="auto"/>
        </w:rPr>
        <w:t>体系</w:t>
      </w:r>
      <w:r>
        <w:rPr>
          <w:rFonts w:hint="eastAsia" w:ascii="仿宋_GB2312" w:hAnsi="仿宋_GB2312" w:eastAsia="仿宋_GB2312" w:cs="仿宋_GB2312"/>
          <w:b/>
          <w:bCs/>
          <w:i w:val="0"/>
          <w:iCs w:val="0"/>
          <w:caps w:val="0"/>
          <w:color w:val="auto"/>
          <w:spacing w:val="0"/>
          <w:sz w:val="32"/>
          <w:szCs w:val="32"/>
          <w:shd w:val="clear" w:color="auto" w:fill="auto"/>
          <w:lang w:val="en-US" w:eastAsia="zh-CN"/>
        </w:rPr>
        <w:t>搭建与制度建设，具体包括：</w:t>
      </w:r>
      <w:r>
        <w:rPr>
          <w:rFonts w:hint="eastAsia" w:ascii="仿宋_GB2312" w:hAnsi="仿宋_GB2312" w:eastAsia="仿宋_GB2312" w:cs="仿宋_GB2312"/>
          <w:b w:val="0"/>
          <w:bCs w:val="0"/>
          <w:i w:val="0"/>
          <w:iCs w:val="0"/>
          <w:caps w:val="0"/>
          <w:color w:val="auto"/>
          <w:spacing w:val="0"/>
          <w:sz w:val="32"/>
          <w:szCs w:val="32"/>
          <w:shd w:val="clear" w:color="auto" w:fill="auto"/>
        </w:rPr>
        <w:t>绩效管理与合同履约监督体系</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auto"/>
        </w:rPr>
        <w:t>财务管控与审计体系</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auto"/>
        </w:rPr>
        <w:t>品牌标准与质量保证体系</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auto"/>
        </w:rPr>
        <w:t>信息权与报告体系</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auto"/>
        </w:rPr>
        <w:t>风险管理与合规体系</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auto"/>
        </w:rPr>
        <w:t>沟通</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auto"/>
        </w:rPr>
        <w:t>协作与决策体系</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auto"/>
        </w:rPr>
        <w:t>合同管理与退出机制准备</w:t>
      </w:r>
      <w:r>
        <w:rPr>
          <w:rFonts w:hint="eastAsia" w:ascii="仿宋_GB2312" w:hAnsi="仿宋_GB2312" w:eastAsia="仿宋_GB2312" w:cs="仿宋_GB2312"/>
          <w:b w:val="0"/>
          <w:bCs w:val="0"/>
          <w:i w:val="0"/>
          <w:iCs w:val="0"/>
          <w:caps w:val="0"/>
          <w:color w:val="auto"/>
          <w:spacing w:val="0"/>
          <w:sz w:val="32"/>
          <w:szCs w:val="32"/>
          <w:shd w:val="clear" w:color="auto" w:fill="auto"/>
          <w:lang w:val="en-US" w:eastAsia="zh-CN"/>
        </w:rPr>
        <w:t>等，</w:t>
      </w:r>
      <w:r>
        <w:rPr>
          <w:rFonts w:hint="eastAsia" w:ascii="仿宋_GB2312" w:hAnsi="仿宋_GB2312" w:eastAsia="仿宋_GB2312" w:cs="仿宋_GB2312"/>
          <w:b w:val="0"/>
          <w:bCs w:val="0"/>
          <w:i w:val="0"/>
          <w:iCs w:val="0"/>
          <w:caps w:val="0"/>
          <w:color w:val="auto"/>
          <w:spacing w:val="0"/>
          <w:sz w:val="32"/>
          <w:szCs w:val="32"/>
          <w:shd w:val="clear" w:color="auto" w:fill="auto"/>
        </w:rPr>
        <w:t>最大限度地保障</w:t>
      </w:r>
      <w:r>
        <w:rPr>
          <w:rFonts w:hint="eastAsia" w:ascii="仿宋_GB2312" w:hAnsi="仿宋_GB2312" w:eastAsia="仿宋_GB2312" w:cs="仿宋_GB2312"/>
          <w:b w:val="0"/>
          <w:bCs w:val="0"/>
          <w:i w:val="0"/>
          <w:iCs w:val="0"/>
          <w:caps w:val="0"/>
          <w:color w:val="auto"/>
          <w:spacing w:val="0"/>
          <w:sz w:val="32"/>
          <w:szCs w:val="32"/>
          <w:shd w:val="clear" w:color="auto" w:fill="auto"/>
          <w:lang w:val="en-US" w:eastAsia="zh-CN"/>
        </w:rPr>
        <w:t>对日常经营的监督和监管</w:t>
      </w:r>
      <w:r>
        <w:rPr>
          <w:rFonts w:hint="eastAsia" w:ascii="仿宋_GB2312" w:hAnsi="仿宋_GB2312" w:eastAsia="仿宋_GB2312" w:cs="仿宋_GB2312"/>
          <w:b w:val="0"/>
          <w:bCs w:val="0"/>
          <w:i w:val="0"/>
          <w:iCs w:val="0"/>
          <w:caps w:val="0"/>
          <w:color w:val="auto"/>
          <w:spacing w:val="0"/>
          <w:sz w:val="32"/>
          <w:szCs w:val="32"/>
          <w:shd w:val="clear" w:color="auto" w:fill="auto"/>
        </w:rPr>
        <w:t>、确保管理公司尽职履约、促进酒店业绩提升，并最终实现资产的长期稳健回报</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项目运营设备用品（HOE）采购审核及评估，具体包括：</w:t>
      </w:r>
      <w:bookmarkEnd w:id="1"/>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本项目FF&amp;E（集聚、固定设施和设备费用）和HOE（酒店经营设备）采购预算可能存在交叉，需判定采购物资的归类和特性；</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采购计划的结构是否合理，是否基于未来业绩的营运需要；</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基于标准优化、物资配置优化、供应商优化原则，为酒店投资人控制整体采购预算及坪效评估，保障开业预算合理、有效、可执行；</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运营物资采购标段划分建议。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本项目运营管理方案及人员架构的审核与评估，具体包括：</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对酒店管理运营架构及运营方案进行评审；</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对品牌运营管理方派驻的人员以及整个管理团队的岗位适配度进行评审；</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对品牌运营管理方派驻的人员以及整个管理团队工作的费用进行评审；</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对品牌运营管理方提出的运营管理</w:t>
      </w:r>
      <w:r>
        <w:rPr>
          <w:rFonts w:hint="default" w:ascii="仿宋_GB2312" w:hAnsi="仿宋_GB2312" w:eastAsia="仿宋_GB2312" w:cs="仿宋_GB2312"/>
          <w:color w:val="auto"/>
          <w:sz w:val="32"/>
          <w:szCs w:val="32"/>
          <w:lang w:val="en-US" w:eastAsia="zh-CN"/>
        </w:rPr>
        <w:t>流程及制度</w:t>
      </w:r>
      <w:r>
        <w:rPr>
          <w:rFonts w:hint="eastAsia" w:ascii="仿宋_GB2312" w:hAnsi="仿宋_GB2312" w:eastAsia="仿宋_GB2312" w:cs="仿宋_GB2312"/>
          <w:color w:val="auto"/>
          <w:sz w:val="32"/>
          <w:szCs w:val="32"/>
          <w:lang w:val="en-US" w:eastAsia="zh-CN"/>
        </w:rPr>
        <w:t>进行评审和建议。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本项目开业预算（POB）费用审核与评估，具体包括：</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对开业筹备周期以及开业筹备预算规模进行评审；</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对开业预算筹备成本费用的优化建议；</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对开业（含试营业）的定价进行评审。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本项目开业首年经营预算审核与评估，具体包括：</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整体酒店市场展望与回顾；</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本项目竞争性业绩分析及市场定位；</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本项目竞争组合的年度预算解读；</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本项目竞争项目的公共关系及消费者形象；</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本项目管理方勤勉尽责的匿名调研；</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本项目的收益面积分析；</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本项目开业首年的经营管理建议及采购物资配置建议。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其他约定</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提供不少于20次（每次至少2人）的现场服务，以及应甲方要求参与或出席各项与该项目相关的会议；</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根据工作需要可安排不少于1人的定期驻场顾问代表</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投标人可根据项目需求、定位，为招标人在招标服务内容外提供额外增值服务项目。</w:t>
      </w:r>
    </w:p>
    <w:p>
      <w:pPr>
        <w:pStyle w:val="5"/>
        <w:pageBreakBefore w:val="0"/>
        <w:widowControl w:val="0"/>
        <w:numPr>
          <w:ilvl w:val="0"/>
          <w:numId w:val="1"/>
        </w:numPr>
        <w:kinsoku/>
        <w:wordWrap/>
        <w:overflowPunct/>
        <w:topLinePunct w:val="0"/>
        <w:autoSpaceDE/>
        <w:autoSpaceDN/>
        <w:bidi w:val="0"/>
        <w:adjustRightInd/>
        <w:snapToGrid/>
        <w:spacing w:before="0" w:after="0" w:line="560" w:lineRule="exact"/>
        <w:ind w:left="210" w:leftChars="0" w:firstLine="420" w:firstLineChars="0"/>
        <w:jc w:val="both"/>
        <w:textAlignment w:val="auto"/>
        <w:rPr>
          <w:rFonts w:hint="default" w:ascii="黑体" w:hAnsi="黑体" w:eastAsia="黑体"/>
          <w:b w:val="0"/>
          <w:bCs w:val="0"/>
          <w:color w:val="auto"/>
          <w:lang w:val="en-US" w:eastAsia="zh-CN"/>
        </w:rPr>
      </w:pPr>
      <w:r>
        <w:rPr>
          <w:rFonts w:hint="default" w:ascii="黑体" w:hAnsi="黑体" w:eastAsia="黑体"/>
          <w:b w:val="0"/>
          <w:bCs w:val="0"/>
          <w:color w:val="auto"/>
          <w:lang w:val="en-US" w:eastAsia="zh-CN"/>
        </w:rPr>
        <w:t>交付标准与成果</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rPr>
        <w:t>绩效管理与合同履约监督</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制度</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含</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rPr>
        <w:t>合同审查</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rPr>
        <w:t>关键绩效指标监控</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rPr>
        <w:t>绩效评估</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auto"/>
        </w:rPr>
        <w:t>采购政策</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等</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rPr>
        <w:t>财务管控与审计</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制度（含</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rPr>
        <w:t>预算</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编制、</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rPr>
        <w:t>审批与监督</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rPr>
        <w:t>银行</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及资金</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rPr>
        <w:t>账户管理</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rPr>
        <w:t>费用审查与</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资金监控等）</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rPr>
        <w:t>品牌标准与质量</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监督制度（</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rPr>
        <w:t>品牌标准</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管理，品质监督，客户服务质量，日常维修维护等）</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rPr>
        <w:t>信息与报告</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管理制度（</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rPr>
        <w:t>信息</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披露和获取，财务报告、经营分析报告、市场销售报告、重大事项报告等）</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rPr>
        <w:t>风险管理与合规体系</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rPr>
        <w:t>风险管理监督</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rPr>
        <w:t>合规性监督</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rPr>
        <w:t>危机管理预案</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等</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rPr>
        <w:t>沟通、协作与决策</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制度（</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rPr>
        <w:t>沟通机制</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业主代表授权，决策流程）</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rPr>
        <w:t>合同</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与档案</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rPr>
        <w:t>管理</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制度</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color w:val="auto"/>
          <w:sz w:val="32"/>
          <w:szCs w:val="32"/>
          <w:lang w:val="en-US" w:eastAsia="zh-CN"/>
        </w:rPr>
      </w:pP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rPr>
        <w:t>本项目</w:t>
      </w:r>
      <w:r>
        <w:rPr>
          <w:rFonts w:hint="eastAsia" w:ascii="仿宋_GB2312" w:hAnsi="仿宋_GB2312" w:eastAsia="仿宋_GB2312" w:cs="仿宋_GB2312"/>
          <w:color w:val="auto"/>
          <w:kern w:val="2"/>
          <w:sz w:val="32"/>
          <w:szCs w:val="32"/>
          <w:highlight w:val="none"/>
          <w:lang w:val="en-US" w:eastAsia="zh-CN" w:bidi="ar-SA"/>
        </w:rPr>
        <w:t>管理层候选人面试报告及建议》；</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color w:val="auto"/>
          <w:sz w:val="32"/>
          <w:szCs w:val="32"/>
          <w:lang w:val="en-US" w:eastAsia="zh-CN"/>
        </w:rPr>
      </w:pP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rPr>
        <w:t>本项目</w:t>
      </w:r>
      <w:r>
        <w:rPr>
          <w:rFonts w:hint="eastAsia" w:ascii="仿宋_GB2312" w:hAnsi="仿宋_GB2312" w:eastAsia="仿宋_GB2312" w:cs="仿宋_GB2312"/>
          <w:color w:val="auto"/>
          <w:kern w:val="2"/>
          <w:sz w:val="32"/>
          <w:szCs w:val="32"/>
          <w:highlight w:val="none"/>
          <w:lang w:val="en-US" w:eastAsia="zh-CN" w:bidi="ar-SA"/>
        </w:rPr>
        <w:t>业主方与酒管公司协作流程及制度》；</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color w:val="auto"/>
          <w:sz w:val="32"/>
          <w:szCs w:val="32"/>
          <w:lang w:val="en-US" w:eastAsia="zh-CN"/>
        </w:rPr>
      </w:pP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rPr>
        <w:t>本项目</w:t>
      </w:r>
      <w:r>
        <w:rPr>
          <w:rFonts w:hint="eastAsia" w:ascii="仿宋_GB2312" w:hAnsi="仿宋_GB2312" w:eastAsia="仿宋_GB2312" w:cs="仿宋_GB2312"/>
          <w:color w:val="auto"/>
          <w:kern w:val="2"/>
          <w:sz w:val="32"/>
          <w:szCs w:val="32"/>
          <w:highlight w:val="none"/>
          <w:lang w:val="en-US" w:eastAsia="zh-CN" w:bidi="ar-SA"/>
        </w:rPr>
        <w:t>人力资源架构和预算审核及建议报告》；</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color w:val="auto"/>
          <w:sz w:val="32"/>
          <w:szCs w:val="32"/>
          <w:lang w:val="en-US" w:eastAsia="zh-CN"/>
        </w:rPr>
      </w:pP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rPr>
        <w:t>本项目</w:t>
      </w:r>
      <w:r>
        <w:rPr>
          <w:rFonts w:hint="eastAsia" w:ascii="仿宋_GB2312" w:hAnsi="仿宋_GB2312" w:eastAsia="仿宋_GB2312" w:cs="仿宋_GB2312"/>
          <w:color w:val="auto"/>
          <w:kern w:val="2"/>
          <w:sz w:val="32"/>
          <w:szCs w:val="32"/>
          <w:highlight w:val="none"/>
          <w:lang w:val="en-US" w:eastAsia="zh-CN" w:bidi="ar-SA"/>
        </w:rPr>
        <w:t>薪酬福利制度审核及建议报告》；</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color w:val="auto"/>
          <w:sz w:val="32"/>
          <w:szCs w:val="32"/>
          <w:lang w:val="en-US" w:eastAsia="zh-CN"/>
        </w:rPr>
      </w:pP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rPr>
        <w:t>本项目</w:t>
      </w:r>
      <w:r>
        <w:rPr>
          <w:rFonts w:hint="eastAsia" w:ascii="仿宋_GB2312" w:hAnsi="仿宋_GB2312" w:eastAsia="仿宋_GB2312" w:cs="仿宋_GB2312"/>
          <w:color w:val="auto"/>
          <w:kern w:val="2"/>
          <w:sz w:val="32"/>
          <w:szCs w:val="32"/>
          <w:highlight w:val="none"/>
          <w:lang w:val="en-US" w:eastAsia="zh-CN" w:bidi="ar-SA"/>
        </w:rPr>
        <w:t>开业物品采购方案审核及建议报告》；</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color w:val="auto"/>
          <w:sz w:val="32"/>
          <w:szCs w:val="32"/>
          <w:lang w:val="en-US" w:eastAsia="zh-CN"/>
        </w:rPr>
      </w:pP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rPr>
        <w:t>本项目</w:t>
      </w:r>
      <w:r>
        <w:rPr>
          <w:rFonts w:hint="eastAsia" w:ascii="仿宋_GB2312" w:hAnsi="仿宋_GB2312" w:eastAsia="仿宋_GB2312" w:cs="仿宋_GB2312"/>
          <w:color w:val="auto"/>
          <w:kern w:val="2"/>
          <w:sz w:val="32"/>
          <w:szCs w:val="32"/>
          <w:highlight w:val="none"/>
          <w:lang w:val="en-US" w:eastAsia="zh-CN" w:bidi="ar-SA"/>
        </w:rPr>
        <w:t>开业物品采购供应商推荐清单及考察评审建议报告》；</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color w:val="auto"/>
          <w:sz w:val="32"/>
          <w:szCs w:val="32"/>
          <w:lang w:val="en-US" w:eastAsia="zh-CN"/>
        </w:rPr>
      </w:pP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rPr>
        <w:t>本项目</w:t>
      </w:r>
      <w:r>
        <w:rPr>
          <w:rFonts w:hint="eastAsia" w:ascii="仿宋_GB2312" w:hAnsi="仿宋_GB2312" w:eastAsia="仿宋_GB2312" w:cs="仿宋_GB2312"/>
          <w:color w:val="auto"/>
          <w:kern w:val="2"/>
          <w:sz w:val="32"/>
          <w:szCs w:val="32"/>
          <w:highlight w:val="none"/>
          <w:lang w:val="en-US" w:eastAsia="zh-CN" w:bidi="ar-SA"/>
        </w:rPr>
        <w:t>开业筹备计划及倒排时间表审核及建议报告》；</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color w:val="auto"/>
          <w:sz w:val="32"/>
          <w:szCs w:val="32"/>
          <w:lang w:val="en-US" w:eastAsia="zh-CN"/>
        </w:rPr>
      </w:pP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rPr>
        <w:t>本项</w:t>
      </w:r>
      <w:r>
        <w:rPr>
          <w:rFonts w:hint="eastAsia" w:ascii="仿宋_GB2312" w:hAnsi="仿宋_GB2312" w:eastAsia="仿宋_GB2312" w:cs="仿宋_GB2312"/>
          <w:color w:val="auto"/>
          <w:kern w:val="2"/>
          <w:sz w:val="32"/>
          <w:szCs w:val="32"/>
          <w:highlight w:val="none"/>
          <w:lang w:val="en-US" w:eastAsia="zh-CN" w:bidi="ar-SA"/>
        </w:rPr>
        <w:t>目开业前费用预算及酒店营运物资采购预算审查报告》；</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color w:val="auto"/>
          <w:sz w:val="32"/>
          <w:szCs w:val="32"/>
          <w:lang w:val="en-US" w:eastAsia="zh-CN"/>
        </w:rPr>
      </w:pP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rPr>
        <w:t>本项目</w:t>
      </w:r>
      <w:r>
        <w:rPr>
          <w:rFonts w:hint="eastAsia" w:ascii="仿宋_GB2312" w:hAnsi="仿宋_GB2312" w:eastAsia="仿宋_GB2312" w:cs="仿宋_GB2312"/>
          <w:color w:val="auto"/>
          <w:kern w:val="2"/>
          <w:sz w:val="32"/>
          <w:szCs w:val="32"/>
          <w:highlight w:val="none"/>
          <w:lang w:val="en-US" w:eastAsia="zh-CN" w:bidi="ar-SA"/>
        </w:rPr>
        <w:t>试运营建议报告》；</w:t>
      </w:r>
    </w:p>
    <w:p>
      <w:pPr>
        <w:widowControl w:val="0"/>
        <w:numPr>
          <w:ilvl w:val="0"/>
          <w:numId w:val="8"/>
        </w:numPr>
        <w:spacing w:line="560" w:lineRule="exact"/>
        <w:ind w:left="0" w:leftChars="0"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rPr>
        <w:t>本项目</w:t>
      </w:r>
      <w:r>
        <w:rPr>
          <w:rFonts w:hint="eastAsia" w:ascii="仿宋_GB2312" w:hAnsi="仿宋_GB2312" w:eastAsia="仿宋_GB2312" w:cs="仿宋_GB2312"/>
          <w:color w:val="auto"/>
          <w:kern w:val="2"/>
          <w:sz w:val="32"/>
          <w:szCs w:val="32"/>
          <w:highlight w:val="none"/>
          <w:lang w:val="en-US" w:eastAsia="zh-CN" w:bidi="ar-SA"/>
        </w:rPr>
        <w:t>开业策划建议报告》；</w:t>
      </w:r>
    </w:p>
    <w:p>
      <w:pPr>
        <w:widowControl w:val="0"/>
        <w:numPr>
          <w:ilvl w:val="0"/>
          <w:numId w:val="8"/>
        </w:numPr>
        <w:spacing w:line="560" w:lineRule="exact"/>
        <w:ind w:left="0" w:leftChars="0"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rPr>
        <w:t>本项</w:t>
      </w:r>
      <w:r>
        <w:rPr>
          <w:rFonts w:hint="eastAsia" w:ascii="仿宋_GB2312" w:hAnsi="仿宋_GB2312" w:eastAsia="仿宋_GB2312" w:cs="仿宋_GB2312"/>
          <w:color w:val="auto"/>
          <w:kern w:val="2"/>
          <w:sz w:val="32"/>
          <w:szCs w:val="32"/>
          <w:highlight w:val="none"/>
          <w:lang w:val="en-US" w:eastAsia="zh-CN" w:bidi="ar-SA"/>
        </w:rPr>
        <w:t>目开业首年经营预算审查报告》。</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【服务说明】以上内容为顾问服务基础框架，具体实施方案将结合项目实际需求进行定制化调整，确保服务内容覆盖筹</w:t>
      </w:r>
      <w:r>
        <w:rPr>
          <w:rFonts w:hint="eastAsia" w:ascii="仿宋_GB2312" w:hAnsi="仿宋_GB2312" w:eastAsia="仿宋_GB2312" w:cs="仿宋_GB2312"/>
          <w:color w:val="auto"/>
          <w:kern w:val="2"/>
          <w:sz w:val="32"/>
          <w:szCs w:val="32"/>
          <w:lang w:val="en-US" w:eastAsia="zh-CN" w:bidi="ar-SA"/>
        </w:rPr>
        <w:t>备</w:t>
      </w:r>
      <w:r>
        <w:rPr>
          <w:rFonts w:hint="default" w:ascii="仿宋_GB2312" w:hAnsi="仿宋_GB2312" w:eastAsia="仿宋_GB2312" w:cs="仿宋_GB2312"/>
          <w:color w:val="auto"/>
          <w:kern w:val="2"/>
          <w:sz w:val="32"/>
          <w:szCs w:val="32"/>
          <w:lang w:val="en-US" w:eastAsia="zh-CN" w:bidi="ar-SA"/>
        </w:rPr>
        <w:t>期全流程关键节点，保障项目</w:t>
      </w:r>
      <w:r>
        <w:rPr>
          <w:rFonts w:hint="eastAsia" w:ascii="仿宋_GB2312" w:hAnsi="仿宋_GB2312" w:eastAsia="仿宋_GB2312" w:cs="仿宋_GB2312"/>
          <w:color w:val="auto"/>
          <w:kern w:val="2"/>
          <w:sz w:val="32"/>
          <w:szCs w:val="32"/>
          <w:lang w:val="en-US" w:eastAsia="zh-CN" w:bidi="ar-SA"/>
        </w:rPr>
        <w:t>顺利筹备并如期开业。</w:t>
      </w:r>
    </w:p>
    <w:bookmarkEnd w:id="2"/>
    <w:p>
      <w:pPr>
        <w:pStyle w:val="5"/>
        <w:pageBreakBefore w:val="0"/>
        <w:widowControl w:val="0"/>
        <w:numPr>
          <w:ilvl w:val="0"/>
          <w:numId w:val="1"/>
        </w:numPr>
        <w:kinsoku/>
        <w:wordWrap/>
        <w:overflowPunct/>
        <w:topLinePunct w:val="0"/>
        <w:autoSpaceDE/>
        <w:autoSpaceDN/>
        <w:bidi w:val="0"/>
        <w:adjustRightInd/>
        <w:snapToGrid/>
        <w:spacing w:before="0" w:after="0" w:line="560" w:lineRule="exact"/>
        <w:ind w:left="210" w:leftChars="0" w:firstLine="420" w:firstLineChars="0"/>
        <w:jc w:val="both"/>
        <w:textAlignment w:val="auto"/>
        <w:rPr>
          <w:rFonts w:hint="default" w:ascii="黑体" w:hAnsi="黑体" w:eastAsia="黑体"/>
          <w:b w:val="0"/>
          <w:bCs w:val="0"/>
          <w:color w:val="auto"/>
          <w:lang w:val="en-US" w:eastAsia="zh-CN"/>
        </w:rPr>
      </w:pPr>
      <w:bookmarkStart w:id="3" w:name="_Toc97651392"/>
      <w:r>
        <w:rPr>
          <w:rFonts w:hint="eastAsia" w:ascii="黑体" w:hAnsi="黑体" w:eastAsia="黑体"/>
          <w:b w:val="0"/>
          <w:bCs w:val="0"/>
          <w:color w:val="auto"/>
          <w:lang w:val="en-US" w:eastAsia="zh-CN"/>
        </w:rPr>
        <w:t>成果要求</w:t>
      </w:r>
      <w:bookmarkEnd w:id="3"/>
    </w:p>
    <w:p>
      <w:pPr>
        <w:pageBreakBefore w:val="0"/>
        <w:widowControl w:val="0"/>
        <w:kinsoku/>
        <w:wordWrap/>
        <w:overflowPunct/>
        <w:topLinePunct w:val="0"/>
        <w:autoSpaceDE/>
        <w:autoSpaceDN/>
        <w:bidi w:val="0"/>
        <w:adjustRightInd/>
        <w:snapToGrid/>
        <w:spacing w:line="560" w:lineRule="exact"/>
        <w:ind w:firstLine="646" w:firstLineChars="202"/>
        <w:jc w:val="both"/>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成果需符合本任务书中策划内容的要求。</w:t>
      </w:r>
    </w:p>
    <w:p>
      <w:pPr>
        <w:pStyle w:val="5"/>
        <w:pageBreakBefore w:val="0"/>
        <w:widowControl w:val="0"/>
        <w:numPr>
          <w:ilvl w:val="0"/>
          <w:numId w:val="1"/>
        </w:numPr>
        <w:kinsoku/>
        <w:wordWrap/>
        <w:overflowPunct/>
        <w:topLinePunct w:val="0"/>
        <w:autoSpaceDE/>
        <w:autoSpaceDN/>
        <w:bidi w:val="0"/>
        <w:adjustRightInd/>
        <w:snapToGrid/>
        <w:spacing w:before="0" w:after="0" w:line="560" w:lineRule="exact"/>
        <w:ind w:left="210" w:leftChars="0" w:firstLine="420" w:firstLineChars="0"/>
        <w:jc w:val="both"/>
        <w:textAlignment w:val="auto"/>
        <w:rPr>
          <w:rFonts w:hint="eastAsia" w:ascii="黑体" w:hAnsi="黑体" w:eastAsia="黑体"/>
          <w:b w:val="0"/>
          <w:bCs w:val="0"/>
          <w:color w:val="auto"/>
          <w:lang w:val="en-US" w:eastAsia="zh-CN"/>
        </w:rPr>
      </w:pPr>
      <w:bookmarkStart w:id="4" w:name="_Toc97651393"/>
      <w:r>
        <w:rPr>
          <w:rFonts w:hint="eastAsia" w:ascii="黑体" w:hAnsi="黑体" w:eastAsia="黑体"/>
          <w:b w:val="0"/>
          <w:bCs w:val="0"/>
          <w:color w:val="auto"/>
          <w:lang w:val="en-US" w:eastAsia="zh-CN"/>
        </w:rPr>
        <w:t>编制进度</w:t>
      </w:r>
      <w:bookmarkEnd w:id="4"/>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b w:val="0"/>
          <w:bCs w:val="0"/>
          <w:color w:val="auto"/>
          <w:sz w:val="32"/>
          <w:szCs w:val="32"/>
        </w:rPr>
        <w:t>本次</w:t>
      </w:r>
      <w:r>
        <w:rPr>
          <w:rFonts w:hint="eastAsia" w:ascii="仿宋_GB2312" w:hAnsi="仿宋_GB2312" w:eastAsia="仿宋_GB2312"/>
          <w:b w:val="0"/>
          <w:bCs w:val="0"/>
          <w:color w:val="auto"/>
          <w:sz w:val="32"/>
          <w:szCs w:val="32"/>
          <w:lang w:val="en-US" w:eastAsia="zh-CN"/>
        </w:rPr>
        <w:t>服务工作</w:t>
      </w:r>
      <w:r>
        <w:rPr>
          <w:rFonts w:hint="eastAsia" w:ascii="仿宋_GB2312" w:hAnsi="仿宋_GB2312" w:eastAsia="仿宋_GB2312"/>
          <w:b w:val="0"/>
          <w:bCs w:val="0"/>
          <w:color w:val="auto"/>
          <w:sz w:val="32"/>
          <w:szCs w:val="32"/>
        </w:rPr>
        <w:t>时间紧、要求高，考虑技术工作必须的时间，承接单位</w:t>
      </w:r>
      <w:bookmarkStart w:id="5" w:name="_Hlk96332949"/>
      <w:r>
        <w:rPr>
          <w:rFonts w:hint="eastAsia" w:ascii="仿宋_GB2312" w:hAnsi="仿宋_GB2312" w:eastAsia="仿宋_GB2312"/>
          <w:b w:val="0"/>
          <w:bCs w:val="0"/>
          <w:color w:val="auto"/>
          <w:sz w:val="32"/>
          <w:szCs w:val="32"/>
          <w:lang w:val="en-US" w:eastAsia="zh-CN"/>
        </w:rPr>
        <w:t>服务周期</w:t>
      </w:r>
      <w:r>
        <w:rPr>
          <w:rFonts w:hint="eastAsia" w:ascii="仿宋_GB2312" w:hAnsi="仿宋_GB2312" w:eastAsia="仿宋_GB2312" w:cs="仿宋_GB2312"/>
          <w:color w:val="auto"/>
          <w:sz w:val="32"/>
          <w:szCs w:val="32"/>
        </w:rPr>
        <w:t>自合同签订之日起</w:t>
      </w:r>
      <w:r>
        <w:rPr>
          <w:rFonts w:hint="eastAsia" w:ascii="仿宋_GB2312" w:hAnsi="仿宋_GB2312" w:eastAsia="仿宋_GB2312"/>
          <w:b w:val="0"/>
          <w:bCs w:val="0"/>
          <w:color w:val="auto"/>
          <w:sz w:val="32"/>
          <w:szCs w:val="32"/>
          <w:lang w:val="en-US" w:eastAsia="zh-CN"/>
        </w:rPr>
        <w:t>至本项目开业满3个月</w:t>
      </w:r>
      <w:r>
        <w:rPr>
          <w:rFonts w:hint="eastAsia" w:ascii="仿宋_GB2312" w:hAnsi="仿宋_GB2312" w:eastAsia="仿宋_GB2312" w:cs="仿宋_GB2312"/>
          <w:color w:val="auto"/>
          <w:sz w:val="32"/>
          <w:szCs w:val="32"/>
        </w:rPr>
        <w:t>。</w:t>
      </w:r>
      <w:bookmarkEnd w:id="5"/>
    </w:p>
    <w:p>
      <w:pPr>
        <w:pageBreakBefore w:val="0"/>
        <w:kinsoku/>
        <w:wordWrap/>
        <w:overflowPunct/>
        <w:topLinePunct w:val="0"/>
        <w:autoSpaceDE/>
        <w:autoSpaceDN/>
        <w:bidi w:val="0"/>
        <w:adjustRightInd/>
        <w:snapToGrid/>
        <w:spacing w:line="560" w:lineRule="exact"/>
        <w:ind w:firstLine="320" w:firstLineChars="100"/>
        <w:jc w:val="right"/>
        <w:textAlignment w:val="auto"/>
        <w:rPr>
          <w:rFonts w:hint="eastAsia" w:ascii="仿宋_GB2312" w:hAnsi="仿宋_GB2312" w:eastAsia="仿宋_GB2312" w:cs="仿宋_GB2312"/>
          <w:color w:val="auto"/>
          <w:sz w:val="32"/>
          <w:szCs w:val="32"/>
        </w:rPr>
      </w:pPr>
    </w:p>
    <w:p>
      <w:pPr>
        <w:pageBreakBefore w:val="0"/>
        <w:kinsoku/>
        <w:wordWrap/>
        <w:overflowPunct/>
        <w:topLinePunct w:val="0"/>
        <w:autoSpaceDE/>
        <w:autoSpaceDN/>
        <w:bidi w:val="0"/>
        <w:adjustRightInd/>
        <w:snapToGrid/>
        <w:spacing w:line="560" w:lineRule="exact"/>
        <w:ind w:firstLine="320" w:firstLineChars="100"/>
        <w:jc w:val="right"/>
        <w:textAlignment w:val="auto"/>
        <w:rPr>
          <w:rFonts w:hint="eastAsia" w:ascii="仿宋_GB2312" w:hAnsi="仿宋_GB2312" w:eastAsia="仿宋_GB2312" w:cs="仿宋_GB2312"/>
          <w:color w:val="auto"/>
          <w:sz w:val="32"/>
          <w:szCs w:val="32"/>
        </w:rPr>
      </w:pPr>
    </w:p>
    <w:p>
      <w:pPr>
        <w:pageBreakBefore w:val="0"/>
        <w:kinsoku/>
        <w:wordWrap/>
        <w:overflowPunct/>
        <w:topLinePunct w:val="0"/>
        <w:autoSpaceDE/>
        <w:autoSpaceDN/>
        <w:bidi w:val="0"/>
        <w:adjustRightInd/>
        <w:snapToGrid/>
        <w:spacing w:line="560" w:lineRule="exact"/>
        <w:ind w:firstLine="320" w:firstLineChars="1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深圳市罗山科技园</w:t>
      </w:r>
      <w:r>
        <w:rPr>
          <w:rFonts w:hint="eastAsia" w:ascii="仿宋_GB2312" w:hAnsi="仿宋_GB2312" w:eastAsia="仿宋_GB2312" w:cs="仿宋_GB2312"/>
          <w:color w:val="auto"/>
          <w:sz w:val="32"/>
          <w:szCs w:val="32"/>
          <w:lang w:val="en-US" w:eastAsia="zh-CN"/>
        </w:rPr>
        <w:t>开发运营服务</w:t>
      </w:r>
      <w:r>
        <w:rPr>
          <w:rFonts w:hint="eastAsia" w:ascii="仿宋_GB2312" w:hAnsi="仿宋_GB2312" w:eastAsia="仿宋_GB2312" w:cs="仿宋_GB2312"/>
          <w:color w:val="auto"/>
          <w:sz w:val="32"/>
          <w:szCs w:val="32"/>
        </w:rPr>
        <w:t>有限公司</w:t>
      </w:r>
    </w:p>
    <w:p>
      <w:pPr>
        <w:pageBreakBefore w:val="0"/>
        <w:kinsoku/>
        <w:wordWrap/>
        <w:overflowPunct/>
        <w:topLinePunct w:val="0"/>
        <w:autoSpaceDE/>
        <w:autoSpaceDN/>
        <w:bidi w:val="0"/>
        <w:adjustRightInd/>
        <w:snapToGrid/>
        <w:spacing w:line="560" w:lineRule="exact"/>
        <w:ind w:firstLine="0" w:firstLineChars="0"/>
        <w:jc w:val="right"/>
        <w:textAlignment w:val="auto"/>
        <w:rPr>
          <w:color w:val="auto"/>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日</w:t>
      </w:r>
    </w:p>
    <w:p>
      <w:pPr>
        <w:pStyle w:val="6"/>
        <w:rPr>
          <w:rFonts w:hint="eastAsia" w:ascii="仿宋_GB2312" w:hAnsi="Times New Roman" w:eastAsia="仿宋_GB2312" w:cs="Times New Roman"/>
          <w:b w:val="0"/>
          <w:bCs w:val="0"/>
          <w:sz w:val="30"/>
          <w:szCs w:val="30"/>
          <w:lang w:val="en-US" w:eastAsia="zh-CN"/>
        </w:rPr>
      </w:pPr>
    </w:p>
    <w:p>
      <w:pPr>
        <w:rPr>
          <w:rFonts w:hint="eastAsia" w:ascii="仿宋_GB2312" w:hAnsi="Times New Roman" w:eastAsia="仿宋_GB2312" w:cs="Times New Roman"/>
          <w:b w:val="0"/>
          <w:bCs w:val="0"/>
          <w:sz w:val="30"/>
          <w:szCs w:val="30"/>
          <w:lang w:val="en-US" w:eastAsia="zh-CN"/>
        </w:rPr>
      </w:pPr>
    </w:p>
    <w:p>
      <w:pPr>
        <w:pStyle w:val="2"/>
        <w:rPr>
          <w:rFonts w:hint="eastAsia" w:ascii="仿宋_GB2312" w:hAnsi="Times New Roman" w:eastAsia="仿宋_GB2312" w:cs="Times New Roman"/>
          <w:b w:val="0"/>
          <w:bCs w:val="0"/>
          <w:sz w:val="30"/>
          <w:szCs w:val="30"/>
          <w:lang w:val="en-US" w:eastAsia="zh-CN"/>
        </w:rPr>
      </w:pP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Light">
    <w:altName w:val="华文仿宋"/>
    <w:panose1 w:val="02010600030101010101"/>
    <w:charset w:val="00"/>
    <w:family w:val="auto"/>
    <w:pitch w:val="default"/>
    <w:sig w:usb0="00000000" w:usb1="00000000" w:usb2="00000016" w:usb3="00000000" w:csb0="0004000F"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E0CAD"/>
    <w:multiLevelType w:val="singleLevel"/>
    <w:tmpl w:val="9E2E0CAD"/>
    <w:lvl w:ilvl="0" w:tentative="0">
      <w:start w:val="1"/>
      <w:numFmt w:val="chineseCounting"/>
      <w:suff w:val="nothing"/>
      <w:lvlText w:val="（%1）"/>
      <w:lvlJc w:val="left"/>
      <w:pPr>
        <w:ind w:left="0" w:firstLine="420"/>
      </w:pPr>
      <w:rPr>
        <w:rFonts w:hint="eastAsia" w:ascii="楷体_GB2312" w:hAnsi="楷体_GB2312" w:eastAsia="楷体_GB2312" w:cs="楷体_GB2312"/>
        <w:sz w:val="32"/>
        <w:szCs w:val="32"/>
      </w:rPr>
    </w:lvl>
  </w:abstractNum>
  <w:abstractNum w:abstractNumId="1">
    <w:nsid w:val="B2643153"/>
    <w:multiLevelType w:val="singleLevel"/>
    <w:tmpl w:val="B2643153"/>
    <w:lvl w:ilvl="0" w:tentative="0">
      <w:start w:val="1"/>
      <w:numFmt w:val="decimal"/>
      <w:suff w:val="nothing"/>
      <w:lvlText w:val="%1．"/>
      <w:lvlJc w:val="left"/>
      <w:pPr>
        <w:ind w:left="0" w:firstLine="400"/>
      </w:pPr>
      <w:rPr>
        <w:rFonts w:hint="default" w:ascii="仿宋_GB2312" w:hAnsi="仿宋_GB2312" w:eastAsia="仿宋_GB2312" w:cs="仿宋_GB2312"/>
        <w:sz w:val="32"/>
        <w:szCs w:val="32"/>
      </w:rPr>
    </w:lvl>
  </w:abstractNum>
  <w:abstractNum w:abstractNumId="2">
    <w:nsid w:val="D80EC6C2"/>
    <w:multiLevelType w:val="singleLevel"/>
    <w:tmpl w:val="D80EC6C2"/>
    <w:lvl w:ilvl="0" w:tentative="0">
      <w:start w:val="1"/>
      <w:numFmt w:val="decimal"/>
      <w:suff w:val="nothing"/>
      <w:lvlText w:val="%1．"/>
      <w:lvlJc w:val="left"/>
      <w:pPr>
        <w:ind w:left="0" w:firstLine="400"/>
      </w:pPr>
      <w:rPr>
        <w:rFonts w:hint="default" w:ascii="仿宋_GB2312" w:hAnsi="仿宋_GB2312" w:eastAsia="仿宋_GB2312" w:cs="仿宋_GB2312"/>
        <w:sz w:val="32"/>
        <w:szCs w:val="32"/>
      </w:rPr>
    </w:lvl>
  </w:abstractNum>
  <w:abstractNum w:abstractNumId="3">
    <w:nsid w:val="069B882C"/>
    <w:multiLevelType w:val="singleLevel"/>
    <w:tmpl w:val="069B882C"/>
    <w:lvl w:ilvl="0" w:tentative="0">
      <w:start w:val="1"/>
      <w:numFmt w:val="decimal"/>
      <w:suff w:val="nothing"/>
      <w:lvlText w:val="%1．"/>
      <w:lvlJc w:val="left"/>
      <w:pPr>
        <w:ind w:left="0" w:firstLine="400"/>
      </w:pPr>
      <w:rPr>
        <w:rFonts w:hint="default"/>
      </w:rPr>
    </w:lvl>
  </w:abstractNum>
  <w:abstractNum w:abstractNumId="4">
    <w:nsid w:val="0E9D8A68"/>
    <w:multiLevelType w:val="singleLevel"/>
    <w:tmpl w:val="0E9D8A68"/>
    <w:lvl w:ilvl="0" w:tentative="0">
      <w:start w:val="1"/>
      <w:numFmt w:val="decimal"/>
      <w:suff w:val="nothing"/>
      <w:lvlText w:val="%1．"/>
      <w:lvlJc w:val="left"/>
      <w:pPr>
        <w:ind w:left="0" w:firstLine="400"/>
      </w:pPr>
      <w:rPr>
        <w:rFonts w:hint="default" w:ascii="仿宋_GB2312" w:hAnsi="仿宋_GB2312" w:eastAsia="仿宋_GB2312" w:cs="仿宋_GB2312"/>
        <w:sz w:val="32"/>
        <w:szCs w:val="32"/>
      </w:rPr>
    </w:lvl>
  </w:abstractNum>
  <w:abstractNum w:abstractNumId="5">
    <w:nsid w:val="19D66E60"/>
    <w:multiLevelType w:val="singleLevel"/>
    <w:tmpl w:val="19D66E60"/>
    <w:lvl w:ilvl="0" w:tentative="0">
      <w:start w:val="1"/>
      <w:numFmt w:val="decimal"/>
      <w:suff w:val="nothing"/>
      <w:lvlText w:val="%1．"/>
      <w:lvlJc w:val="left"/>
      <w:pPr>
        <w:ind w:left="0" w:firstLine="400"/>
      </w:pPr>
      <w:rPr>
        <w:rFonts w:hint="default"/>
      </w:rPr>
    </w:lvl>
  </w:abstractNum>
  <w:abstractNum w:abstractNumId="6">
    <w:nsid w:val="2938710F"/>
    <w:multiLevelType w:val="singleLevel"/>
    <w:tmpl w:val="2938710F"/>
    <w:lvl w:ilvl="0" w:tentative="0">
      <w:start w:val="1"/>
      <w:numFmt w:val="chineseCounting"/>
      <w:suff w:val="nothing"/>
      <w:lvlText w:val="%1、"/>
      <w:lvlJc w:val="left"/>
      <w:pPr>
        <w:ind w:left="-210" w:firstLine="420"/>
      </w:pPr>
      <w:rPr>
        <w:rFonts w:hint="eastAsia" w:ascii="黑体" w:hAnsi="黑体" w:eastAsia="黑体" w:cs="黑体"/>
        <w:sz w:val="32"/>
        <w:szCs w:val="32"/>
      </w:rPr>
    </w:lvl>
  </w:abstractNum>
  <w:abstractNum w:abstractNumId="7">
    <w:nsid w:val="466B0314"/>
    <w:multiLevelType w:val="singleLevel"/>
    <w:tmpl w:val="466B0314"/>
    <w:lvl w:ilvl="0" w:tentative="0">
      <w:start w:val="1"/>
      <w:numFmt w:val="decimal"/>
      <w:suff w:val="nothing"/>
      <w:lvlText w:val="%1．"/>
      <w:lvlJc w:val="left"/>
      <w:pPr>
        <w:ind w:left="0" w:firstLine="400"/>
      </w:pPr>
      <w:rPr>
        <w:rFonts w:hint="default" w:ascii="仿宋_GB2312" w:hAnsi="仿宋_GB2312" w:eastAsia="仿宋_GB2312" w:cs="仿宋_GB2312"/>
        <w:sz w:val="32"/>
        <w:szCs w:val="32"/>
      </w:rPr>
    </w:lvl>
  </w:abstractNum>
  <w:num w:numId="1">
    <w:abstractNumId w:val="6"/>
  </w:num>
  <w:num w:numId="2">
    <w:abstractNumId w:val="0"/>
  </w:num>
  <w:num w:numId="3">
    <w:abstractNumId w:val="1"/>
  </w:num>
  <w:num w:numId="4">
    <w:abstractNumId w:val="3"/>
  </w:num>
  <w:num w:numId="5">
    <w:abstractNumId w:val="5"/>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FBBA1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unhideWhenUsed/>
    <w:qFormat/>
    <w:uiPriority w:val="0"/>
    <w:pPr>
      <w:keepNext/>
      <w:keepLines/>
      <w:spacing w:before="260" w:after="260" w:line="416" w:lineRule="auto"/>
      <w:outlineLvl w:val="1"/>
    </w:pPr>
    <w:rPr>
      <w:rFonts w:ascii="等线 Light" w:hAnsi="等线 Light" w:eastAsia="等线 Light" w:cs="Times New Roman"/>
      <w:b/>
      <w:bCs/>
      <w:sz w:val="32"/>
      <w:szCs w:val="32"/>
    </w:rPr>
  </w:style>
  <w:style w:type="paragraph" w:styleId="4">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样式2"/>
    <w:basedOn w:val="3"/>
    <w:next w:val="4"/>
    <w:qFormat/>
    <w:uiPriority w:val="0"/>
    <w:pPr>
      <w:widowControl/>
      <w:adjustRightInd w:val="0"/>
      <w:snapToGrid w:val="0"/>
      <w:spacing w:line="300" w:lineRule="auto"/>
      <w:ind w:left="924" w:leftChars="200" w:hanging="504" w:hangingChars="200"/>
      <w:jc w:val="left"/>
      <w:textAlignment w:val="baseline"/>
    </w:pPr>
    <w:rPr>
      <w:rFonts w:ascii="宋体" w:hAnsi="宋体" w:cs="宋体"/>
      <w:snapToGrid w:val="0"/>
      <w:spacing w:val="4"/>
      <w:kern w:val="0"/>
      <w:sz w:val="24"/>
    </w:rPr>
  </w:style>
  <w:style w:type="paragraph" w:styleId="3">
    <w:name w:val="Normal Indent"/>
    <w:basedOn w:val="1"/>
    <w:qFormat/>
    <w:uiPriority w:val="0"/>
    <w:pPr>
      <w:ind w:firstLine="420" w:firstLineChars="200"/>
    </w:pPr>
  </w:style>
  <w:style w:type="paragraph" w:styleId="6">
    <w:name w:val="index 8"/>
    <w:basedOn w:val="1"/>
    <w:next w:val="1"/>
    <w:qFormat/>
    <w:uiPriority w:val="0"/>
    <w:pPr>
      <w:ind w:left="1400" w:leftChars="14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line="240" w:lineRule="auto"/>
      <w:ind w:left="0"/>
      <w:jc w:val="left"/>
    </w:pPr>
    <w:rPr>
      <w:rFonts w:ascii="宋体" w:hAnsi="宋体"/>
      <w:kern w:val="0"/>
      <w:sz w:val="24"/>
    </w:r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huawei</cp:lastModifiedBy>
  <dcterms:modified xsi:type="dcterms:W3CDTF">2025-06-16T14:59:45Z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