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CCF1E">
      <w:pPr>
        <w:rPr>
          <w:rFonts w:hint="eastAsia"/>
          <w:lang w:eastAsia="zh-CN"/>
        </w:rPr>
      </w:pPr>
      <w:bookmarkStart w:id="0" w:name="_GoBack"/>
      <w:r>
        <w:rPr>
          <w:rFonts w:hint="eastAsia" w:ascii="仿宋_GB2312" w:eastAsia="仿宋_GB2312"/>
          <w:b/>
          <w:bCs/>
          <w:sz w:val="30"/>
          <w:szCs w:val="30"/>
        </w:rPr>
        <w:t>附件</w:t>
      </w:r>
      <w:r>
        <w:rPr>
          <w:rFonts w:hint="eastAsia" w:ascii="仿宋_GB2312" w:eastAsia="仿宋_GB2312"/>
          <w:b/>
          <w:bCs/>
          <w:sz w:val="30"/>
          <w:szCs w:val="30"/>
          <w:lang w:val="en-US" w:eastAsia="zh-CN"/>
        </w:rPr>
        <w:t>2</w:t>
      </w:r>
    </w:p>
    <w:p w14:paraId="12B7257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default" w:ascii="PingFang SC Regular" w:hAnsi="PingFang SC Regular" w:eastAsia="PingFang SC Regular" w:cs="PingFang SC Regular"/>
          <w:kern w:val="2"/>
          <w:sz w:val="36"/>
          <w:szCs w:val="36"/>
        </w:rPr>
      </w:pPr>
      <w:r>
        <w:rPr>
          <w:rFonts w:eastAsia="PingFang SC Regular"/>
          <w:kern w:val="2"/>
          <w:sz w:val="36"/>
          <w:szCs w:val="36"/>
        </w:rPr>
        <w:t>综合评分表</w:t>
      </w:r>
      <w:bookmarkEnd w:id="0"/>
    </w:p>
    <w:tbl>
      <w:tblPr>
        <w:tblStyle w:val="4"/>
        <w:tblW w:w="9124" w:type="dxa"/>
        <w:tblInd w:w="-246" w:type="dxa"/>
        <w:tblLayout w:type="fixed"/>
        <w:tblCellMar>
          <w:top w:w="0" w:type="dxa"/>
          <w:left w:w="108" w:type="dxa"/>
          <w:bottom w:w="0" w:type="dxa"/>
          <w:right w:w="108" w:type="dxa"/>
        </w:tblCellMar>
      </w:tblPr>
      <w:tblGrid>
        <w:gridCol w:w="570"/>
        <w:gridCol w:w="2145"/>
        <w:gridCol w:w="690"/>
        <w:gridCol w:w="4872"/>
        <w:gridCol w:w="847"/>
      </w:tblGrid>
      <w:tr w14:paraId="5F7FFF2B">
        <w:tblPrEx>
          <w:tblCellMar>
            <w:top w:w="0" w:type="dxa"/>
            <w:left w:w="108" w:type="dxa"/>
            <w:bottom w:w="0" w:type="dxa"/>
            <w:right w:w="108" w:type="dxa"/>
          </w:tblCellMar>
        </w:tblPrEx>
        <w:trPr>
          <w:trHeight w:val="658" w:hRule="atLeast"/>
        </w:trPr>
        <w:tc>
          <w:tcPr>
            <w:tcW w:w="570" w:type="dxa"/>
            <w:tcBorders>
              <w:top w:val="single" w:color="auto" w:sz="4" w:space="0"/>
              <w:left w:val="single" w:color="auto" w:sz="4" w:space="0"/>
              <w:bottom w:val="single" w:color="auto" w:sz="4" w:space="0"/>
              <w:right w:val="single" w:color="auto" w:sz="4" w:space="0"/>
            </w:tcBorders>
            <w:vAlign w:val="center"/>
          </w:tcPr>
          <w:p w14:paraId="7A760C6F">
            <w:pPr>
              <w:keepLines w:val="0"/>
              <w:pageBreakBefore w:val="0"/>
              <w:widowControl w:val="0"/>
              <w:kinsoku/>
              <w:overflowPunct/>
              <w:topLinePunct w:val="0"/>
              <w:autoSpaceDE/>
              <w:autoSpaceDN/>
              <w:bidi w:val="0"/>
              <w:adjustRightInd w:val="0"/>
              <w:snapToGrid w:val="0"/>
              <w:spacing w:line="240" w:lineRule="auto"/>
              <w:jc w:val="center"/>
              <w:textAlignment w:val="auto"/>
              <w:rPr>
                <w:b/>
                <w:szCs w:val="21"/>
              </w:rPr>
            </w:pPr>
            <w:r>
              <w:rPr>
                <w:rFonts w:hint="eastAsia"/>
                <w:b/>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14:paraId="1628BC66">
            <w:pPr>
              <w:keepLines w:val="0"/>
              <w:pageBreakBefore w:val="0"/>
              <w:widowControl w:val="0"/>
              <w:kinsoku/>
              <w:overflowPunct/>
              <w:topLinePunct w:val="0"/>
              <w:autoSpaceDE/>
              <w:autoSpaceDN/>
              <w:bidi w:val="0"/>
              <w:adjustRightInd w:val="0"/>
              <w:snapToGrid w:val="0"/>
              <w:spacing w:line="240" w:lineRule="auto"/>
              <w:jc w:val="center"/>
              <w:textAlignment w:val="auto"/>
              <w:rPr>
                <w:b/>
                <w:szCs w:val="21"/>
              </w:rPr>
            </w:pPr>
            <w:r>
              <w:rPr>
                <w:rFonts w:hint="eastAsia"/>
                <w:b/>
                <w:szCs w:val="21"/>
              </w:rPr>
              <w:t>评分项</w:t>
            </w:r>
          </w:p>
        </w:tc>
        <w:tc>
          <w:tcPr>
            <w:tcW w:w="690" w:type="dxa"/>
            <w:tcBorders>
              <w:top w:val="single" w:color="auto" w:sz="4" w:space="0"/>
              <w:left w:val="single" w:color="auto" w:sz="4" w:space="0"/>
              <w:bottom w:val="single" w:color="auto" w:sz="4" w:space="0"/>
              <w:right w:val="single" w:color="auto" w:sz="4" w:space="0"/>
            </w:tcBorders>
            <w:vAlign w:val="center"/>
          </w:tcPr>
          <w:p w14:paraId="00146EA2">
            <w:pPr>
              <w:keepLines w:val="0"/>
              <w:pageBreakBefore w:val="0"/>
              <w:widowControl w:val="0"/>
              <w:kinsoku/>
              <w:overflowPunct/>
              <w:topLinePunct w:val="0"/>
              <w:autoSpaceDE/>
              <w:autoSpaceDN/>
              <w:bidi w:val="0"/>
              <w:adjustRightInd w:val="0"/>
              <w:snapToGrid w:val="0"/>
              <w:spacing w:line="240" w:lineRule="auto"/>
              <w:jc w:val="center"/>
              <w:textAlignment w:val="auto"/>
              <w:rPr>
                <w:b/>
                <w:szCs w:val="21"/>
              </w:rPr>
            </w:pPr>
            <w:r>
              <w:rPr>
                <w:rFonts w:hint="eastAsia"/>
                <w:b/>
                <w:szCs w:val="21"/>
              </w:rPr>
              <w:t>分值</w:t>
            </w:r>
          </w:p>
        </w:tc>
        <w:tc>
          <w:tcPr>
            <w:tcW w:w="4872" w:type="dxa"/>
            <w:tcBorders>
              <w:top w:val="single" w:color="auto" w:sz="4" w:space="0"/>
              <w:left w:val="single" w:color="auto" w:sz="4" w:space="0"/>
              <w:bottom w:val="single" w:color="auto" w:sz="4" w:space="0"/>
              <w:right w:val="single" w:color="auto" w:sz="4" w:space="0"/>
            </w:tcBorders>
            <w:vAlign w:val="center"/>
          </w:tcPr>
          <w:p w14:paraId="30DD6135">
            <w:pPr>
              <w:keepLines w:val="0"/>
              <w:pageBreakBefore w:val="0"/>
              <w:widowControl w:val="0"/>
              <w:kinsoku/>
              <w:overflowPunct/>
              <w:topLinePunct w:val="0"/>
              <w:autoSpaceDE/>
              <w:autoSpaceDN/>
              <w:bidi w:val="0"/>
              <w:adjustRightInd w:val="0"/>
              <w:snapToGrid w:val="0"/>
              <w:spacing w:line="240" w:lineRule="auto"/>
              <w:jc w:val="center"/>
              <w:textAlignment w:val="auto"/>
              <w:rPr>
                <w:b/>
                <w:szCs w:val="21"/>
              </w:rPr>
            </w:pPr>
            <w:r>
              <w:rPr>
                <w:rFonts w:hint="eastAsia"/>
                <w:b/>
                <w:szCs w:val="21"/>
              </w:rPr>
              <w:t>评分规则</w:t>
            </w:r>
          </w:p>
        </w:tc>
        <w:tc>
          <w:tcPr>
            <w:tcW w:w="847" w:type="dxa"/>
            <w:tcBorders>
              <w:top w:val="single" w:color="auto" w:sz="4" w:space="0"/>
              <w:left w:val="nil"/>
              <w:bottom w:val="single" w:color="auto" w:sz="4" w:space="0"/>
              <w:right w:val="single" w:color="auto" w:sz="4" w:space="0"/>
            </w:tcBorders>
            <w:vAlign w:val="center"/>
          </w:tcPr>
          <w:p w14:paraId="77484AF9">
            <w:pPr>
              <w:keepLines w:val="0"/>
              <w:pageBreakBefore w:val="0"/>
              <w:widowControl w:val="0"/>
              <w:kinsoku/>
              <w:overflowPunct/>
              <w:topLinePunct w:val="0"/>
              <w:autoSpaceDE/>
              <w:autoSpaceDN/>
              <w:bidi w:val="0"/>
              <w:adjustRightInd w:val="0"/>
              <w:snapToGrid w:val="0"/>
              <w:spacing w:line="240" w:lineRule="auto"/>
              <w:jc w:val="center"/>
              <w:textAlignment w:val="auto"/>
              <w:rPr>
                <w:b/>
                <w:szCs w:val="21"/>
              </w:rPr>
            </w:pPr>
            <w:r>
              <w:rPr>
                <w:rFonts w:hint="eastAsia"/>
                <w:b/>
                <w:szCs w:val="21"/>
              </w:rPr>
              <w:t>备注</w:t>
            </w:r>
          </w:p>
        </w:tc>
      </w:tr>
      <w:tr w14:paraId="25F56B69">
        <w:tblPrEx>
          <w:tblCellMar>
            <w:top w:w="0" w:type="dxa"/>
            <w:left w:w="108" w:type="dxa"/>
            <w:bottom w:w="0" w:type="dxa"/>
            <w:right w:w="108" w:type="dxa"/>
          </w:tblCellMar>
        </w:tblPrEx>
        <w:trPr>
          <w:trHeight w:val="1381" w:hRule="atLeast"/>
        </w:trPr>
        <w:tc>
          <w:tcPr>
            <w:tcW w:w="570" w:type="dxa"/>
            <w:tcBorders>
              <w:top w:val="nil"/>
              <w:left w:val="single" w:color="auto" w:sz="4" w:space="0"/>
              <w:right w:val="single" w:color="auto" w:sz="4" w:space="0"/>
            </w:tcBorders>
            <w:vAlign w:val="center"/>
          </w:tcPr>
          <w:p w14:paraId="2FA576F1">
            <w:pPr>
              <w:keepLines w:val="0"/>
              <w:pageBreakBefore w:val="0"/>
              <w:widowControl w:val="0"/>
              <w:kinsoku/>
              <w:overflowPunct/>
              <w:topLinePunct w:val="0"/>
              <w:autoSpaceDE/>
              <w:autoSpaceDN/>
              <w:bidi w:val="0"/>
              <w:adjustRightInd w:val="0"/>
              <w:snapToGrid w:val="0"/>
              <w:spacing w:line="240" w:lineRule="auto"/>
              <w:jc w:val="center"/>
              <w:textAlignment w:val="auto"/>
              <w:rPr>
                <w:bCs/>
                <w:szCs w:val="21"/>
              </w:rPr>
            </w:pPr>
            <w:r>
              <w:rPr>
                <w:rFonts w:hint="eastAsia"/>
                <w:bCs/>
                <w:szCs w:val="21"/>
              </w:rPr>
              <w:t>1</w:t>
            </w:r>
          </w:p>
        </w:tc>
        <w:tc>
          <w:tcPr>
            <w:tcW w:w="2145" w:type="dxa"/>
            <w:tcBorders>
              <w:top w:val="single" w:color="auto" w:sz="4" w:space="0"/>
              <w:left w:val="single" w:color="auto" w:sz="4" w:space="0"/>
              <w:right w:val="single" w:color="auto" w:sz="4" w:space="0"/>
            </w:tcBorders>
            <w:vAlign w:val="center"/>
          </w:tcPr>
          <w:p w14:paraId="46E868D2">
            <w:pPr>
              <w:keepLines w:val="0"/>
              <w:pageBreakBefore w:val="0"/>
              <w:widowControl w:val="0"/>
              <w:tabs>
                <w:tab w:val="left" w:pos="900"/>
              </w:tabs>
              <w:kinsoku/>
              <w:overflowPunct/>
              <w:topLinePunct w:val="0"/>
              <w:autoSpaceDE/>
              <w:autoSpaceDN/>
              <w:bidi w:val="0"/>
              <w:spacing w:line="240" w:lineRule="auto"/>
              <w:jc w:val="center"/>
              <w:textAlignment w:val="auto"/>
              <w:rPr>
                <w:rFonts w:hint="eastAsia" w:eastAsiaTheme="minorEastAsia"/>
                <w:bCs/>
                <w:szCs w:val="21"/>
                <w:lang w:val="en-US" w:eastAsia="zh-CN"/>
              </w:rPr>
            </w:pPr>
            <w:r>
              <w:rPr>
                <w:rFonts w:hint="eastAsia"/>
                <w:bCs/>
                <w:szCs w:val="21"/>
              </w:rPr>
              <w:t>报价</w:t>
            </w:r>
          </w:p>
        </w:tc>
        <w:tc>
          <w:tcPr>
            <w:tcW w:w="690" w:type="dxa"/>
            <w:tcBorders>
              <w:top w:val="single" w:color="auto" w:sz="4" w:space="0"/>
              <w:left w:val="single" w:color="auto" w:sz="4" w:space="0"/>
              <w:right w:val="single" w:color="auto" w:sz="4" w:space="0"/>
            </w:tcBorders>
            <w:vAlign w:val="center"/>
          </w:tcPr>
          <w:p w14:paraId="25418D00">
            <w:pPr>
              <w:keepLines w:val="0"/>
              <w:pageBreakBefore w:val="0"/>
              <w:widowControl w:val="0"/>
              <w:kinsoku/>
              <w:overflowPunct/>
              <w:topLinePunct w:val="0"/>
              <w:autoSpaceDE/>
              <w:autoSpaceDN/>
              <w:bidi w:val="0"/>
              <w:spacing w:line="240" w:lineRule="auto"/>
              <w:jc w:val="center"/>
              <w:textAlignment w:val="auto"/>
              <w:rPr>
                <w:rFonts w:hint="default" w:eastAsiaTheme="minorEastAsia"/>
                <w:bCs/>
                <w:szCs w:val="21"/>
                <w:lang w:val="en-US" w:eastAsia="zh-CN"/>
              </w:rPr>
            </w:pPr>
            <w:r>
              <w:rPr>
                <w:rFonts w:hint="eastAsia"/>
                <w:bCs/>
                <w:szCs w:val="21"/>
                <w:lang w:val="en-US" w:eastAsia="zh-CN"/>
              </w:rPr>
              <w:t>30</w:t>
            </w:r>
          </w:p>
        </w:tc>
        <w:tc>
          <w:tcPr>
            <w:tcW w:w="4872" w:type="dxa"/>
            <w:tcBorders>
              <w:top w:val="single" w:color="auto" w:sz="4" w:space="0"/>
              <w:left w:val="single" w:color="auto" w:sz="4" w:space="0"/>
              <w:right w:val="single" w:color="auto" w:sz="4" w:space="0"/>
            </w:tcBorders>
            <w:vAlign w:val="center"/>
          </w:tcPr>
          <w:p w14:paraId="0D0CB2E0">
            <w:pPr>
              <w:adjustRightInd w:val="0"/>
              <w:snapToGrid w:val="0"/>
              <w:jc w:val="left"/>
              <w:rPr>
                <w:bCs/>
                <w:szCs w:val="21"/>
              </w:rPr>
            </w:pPr>
            <w:r>
              <w:rPr>
                <w:rFonts w:hint="eastAsia"/>
                <w:bCs/>
                <w:szCs w:val="21"/>
              </w:rPr>
              <w:t>价格分计算方法：报价为平均数的为最高分即满分。</w:t>
            </w:r>
          </w:p>
          <w:p w14:paraId="0B6ED22B">
            <w:pPr>
              <w:keepLines w:val="0"/>
              <w:pageBreakBefore w:val="0"/>
              <w:widowControl w:val="0"/>
              <w:kinsoku/>
              <w:overflowPunct/>
              <w:topLinePunct w:val="0"/>
              <w:autoSpaceDE/>
              <w:autoSpaceDN/>
              <w:bidi w:val="0"/>
              <w:adjustRightInd w:val="0"/>
              <w:snapToGrid w:val="0"/>
              <w:spacing w:line="240" w:lineRule="auto"/>
              <w:textAlignment w:val="auto"/>
              <w:rPr>
                <w:bCs/>
                <w:szCs w:val="21"/>
              </w:rPr>
            </w:pPr>
            <w:r>
              <w:rPr>
                <w:rFonts w:hint="eastAsia"/>
                <w:bCs/>
                <w:szCs w:val="21"/>
                <w:lang w:val="en-US" w:eastAsia="zh-CN"/>
              </w:rPr>
              <w:t>假设供应商的</w:t>
            </w:r>
            <w:r>
              <w:rPr>
                <w:rFonts w:hint="eastAsia"/>
                <w:bCs/>
                <w:szCs w:val="21"/>
              </w:rPr>
              <w:t>报价结果分别为B1、B2</w:t>
            </w:r>
            <w:r>
              <w:rPr>
                <w:rFonts w:hint="eastAsia"/>
                <w:bCs/>
                <w:szCs w:val="21"/>
                <w:lang w:eastAsia="zh-CN"/>
              </w:rPr>
              <w:t>、</w:t>
            </w:r>
            <w:r>
              <w:rPr>
                <w:rFonts w:hint="eastAsia"/>
                <w:bCs/>
                <w:szCs w:val="21"/>
              </w:rPr>
              <w:t>B3……Bn，                                                  则报价的平均</w:t>
            </w:r>
            <w:r>
              <w:rPr>
                <w:rFonts w:hint="eastAsia"/>
                <w:bCs/>
                <w:szCs w:val="21"/>
                <w:lang w:val="en-US" w:eastAsia="zh-CN"/>
              </w:rPr>
              <w:t>数</w:t>
            </w:r>
            <w:r>
              <w:rPr>
                <w:rFonts w:hint="eastAsia"/>
                <w:bCs/>
                <w:szCs w:val="21"/>
              </w:rPr>
              <w:t>为C=[B1＋B2＋B3＋……＋Bn]÷n</w:t>
            </w:r>
            <w:r>
              <w:rPr>
                <w:rFonts w:hint="eastAsia"/>
                <w:bCs/>
                <w:szCs w:val="21"/>
                <w:lang w:eastAsia="zh-CN"/>
              </w:rPr>
              <w:t>，</w:t>
            </w:r>
            <w:r>
              <w:rPr>
                <w:rFonts w:hint="eastAsia"/>
                <w:bCs/>
                <w:szCs w:val="21"/>
              </w:rPr>
              <w:t>供应商</w:t>
            </w:r>
            <w:r>
              <w:rPr>
                <w:rFonts w:hint="eastAsia"/>
                <w:bCs/>
                <w:szCs w:val="21"/>
                <w:lang w:val="en-US" w:eastAsia="zh-CN"/>
              </w:rPr>
              <w:t>n的</w:t>
            </w:r>
            <w:r>
              <w:rPr>
                <w:rFonts w:hint="eastAsia"/>
                <w:bCs/>
                <w:szCs w:val="21"/>
              </w:rPr>
              <w:t>报价得分=</w:t>
            </w:r>
            <w:r>
              <w:rPr>
                <w:rFonts w:hint="eastAsia"/>
                <w:bCs/>
                <w:szCs w:val="21"/>
                <w:lang w:val="en-US" w:eastAsia="zh-CN"/>
              </w:rPr>
              <w:t>30</w:t>
            </w:r>
            <w:r>
              <w:rPr>
                <w:rFonts w:hint="default" w:ascii="Arial" w:hAnsi="Arial" w:cs="Arial"/>
                <w:bCs/>
                <w:szCs w:val="21"/>
                <w:lang w:val="en-US" w:eastAsia="zh-CN"/>
              </w:rPr>
              <w:t>×</w:t>
            </w:r>
            <w:r>
              <w:rPr>
                <w:rFonts w:hint="eastAsia"/>
                <w:bCs/>
                <w:szCs w:val="21"/>
              </w:rPr>
              <w:t>{1-(∣Bn－C∣)÷C}</w:t>
            </w:r>
          </w:p>
        </w:tc>
        <w:tc>
          <w:tcPr>
            <w:tcW w:w="847" w:type="dxa"/>
            <w:tcBorders>
              <w:top w:val="single" w:color="auto" w:sz="4" w:space="0"/>
              <w:left w:val="single" w:color="auto" w:sz="4" w:space="0"/>
              <w:bottom w:val="single" w:color="auto" w:sz="4" w:space="0"/>
              <w:right w:val="single" w:color="auto" w:sz="4" w:space="0"/>
            </w:tcBorders>
            <w:vAlign w:val="center"/>
          </w:tcPr>
          <w:p w14:paraId="1F35C1FF">
            <w:pPr>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宋体" w:eastAsia="仿宋_GB2312" w:cs="宋体"/>
                <w:szCs w:val="21"/>
              </w:rPr>
            </w:pPr>
          </w:p>
        </w:tc>
      </w:tr>
      <w:tr w14:paraId="2F3C5A7E">
        <w:tblPrEx>
          <w:tblCellMar>
            <w:top w:w="0" w:type="dxa"/>
            <w:left w:w="108" w:type="dxa"/>
            <w:bottom w:w="0" w:type="dxa"/>
            <w:right w:w="108" w:type="dxa"/>
          </w:tblCellMar>
        </w:tblPrEx>
        <w:trPr>
          <w:trHeight w:val="668" w:hRule="atLeast"/>
        </w:trPr>
        <w:tc>
          <w:tcPr>
            <w:tcW w:w="570" w:type="dxa"/>
            <w:tcBorders>
              <w:top w:val="single" w:color="auto" w:sz="4" w:space="0"/>
              <w:left w:val="single" w:color="auto" w:sz="4" w:space="0"/>
              <w:bottom w:val="single" w:color="auto" w:sz="4" w:space="0"/>
              <w:right w:val="single" w:color="auto" w:sz="4" w:space="0"/>
            </w:tcBorders>
            <w:vAlign w:val="center"/>
          </w:tcPr>
          <w:p w14:paraId="31EA5E57">
            <w:pPr>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eastAsia="仿宋_GB2312"/>
                <w:szCs w:val="21"/>
                <w:lang w:eastAsia="zh-CN"/>
              </w:rPr>
            </w:pPr>
            <w:r>
              <w:rPr>
                <w:rFonts w:hint="eastAsia"/>
                <w:bCs/>
                <w:szCs w:val="21"/>
                <w:lang w:val="en-US" w:eastAsia="zh-CN"/>
              </w:rPr>
              <w:t>2</w:t>
            </w:r>
          </w:p>
        </w:tc>
        <w:tc>
          <w:tcPr>
            <w:tcW w:w="2145" w:type="dxa"/>
            <w:tcBorders>
              <w:top w:val="single" w:color="auto" w:sz="4" w:space="0"/>
              <w:left w:val="single" w:color="auto" w:sz="4" w:space="0"/>
              <w:bottom w:val="single" w:color="auto" w:sz="4" w:space="0"/>
              <w:right w:val="single" w:color="auto" w:sz="4" w:space="0"/>
            </w:tcBorders>
            <w:vAlign w:val="center"/>
          </w:tcPr>
          <w:p w14:paraId="03870A01">
            <w:pPr>
              <w:keepLines w:val="0"/>
              <w:pageBreakBefore w:val="0"/>
              <w:widowControl w:val="0"/>
              <w:kinsoku/>
              <w:overflowPunct/>
              <w:topLinePunct w:val="0"/>
              <w:autoSpaceDE/>
              <w:autoSpaceDN/>
              <w:bidi w:val="0"/>
              <w:adjustRightInd w:val="0"/>
              <w:snapToGrid w:val="0"/>
              <w:spacing w:line="240" w:lineRule="auto"/>
              <w:jc w:val="center"/>
              <w:textAlignment w:val="auto"/>
              <w:rPr>
                <w:bCs/>
                <w:szCs w:val="21"/>
              </w:rPr>
            </w:pPr>
            <w:r>
              <w:rPr>
                <w:rFonts w:hint="eastAsia"/>
                <w:bCs/>
                <w:szCs w:val="21"/>
                <w:lang w:val="en-US" w:eastAsia="zh-CN"/>
              </w:rPr>
              <w:t>主办律师</w:t>
            </w:r>
            <w:r>
              <w:rPr>
                <w:rFonts w:hint="eastAsia"/>
                <w:bCs/>
                <w:szCs w:val="21"/>
              </w:rPr>
              <w:t>的业绩</w:t>
            </w:r>
          </w:p>
        </w:tc>
        <w:tc>
          <w:tcPr>
            <w:tcW w:w="690" w:type="dxa"/>
            <w:tcBorders>
              <w:top w:val="single" w:color="auto" w:sz="4" w:space="0"/>
              <w:left w:val="single" w:color="auto" w:sz="4" w:space="0"/>
              <w:bottom w:val="single" w:color="auto" w:sz="4" w:space="0"/>
              <w:right w:val="single" w:color="auto" w:sz="4" w:space="0"/>
            </w:tcBorders>
            <w:vAlign w:val="center"/>
          </w:tcPr>
          <w:p w14:paraId="68F36B3D">
            <w:pPr>
              <w:keepLines w:val="0"/>
              <w:pageBreakBefore w:val="0"/>
              <w:widowControl w:val="0"/>
              <w:kinsoku/>
              <w:overflowPunct/>
              <w:topLinePunct w:val="0"/>
              <w:autoSpaceDE/>
              <w:autoSpaceDN/>
              <w:bidi w:val="0"/>
              <w:spacing w:line="240" w:lineRule="auto"/>
              <w:jc w:val="center"/>
              <w:textAlignment w:val="auto"/>
              <w:rPr>
                <w:rFonts w:hint="default" w:eastAsia="宋体"/>
                <w:bCs/>
                <w:szCs w:val="21"/>
                <w:lang w:val="en-US" w:eastAsia="zh-CN"/>
              </w:rPr>
            </w:pPr>
            <w:r>
              <w:rPr>
                <w:rFonts w:hint="eastAsia"/>
                <w:bCs/>
                <w:szCs w:val="21"/>
                <w:lang w:val="en-US" w:eastAsia="zh-CN"/>
              </w:rPr>
              <w:t>30</w:t>
            </w:r>
          </w:p>
        </w:tc>
        <w:tc>
          <w:tcPr>
            <w:tcW w:w="4872" w:type="dxa"/>
            <w:tcBorders>
              <w:top w:val="single" w:color="auto" w:sz="4" w:space="0"/>
              <w:left w:val="single" w:color="auto" w:sz="4" w:space="0"/>
              <w:bottom w:val="single" w:color="auto" w:sz="4" w:space="0"/>
              <w:right w:val="single" w:color="auto" w:sz="4" w:space="0"/>
            </w:tcBorders>
            <w:vAlign w:val="center"/>
          </w:tcPr>
          <w:p w14:paraId="5AD03F43">
            <w:pPr>
              <w:keepLines w:val="0"/>
              <w:pageBreakBefore w:val="0"/>
              <w:widowControl w:val="0"/>
              <w:kinsoku/>
              <w:wordWrap w:val="0"/>
              <w:overflowPunct/>
              <w:topLinePunct w:val="0"/>
              <w:autoSpaceDE/>
              <w:autoSpaceDN/>
              <w:bidi w:val="0"/>
              <w:spacing w:line="240" w:lineRule="auto"/>
              <w:textAlignment w:val="auto"/>
              <w:rPr>
                <w:rFonts w:ascii="宋体" w:hAnsi="宋体"/>
                <w:bCs/>
                <w:color w:val="000000"/>
                <w:szCs w:val="21"/>
              </w:rPr>
            </w:pPr>
            <w:r>
              <w:rPr>
                <w:rFonts w:hint="eastAsia" w:ascii="宋体" w:hAnsi="宋体"/>
                <w:bCs/>
                <w:color w:val="000000"/>
                <w:szCs w:val="21"/>
              </w:rPr>
              <w:t>20</w:t>
            </w:r>
            <w:r>
              <w:rPr>
                <w:rFonts w:hint="eastAsia" w:ascii="宋体" w:hAnsi="宋体"/>
                <w:bCs/>
                <w:color w:val="000000"/>
                <w:szCs w:val="21"/>
                <w:lang w:val="en-US" w:eastAsia="zh-CN"/>
              </w:rPr>
              <w:t>22</w:t>
            </w:r>
            <w:r>
              <w:rPr>
                <w:rFonts w:hint="eastAsia" w:ascii="宋体" w:hAnsi="宋体"/>
                <w:bCs/>
                <w:color w:val="000000"/>
                <w:szCs w:val="21"/>
              </w:rPr>
              <w:t>年1月1日至今</w:t>
            </w:r>
            <w:r>
              <w:rPr>
                <w:rFonts w:hint="eastAsia" w:ascii="宋体" w:hAnsi="宋体"/>
                <w:bCs/>
                <w:color w:val="000000"/>
                <w:szCs w:val="21"/>
                <w:lang w:val="en-US" w:eastAsia="zh-CN"/>
              </w:rPr>
              <w:t>主办律师</w:t>
            </w:r>
            <w:r>
              <w:rPr>
                <w:rFonts w:hint="eastAsia" w:ascii="宋体" w:hAnsi="宋体"/>
                <w:bCs/>
                <w:color w:val="000000"/>
                <w:szCs w:val="21"/>
              </w:rPr>
              <w:t>的业绩情况：</w:t>
            </w:r>
          </w:p>
          <w:p w14:paraId="39865CF5">
            <w:pPr>
              <w:keepLines w:val="0"/>
              <w:pageBreakBefore w:val="0"/>
              <w:widowControl w:val="0"/>
              <w:kinsoku/>
              <w:wordWrap w:val="0"/>
              <w:overflowPunct/>
              <w:topLinePunct w:val="0"/>
              <w:autoSpaceDE/>
              <w:autoSpaceDN/>
              <w:bidi w:val="0"/>
              <w:spacing w:line="240" w:lineRule="auto"/>
              <w:textAlignment w:val="auto"/>
              <w:rPr>
                <w:rFonts w:ascii="宋体" w:hAnsi="宋体"/>
                <w:bCs/>
                <w:color w:val="000000"/>
                <w:szCs w:val="21"/>
              </w:rPr>
            </w:pPr>
            <w:r>
              <w:rPr>
                <w:rFonts w:hint="eastAsia" w:ascii="宋体" w:hAnsi="宋体"/>
                <w:bCs/>
                <w:color w:val="000000"/>
                <w:szCs w:val="21"/>
              </w:rPr>
              <w:t>代理</w:t>
            </w:r>
            <w:r>
              <w:rPr>
                <w:rFonts w:hint="eastAsia" w:ascii="宋体" w:hAnsi="宋体"/>
                <w:bCs/>
                <w:color w:val="000000"/>
                <w:szCs w:val="21"/>
                <w:lang w:val="en-US" w:eastAsia="zh-CN"/>
              </w:rPr>
              <w:t>建设工程施工合同或装饰装修合同纠纷</w:t>
            </w:r>
            <w:r>
              <w:rPr>
                <w:rFonts w:hint="eastAsia" w:ascii="宋体" w:hAnsi="宋体"/>
                <w:b w:val="0"/>
                <w:bCs/>
                <w:color w:val="000000"/>
                <w:szCs w:val="21"/>
              </w:rPr>
              <w:t>案件的</w:t>
            </w:r>
            <w:r>
              <w:rPr>
                <w:rFonts w:hint="eastAsia" w:ascii="宋体" w:hAnsi="宋体"/>
                <w:bCs/>
                <w:color w:val="000000"/>
                <w:szCs w:val="21"/>
              </w:rPr>
              <w:t>，每个案件得</w:t>
            </w:r>
            <w:r>
              <w:rPr>
                <w:rFonts w:hint="eastAsia" w:ascii="宋体" w:hAnsi="宋体"/>
                <w:bCs/>
                <w:color w:val="000000"/>
                <w:szCs w:val="21"/>
                <w:lang w:val="en-US" w:eastAsia="zh-CN"/>
              </w:rPr>
              <w:t>6分</w:t>
            </w:r>
            <w:r>
              <w:rPr>
                <w:rFonts w:hint="eastAsia" w:ascii="宋体" w:hAnsi="宋体"/>
                <w:bCs/>
                <w:color w:val="000000"/>
                <w:szCs w:val="21"/>
              </w:rPr>
              <w:t>，同一家单位的多个案件可以多次计算，但同一个案件的多个代理合同只计算一个，最高得</w:t>
            </w:r>
            <w:r>
              <w:rPr>
                <w:rFonts w:hint="eastAsia" w:ascii="宋体" w:hAnsi="宋体"/>
                <w:bCs/>
                <w:color w:val="000000"/>
                <w:szCs w:val="21"/>
                <w:lang w:val="en-US" w:eastAsia="zh-CN"/>
              </w:rPr>
              <w:t>30分</w:t>
            </w:r>
            <w:r>
              <w:rPr>
                <w:rFonts w:hint="eastAsia" w:ascii="宋体" w:hAnsi="宋体"/>
                <w:bCs/>
                <w:color w:val="000000"/>
                <w:szCs w:val="21"/>
              </w:rPr>
              <w:t>。</w:t>
            </w:r>
          </w:p>
          <w:p w14:paraId="00947D73">
            <w:pPr>
              <w:keepLines w:val="0"/>
              <w:pageBreakBefore w:val="0"/>
              <w:widowControl w:val="0"/>
              <w:kinsoku/>
              <w:wordWrap w:val="0"/>
              <w:overflowPunct/>
              <w:topLinePunct w:val="0"/>
              <w:autoSpaceDE/>
              <w:autoSpaceDN/>
              <w:bidi w:val="0"/>
              <w:spacing w:line="240" w:lineRule="auto"/>
              <w:textAlignment w:val="auto"/>
              <w:rPr>
                <w:b/>
                <w:bCs/>
                <w:szCs w:val="21"/>
              </w:rPr>
            </w:pPr>
            <w:r>
              <w:rPr>
                <w:rFonts w:hint="eastAsia"/>
                <w:b/>
                <w:bCs/>
                <w:szCs w:val="21"/>
              </w:rPr>
              <w:t>提供证明文件：</w:t>
            </w:r>
          </w:p>
          <w:p w14:paraId="019A4359">
            <w:pPr>
              <w:keepNext/>
              <w:keepLines w:val="0"/>
              <w:pageBreakBefore w:val="0"/>
              <w:widowControl w:val="0"/>
              <w:kinsoku/>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bCs/>
                <w:szCs w:val="21"/>
              </w:rPr>
            </w:pPr>
            <w:r>
              <w:rPr>
                <w:rFonts w:hint="eastAsia"/>
                <w:szCs w:val="21"/>
              </w:rPr>
              <w:t>合同或</w:t>
            </w:r>
            <w:r>
              <w:rPr>
                <w:rFonts w:hint="eastAsia"/>
                <w:szCs w:val="21"/>
                <w:lang w:val="en-US" w:eastAsia="zh-CN"/>
              </w:rPr>
              <w:t>法律文书</w:t>
            </w:r>
            <w:r>
              <w:rPr>
                <w:rFonts w:hint="eastAsia"/>
                <w:szCs w:val="21"/>
              </w:rPr>
              <w:t>复印件，需要包含</w:t>
            </w:r>
            <w:r>
              <w:rPr>
                <w:rFonts w:hint="eastAsia"/>
                <w:szCs w:val="21"/>
                <w:lang w:val="en-US" w:eastAsia="zh-CN"/>
              </w:rPr>
              <w:t>主办律师</w:t>
            </w:r>
            <w:r>
              <w:rPr>
                <w:rFonts w:hint="eastAsia"/>
                <w:szCs w:val="21"/>
              </w:rPr>
              <w:t>姓名，否则需要补充其他证明，原件备查。</w:t>
            </w:r>
          </w:p>
        </w:tc>
        <w:tc>
          <w:tcPr>
            <w:tcW w:w="847" w:type="dxa"/>
            <w:tcBorders>
              <w:top w:val="single" w:color="auto" w:sz="4" w:space="0"/>
              <w:left w:val="single" w:color="auto" w:sz="4" w:space="0"/>
              <w:bottom w:val="single" w:color="auto" w:sz="4" w:space="0"/>
              <w:right w:val="single" w:color="auto" w:sz="4" w:space="0"/>
            </w:tcBorders>
            <w:vAlign w:val="center"/>
          </w:tcPr>
          <w:p w14:paraId="4ADA20C8">
            <w:pPr>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宋体" w:eastAsia="仿宋_GB2312" w:cs="宋体"/>
                <w:szCs w:val="21"/>
              </w:rPr>
            </w:pPr>
          </w:p>
        </w:tc>
      </w:tr>
      <w:tr w14:paraId="1955DD39">
        <w:tblPrEx>
          <w:tblCellMar>
            <w:top w:w="0" w:type="dxa"/>
            <w:left w:w="108" w:type="dxa"/>
            <w:bottom w:w="0" w:type="dxa"/>
            <w:right w:w="108" w:type="dxa"/>
          </w:tblCellMar>
        </w:tblPrEx>
        <w:trPr>
          <w:trHeight w:val="1247" w:hRule="atLeast"/>
        </w:trPr>
        <w:tc>
          <w:tcPr>
            <w:tcW w:w="570" w:type="dxa"/>
            <w:tcBorders>
              <w:top w:val="single" w:color="auto" w:sz="4" w:space="0"/>
              <w:left w:val="single" w:color="auto" w:sz="4" w:space="0"/>
              <w:bottom w:val="single" w:color="auto" w:sz="4" w:space="0"/>
              <w:right w:val="single" w:color="auto" w:sz="4" w:space="0"/>
            </w:tcBorders>
            <w:vAlign w:val="center"/>
          </w:tcPr>
          <w:p w14:paraId="43735CB6">
            <w:pPr>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3</w:t>
            </w:r>
          </w:p>
        </w:tc>
        <w:tc>
          <w:tcPr>
            <w:tcW w:w="2145" w:type="dxa"/>
            <w:tcBorders>
              <w:top w:val="single" w:color="auto" w:sz="4" w:space="0"/>
              <w:left w:val="single" w:color="auto" w:sz="4" w:space="0"/>
              <w:bottom w:val="single" w:color="auto" w:sz="4" w:space="0"/>
              <w:right w:val="single" w:color="auto" w:sz="4" w:space="0"/>
            </w:tcBorders>
            <w:vAlign w:val="center"/>
          </w:tcPr>
          <w:p w14:paraId="78CC7376">
            <w:pPr>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Theme="minorHAnsi" w:hAnsiTheme="minorHAnsi" w:eastAsiaTheme="minorEastAsia" w:cstheme="minorBidi"/>
                <w:bCs/>
                <w:kern w:val="2"/>
                <w:sz w:val="21"/>
                <w:szCs w:val="21"/>
                <w:lang w:val="en-US" w:eastAsia="zh-CN" w:bidi="ar-SA"/>
              </w:rPr>
            </w:pPr>
            <w:r>
              <w:rPr>
                <w:rFonts w:hint="eastAsia"/>
                <w:bCs/>
                <w:szCs w:val="21"/>
                <w:lang w:val="en-US" w:eastAsia="zh-CN"/>
              </w:rPr>
              <w:t>主办律师</w:t>
            </w:r>
            <w:r>
              <w:rPr>
                <w:rFonts w:hint="eastAsia"/>
                <w:bCs/>
                <w:szCs w:val="21"/>
              </w:rPr>
              <w:t>执业年限</w:t>
            </w:r>
          </w:p>
        </w:tc>
        <w:tc>
          <w:tcPr>
            <w:tcW w:w="690" w:type="dxa"/>
            <w:tcBorders>
              <w:top w:val="single" w:color="auto" w:sz="4" w:space="0"/>
              <w:left w:val="single" w:color="auto" w:sz="4" w:space="0"/>
              <w:bottom w:val="single" w:color="auto" w:sz="4" w:space="0"/>
              <w:right w:val="single" w:color="auto" w:sz="4" w:space="0"/>
            </w:tcBorders>
            <w:vAlign w:val="center"/>
          </w:tcPr>
          <w:p w14:paraId="077FEBE5">
            <w:pPr>
              <w:keepLines w:val="0"/>
              <w:pageBreakBefore w:val="0"/>
              <w:widowControl w:val="0"/>
              <w:kinsoku/>
              <w:overflowPunct/>
              <w:topLinePunct w:val="0"/>
              <w:autoSpaceDE/>
              <w:autoSpaceDN/>
              <w:bidi w:val="0"/>
              <w:spacing w:line="240" w:lineRule="auto"/>
              <w:jc w:val="center"/>
              <w:textAlignment w:val="auto"/>
              <w:rPr>
                <w:rFonts w:hint="default" w:asciiTheme="minorHAnsi" w:hAnsiTheme="minorHAnsi" w:eastAsiaTheme="minorEastAsia" w:cstheme="minorBidi"/>
                <w:bCs/>
                <w:kern w:val="2"/>
                <w:sz w:val="21"/>
                <w:szCs w:val="21"/>
                <w:lang w:val="en-US" w:eastAsia="zh-CN" w:bidi="ar-SA"/>
              </w:rPr>
            </w:pPr>
            <w:r>
              <w:rPr>
                <w:rFonts w:hint="eastAsia"/>
                <w:bCs/>
                <w:szCs w:val="21"/>
                <w:lang w:val="en-US" w:eastAsia="zh-CN"/>
              </w:rPr>
              <w:t>5</w:t>
            </w:r>
          </w:p>
        </w:tc>
        <w:tc>
          <w:tcPr>
            <w:tcW w:w="4872" w:type="dxa"/>
            <w:tcBorders>
              <w:top w:val="single" w:color="auto" w:sz="4" w:space="0"/>
              <w:left w:val="single" w:color="auto" w:sz="4" w:space="0"/>
              <w:bottom w:val="single" w:color="auto" w:sz="4" w:space="0"/>
              <w:right w:val="single" w:color="auto" w:sz="4" w:space="0"/>
            </w:tcBorders>
            <w:vAlign w:val="center"/>
          </w:tcPr>
          <w:p w14:paraId="522857C4">
            <w:pPr>
              <w:keepNext/>
              <w:keepLines w:val="0"/>
              <w:pageBreakBefore w:val="0"/>
              <w:widowControl w:val="0"/>
              <w:kinsoku/>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执业年限≥</w:t>
            </w:r>
            <w:r>
              <w:rPr>
                <w:rFonts w:hint="eastAsia" w:asciiTheme="minorEastAsia" w:hAnsiTheme="minorEastAsia" w:cstheme="minorEastAsia"/>
                <w:bCs/>
                <w:szCs w:val="21"/>
                <w:lang w:val="en-US" w:eastAsia="zh-CN"/>
              </w:rPr>
              <w:t>5</w:t>
            </w:r>
            <w:r>
              <w:rPr>
                <w:rFonts w:hint="eastAsia" w:asciiTheme="minorEastAsia" w:hAnsiTheme="minorEastAsia" w:eastAsiaTheme="minorEastAsia" w:cstheme="minorEastAsia"/>
                <w:bCs/>
                <w:szCs w:val="21"/>
              </w:rPr>
              <w:t>年，得</w:t>
            </w:r>
            <w:r>
              <w:rPr>
                <w:rFonts w:hint="eastAsia" w:asciiTheme="minorEastAsia" w:hAnsiTheme="minorEastAsia" w:cstheme="minorEastAsia"/>
                <w:bCs/>
                <w:szCs w:val="21"/>
                <w:lang w:val="en-US" w:eastAsia="zh-CN"/>
              </w:rPr>
              <w:t>5分</w:t>
            </w:r>
            <w:r>
              <w:rPr>
                <w:rFonts w:hint="eastAsia" w:asciiTheme="minorEastAsia" w:hAnsiTheme="minorEastAsia" w:eastAsiaTheme="minorEastAsia" w:cstheme="minorEastAsia"/>
                <w:bCs/>
                <w:szCs w:val="21"/>
              </w:rPr>
              <w:t>；</w:t>
            </w:r>
            <w:r>
              <w:rPr>
                <w:rFonts w:hint="eastAsia" w:asciiTheme="minorEastAsia" w:hAnsiTheme="minorEastAsia" w:cstheme="minorEastAsia"/>
                <w:bCs/>
                <w:szCs w:val="21"/>
                <w:lang w:val="en-US" w:eastAsia="zh-CN"/>
              </w:rPr>
              <w:t>3</w:t>
            </w:r>
            <w:r>
              <w:rPr>
                <w:rFonts w:hint="eastAsia" w:asciiTheme="minorEastAsia" w:hAnsiTheme="minorEastAsia" w:eastAsiaTheme="minorEastAsia" w:cstheme="minorEastAsia"/>
                <w:bCs/>
                <w:szCs w:val="21"/>
              </w:rPr>
              <w:t>年≤执业年限＜</w:t>
            </w:r>
            <w:r>
              <w:rPr>
                <w:rFonts w:hint="eastAsia" w:asciiTheme="minorEastAsia" w:hAnsiTheme="minorEastAsia" w:cstheme="minorEastAsia"/>
                <w:bCs/>
                <w:szCs w:val="21"/>
                <w:lang w:val="en-US" w:eastAsia="zh-CN"/>
              </w:rPr>
              <w:t>5</w:t>
            </w:r>
            <w:r>
              <w:rPr>
                <w:rFonts w:hint="eastAsia" w:asciiTheme="minorEastAsia" w:hAnsiTheme="minorEastAsia" w:eastAsiaTheme="minorEastAsia" w:cstheme="minorEastAsia"/>
                <w:bCs/>
                <w:szCs w:val="21"/>
              </w:rPr>
              <w:t>年，得</w:t>
            </w:r>
            <w:r>
              <w:rPr>
                <w:rFonts w:hint="eastAsia" w:asciiTheme="minorEastAsia" w:hAnsiTheme="minorEastAsia" w:cstheme="minorEastAsia"/>
                <w:bCs/>
                <w:szCs w:val="21"/>
                <w:lang w:val="en-US" w:eastAsia="zh-CN"/>
              </w:rPr>
              <w:t>3分</w:t>
            </w:r>
            <w:r>
              <w:rPr>
                <w:rFonts w:hint="eastAsia" w:asciiTheme="minorEastAsia" w:hAnsiTheme="minorEastAsia" w:eastAsiaTheme="minorEastAsia" w:cstheme="minorEastAsia"/>
                <w:bCs/>
                <w:szCs w:val="21"/>
              </w:rPr>
              <w:t>；其余</w:t>
            </w:r>
            <w:r>
              <w:rPr>
                <w:rFonts w:hint="eastAsia" w:asciiTheme="minorEastAsia" w:hAnsiTheme="minorEastAsia" w:cstheme="minorEastAsia"/>
                <w:bCs/>
                <w:szCs w:val="21"/>
                <w:lang w:val="en-US" w:eastAsia="zh-CN"/>
              </w:rPr>
              <w:t>得1分</w:t>
            </w:r>
            <w:r>
              <w:rPr>
                <w:rFonts w:hint="eastAsia" w:asciiTheme="minorEastAsia" w:hAnsiTheme="minorEastAsia" w:eastAsiaTheme="minorEastAsia" w:cstheme="minorEastAsia"/>
                <w:bCs/>
                <w:szCs w:val="21"/>
              </w:rPr>
              <w:t>。</w:t>
            </w:r>
          </w:p>
          <w:p w14:paraId="6578867B">
            <w:pPr>
              <w:keepNext/>
              <w:keepLines w:val="0"/>
              <w:pageBreakBefore w:val="0"/>
              <w:widowControl w:val="0"/>
              <w:kinsoku/>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提供证明文件：</w:t>
            </w:r>
          </w:p>
          <w:p w14:paraId="7FCDF74A">
            <w:pPr>
              <w:keepNext/>
              <w:keepLines w:val="0"/>
              <w:pageBreakBefore w:val="0"/>
              <w:widowControl w:val="0"/>
              <w:kinsoku/>
              <w:overflowPunct/>
              <w:topLinePunct w:val="0"/>
              <w:autoSpaceDE/>
              <w:autoSpaceDN/>
              <w:bidi w:val="0"/>
              <w:adjustRightInd w:val="0"/>
              <w:snapToGrid w:val="0"/>
              <w:spacing w:line="240" w:lineRule="auto"/>
              <w:textAlignment w:val="auto"/>
              <w:rPr>
                <w:rFonts w:hint="eastAsia" w:asciiTheme="minorHAnsi" w:hAnsiTheme="minorHAnsi" w:eastAsiaTheme="minorEastAsia" w:cstheme="minorBidi"/>
                <w:bCs/>
                <w:kern w:val="2"/>
                <w:sz w:val="21"/>
                <w:szCs w:val="21"/>
                <w:lang w:val="en-US" w:eastAsia="zh-CN" w:bidi="ar-SA"/>
              </w:rPr>
            </w:pPr>
            <w:r>
              <w:rPr>
                <w:rFonts w:hint="eastAsia" w:asciiTheme="minorEastAsia" w:hAnsiTheme="minorEastAsia" w:eastAsiaTheme="minorEastAsia" w:cstheme="minorEastAsia"/>
                <w:bCs/>
                <w:szCs w:val="21"/>
              </w:rPr>
              <w:t>司法局证明</w:t>
            </w:r>
            <w:r>
              <w:rPr>
                <w:rFonts w:hint="eastAsia" w:asciiTheme="minorEastAsia" w:hAnsiTheme="minorEastAsia" w:eastAsiaTheme="minorEastAsia" w:cstheme="minorEastAsia"/>
                <w:bCs/>
                <w:szCs w:val="21"/>
                <w:lang w:val="en-US" w:eastAsia="zh-CN"/>
              </w:rPr>
              <w:t>或其他有效证明</w:t>
            </w:r>
            <w:r>
              <w:rPr>
                <w:rFonts w:hint="eastAsia" w:asciiTheme="minorEastAsia" w:hAnsiTheme="minorEastAsia" w:eastAsiaTheme="minorEastAsia" w:cstheme="minorEastAsia"/>
                <w:bCs/>
                <w:szCs w:val="21"/>
              </w:rPr>
              <w:t>复印件</w:t>
            </w:r>
            <w:r>
              <w:rPr>
                <w:rFonts w:hint="eastAsia"/>
              </w:rPr>
              <w:t>，原件备查</w:t>
            </w:r>
            <w:r>
              <w:rPr>
                <w:rFonts w:hint="eastAsia" w:asciiTheme="minorEastAsia" w:hAnsiTheme="minorEastAsia" w:eastAsiaTheme="minorEastAsia" w:cstheme="minorEastAsia"/>
                <w:bCs/>
                <w:szCs w:val="21"/>
              </w:rPr>
              <w:t>。</w:t>
            </w:r>
          </w:p>
        </w:tc>
        <w:tc>
          <w:tcPr>
            <w:tcW w:w="847" w:type="dxa"/>
            <w:tcBorders>
              <w:top w:val="single" w:color="auto" w:sz="4" w:space="0"/>
              <w:left w:val="single" w:color="auto" w:sz="4" w:space="0"/>
              <w:bottom w:val="single" w:color="auto" w:sz="4" w:space="0"/>
              <w:right w:val="single" w:color="auto" w:sz="4" w:space="0"/>
            </w:tcBorders>
            <w:vAlign w:val="center"/>
          </w:tcPr>
          <w:p w14:paraId="086BE114">
            <w:pPr>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宋体" w:eastAsia="仿宋_GB2312" w:cs="宋体"/>
                <w:szCs w:val="21"/>
              </w:rPr>
            </w:pPr>
          </w:p>
        </w:tc>
      </w:tr>
      <w:tr w14:paraId="6A35AE68">
        <w:tblPrEx>
          <w:tblCellMar>
            <w:top w:w="0" w:type="dxa"/>
            <w:left w:w="108" w:type="dxa"/>
            <w:bottom w:w="0" w:type="dxa"/>
            <w:right w:w="108" w:type="dxa"/>
          </w:tblCellMar>
        </w:tblPrEx>
        <w:trPr>
          <w:trHeight w:val="344" w:hRule="atLeast"/>
        </w:trPr>
        <w:tc>
          <w:tcPr>
            <w:tcW w:w="570" w:type="dxa"/>
            <w:tcBorders>
              <w:top w:val="single" w:color="auto" w:sz="4" w:space="0"/>
              <w:left w:val="single" w:color="auto" w:sz="4" w:space="0"/>
              <w:bottom w:val="single" w:color="auto" w:sz="4" w:space="0"/>
              <w:right w:val="single" w:color="auto" w:sz="4" w:space="0"/>
            </w:tcBorders>
            <w:vAlign w:val="center"/>
          </w:tcPr>
          <w:p w14:paraId="77829AF6">
            <w:pPr>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4</w:t>
            </w:r>
          </w:p>
        </w:tc>
        <w:tc>
          <w:tcPr>
            <w:tcW w:w="2145" w:type="dxa"/>
            <w:tcBorders>
              <w:top w:val="single" w:color="auto" w:sz="4" w:space="0"/>
              <w:left w:val="single" w:color="auto" w:sz="4" w:space="0"/>
              <w:bottom w:val="single" w:color="auto" w:sz="4" w:space="0"/>
              <w:right w:val="single" w:color="auto" w:sz="4" w:space="0"/>
            </w:tcBorders>
            <w:vAlign w:val="center"/>
          </w:tcPr>
          <w:p w14:paraId="188C7F1D">
            <w:pPr>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heme="minorHAnsi" w:hAnsiTheme="minorHAnsi" w:eastAsiaTheme="minorEastAsia" w:cstheme="minorBidi"/>
                <w:bCs/>
                <w:kern w:val="2"/>
                <w:sz w:val="21"/>
                <w:szCs w:val="21"/>
                <w:lang w:val="en-US" w:eastAsia="zh-CN" w:bidi="ar-SA"/>
              </w:rPr>
            </w:pPr>
            <w:r>
              <w:rPr>
                <w:rFonts w:hint="eastAsia"/>
                <w:bCs/>
                <w:szCs w:val="21"/>
                <w:lang w:val="en-US" w:eastAsia="zh-CN"/>
              </w:rPr>
              <w:t>服务的便利性</w:t>
            </w:r>
          </w:p>
        </w:tc>
        <w:tc>
          <w:tcPr>
            <w:tcW w:w="690" w:type="dxa"/>
            <w:tcBorders>
              <w:top w:val="single" w:color="auto" w:sz="4" w:space="0"/>
              <w:left w:val="single" w:color="auto" w:sz="4" w:space="0"/>
              <w:bottom w:val="single" w:color="auto" w:sz="4" w:space="0"/>
              <w:right w:val="single" w:color="auto" w:sz="4" w:space="0"/>
            </w:tcBorders>
            <w:vAlign w:val="center"/>
          </w:tcPr>
          <w:p w14:paraId="710AECFC">
            <w:pPr>
              <w:keepLines w:val="0"/>
              <w:pageBreakBefore w:val="0"/>
              <w:widowControl w:val="0"/>
              <w:kinsoku/>
              <w:overflowPunct/>
              <w:topLinePunct w:val="0"/>
              <w:autoSpaceDE/>
              <w:autoSpaceDN/>
              <w:bidi w:val="0"/>
              <w:spacing w:line="240" w:lineRule="auto"/>
              <w:jc w:val="center"/>
              <w:textAlignment w:val="auto"/>
              <w:rPr>
                <w:rFonts w:hint="default" w:asciiTheme="minorHAnsi" w:hAnsiTheme="minorHAnsi" w:eastAsiaTheme="minorEastAsia" w:cstheme="minorBidi"/>
                <w:bCs/>
                <w:kern w:val="2"/>
                <w:sz w:val="21"/>
                <w:szCs w:val="21"/>
                <w:lang w:val="en-US" w:eastAsia="zh-CN" w:bidi="ar-SA"/>
              </w:rPr>
            </w:pPr>
            <w:r>
              <w:rPr>
                <w:rFonts w:hint="eastAsia"/>
                <w:bCs/>
                <w:szCs w:val="21"/>
                <w:lang w:val="en-US" w:eastAsia="zh-CN"/>
              </w:rPr>
              <w:t>5</w:t>
            </w:r>
          </w:p>
        </w:tc>
        <w:tc>
          <w:tcPr>
            <w:tcW w:w="4872" w:type="dxa"/>
            <w:tcBorders>
              <w:top w:val="single" w:color="auto" w:sz="4" w:space="0"/>
              <w:left w:val="single" w:color="auto" w:sz="4" w:space="0"/>
              <w:bottom w:val="single" w:color="auto" w:sz="4" w:space="0"/>
              <w:right w:val="single" w:color="auto" w:sz="4" w:space="0"/>
            </w:tcBorders>
            <w:vAlign w:val="center"/>
          </w:tcPr>
          <w:p w14:paraId="683D8F71">
            <w:pPr>
              <w:keepNext/>
              <w:keepLines w:val="0"/>
              <w:pageBreakBefore w:val="0"/>
              <w:widowControl w:val="0"/>
              <w:kinsoku/>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供应商</w:t>
            </w:r>
            <w:r>
              <w:rPr>
                <w:rFonts w:hint="eastAsia" w:ascii="宋体" w:hAnsi="宋体"/>
                <w:szCs w:val="21"/>
                <w:lang w:val="en-US" w:eastAsia="zh-CN"/>
              </w:rPr>
              <w:t>办公场所距离，</w:t>
            </w:r>
            <w:r>
              <w:rPr>
                <w:rFonts w:hint="eastAsia"/>
                <w:szCs w:val="21"/>
              </w:rPr>
              <w:t>由评审人员酌情打分。</w:t>
            </w:r>
          </w:p>
          <w:p w14:paraId="56CAD064">
            <w:pPr>
              <w:keepNext/>
              <w:keepLines w:val="0"/>
              <w:pageBreakBefore w:val="0"/>
              <w:widowControl w:val="0"/>
              <w:kinsoku/>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提供证明文件：</w:t>
            </w:r>
          </w:p>
          <w:p w14:paraId="742D5E5E">
            <w:pPr>
              <w:keepNext/>
              <w:keepLines w:val="0"/>
              <w:pageBreakBefore w:val="0"/>
              <w:widowControl w:val="0"/>
              <w:kinsoku/>
              <w:overflowPunct/>
              <w:topLinePunct w:val="0"/>
              <w:autoSpaceDE/>
              <w:autoSpaceDN/>
              <w:bidi w:val="0"/>
              <w:adjustRightInd w:val="0"/>
              <w:snapToGrid w:val="0"/>
              <w:spacing w:line="240" w:lineRule="auto"/>
              <w:textAlignment w:val="auto"/>
              <w:rPr>
                <w:rFonts w:hint="eastAsia" w:asciiTheme="minorHAnsi" w:hAnsiTheme="minorHAnsi" w:eastAsiaTheme="minorEastAsia" w:cstheme="minorBidi"/>
                <w:kern w:val="2"/>
                <w:sz w:val="21"/>
                <w:szCs w:val="21"/>
                <w:lang w:val="en-US" w:eastAsia="zh-CN" w:bidi="ar-SA"/>
              </w:rPr>
            </w:pPr>
            <w:r>
              <w:rPr>
                <w:rFonts w:hint="eastAsia" w:asciiTheme="minorEastAsia" w:hAnsiTheme="minorEastAsia" w:cstheme="minorEastAsia"/>
                <w:bCs/>
                <w:szCs w:val="21"/>
                <w:lang w:val="en-US" w:eastAsia="zh-CN"/>
              </w:rPr>
              <w:t>办公场地租赁合同或</w:t>
            </w:r>
            <w:r>
              <w:rPr>
                <w:rFonts w:hint="eastAsia" w:asciiTheme="minorEastAsia" w:hAnsiTheme="minorEastAsia" w:eastAsiaTheme="minorEastAsia" w:cstheme="minorEastAsia"/>
                <w:bCs/>
                <w:szCs w:val="21"/>
              </w:rPr>
              <w:t>执业证副本或</w:t>
            </w:r>
            <w:r>
              <w:rPr>
                <w:rFonts w:hint="eastAsia" w:asciiTheme="minorEastAsia" w:hAnsiTheme="minorEastAsia" w:cstheme="minorEastAsia"/>
                <w:bCs/>
                <w:szCs w:val="21"/>
                <w:lang w:val="en-US" w:eastAsia="zh-CN"/>
              </w:rPr>
              <w:t>其他</w:t>
            </w:r>
            <w:r>
              <w:rPr>
                <w:rFonts w:hint="eastAsia" w:asciiTheme="minorEastAsia" w:hAnsiTheme="minorEastAsia" w:eastAsiaTheme="minorEastAsia" w:cstheme="minorEastAsia"/>
                <w:bCs/>
                <w:szCs w:val="21"/>
              </w:rPr>
              <w:t>证明复印件。</w:t>
            </w:r>
          </w:p>
        </w:tc>
        <w:tc>
          <w:tcPr>
            <w:tcW w:w="847" w:type="dxa"/>
            <w:tcBorders>
              <w:top w:val="single" w:color="auto" w:sz="4" w:space="0"/>
              <w:left w:val="single" w:color="auto" w:sz="4" w:space="0"/>
              <w:bottom w:val="single" w:color="auto" w:sz="4" w:space="0"/>
              <w:right w:val="single" w:color="auto" w:sz="4" w:space="0"/>
            </w:tcBorders>
            <w:vAlign w:val="center"/>
          </w:tcPr>
          <w:p w14:paraId="38BFCDA6">
            <w:pPr>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宋体" w:eastAsia="仿宋_GB2312" w:cs="宋体"/>
                <w:szCs w:val="21"/>
              </w:rPr>
            </w:pPr>
          </w:p>
        </w:tc>
      </w:tr>
      <w:tr w14:paraId="74D3F65F">
        <w:tblPrEx>
          <w:tblCellMar>
            <w:top w:w="0" w:type="dxa"/>
            <w:left w:w="108" w:type="dxa"/>
            <w:bottom w:w="0" w:type="dxa"/>
            <w:right w:w="108" w:type="dxa"/>
          </w:tblCellMar>
        </w:tblPrEx>
        <w:trPr>
          <w:trHeight w:val="483" w:hRule="atLeast"/>
        </w:trPr>
        <w:tc>
          <w:tcPr>
            <w:tcW w:w="570" w:type="dxa"/>
            <w:tcBorders>
              <w:top w:val="single" w:color="auto" w:sz="4" w:space="0"/>
              <w:left w:val="single" w:color="auto" w:sz="4" w:space="0"/>
              <w:bottom w:val="single" w:color="auto" w:sz="4" w:space="0"/>
              <w:right w:val="single" w:color="auto" w:sz="4" w:space="0"/>
            </w:tcBorders>
            <w:vAlign w:val="center"/>
          </w:tcPr>
          <w:p w14:paraId="10DFE29E">
            <w:pPr>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5</w:t>
            </w:r>
          </w:p>
        </w:tc>
        <w:tc>
          <w:tcPr>
            <w:tcW w:w="2145" w:type="dxa"/>
            <w:tcBorders>
              <w:top w:val="single" w:color="auto" w:sz="4" w:space="0"/>
              <w:left w:val="single" w:color="auto" w:sz="4" w:space="0"/>
              <w:bottom w:val="single" w:color="auto" w:sz="4" w:space="0"/>
              <w:right w:val="single" w:color="auto" w:sz="4" w:space="0"/>
            </w:tcBorders>
            <w:vAlign w:val="center"/>
          </w:tcPr>
          <w:p w14:paraId="1276630A">
            <w:pPr>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Theme="minorHAnsi" w:hAnsiTheme="minorHAnsi" w:eastAsiaTheme="minorEastAsia" w:cstheme="minorBidi"/>
                <w:bCs/>
                <w:kern w:val="2"/>
                <w:sz w:val="21"/>
                <w:szCs w:val="21"/>
                <w:lang w:val="en-US" w:eastAsia="zh-CN" w:bidi="ar-SA"/>
              </w:rPr>
            </w:pPr>
            <w:r>
              <w:rPr>
                <w:rFonts w:hint="eastAsia"/>
                <w:bCs/>
                <w:szCs w:val="21"/>
                <w:lang w:val="en-US" w:eastAsia="zh-CN"/>
              </w:rPr>
              <w:t>本项目的服务方案</w:t>
            </w:r>
          </w:p>
        </w:tc>
        <w:tc>
          <w:tcPr>
            <w:tcW w:w="690" w:type="dxa"/>
            <w:tcBorders>
              <w:top w:val="single" w:color="auto" w:sz="4" w:space="0"/>
              <w:left w:val="single" w:color="auto" w:sz="4" w:space="0"/>
              <w:bottom w:val="single" w:color="auto" w:sz="4" w:space="0"/>
              <w:right w:val="single" w:color="auto" w:sz="4" w:space="0"/>
            </w:tcBorders>
            <w:vAlign w:val="center"/>
          </w:tcPr>
          <w:p w14:paraId="7F9E307F">
            <w:pPr>
              <w:keepLines w:val="0"/>
              <w:pageBreakBefore w:val="0"/>
              <w:widowControl w:val="0"/>
              <w:kinsoku/>
              <w:overflowPunct/>
              <w:topLinePunct w:val="0"/>
              <w:autoSpaceDE/>
              <w:autoSpaceDN/>
              <w:bidi w:val="0"/>
              <w:spacing w:line="240" w:lineRule="auto"/>
              <w:jc w:val="center"/>
              <w:textAlignment w:val="auto"/>
              <w:rPr>
                <w:rFonts w:hint="eastAsia" w:asciiTheme="minorHAnsi" w:hAnsiTheme="minorHAnsi" w:eastAsiaTheme="minorEastAsia" w:cstheme="minorBidi"/>
                <w:bCs/>
                <w:kern w:val="2"/>
                <w:sz w:val="21"/>
                <w:szCs w:val="21"/>
                <w:lang w:val="en-US" w:eastAsia="zh-CN" w:bidi="ar-SA"/>
              </w:rPr>
            </w:pPr>
            <w:r>
              <w:rPr>
                <w:rFonts w:hint="eastAsia"/>
                <w:bCs/>
                <w:szCs w:val="21"/>
                <w:lang w:val="en-US" w:eastAsia="zh-CN"/>
              </w:rPr>
              <w:t>30</w:t>
            </w:r>
          </w:p>
        </w:tc>
        <w:tc>
          <w:tcPr>
            <w:tcW w:w="4872" w:type="dxa"/>
            <w:tcBorders>
              <w:top w:val="single" w:color="auto" w:sz="4" w:space="0"/>
              <w:left w:val="single" w:color="auto" w:sz="4" w:space="0"/>
              <w:bottom w:val="single" w:color="auto" w:sz="4" w:space="0"/>
              <w:right w:val="single" w:color="auto" w:sz="4" w:space="0"/>
            </w:tcBorders>
            <w:vAlign w:val="center"/>
          </w:tcPr>
          <w:p w14:paraId="0237E24A">
            <w:pPr>
              <w:keepNext/>
              <w:keepLines w:val="0"/>
              <w:pageBreakBefore w:val="0"/>
              <w:widowControl w:val="0"/>
              <w:kinsoku/>
              <w:overflowPunct/>
              <w:topLinePunct w:val="0"/>
              <w:autoSpaceDE/>
              <w:autoSpaceDN/>
              <w:bidi w:val="0"/>
              <w:adjustRightInd w:val="0"/>
              <w:snapToGrid w:val="0"/>
              <w:spacing w:line="240" w:lineRule="auto"/>
              <w:textAlignment w:val="auto"/>
              <w:rPr>
                <w:rFonts w:hint="eastAsia" w:asciiTheme="minorHAnsi" w:hAnsiTheme="minorHAnsi" w:eastAsiaTheme="minorEastAsia" w:cstheme="minorBidi"/>
                <w:kern w:val="2"/>
                <w:sz w:val="21"/>
                <w:szCs w:val="21"/>
                <w:lang w:val="en-US" w:eastAsia="zh-CN" w:bidi="ar-SA"/>
              </w:rPr>
            </w:pPr>
            <w:r>
              <w:rPr>
                <w:rFonts w:hint="eastAsia"/>
                <w:szCs w:val="21"/>
              </w:rPr>
              <w:t>服务方案的完整性、合理性、可执行性和工作时间安排合理、服务保障是否到位、服务流程是否合理，</w:t>
            </w:r>
            <w:r>
              <w:rPr>
                <w:rFonts w:hint="eastAsia"/>
                <w:szCs w:val="21"/>
                <w:lang w:val="en-US" w:eastAsia="zh-CN"/>
              </w:rPr>
              <w:t>主办</w:t>
            </w:r>
            <w:r>
              <w:rPr>
                <w:rFonts w:hint="eastAsia"/>
                <w:szCs w:val="21"/>
              </w:rPr>
              <w:t>人员是否明确进行综合评议。由评审人员酌情打分。</w:t>
            </w:r>
          </w:p>
        </w:tc>
        <w:tc>
          <w:tcPr>
            <w:tcW w:w="847" w:type="dxa"/>
            <w:tcBorders>
              <w:top w:val="single" w:color="auto" w:sz="4" w:space="0"/>
              <w:left w:val="single" w:color="auto" w:sz="4" w:space="0"/>
              <w:bottom w:val="single" w:color="auto" w:sz="4" w:space="0"/>
              <w:right w:val="single" w:color="auto" w:sz="4" w:space="0"/>
            </w:tcBorders>
            <w:vAlign w:val="center"/>
          </w:tcPr>
          <w:p w14:paraId="7A456E77">
            <w:pPr>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宋体" w:eastAsia="仿宋_GB2312" w:cs="宋体"/>
                <w:szCs w:val="21"/>
              </w:rPr>
            </w:pPr>
          </w:p>
        </w:tc>
      </w:tr>
      <w:tr w14:paraId="4C2E1075">
        <w:tblPrEx>
          <w:tblCellMar>
            <w:top w:w="0" w:type="dxa"/>
            <w:left w:w="108" w:type="dxa"/>
            <w:bottom w:w="0" w:type="dxa"/>
            <w:right w:w="108" w:type="dxa"/>
          </w:tblCellMar>
        </w:tblPrEx>
        <w:trPr>
          <w:trHeight w:val="712" w:hRule="atLeast"/>
        </w:trPr>
        <w:tc>
          <w:tcPr>
            <w:tcW w:w="570" w:type="dxa"/>
            <w:tcBorders>
              <w:top w:val="single" w:color="auto" w:sz="4" w:space="0"/>
              <w:left w:val="single" w:color="auto" w:sz="4" w:space="0"/>
              <w:bottom w:val="single" w:color="auto" w:sz="4" w:space="0"/>
              <w:right w:val="single" w:color="auto" w:sz="4" w:space="0"/>
            </w:tcBorders>
            <w:vAlign w:val="center"/>
          </w:tcPr>
          <w:p w14:paraId="5823FF44">
            <w:pPr>
              <w:keepLines w:val="0"/>
              <w:pageBreakBefore w:val="0"/>
              <w:widowControl w:val="0"/>
              <w:kinsoku/>
              <w:overflowPunct/>
              <w:topLinePunct w:val="0"/>
              <w:autoSpaceDE/>
              <w:autoSpaceDN/>
              <w:bidi w:val="0"/>
              <w:adjustRightInd w:val="0"/>
              <w:snapToGrid w:val="0"/>
              <w:spacing w:line="240" w:lineRule="auto"/>
              <w:jc w:val="center"/>
              <w:textAlignment w:val="auto"/>
              <w:rPr>
                <w:bCs/>
                <w:szCs w:val="21"/>
              </w:rPr>
            </w:pPr>
          </w:p>
        </w:tc>
        <w:tc>
          <w:tcPr>
            <w:tcW w:w="2145" w:type="dxa"/>
            <w:tcBorders>
              <w:top w:val="single" w:color="auto" w:sz="4" w:space="0"/>
              <w:left w:val="nil"/>
              <w:bottom w:val="single" w:color="auto" w:sz="4" w:space="0"/>
              <w:right w:val="single" w:color="auto" w:sz="4" w:space="0"/>
            </w:tcBorders>
            <w:vAlign w:val="center"/>
          </w:tcPr>
          <w:p w14:paraId="38792CB7">
            <w:pPr>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宋体" w:eastAsia="仿宋_GB2312" w:cs="宋体"/>
                <w:b/>
                <w:kern w:val="2"/>
                <w:sz w:val="21"/>
                <w:szCs w:val="21"/>
                <w:lang w:val="en-US" w:eastAsia="zh-CN" w:bidi="ar-SA"/>
              </w:rPr>
            </w:pPr>
            <w:r>
              <w:rPr>
                <w:rFonts w:hint="eastAsia" w:ascii="仿宋_GB2312" w:hAnsi="宋体" w:eastAsia="仿宋_GB2312" w:cs="宋体"/>
                <w:b/>
                <w:szCs w:val="21"/>
              </w:rPr>
              <w:t>合计　</w:t>
            </w:r>
          </w:p>
        </w:tc>
        <w:tc>
          <w:tcPr>
            <w:tcW w:w="690" w:type="dxa"/>
            <w:tcBorders>
              <w:top w:val="single" w:color="auto" w:sz="4" w:space="0"/>
              <w:left w:val="single" w:color="auto" w:sz="4" w:space="0"/>
              <w:bottom w:val="single" w:color="auto" w:sz="4" w:space="0"/>
              <w:right w:val="single" w:color="auto" w:sz="4" w:space="0"/>
            </w:tcBorders>
            <w:vAlign w:val="center"/>
          </w:tcPr>
          <w:p w14:paraId="718AEA6E">
            <w:pPr>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宋体" w:eastAsia="仿宋_GB2312" w:cs="宋体"/>
                <w:b/>
                <w:kern w:val="2"/>
                <w:sz w:val="21"/>
                <w:szCs w:val="21"/>
                <w:lang w:val="en-US" w:eastAsia="zh-CN" w:bidi="ar-SA"/>
              </w:rPr>
            </w:pPr>
            <w:r>
              <w:rPr>
                <w:rFonts w:hint="eastAsia"/>
                <w:bCs/>
                <w:szCs w:val="21"/>
              </w:rPr>
              <w:t>100</w:t>
            </w:r>
          </w:p>
        </w:tc>
        <w:tc>
          <w:tcPr>
            <w:tcW w:w="4872" w:type="dxa"/>
            <w:tcBorders>
              <w:top w:val="single" w:color="auto" w:sz="4" w:space="0"/>
              <w:left w:val="single" w:color="auto" w:sz="4" w:space="0"/>
              <w:bottom w:val="single" w:color="auto" w:sz="4" w:space="0"/>
              <w:right w:val="single" w:color="auto" w:sz="4" w:space="0"/>
            </w:tcBorders>
            <w:vAlign w:val="center"/>
          </w:tcPr>
          <w:p w14:paraId="296CC39B">
            <w:pPr>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宋体" w:eastAsia="仿宋_GB2312" w:cs="宋体"/>
                <w:b/>
                <w:szCs w:val="21"/>
              </w:rPr>
            </w:pPr>
          </w:p>
        </w:tc>
        <w:tc>
          <w:tcPr>
            <w:tcW w:w="847" w:type="dxa"/>
            <w:tcBorders>
              <w:top w:val="single" w:color="auto" w:sz="4" w:space="0"/>
              <w:left w:val="nil"/>
              <w:bottom w:val="single" w:color="auto" w:sz="4" w:space="0"/>
              <w:right w:val="single" w:color="auto" w:sz="4" w:space="0"/>
            </w:tcBorders>
            <w:vAlign w:val="center"/>
          </w:tcPr>
          <w:p w14:paraId="1BA0FA31">
            <w:pPr>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宋体" w:eastAsia="仿宋_GB2312" w:cs="宋体"/>
                <w:szCs w:val="21"/>
              </w:rPr>
            </w:pPr>
          </w:p>
        </w:tc>
      </w:tr>
    </w:tbl>
    <w:p w14:paraId="286B6A7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hint="default" w:ascii="宋体" w:hAnsi="宋体" w:eastAsia="宋体" w:cs="宋体"/>
          <w:kern w:val="2"/>
          <w:sz w:val="36"/>
          <w:szCs w:val="36"/>
        </w:rPr>
      </w:pPr>
    </w:p>
    <w:p w14:paraId="6BF5342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rPr>
      </w:pPr>
      <w:r>
        <w:rPr>
          <w:rFonts w:ascii="黑体" w:hAnsi="黑体" w:eastAsia="黑体" w:cs="黑体"/>
          <w:kern w:val="2"/>
          <w:sz w:val="21"/>
          <w:szCs w:val="21"/>
        </w:rPr>
        <w:t>备注：</w:t>
      </w:r>
      <w:r>
        <w:rPr>
          <w:rFonts w:ascii="黑体" w:hAnsi="黑体" w:eastAsia="黑体" w:cs="黑体"/>
          <w:kern w:val="2"/>
          <w:sz w:val="21"/>
          <w:szCs w:val="21"/>
          <w:lang w:val="en-US"/>
        </w:rPr>
        <w:t>1.</w:t>
      </w:r>
      <w:r>
        <w:rPr>
          <w:rFonts w:ascii="黑体" w:hAnsi="黑体" w:eastAsia="黑体" w:cs="黑体"/>
          <w:kern w:val="2"/>
          <w:sz w:val="21"/>
          <w:szCs w:val="21"/>
        </w:rPr>
        <w:t>各项评审打分按照四舍五入，小数点后保留</w:t>
      </w:r>
      <w:r>
        <w:rPr>
          <w:rFonts w:ascii="黑体" w:hAnsi="黑体" w:eastAsia="黑体" w:cs="黑体"/>
          <w:kern w:val="2"/>
          <w:sz w:val="21"/>
          <w:szCs w:val="21"/>
          <w:lang w:val="en-US"/>
        </w:rPr>
        <w:t>2</w:t>
      </w:r>
      <w:r>
        <w:rPr>
          <w:rFonts w:ascii="黑体" w:hAnsi="黑体" w:eastAsia="黑体" w:cs="黑体"/>
          <w:kern w:val="2"/>
          <w:sz w:val="21"/>
          <w:szCs w:val="21"/>
        </w:rPr>
        <w:t>位进行计算；</w:t>
      </w:r>
    </w:p>
    <w:p w14:paraId="7FEB554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lang w:val="en-US"/>
        </w:rPr>
        <w:t xml:space="preserve">          2.</w:t>
      </w:r>
      <w:r>
        <w:rPr>
          <w:rFonts w:ascii="黑体" w:hAnsi="黑体" w:eastAsia="黑体" w:cs="黑体"/>
          <w:kern w:val="2"/>
          <w:sz w:val="21"/>
          <w:szCs w:val="21"/>
        </w:rPr>
        <w:t>若出现拟推荐成交候选供应商票数相同的情况，以未推荐上述单位的评审专家对并列第一的候选供应商既定打分排序作为最终选定依据。</w:t>
      </w:r>
    </w:p>
    <w:p w14:paraId="46A028BA"/>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27C8D"/>
    <w:rsid w:val="13AD22D8"/>
    <w:rsid w:val="53727C8D"/>
    <w:rsid w:val="60B5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customStyle="1" w:styleId="6">
    <w:name w:val="p3"/>
    <w:basedOn w:val="1"/>
    <w:autoRedefine/>
    <w:qFormat/>
    <w:uiPriority w:val="0"/>
    <w:pPr>
      <w:spacing w:line="30" w:lineRule="atLeast"/>
      <w:jc w:val="center"/>
    </w:pPr>
    <w:rPr>
      <w:rFonts w:hint="eastAsia" w:ascii="宋体" w:hAnsi="宋体" w:cs="宋体"/>
      <w:kern w:val="0"/>
      <w:sz w:val="36"/>
      <w:szCs w:val="36"/>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2025-06-13T01:14:00Z</dcterms:created>
  <dc:creator>實誠</dc:creator>
  <cp:lastModifiedBy>實誠</cp:lastModifiedBy>
  <dcterms:modified xsi:type="dcterms:W3CDTF">2025-06-13T01:15:43Z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A3828286458F496F903A477533C688AA_13</vt:lpwstr>
  </property>
  <property fmtid="{D5CDD505-2E9C-101B-9397-08002B2CF9AE}" pid="4" name="KSOTemplateDocerSaveRecord">
    <vt:lpwstr>eyJoZGlkIjoiZjYxZTUyYjc1MzQwNWRmNjlmMWQyYmQ2NmM1M2U4MmMiLCJ1c2VySWQiOiI2OTk3NTA5NDAifQ==</vt:lpwstr>
  </property>
</Properties>
</file>