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B207E">
      <w:pPr>
        <w:spacing w:line="560" w:lineRule="exact"/>
        <w:ind w:firstLine="480"/>
        <w:rPr>
          <w:rFonts w:hint="eastAsia" w:ascii="仿宋_GB2312" w:eastAsia="仿宋_GB2312"/>
          <w:b/>
          <w:bCs/>
          <w:sz w:val="30"/>
          <w:szCs w:val="30"/>
        </w:rPr>
      </w:pPr>
      <w:bookmarkStart w:id="1" w:name="_GoBack"/>
      <w:r>
        <w:rPr>
          <w:rFonts w:hint="eastAsia" w:ascii="仿宋_GB2312" w:eastAsia="仿宋_GB2312"/>
          <w:b/>
          <w:bCs/>
          <w:sz w:val="30"/>
          <w:szCs w:val="30"/>
          <w:lang w:val="en-US" w:eastAsia="zh-CN"/>
        </w:rPr>
        <w:t>附件二：</w:t>
      </w:r>
      <w:r>
        <w:rPr>
          <w:rFonts w:hint="eastAsia" w:ascii="仿宋_GB2312" w:eastAsia="仿宋_GB2312"/>
          <w:b/>
          <w:bCs/>
          <w:sz w:val="30"/>
          <w:szCs w:val="30"/>
        </w:rPr>
        <w:t>综合评分表</w:t>
      </w:r>
    </w:p>
    <w:bookmarkEnd w:id="1"/>
    <w:p w14:paraId="4324FC7A">
      <w:pPr>
        <w:pStyle w:val="2"/>
        <w:rPr>
          <w:rFonts w:hint="default"/>
        </w:rPr>
      </w:pPr>
    </w:p>
    <w:tbl>
      <w:tblPr>
        <w:tblStyle w:val="8"/>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4F81BD"/>
        <w:tblLayout w:type="fixed"/>
        <w:tblCellMar>
          <w:top w:w="0" w:type="dxa"/>
          <w:left w:w="0" w:type="dxa"/>
          <w:bottom w:w="0" w:type="dxa"/>
          <w:right w:w="0" w:type="dxa"/>
        </w:tblCellMar>
      </w:tblPr>
      <w:tblGrid>
        <w:gridCol w:w="556"/>
        <w:gridCol w:w="795"/>
        <w:gridCol w:w="3885"/>
        <w:gridCol w:w="1628"/>
        <w:gridCol w:w="800"/>
        <w:gridCol w:w="508"/>
        <w:gridCol w:w="956"/>
        <w:gridCol w:w="827"/>
      </w:tblGrid>
      <w:tr w14:paraId="5ADE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4F81BD"/>
          <w:tblCellMar>
            <w:top w:w="0" w:type="dxa"/>
            <w:left w:w="0" w:type="dxa"/>
            <w:bottom w:w="0" w:type="dxa"/>
            <w:right w:w="0" w:type="dxa"/>
          </w:tblCellMar>
        </w:tblPrEx>
        <w:trPr>
          <w:trHeight w:val="620" w:hRule="atLeast"/>
          <w:tblHeader/>
          <w:jc w:val="center"/>
        </w:trPr>
        <w:tc>
          <w:tcPr>
            <w:tcW w:w="556" w:type="dxa"/>
            <w:shd w:val="clear" w:color="auto" w:fill="DEEAF6"/>
            <w:tcMar>
              <w:top w:w="80" w:type="dxa"/>
              <w:left w:w="80" w:type="dxa"/>
              <w:bottom w:w="80" w:type="dxa"/>
              <w:right w:w="80" w:type="dxa"/>
            </w:tcMar>
            <w:vAlign w:val="center"/>
          </w:tcPr>
          <w:p w14:paraId="3A439AF2">
            <w:pPr>
              <w:tabs>
                <w:tab w:val="left" w:pos="420"/>
              </w:tabs>
              <w:spacing w:before="0" w:line="20" w:lineRule="atLeast"/>
              <w:jc w:val="center"/>
              <w:rPr>
                <w:rFonts w:hint="default"/>
                <w:color w:val="auto"/>
              </w:rPr>
            </w:pPr>
            <w:r>
              <w:rPr>
                <w:rFonts w:ascii="宋体" w:hAnsi="宋体" w:eastAsia="宋体" w:cs="宋体"/>
                <w:b/>
                <w:bCs/>
                <w:color w:val="auto"/>
                <w:kern w:val="2"/>
                <w:sz w:val="21"/>
                <w:szCs w:val="21"/>
                <w:u w:color="000000"/>
              </w:rPr>
              <w:t>序号</w:t>
            </w:r>
          </w:p>
        </w:tc>
        <w:tc>
          <w:tcPr>
            <w:tcW w:w="795" w:type="dxa"/>
            <w:shd w:val="clear" w:color="auto" w:fill="DEEAF6"/>
            <w:tcMar>
              <w:top w:w="80" w:type="dxa"/>
              <w:left w:w="80" w:type="dxa"/>
              <w:bottom w:w="80" w:type="dxa"/>
              <w:right w:w="80" w:type="dxa"/>
            </w:tcMar>
            <w:vAlign w:val="center"/>
          </w:tcPr>
          <w:p w14:paraId="3B1BD4AA">
            <w:pPr>
              <w:tabs>
                <w:tab w:val="left" w:pos="420"/>
              </w:tabs>
              <w:spacing w:before="0" w:line="20" w:lineRule="atLeast"/>
              <w:jc w:val="center"/>
              <w:rPr>
                <w:rFonts w:hint="default" w:ascii="宋体" w:hAnsi="宋体" w:eastAsia="宋体" w:cs="宋体"/>
                <w:b/>
                <w:bCs/>
                <w:color w:val="auto"/>
                <w:kern w:val="2"/>
                <w:sz w:val="21"/>
                <w:szCs w:val="21"/>
                <w:u w:color="000000"/>
              </w:rPr>
            </w:pPr>
            <w:r>
              <w:rPr>
                <w:rFonts w:ascii="宋体" w:hAnsi="宋体" w:eastAsia="宋体" w:cs="宋体"/>
                <w:b/>
                <w:bCs/>
                <w:color w:val="auto"/>
                <w:kern w:val="2"/>
                <w:sz w:val="21"/>
                <w:szCs w:val="21"/>
                <w:u w:color="000000"/>
              </w:rPr>
              <w:t>评审</w:t>
            </w:r>
          </w:p>
          <w:p w14:paraId="067E97BE">
            <w:pPr>
              <w:tabs>
                <w:tab w:val="left" w:pos="420"/>
              </w:tabs>
              <w:spacing w:before="0" w:line="20" w:lineRule="atLeast"/>
              <w:jc w:val="center"/>
              <w:rPr>
                <w:rFonts w:hint="default"/>
                <w:color w:val="auto"/>
              </w:rPr>
            </w:pPr>
            <w:r>
              <w:rPr>
                <w:rFonts w:ascii="宋体" w:hAnsi="宋体" w:eastAsia="宋体" w:cs="宋体"/>
                <w:b/>
                <w:bCs/>
                <w:color w:val="auto"/>
                <w:kern w:val="2"/>
                <w:sz w:val="21"/>
                <w:szCs w:val="21"/>
                <w:u w:color="000000"/>
              </w:rPr>
              <w:t>项目</w:t>
            </w:r>
          </w:p>
        </w:tc>
        <w:tc>
          <w:tcPr>
            <w:tcW w:w="3885" w:type="dxa"/>
            <w:shd w:val="clear" w:color="auto" w:fill="DEEAF6"/>
            <w:tcMar>
              <w:top w:w="80" w:type="dxa"/>
              <w:left w:w="80" w:type="dxa"/>
              <w:bottom w:w="80" w:type="dxa"/>
              <w:right w:w="80" w:type="dxa"/>
            </w:tcMar>
            <w:vAlign w:val="center"/>
          </w:tcPr>
          <w:p w14:paraId="7AA25D72">
            <w:pPr>
              <w:tabs>
                <w:tab w:val="left" w:pos="420"/>
                <w:tab w:val="left" w:pos="840"/>
                <w:tab w:val="left" w:pos="1260"/>
                <w:tab w:val="left" w:pos="1680"/>
                <w:tab w:val="left" w:pos="2100"/>
                <w:tab w:val="left" w:pos="2520"/>
                <w:tab w:val="left" w:pos="2940"/>
                <w:tab w:val="left" w:pos="3360"/>
              </w:tabs>
              <w:spacing w:before="0" w:line="20" w:lineRule="atLeast"/>
              <w:jc w:val="center"/>
              <w:rPr>
                <w:rFonts w:hint="default"/>
                <w:color w:val="auto"/>
              </w:rPr>
            </w:pPr>
            <w:r>
              <w:rPr>
                <w:rFonts w:ascii="宋体" w:hAnsi="宋体" w:eastAsia="宋体" w:cs="宋体"/>
                <w:b/>
                <w:bCs/>
                <w:color w:val="auto"/>
                <w:kern w:val="2"/>
                <w:sz w:val="21"/>
                <w:szCs w:val="21"/>
                <w:u w:color="000000"/>
              </w:rPr>
              <w:t>评审标准</w:t>
            </w:r>
          </w:p>
        </w:tc>
        <w:tc>
          <w:tcPr>
            <w:tcW w:w="1628" w:type="dxa"/>
            <w:shd w:val="clear" w:color="auto" w:fill="DEEAF6"/>
            <w:tcMar>
              <w:top w:w="80" w:type="dxa"/>
              <w:left w:w="80" w:type="dxa"/>
              <w:bottom w:w="80" w:type="dxa"/>
              <w:right w:w="80" w:type="dxa"/>
            </w:tcMar>
            <w:vAlign w:val="center"/>
          </w:tcPr>
          <w:p w14:paraId="526308A4">
            <w:pPr>
              <w:tabs>
                <w:tab w:val="left" w:pos="420"/>
                <w:tab w:val="left" w:pos="840"/>
                <w:tab w:val="left" w:pos="1260"/>
              </w:tabs>
              <w:spacing w:before="0" w:line="20" w:lineRule="atLeast"/>
              <w:jc w:val="center"/>
              <w:rPr>
                <w:rFonts w:hint="default"/>
                <w:color w:val="auto"/>
              </w:rPr>
            </w:pPr>
            <w:r>
              <w:rPr>
                <w:rFonts w:ascii="宋体" w:hAnsi="宋体" w:eastAsia="宋体" w:cs="宋体"/>
                <w:b/>
                <w:bCs/>
                <w:color w:val="auto"/>
                <w:kern w:val="2"/>
                <w:sz w:val="21"/>
                <w:szCs w:val="21"/>
                <w:u w:color="000000"/>
              </w:rPr>
              <w:t>证明材料</w:t>
            </w:r>
          </w:p>
        </w:tc>
        <w:tc>
          <w:tcPr>
            <w:tcW w:w="800" w:type="dxa"/>
            <w:shd w:val="clear" w:color="auto" w:fill="DEEAF6"/>
            <w:tcMar>
              <w:top w:w="80" w:type="dxa"/>
              <w:left w:w="80" w:type="dxa"/>
              <w:bottom w:w="80" w:type="dxa"/>
              <w:right w:w="80" w:type="dxa"/>
            </w:tcMar>
            <w:vAlign w:val="center"/>
          </w:tcPr>
          <w:p w14:paraId="58D06FE1">
            <w:pPr>
              <w:tabs>
                <w:tab w:val="left" w:pos="420"/>
              </w:tabs>
              <w:spacing w:before="0" w:line="20" w:lineRule="atLeast"/>
              <w:jc w:val="center"/>
              <w:rPr>
                <w:rFonts w:hint="default"/>
                <w:color w:val="auto"/>
              </w:rPr>
            </w:pPr>
            <w:r>
              <w:rPr>
                <w:rFonts w:ascii="宋体" w:hAnsi="宋体" w:eastAsia="宋体" w:cs="宋体"/>
                <w:b/>
                <w:bCs/>
                <w:color w:val="auto"/>
                <w:kern w:val="2"/>
                <w:sz w:val="21"/>
                <w:szCs w:val="21"/>
                <w:u w:color="000000"/>
              </w:rPr>
              <w:t>分值</w:t>
            </w:r>
          </w:p>
        </w:tc>
        <w:tc>
          <w:tcPr>
            <w:tcW w:w="508" w:type="dxa"/>
            <w:shd w:val="clear" w:color="auto" w:fill="DEEAF6"/>
            <w:tcMar>
              <w:top w:w="80" w:type="dxa"/>
              <w:left w:w="80" w:type="dxa"/>
              <w:bottom w:w="80" w:type="dxa"/>
              <w:right w:w="80" w:type="dxa"/>
            </w:tcMar>
            <w:vAlign w:val="center"/>
          </w:tcPr>
          <w:p w14:paraId="7DEE4FE8">
            <w:pPr>
              <w:tabs>
                <w:tab w:val="left" w:pos="420"/>
                <w:tab w:val="left" w:pos="840"/>
              </w:tabs>
              <w:spacing w:before="0" w:line="20" w:lineRule="atLeast"/>
              <w:jc w:val="center"/>
              <w:rPr>
                <w:rFonts w:hint="default"/>
                <w:color w:val="auto"/>
              </w:rPr>
            </w:pPr>
            <w:r>
              <w:rPr>
                <w:rFonts w:ascii="宋体" w:hAnsi="宋体" w:eastAsia="宋体" w:cs="宋体"/>
                <w:b/>
                <w:bCs/>
                <w:color w:val="auto"/>
                <w:kern w:val="2"/>
                <w:sz w:val="21"/>
                <w:szCs w:val="21"/>
                <w:u w:color="000000"/>
              </w:rPr>
              <w:t>单位</w:t>
            </w:r>
            <w:r>
              <w:rPr>
                <w:rFonts w:ascii="宋体" w:hAnsi="宋体" w:eastAsia="宋体" w:cs="宋体"/>
                <w:b/>
                <w:bCs/>
                <w:color w:val="auto"/>
                <w:kern w:val="2"/>
                <w:sz w:val="21"/>
                <w:szCs w:val="21"/>
                <w:u w:color="000000"/>
                <w:lang w:val="en-US"/>
              </w:rPr>
              <w:t>A</w:t>
            </w:r>
          </w:p>
        </w:tc>
        <w:tc>
          <w:tcPr>
            <w:tcW w:w="956" w:type="dxa"/>
            <w:shd w:val="clear" w:color="auto" w:fill="DEEAF6"/>
            <w:tcMar>
              <w:top w:w="80" w:type="dxa"/>
              <w:left w:w="80" w:type="dxa"/>
              <w:bottom w:w="80" w:type="dxa"/>
              <w:right w:w="80" w:type="dxa"/>
            </w:tcMar>
            <w:vAlign w:val="center"/>
          </w:tcPr>
          <w:p w14:paraId="56EA3B57">
            <w:pPr>
              <w:tabs>
                <w:tab w:val="left" w:pos="420"/>
                <w:tab w:val="left" w:pos="840"/>
              </w:tabs>
              <w:spacing w:before="0" w:line="20" w:lineRule="atLeast"/>
              <w:jc w:val="center"/>
              <w:rPr>
                <w:rFonts w:hint="default"/>
                <w:color w:val="auto"/>
              </w:rPr>
            </w:pPr>
            <w:r>
              <w:rPr>
                <w:rFonts w:ascii="宋体" w:hAnsi="宋体" w:eastAsia="宋体" w:cs="宋体"/>
                <w:b/>
                <w:bCs/>
                <w:color w:val="auto"/>
                <w:kern w:val="2"/>
                <w:sz w:val="21"/>
                <w:szCs w:val="21"/>
                <w:u w:color="000000"/>
              </w:rPr>
              <w:t>单位</w:t>
            </w:r>
            <w:r>
              <w:rPr>
                <w:rFonts w:ascii="宋体" w:hAnsi="宋体" w:eastAsia="宋体" w:cs="宋体"/>
                <w:b/>
                <w:bCs/>
                <w:color w:val="auto"/>
                <w:kern w:val="2"/>
                <w:sz w:val="21"/>
                <w:szCs w:val="21"/>
                <w:u w:color="000000"/>
                <w:lang w:val="en-US"/>
              </w:rPr>
              <w:t>B</w:t>
            </w:r>
          </w:p>
        </w:tc>
        <w:tc>
          <w:tcPr>
            <w:tcW w:w="827" w:type="dxa"/>
            <w:shd w:val="clear" w:color="auto" w:fill="DEEAF6"/>
            <w:tcMar>
              <w:top w:w="80" w:type="dxa"/>
              <w:left w:w="80" w:type="dxa"/>
              <w:bottom w:w="80" w:type="dxa"/>
              <w:right w:w="80" w:type="dxa"/>
            </w:tcMar>
            <w:vAlign w:val="center"/>
          </w:tcPr>
          <w:p w14:paraId="2390499A">
            <w:pPr>
              <w:tabs>
                <w:tab w:val="left" w:pos="420"/>
              </w:tabs>
              <w:spacing w:before="0" w:line="20" w:lineRule="atLeast"/>
              <w:jc w:val="center"/>
              <w:rPr>
                <w:rFonts w:hint="default"/>
                <w:color w:val="auto"/>
              </w:rPr>
            </w:pPr>
            <w:r>
              <w:rPr>
                <w:rFonts w:ascii="宋体" w:hAnsi="宋体" w:eastAsia="宋体" w:cs="宋体"/>
                <w:b/>
                <w:bCs/>
                <w:color w:val="auto"/>
                <w:kern w:val="2"/>
                <w:sz w:val="21"/>
                <w:szCs w:val="21"/>
                <w:u w:color="000000"/>
              </w:rPr>
              <w:t>单位</w:t>
            </w:r>
            <w:r>
              <w:rPr>
                <w:rFonts w:ascii="宋体" w:hAnsi="宋体" w:eastAsia="宋体" w:cs="宋体"/>
                <w:b/>
                <w:bCs/>
                <w:color w:val="auto"/>
                <w:kern w:val="2"/>
                <w:sz w:val="21"/>
                <w:szCs w:val="21"/>
                <w:u w:color="000000"/>
                <w:lang w:val="en-US"/>
              </w:rPr>
              <w:t>C</w:t>
            </w:r>
          </w:p>
        </w:tc>
      </w:tr>
      <w:tr w14:paraId="0550A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4315" w:hRule="atLeast"/>
          <w:jc w:val="center"/>
        </w:trPr>
        <w:tc>
          <w:tcPr>
            <w:tcW w:w="556" w:type="dxa"/>
            <w:shd w:val="clear" w:color="auto" w:fill="auto"/>
            <w:tcMar>
              <w:top w:w="80" w:type="dxa"/>
              <w:left w:w="80" w:type="dxa"/>
              <w:bottom w:w="80" w:type="dxa"/>
              <w:right w:w="80" w:type="dxa"/>
            </w:tcMar>
            <w:vAlign w:val="center"/>
          </w:tcPr>
          <w:p w14:paraId="203B9F8F">
            <w:pPr>
              <w:tabs>
                <w:tab w:val="left" w:pos="420"/>
              </w:tabs>
              <w:spacing w:before="0" w:line="20" w:lineRule="atLeast"/>
              <w:jc w:val="center"/>
              <w:rPr>
                <w:rFonts w:hint="eastAsia" w:eastAsia="宋体"/>
                <w:color w:val="auto"/>
                <w:lang w:eastAsia="zh-CN"/>
              </w:rPr>
            </w:pPr>
            <w:r>
              <w:rPr>
                <w:rFonts w:hint="eastAsia" w:ascii="宋体" w:hAnsi="宋体" w:eastAsia="宋体" w:cs="宋体"/>
                <w:color w:val="auto"/>
                <w:kern w:val="2"/>
                <w:sz w:val="21"/>
                <w:szCs w:val="21"/>
                <w:u w:color="000000"/>
                <w:lang w:val="en-US" w:eastAsia="zh-CN"/>
              </w:rPr>
              <w:t>1</w:t>
            </w:r>
          </w:p>
        </w:tc>
        <w:tc>
          <w:tcPr>
            <w:tcW w:w="795" w:type="dxa"/>
            <w:shd w:val="clear" w:color="auto" w:fill="auto"/>
            <w:tcMar>
              <w:top w:w="80" w:type="dxa"/>
              <w:left w:w="80" w:type="dxa"/>
              <w:bottom w:w="80" w:type="dxa"/>
              <w:right w:w="80" w:type="dxa"/>
            </w:tcMar>
            <w:vAlign w:val="center"/>
          </w:tcPr>
          <w:p w14:paraId="3D1AC530">
            <w:pPr>
              <w:widowControl w:val="0"/>
              <w:tabs>
                <w:tab w:val="left" w:pos="420"/>
              </w:tabs>
              <w:spacing w:before="0" w:line="20" w:lineRule="atLeast"/>
              <w:jc w:val="center"/>
              <w:rPr>
                <w:rFonts w:hint="default"/>
                <w:color w:val="auto"/>
              </w:rPr>
            </w:pPr>
            <w:r>
              <w:rPr>
                <w:rFonts w:ascii="宋体" w:hAnsi="宋体" w:eastAsia="宋体" w:cs="宋体"/>
                <w:color w:val="auto"/>
                <w:kern w:val="2"/>
                <w:sz w:val="21"/>
                <w:szCs w:val="21"/>
                <w:u w:color="000000"/>
              </w:rPr>
              <w:t>团队成员配置评分</w:t>
            </w:r>
          </w:p>
        </w:tc>
        <w:tc>
          <w:tcPr>
            <w:tcW w:w="3885" w:type="dxa"/>
            <w:shd w:val="clear" w:color="auto" w:fill="auto"/>
            <w:tcMar>
              <w:top w:w="80" w:type="dxa"/>
              <w:left w:w="80" w:type="dxa"/>
              <w:bottom w:w="80" w:type="dxa"/>
              <w:right w:w="80" w:type="dxa"/>
            </w:tcMar>
            <w:vAlign w:val="center"/>
          </w:tcPr>
          <w:p w14:paraId="244FA469">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auto"/>
                <w:kern w:val="2"/>
                <w:sz w:val="21"/>
                <w:szCs w:val="21"/>
                <w:u w:color="000000"/>
                <w:lang w:val="en-US" w:eastAsia="zh-CN"/>
              </w:rPr>
            </w:pPr>
            <w:r>
              <w:rPr>
                <w:rFonts w:ascii="宋体" w:hAnsi="宋体" w:eastAsia="宋体" w:cs="宋体"/>
                <w:color w:val="auto"/>
                <w:kern w:val="2"/>
                <w:sz w:val="21"/>
                <w:szCs w:val="21"/>
                <w:u w:color="000000"/>
              </w:rPr>
              <w:t>根据拟派本项目服务人员人数、岗位、从业经验情况，进行横向比较打分</w:t>
            </w:r>
            <w:r>
              <w:rPr>
                <w:rFonts w:hint="eastAsia" w:ascii="宋体" w:hAnsi="宋体" w:eastAsia="宋体" w:cs="宋体"/>
                <w:color w:val="auto"/>
                <w:kern w:val="2"/>
                <w:sz w:val="21"/>
                <w:szCs w:val="21"/>
                <w:u w:color="000000"/>
                <w:lang w:eastAsia="zh-CN"/>
              </w:rPr>
              <w:t>，</w:t>
            </w:r>
            <w:r>
              <w:rPr>
                <w:rFonts w:hint="eastAsia" w:ascii="宋体" w:hAnsi="宋体" w:eastAsia="宋体" w:cs="宋体"/>
                <w:color w:val="auto"/>
                <w:kern w:val="2"/>
                <w:sz w:val="21"/>
                <w:szCs w:val="21"/>
                <w:u w:color="000000"/>
                <w:lang w:val="en-US" w:eastAsia="zh-CN"/>
              </w:rPr>
              <w:t>最高分得分10分。</w:t>
            </w:r>
          </w:p>
          <w:p w14:paraId="7CB8BF7E">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eastAsia="宋体"/>
                <w:color w:val="auto"/>
                <w:lang w:val="en-US" w:eastAsia="zh-CN"/>
              </w:rPr>
            </w:pPr>
            <w:r>
              <w:rPr>
                <w:rFonts w:ascii="宋体" w:hAnsi="宋体" w:eastAsia="宋体" w:cs="宋体"/>
                <w:color w:val="auto"/>
                <w:sz w:val="21"/>
                <w:szCs w:val="21"/>
                <w:u w:color="000000"/>
              </w:rPr>
              <w:t>注：须提供拟派遣人员的业绩合同（需要体现业绩类型、时间、种类以及服务人员名称）原件扫描件，如不能体现须提供业绩工作单位证明扫描件。</w:t>
            </w:r>
            <w:r>
              <w:rPr>
                <w:rFonts w:hint="eastAsia" w:ascii="宋体" w:hAnsi="宋体" w:eastAsia="宋体" w:cs="宋体"/>
                <w:color w:val="auto"/>
                <w:sz w:val="21"/>
                <w:szCs w:val="21"/>
                <w:u w:color="000000"/>
                <w:lang w:val="en-US" w:eastAsia="zh-CN"/>
              </w:rPr>
              <w:t>服务团队人员更换需征得我司书面同意，否则按服务合同进行相应扣款。</w:t>
            </w:r>
          </w:p>
        </w:tc>
        <w:tc>
          <w:tcPr>
            <w:tcW w:w="1628" w:type="dxa"/>
            <w:shd w:val="clear" w:color="auto" w:fill="auto"/>
            <w:tcMar>
              <w:top w:w="80" w:type="dxa"/>
              <w:left w:w="80" w:type="dxa"/>
              <w:bottom w:w="80" w:type="dxa"/>
              <w:right w:w="80" w:type="dxa"/>
            </w:tcMar>
            <w:vAlign w:val="center"/>
          </w:tcPr>
          <w:p w14:paraId="18074E3E">
            <w:pPr>
              <w:widowControl w:val="0"/>
              <w:tabs>
                <w:tab w:val="left" w:pos="420"/>
                <w:tab w:val="left" w:pos="840"/>
                <w:tab w:val="left" w:pos="1260"/>
              </w:tabs>
              <w:spacing w:before="0" w:line="20" w:lineRule="atLeast"/>
              <w:jc w:val="center"/>
              <w:rPr>
                <w:rFonts w:hint="eastAsia" w:eastAsia="宋体"/>
                <w:color w:val="auto"/>
                <w:lang w:val="en-US" w:eastAsia="zh-CN"/>
              </w:rPr>
            </w:pPr>
            <w:bookmarkStart w:id="0" w:name="OLE_LINK7"/>
            <w:r>
              <w:rPr>
                <w:rFonts w:ascii="宋体" w:hAnsi="宋体" w:eastAsia="宋体" w:cs="宋体"/>
                <w:color w:val="auto"/>
                <w:kern w:val="2"/>
                <w:sz w:val="21"/>
                <w:szCs w:val="21"/>
                <w:u w:color="000000"/>
              </w:rPr>
              <w:t>提供拟派遣人员的业绩合同和专业证书（如相关专业毕业证、从业证等）复印件加盖公章</w:t>
            </w:r>
            <w:r>
              <w:rPr>
                <w:rFonts w:hint="eastAsia" w:ascii="宋体" w:hAnsi="宋体" w:eastAsia="宋体" w:cs="宋体"/>
                <w:color w:val="auto"/>
                <w:kern w:val="2"/>
                <w:sz w:val="21"/>
                <w:szCs w:val="21"/>
                <w:u w:color="000000"/>
                <w:lang w:eastAsia="zh-CN"/>
              </w:rPr>
              <w:t>。</w:t>
            </w:r>
            <w:r>
              <w:rPr>
                <w:rFonts w:hint="eastAsia" w:ascii="宋体" w:hAnsi="宋体" w:eastAsia="宋体" w:cs="宋体"/>
                <w:color w:val="auto"/>
                <w:kern w:val="2"/>
                <w:sz w:val="21"/>
                <w:szCs w:val="21"/>
                <w:u w:color="000000"/>
                <w:lang w:val="en-US" w:eastAsia="zh-CN"/>
              </w:rPr>
              <w:t>（业绩合同可以仅提供关键页及盖章页，其它具体内容可不提供）</w:t>
            </w:r>
            <w:bookmarkEnd w:id="0"/>
          </w:p>
        </w:tc>
        <w:tc>
          <w:tcPr>
            <w:tcW w:w="800" w:type="dxa"/>
            <w:shd w:val="clear" w:color="auto" w:fill="auto"/>
            <w:tcMar>
              <w:top w:w="80" w:type="dxa"/>
              <w:left w:w="80" w:type="dxa"/>
              <w:bottom w:w="80" w:type="dxa"/>
              <w:right w:w="80" w:type="dxa"/>
            </w:tcMar>
            <w:vAlign w:val="center"/>
          </w:tcPr>
          <w:p w14:paraId="157EF06A">
            <w:pPr>
              <w:widowControl w:val="0"/>
              <w:tabs>
                <w:tab w:val="left" w:pos="420"/>
              </w:tabs>
              <w:spacing w:before="0" w:line="20" w:lineRule="atLeast"/>
              <w:jc w:val="center"/>
              <w:rPr>
                <w:rFonts w:hint="default"/>
                <w:color w:val="auto"/>
              </w:rPr>
            </w:pPr>
            <w:r>
              <w:rPr>
                <w:rFonts w:hint="eastAsia" w:ascii="宋体" w:hAnsi="宋体" w:eastAsia="宋体" w:cs="宋体"/>
                <w:color w:val="auto"/>
                <w:kern w:val="2"/>
                <w:sz w:val="21"/>
                <w:szCs w:val="21"/>
                <w:u w:color="000000"/>
                <w:lang w:val="en-US" w:eastAsia="zh-CN"/>
              </w:rPr>
              <w:t>10</w:t>
            </w:r>
            <w:r>
              <w:rPr>
                <w:rFonts w:ascii="宋体" w:hAnsi="宋体" w:eastAsia="宋体" w:cs="宋体"/>
                <w:color w:val="auto"/>
                <w:kern w:val="2"/>
                <w:sz w:val="21"/>
                <w:szCs w:val="21"/>
                <w:u w:color="000000"/>
              </w:rPr>
              <w:t>分</w:t>
            </w:r>
          </w:p>
        </w:tc>
        <w:tc>
          <w:tcPr>
            <w:tcW w:w="508" w:type="dxa"/>
            <w:shd w:val="clear" w:color="auto" w:fill="auto"/>
            <w:tcMar>
              <w:top w:w="80" w:type="dxa"/>
              <w:left w:w="80" w:type="dxa"/>
              <w:bottom w:w="80" w:type="dxa"/>
              <w:right w:w="80" w:type="dxa"/>
            </w:tcMar>
            <w:vAlign w:val="center"/>
          </w:tcPr>
          <w:p w14:paraId="22233F0D">
            <w:pPr>
              <w:rPr>
                <w:rFonts w:hint="default"/>
                <w:color w:val="auto"/>
              </w:rPr>
            </w:pPr>
          </w:p>
        </w:tc>
        <w:tc>
          <w:tcPr>
            <w:tcW w:w="956" w:type="dxa"/>
            <w:shd w:val="clear" w:color="auto" w:fill="auto"/>
            <w:tcMar>
              <w:top w:w="80" w:type="dxa"/>
              <w:left w:w="80" w:type="dxa"/>
              <w:bottom w:w="80" w:type="dxa"/>
              <w:right w:w="80" w:type="dxa"/>
            </w:tcMar>
            <w:vAlign w:val="center"/>
          </w:tcPr>
          <w:p w14:paraId="27822AF0">
            <w:pPr>
              <w:rPr>
                <w:rFonts w:hint="default"/>
                <w:color w:val="auto"/>
              </w:rPr>
            </w:pPr>
          </w:p>
        </w:tc>
        <w:tc>
          <w:tcPr>
            <w:tcW w:w="827" w:type="dxa"/>
            <w:shd w:val="clear" w:color="auto" w:fill="auto"/>
            <w:tcMar>
              <w:top w:w="80" w:type="dxa"/>
              <w:left w:w="80" w:type="dxa"/>
              <w:bottom w:w="80" w:type="dxa"/>
              <w:right w:w="80" w:type="dxa"/>
            </w:tcMar>
            <w:vAlign w:val="center"/>
          </w:tcPr>
          <w:p w14:paraId="602B737A">
            <w:pPr>
              <w:rPr>
                <w:rFonts w:hint="default"/>
                <w:color w:val="auto"/>
              </w:rPr>
            </w:pPr>
          </w:p>
        </w:tc>
      </w:tr>
      <w:tr w14:paraId="27F0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2560" w:hRule="atLeast"/>
          <w:jc w:val="center"/>
        </w:trPr>
        <w:tc>
          <w:tcPr>
            <w:tcW w:w="556" w:type="dxa"/>
            <w:shd w:val="clear" w:color="auto" w:fill="auto"/>
            <w:tcMar>
              <w:top w:w="80" w:type="dxa"/>
              <w:left w:w="80" w:type="dxa"/>
              <w:bottom w:w="80" w:type="dxa"/>
              <w:right w:w="80" w:type="dxa"/>
            </w:tcMar>
            <w:vAlign w:val="center"/>
          </w:tcPr>
          <w:p w14:paraId="1665D8AE">
            <w:pPr>
              <w:tabs>
                <w:tab w:val="left" w:pos="420"/>
              </w:tabs>
              <w:spacing w:before="0" w:line="20" w:lineRule="atLeast"/>
              <w:jc w:val="center"/>
              <w:rPr>
                <w:rFonts w:hint="eastAsia" w:eastAsia="宋体"/>
                <w:color w:val="auto"/>
                <w:lang w:eastAsia="zh-CN"/>
              </w:rPr>
            </w:pPr>
            <w:r>
              <w:rPr>
                <w:rFonts w:hint="eastAsia" w:ascii="宋体" w:hAnsi="宋体" w:eastAsia="宋体" w:cs="宋体"/>
                <w:color w:val="auto"/>
                <w:kern w:val="2"/>
                <w:sz w:val="21"/>
                <w:szCs w:val="21"/>
                <w:u w:color="000000"/>
                <w:lang w:val="en-US" w:eastAsia="zh-CN"/>
              </w:rPr>
              <w:t>2</w:t>
            </w:r>
          </w:p>
        </w:tc>
        <w:tc>
          <w:tcPr>
            <w:tcW w:w="795" w:type="dxa"/>
            <w:shd w:val="clear" w:color="auto" w:fill="auto"/>
            <w:tcMar>
              <w:top w:w="80" w:type="dxa"/>
              <w:left w:w="80" w:type="dxa"/>
              <w:bottom w:w="80" w:type="dxa"/>
              <w:right w:w="80" w:type="dxa"/>
            </w:tcMar>
            <w:vAlign w:val="center"/>
          </w:tcPr>
          <w:p w14:paraId="23A446D2">
            <w:pPr>
              <w:widowControl w:val="0"/>
              <w:tabs>
                <w:tab w:val="left" w:pos="420"/>
              </w:tabs>
              <w:spacing w:before="0" w:line="20" w:lineRule="atLeast"/>
              <w:jc w:val="center"/>
              <w:rPr>
                <w:rFonts w:hint="default"/>
                <w:color w:val="auto"/>
              </w:rPr>
            </w:pPr>
            <w:r>
              <w:rPr>
                <w:rFonts w:ascii="宋体" w:hAnsi="宋体" w:eastAsia="宋体" w:cs="宋体"/>
                <w:color w:val="auto"/>
                <w:sz w:val="21"/>
                <w:szCs w:val="21"/>
                <w:u w:color="000000"/>
              </w:rPr>
              <w:t>响应文件编制质量</w:t>
            </w:r>
          </w:p>
        </w:tc>
        <w:tc>
          <w:tcPr>
            <w:tcW w:w="3885" w:type="dxa"/>
            <w:shd w:val="clear" w:color="auto" w:fill="auto"/>
            <w:tcMar>
              <w:top w:w="80" w:type="dxa"/>
              <w:left w:w="80" w:type="dxa"/>
              <w:bottom w:w="80" w:type="dxa"/>
              <w:right w:w="80" w:type="dxa"/>
            </w:tcMar>
            <w:vAlign w:val="center"/>
          </w:tcPr>
          <w:p w14:paraId="53DAC8E5">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color w:val="auto"/>
                <w:sz w:val="21"/>
                <w:szCs w:val="21"/>
                <w:u w:color="000000"/>
              </w:rPr>
            </w:pPr>
            <w:r>
              <w:rPr>
                <w:rFonts w:ascii="宋体" w:hAnsi="宋体" w:eastAsia="宋体" w:cs="宋体"/>
                <w:color w:val="auto"/>
                <w:sz w:val="21"/>
                <w:szCs w:val="21"/>
                <w:u w:color="000000"/>
                <w:lang w:val="en-US"/>
              </w:rPr>
              <w:t>1</w:t>
            </w:r>
            <w:r>
              <w:rPr>
                <w:rFonts w:ascii="宋体" w:hAnsi="宋体" w:eastAsia="宋体" w:cs="宋体"/>
                <w:color w:val="auto"/>
                <w:sz w:val="21"/>
                <w:szCs w:val="21"/>
                <w:u w:color="000000"/>
              </w:rPr>
              <w:t>、响应文件有缺漏项或出现前后不一致但未导致实质性偏离的；</w:t>
            </w:r>
          </w:p>
          <w:p w14:paraId="31F094F3">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color w:val="auto"/>
                <w:sz w:val="21"/>
                <w:szCs w:val="21"/>
                <w:u w:color="000000"/>
              </w:rPr>
            </w:pPr>
            <w:r>
              <w:rPr>
                <w:rFonts w:ascii="宋体" w:hAnsi="宋体" w:eastAsia="宋体" w:cs="宋体"/>
                <w:color w:val="auto"/>
                <w:sz w:val="21"/>
                <w:szCs w:val="21"/>
                <w:u w:color="000000"/>
                <w:lang w:val="en-US"/>
              </w:rPr>
              <w:t>2</w:t>
            </w:r>
            <w:r>
              <w:rPr>
                <w:rFonts w:ascii="宋体" w:hAnsi="宋体" w:eastAsia="宋体" w:cs="宋体"/>
                <w:color w:val="auto"/>
                <w:sz w:val="21"/>
                <w:szCs w:val="21"/>
                <w:u w:color="000000"/>
              </w:rPr>
              <w:t>、响应文件资料扫描不清晰的；</w:t>
            </w:r>
          </w:p>
          <w:p w14:paraId="6AEAF769">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color w:val="auto"/>
                <w:sz w:val="21"/>
                <w:szCs w:val="21"/>
                <w:u w:color="000000"/>
              </w:rPr>
            </w:pPr>
            <w:r>
              <w:rPr>
                <w:rFonts w:ascii="宋体" w:hAnsi="宋体" w:eastAsia="宋体" w:cs="宋体"/>
                <w:color w:val="auto"/>
                <w:sz w:val="21"/>
                <w:szCs w:val="21"/>
                <w:u w:color="000000"/>
                <w:lang w:val="en-US"/>
              </w:rPr>
              <w:t>3</w:t>
            </w:r>
            <w:r>
              <w:rPr>
                <w:rFonts w:ascii="宋体" w:hAnsi="宋体" w:eastAsia="宋体" w:cs="宋体"/>
                <w:color w:val="auto"/>
                <w:sz w:val="21"/>
                <w:szCs w:val="21"/>
                <w:u w:color="000000"/>
              </w:rPr>
              <w:t>、响应文件未按节点编排的。</w:t>
            </w:r>
          </w:p>
          <w:p w14:paraId="01E93EC5">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color w:val="auto"/>
              </w:rPr>
            </w:pPr>
            <w:r>
              <w:rPr>
                <w:rFonts w:ascii="宋体" w:hAnsi="宋体" w:eastAsia="宋体" w:cs="宋体"/>
                <w:color w:val="auto"/>
                <w:sz w:val="21"/>
                <w:szCs w:val="21"/>
                <w:u w:color="000000"/>
              </w:rPr>
              <w:t>以上情况每出现一种扣</w:t>
            </w:r>
            <w:r>
              <w:rPr>
                <w:rFonts w:hint="eastAsia" w:ascii="宋体" w:hAnsi="宋体" w:eastAsia="宋体" w:cs="宋体"/>
                <w:color w:val="auto"/>
                <w:sz w:val="21"/>
                <w:szCs w:val="21"/>
                <w:u w:color="000000"/>
                <w:lang w:val="en-US" w:eastAsia="zh-CN"/>
              </w:rPr>
              <w:t>2</w:t>
            </w:r>
            <w:r>
              <w:rPr>
                <w:rFonts w:ascii="宋体" w:hAnsi="宋体" w:eastAsia="宋体" w:cs="宋体"/>
                <w:color w:val="auto"/>
                <w:sz w:val="21"/>
                <w:szCs w:val="21"/>
                <w:u w:color="000000"/>
              </w:rPr>
              <w:t>分，最低</w:t>
            </w:r>
            <w:r>
              <w:rPr>
                <w:rFonts w:ascii="宋体" w:hAnsi="宋体" w:eastAsia="宋体" w:cs="宋体"/>
                <w:color w:val="auto"/>
                <w:sz w:val="21"/>
                <w:szCs w:val="21"/>
                <w:u w:color="000000"/>
                <w:lang w:val="en-US"/>
              </w:rPr>
              <w:t>0</w:t>
            </w:r>
            <w:r>
              <w:rPr>
                <w:rFonts w:ascii="宋体" w:hAnsi="宋体" w:eastAsia="宋体" w:cs="宋体"/>
                <w:color w:val="auto"/>
                <w:sz w:val="21"/>
                <w:szCs w:val="21"/>
                <w:u w:color="000000"/>
              </w:rPr>
              <w:t>分。无上述情况本项得</w:t>
            </w:r>
            <w:r>
              <w:rPr>
                <w:rFonts w:hint="eastAsia" w:ascii="宋体" w:hAnsi="宋体" w:eastAsia="宋体" w:cs="宋体"/>
                <w:color w:val="auto"/>
                <w:sz w:val="21"/>
                <w:szCs w:val="21"/>
                <w:u w:color="000000"/>
                <w:lang w:val="en-US" w:eastAsia="zh-CN"/>
              </w:rPr>
              <w:t>10</w:t>
            </w:r>
            <w:r>
              <w:rPr>
                <w:rFonts w:ascii="宋体" w:hAnsi="宋体" w:eastAsia="宋体" w:cs="宋体"/>
                <w:color w:val="auto"/>
                <w:sz w:val="21"/>
                <w:szCs w:val="21"/>
                <w:u w:color="000000"/>
              </w:rPr>
              <w:t>分。</w:t>
            </w:r>
          </w:p>
        </w:tc>
        <w:tc>
          <w:tcPr>
            <w:tcW w:w="1628" w:type="dxa"/>
            <w:shd w:val="clear" w:color="auto" w:fill="auto"/>
            <w:tcMar>
              <w:top w:w="80" w:type="dxa"/>
              <w:left w:w="80" w:type="dxa"/>
              <w:bottom w:w="80" w:type="dxa"/>
              <w:right w:w="80" w:type="dxa"/>
            </w:tcMar>
            <w:vAlign w:val="center"/>
          </w:tcPr>
          <w:p w14:paraId="1C08E973">
            <w:pPr>
              <w:widowControl w:val="0"/>
              <w:tabs>
                <w:tab w:val="left" w:pos="420"/>
                <w:tab w:val="left" w:pos="840"/>
                <w:tab w:val="left" w:pos="1260"/>
              </w:tabs>
              <w:spacing w:before="0" w:line="20" w:lineRule="atLeast"/>
              <w:jc w:val="center"/>
              <w:rPr>
                <w:rFonts w:hint="default"/>
                <w:color w:val="auto"/>
              </w:rPr>
            </w:pPr>
            <w:r>
              <w:rPr>
                <w:rFonts w:ascii="宋体" w:hAnsi="宋体" w:eastAsia="宋体" w:cs="宋体"/>
                <w:color w:val="auto"/>
                <w:sz w:val="21"/>
                <w:szCs w:val="21"/>
                <w:u w:color="000000"/>
              </w:rPr>
              <w:t>提供完整投标文件，专家评审</w:t>
            </w:r>
          </w:p>
        </w:tc>
        <w:tc>
          <w:tcPr>
            <w:tcW w:w="800" w:type="dxa"/>
            <w:shd w:val="clear" w:color="auto" w:fill="auto"/>
            <w:tcMar>
              <w:top w:w="80" w:type="dxa"/>
              <w:left w:w="80" w:type="dxa"/>
              <w:bottom w:w="80" w:type="dxa"/>
              <w:right w:w="80" w:type="dxa"/>
            </w:tcMar>
            <w:vAlign w:val="center"/>
          </w:tcPr>
          <w:p w14:paraId="3AA7231E">
            <w:pPr>
              <w:widowControl w:val="0"/>
              <w:tabs>
                <w:tab w:val="left" w:pos="420"/>
              </w:tabs>
              <w:spacing w:before="0" w:line="20" w:lineRule="atLeast"/>
              <w:jc w:val="center"/>
              <w:rPr>
                <w:rFonts w:hint="eastAsia" w:eastAsia="宋体"/>
                <w:color w:val="auto"/>
                <w:lang w:val="en-US" w:eastAsia="zh-CN"/>
              </w:rPr>
            </w:pPr>
            <w:r>
              <w:rPr>
                <w:rFonts w:hint="eastAsia" w:asciiTheme="minorEastAsia" w:hAnsiTheme="minorEastAsia" w:eastAsiaTheme="minorEastAsia" w:cstheme="minorEastAsia"/>
                <w:color w:val="auto"/>
                <w:sz w:val="21"/>
                <w:szCs w:val="21"/>
                <w:lang w:val="en-US" w:eastAsia="zh-CN"/>
              </w:rPr>
              <w:t>10分</w:t>
            </w:r>
          </w:p>
        </w:tc>
        <w:tc>
          <w:tcPr>
            <w:tcW w:w="508" w:type="dxa"/>
            <w:shd w:val="clear" w:color="auto" w:fill="auto"/>
            <w:tcMar>
              <w:top w:w="80" w:type="dxa"/>
              <w:left w:w="80" w:type="dxa"/>
              <w:bottom w:w="80" w:type="dxa"/>
              <w:right w:w="80" w:type="dxa"/>
            </w:tcMar>
            <w:vAlign w:val="center"/>
          </w:tcPr>
          <w:p w14:paraId="47A3FC8F">
            <w:pPr>
              <w:rPr>
                <w:rFonts w:hint="default"/>
                <w:color w:val="auto"/>
              </w:rPr>
            </w:pPr>
          </w:p>
        </w:tc>
        <w:tc>
          <w:tcPr>
            <w:tcW w:w="956" w:type="dxa"/>
            <w:shd w:val="clear" w:color="auto" w:fill="auto"/>
            <w:tcMar>
              <w:top w:w="80" w:type="dxa"/>
              <w:left w:w="80" w:type="dxa"/>
              <w:bottom w:w="80" w:type="dxa"/>
              <w:right w:w="80" w:type="dxa"/>
            </w:tcMar>
            <w:vAlign w:val="center"/>
          </w:tcPr>
          <w:p w14:paraId="765B998E">
            <w:pPr>
              <w:rPr>
                <w:rFonts w:hint="default"/>
                <w:color w:val="auto"/>
              </w:rPr>
            </w:pPr>
          </w:p>
        </w:tc>
        <w:tc>
          <w:tcPr>
            <w:tcW w:w="827" w:type="dxa"/>
            <w:shd w:val="clear" w:color="auto" w:fill="auto"/>
            <w:tcMar>
              <w:top w:w="80" w:type="dxa"/>
              <w:left w:w="80" w:type="dxa"/>
              <w:bottom w:w="80" w:type="dxa"/>
              <w:right w:w="80" w:type="dxa"/>
            </w:tcMar>
            <w:vAlign w:val="center"/>
          </w:tcPr>
          <w:p w14:paraId="2487369A">
            <w:pPr>
              <w:rPr>
                <w:rFonts w:hint="default"/>
                <w:color w:val="auto"/>
              </w:rPr>
            </w:pPr>
          </w:p>
        </w:tc>
      </w:tr>
      <w:tr w14:paraId="1287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4360" w:hRule="atLeast"/>
          <w:jc w:val="center"/>
        </w:trPr>
        <w:tc>
          <w:tcPr>
            <w:tcW w:w="556" w:type="dxa"/>
            <w:shd w:val="clear" w:color="auto" w:fill="auto"/>
            <w:tcMar>
              <w:top w:w="80" w:type="dxa"/>
              <w:left w:w="80" w:type="dxa"/>
              <w:bottom w:w="80" w:type="dxa"/>
              <w:right w:w="80" w:type="dxa"/>
            </w:tcMar>
            <w:vAlign w:val="center"/>
          </w:tcPr>
          <w:p w14:paraId="4AFE59DB">
            <w:pPr>
              <w:tabs>
                <w:tab w:val="left" w:pos="420"/>
              </w:tabs>
              <w:spacing w:before="0" w:line="20" w:lineRule="atLeast"/>
              <w:jc w:val="center"/>
              <w:rPr>
                <w:rFonts w:hint="eastAsia" w:eastAsia="宋体"/>
                <w:color w:val="auto"/>
                <w:lang w:eastAsia="zh-CN"/>
              </w:rPr>
            </w:pPr>
            <w:r>
              <w:rPr>
                <w:rFonts w:hint="eastAsia" w:ascii="宋体" w:hAnsi="宋体" w:eastAsia="宋体" w:cs="宋体"/>
                <w:color w:val="auto"/>
                <w:kern w:val="2"/>
                <w:sz w:val="21"/>
                <w:szCs w:val="21"/>
                <w:u w:color="000000"/>
                <w:lang w:val="en-US" w:eastAsia="zh-CN"/>
              </w:rPr>
              <w:t>3</w:t>
            </w:r>
          </w:p>
        </w:tc>
        <w:tc>
          <w:tcPr>
            <w:tcW w:w="795" w:type="dxa"/>
            <w:shd w:val="clear" w:color="auto" w:fill="auto"/>
            <w:tcMar>
              <w:top w:w="80" w:type="dxa"/>
              <w:left w:w="80" w:type="dxa"/>
              <w:bottom w:w="80" w:type="dxa"/>
              <w:right w:w="80" w:type="dxa"/>
            </w:tcMar>
            <w:vAlign w:val="center"/>
          </w:tcPr>
          <w:p w14:paraId="78573E77">
            <w:pPr>
              <w:widowControl w:val="0"/>
              <w:tabs>
                <w:tab w:val="left" w:pos="420"/>
              </w:tabs>
              <w:spacing w:before="0" w:line="20" w:lineRule="atLeast"/>
              <w:jc w:val="center"/>
              <w:rPr>
                <w:rFonts w:hint="default"/>
                <w:color w:val="auto"/>
              </w:rPr>
            </w:pPr>
            <w:r>
              <w:rPr>
                <w:rFonts w:ascii="宋体" w:hAnsi="宋体" w:eastAsia="宋体" w:cs="宋体"/>
                <w:color w:val="auto"/>
                <w:kern w:val="2"/>
                <w:sz w:val="21"/>
                <w:szCs w:val="21"/>
                <w:u w:color="000000"/>
              </w:rPr>
              <w:t>技术服务方案评审</w:t>
            </w:r>
          </w:p>
        </w:tc>
        <w:tc>
          <w:tcPr>
            <w:tcW w:w="3885" w:type="dxa"/>
            <w:shd w:val="clear" w:color="auto" w:fill="auto"/>
            <w:tcMar>
              <w:top w:w="80" w:type="dxa"/>
              <w:left w:w="80" w:type="dxa"/>
              <w:bottom w:w="80" w:type="dxa"/>
              <w:right w:w="80" w:type="dxa"/>
            </w:tcMar>
            <w:vAlign w:val="center"/>
          </w:tcPr>
          <w:p w14:paraId="04DAB515">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color w:val="auto"/>
                <w:kern w:val="2"/>
                <w:sz w:val="21"/>
                <w:szCs w:val="21"/>
                <w:u w:color="000000"/>
              </w:rPr>
            </w:pPr>
            <w:r>
              <w:rPr>
                <w:rFonts w:ascii="宋体" w:hAnsi="宋体" w:eastAsia="宋体" w:cs="宋体"/>
                <w:color w:val="auto"/>
                <w:kern w:val="2"/>
                <w:sz w:val="21"/>
                <w:szCs w:val="21"/>
                <w:u w:color="000000"/>
              </w:rPr>
              <w:t>对本项目工作内容的理解是否全面、准确进行横向比较评分：</w:t>
            </w:r>
          </w:p>
          <w:p w14:paraId="7E2A5177">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ascii="宋体" w:hAnsi="宋体" w:eastAsia="宋体" w:cs="宋体"/>
                <w:color w:val="auto"/>
                <w:kern w:val="2"/>
                <w:sz w:val="21"/>
                <w:szCs w:val="21"/>
              </w:rPr>
            </w:pPr>
            <w:r>
              <w:rPr>
                <w:rFonts w:ascii="宋体" w:hAnsi="宋体" w:eastAsia="宋体" w:cs="宋体"/>
                <w:color w:val="auto"/>
                <w:kern w:val="2"/>
                <w:sz w:val="21"/>
                <w:szCs w:val="21"/>
              </w:rPr>
              <w:t>评优得</w:t>
            </w:r>
            <w:r>
              <w:rPr>
                <w:rFonts w:hint="eastAsia" w:ascii="宋体" w:hAnsi="宋体" w:eastAsia="宋体" w:cs="宋体"/>
                <w:color w:val="auto"/>
                <w:kern w:val="2"/>
                <w:sz w:val="21"/>
                <w:szCs w:val="21"/>
                <w:lang w:val="en-US" w:eastAsia="zh-CN"/>
              </w:rPr>
              <w:t>25</w:t>
            </w:r>
            <w:r>
              <w:rPr>
                <w:rFonts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30</w:t>
            </w:r>
            <w:r>
              <w:rPr>
                <w:rFonts w:ascii="宋体" w:hAnsi="宋体" w:eastAsia="宋体" w:cs="宋体"/>
                <w:color w:val="auto"/>
                <w:kern w:val="2"/>
                <w:sz w:val="21"/>
                <w:szCs w:val="21"/>
              </w:rPr>
              <w:t>分，良得</w:t>
            </w:r>
            <w:r>
              <w:rPr>
                <w:rFonts w:hint="eastAsia" w:ascii="宋体" w:hAnsi="宋体" w:eastAsia="宋体" w:cs="宋体"/>
                <w:color w:val="auto"/>
                <w:kern w:val="2"/>
                <w:sz w:val="21"/>
                <w:szCs w:val="21"/>
                <w:lang w:val="en-US" w:eastAsia="zh-CN"/>
              </w:rPr>
              <w:t>20</w:t>
            </w:r>
            <w:r>
              <w:rPr>
                <w:rFonts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25</w:t>
            </w:r>
            <w:r>
              <w:rPr>
                <w:rFonts w:ascii="宋体" w:hAnsi="宋体" w:eastAsia="宋体" w:cs="宋体"/>
                <w:color w:val="auto"/>
                <w:kern w:val="2"/>
                <w:sz w:val="21"/>
                <w:szCs w:val="21"/>
              </w:rPr>
              <w:t>分，中得</w:t>
            </w:r>
            <w:r>
              <w:rPr>
                <w:rFonts w:hint="eastAsia" w:ascii="宋体" w:hAnsi="宋体" w:eastAsia="宋体" w:cs="宋体"/>
                <w:color w:val="auto"/>
                <w:kern w:val="2"/>
                <w:sz w:val="21"/>
                <w:szCs w:val="21"/>
                <w:lang w:val="en-US" w:eastAsia="zh-CN"/>
              </w:rPr>
              <w:t>10</w:t>
            </w:r>
            <w:r>
              <w:rPr>
                <w:rFonts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20</w:t>
            </w:r>
            <w:r>
              <w:rPr>
                <w:rFonts w:ascii="宋体" w:hAnsi="宋体" w:eastAsia="宋体" w:cs="宋体"/>
                <w:color w:val="auto"/>
                <w:kern w:val="2"/>
                <w:sz w:val="21"/>
                <w:szCs w:val="21"/>
              </w:rPr>
              <w:t>分，差得</w:t>
            </w:r>
            <w:r>
              <w:rPr>
                <w:rFonts w:ascii="宋体" w:hAnsi="宋体" w:eastAsia="宋体" w:cs="宋体"/>
                <w:color w:val="auto"/>
                <w:kern w:val="2"/>
                <w:sz w:val="21"/>
                <w:szCs w:val="21"/>
                <w:lang w:val="en-US"/>
              </w:rPr>
              <w:t>0</w:t>
            </w:r>
            <w:r>
              <w:rPr>
                <w:rFonts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10</w:t>
            </w:r>
            <w:r>
              <w:rPr>
                <w:rFonts w:ascii="宋体" w:hAnsi="宋体" w:eastAsia="宋体" w:cs="宋体"/>
                <w:color w:val="auto"/>
                <w:kern w:val="2"/>
                <w:sz w:val="21"/>
                <w:szCs w:val="21"/>
              </w:rPr>
              <w:t>分。</w:t>
            </w:r>
          </w:p>
          <w:p w14:paraId="5DE8FA40">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color w:val="auto"/>
              </w:rPr>
            </w:pPr>
            <w:r>
              <w:rPr>
                <w:rFonts w:ascii="宋体" w:hAnsi="宋体" w:eastAsia="宋体" w:cs="宋体"/>
                <w:color w:val="auto"/>
                <w:kern w:val="2"/>
                <w:sz w:val="21"/>
                <w:szCs w:val="21"/>
                <w:u w:color="000000"/>
              </w:rPr>
              <w:t>打分参考：综合评审服务方案中对我集团服务需求及配套需求进行任务分解情况、技术服务团队工作职责及运作安排情况、各项过程技术服务成果质量把控能力、过程资料及档案管理、其他相关事宜。</w:t>
            </w:r>
          </w:p>
        </w:tc>
        <w:tc>
          <w:tcPr>
            <w:tcW w:w="1628" w:type="dxa"/>
            <w:shd w:val="clear" w:color="auto" w:fill="auto"/>
            <w:tcMar>
              <w:top w:w="80" w:type="dxa"/>
              <w:left w:w="80" w:type="dxa"/>
              <w:bottom w:w="80" w:type="dxa"/>
              <w:right w:w="80" w:type="dxa"/>
            </w:tcMar>
            <w:vAlign w:val="center"/>
          </w:tcPr>
          <w:p w14:paraId="28F0EA08">
            <w:pPr>
              <w:widowControl w:val="0"/>
              <w:tabs>
                <w:tab w:val="left" w:pos="420"/>
                <w:tab w:val="left" w:pos="840"/>
                <w:tab w:val="left" w:pos="1260"/>
              </w:tabs>
              <w:spacing w:before="0" w:line="20" w:lineRule="atLeast"/>
              <w:jc w:val="center"/>
              <w:rPr>
                <w:rFonts w:hint="default"/>
                <w:color w:val="auto"/>
              </w:rPr>
            </w:pPr>
            <w:r>
              <w:rPr>
                <w:rFonts w:ascii="宋体" w:hAnsi="宋体" w:eastAsia="宋体" w:cs="宋体"/>
                <w:color w:val="auto"/>
                <w:kern w:val="2"/>
                <w:sz w:val="21"/>
                <w:szCs w:val="21"/>
                <w:u w:color="000000"/>
              </w:rPr>
              <w:t>提供技术服务方案，并加盖公章</w:t>
            </w:r>
          </w:p>
        </w:tc>
        <w:tc>
          <w:tcPr>
            <w:tcW w:w="800" w:type="dxa"/>
            <w:shd w:val="clear" w:color="auto" w:fill="auto"/>
            <w:tcMar>
              <w:top w:w="80" w:type="dxa"/>
              <w:left w:w="80" w:type="dxa"/>
              <w:bottom w:w="80" w:type="dxa"/>
              <w:right w:w="80" w:type="dxa"/>
            </w:tcMar>
            <w:vAlign w:val="center"/>
          </w:tcPr>
          <w:p w14:paraId="716BB78D">
            <w:pPr>
              <w:widowControl w:val="0"/>
              <w:tabs>
                <w:tab w:val="left" w:pos="420"/>
              </w:tabs>
              <w:spacing w:before="0" w:line="20" w:lineRule="atLeast"/>
              <w:jc w:val="center"/>
              <w:rPr>
                <w:rFonts w:hint="default"/>
                <w:color w:val="auto"/>
              </w:rPr>
            </w:pPr>
            <w:r>
              <w:rPr>
                <w:rFonts w:hint="eastAsia" w:ascii="宋体" w:hAnsi="宋体" w:eastAsia="宋体" w:cs="宋体"/>
                <w:color w:val="auto"/>
                <w:kern w:val="2"/>
                <w:sz w:val="21"/>
                <w:szCs w:val="21"/>
                <w:u w:color="000000"/>
                <w:lang w:val="en-US" w:eastAsia="zh-CN"/>
              </w:rPr>
              <w:t>30</w:t>
            </w:r>
            <w:r>
              <w:rPr>
                <w:rFonts w:ascii="宋体" w:hAnsi="宋体" w:eastAsia="宋体" w:cs="宋体"/>
                <w:color w:val="auto"/>
                <w:kern w:val="2"/>
                <w:sz w:val="21"/>
                <w:szCs w:val="21"/>
                <w:u w:color="000000"/>
              </w:rPr>
              <w:t>分</w:t>
            </w:r>
          </w:p>
        </w:tc>
        <w:tc>
          <w:tcPr>
            <w:tcW w:w="508" w:type="dxa"/>
            <w:shd w:val="clear" w:color="auto" w:fill="auto"/>
            <w:tcMar>
              <w:top w:w="80" w:type="dxa"/>
              <w:left w:w="80" w:type="dxa"/>
              <w:bottom w:w="80" w:type="dxa"/>
              <w:right w:w="80" w:type="dxa"/>
            </w:tcMar>
            <w:vAlign w:val="center"/>
          </w:tcPr>
          <w:p w14:paraId="084E8AE0">
            <w:pPr>
              <w:rPr>
                <w:rFonts w:hint="default"/>
                <w:color w:val="auto"/>
              </w:rPr>
            </w:pPr>
          </w:p>
        </w:tc>
        <w:tc>
          <w:tcPr>
            <w:tcW w:w="956" w:type="dxa"/>
            <w:shd w:val="clear" w:color="auto" w:fill="auto"/>
            <w:tcMar>
              <w:top w:w="80" w:type="dxa"/>
              <w:left w:w="80" w:type="dxa"/>
              <w:bottom w:w="80" w:type="dxa"/>
              <w:right w:w="80" w:type="dxa"/>
            </w:tcMar>
            <w:vAlign w:val="center"/>
          </w:tcPr>
          <w:p w14:paraId="5E44C17E">
            <w:pPr>
              <w:rPr>
                <w:rFonts w:hint="default"/>
                <w:color w:val="auto"/>
              </w:rPr>
            </w:pPr>
          </w:p>
        </w:tc>
        <w:tc>
          <w:tcPr>
            <w:tcW w:w="827" w:type="dxa"/>
            <w:shd w:val="clear" w:color="auto" w:fill="auto"/>
            <w:tcMar>
              <w:top w:w="80" w:type="dxa"/>
              <w:left w:w="80" w:type="dxa"/>
              <w:bottom w:w="80" w:type="dxa"/>
              <w:right w:w="80" w:type="dxa"/>
            </w:tcMar>
            <w:vAlign w:val="center"/>
          </w:tcPr>
          <w:p w14:paraId="12436285">
            <w:pPr>
              <w:rPr>
                <w:rFonts w:hint="default"/>
                <w:color w:val="auto"/>
              </w:rPr>
            </w:pPr>
          </w:p>
        </w:tc>
      </w:tr>
      <w:tr w14:paraId="022E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2110" w:hRule="atLeast"/>
          <w:jc w:val="center"/>
        </w:trPr>
        <w:tc>
          <w:tcPr>
            <w:tcW w:w="556" w:type="dxa"/>
            <w:shd w:val="clear" w:color="auto" w:fill="FFFFFF" w:themeFill="background1"/>
            <w:tcMar>
              <w:top w:w="80" w:type="dxa"/>
              <w:left w:w="80" w:type="dxa"/>
              <w:bottom w:w="80" w:type="dxa"/>
              <w:right w:w="80" w:type="dxa"/>
            </w:tcMar>
            <w:vAlign w:val="center"/>
          </w:tcPr>
          <w:p w14:paraId="125D888C">
            <w:pPr>
              <w:tabs>
                <w:tab w:val="left" w:pos="420"/>
              </w:tabs>
              <w:spacing w:before="0" w:line="20" w:lineRule="atLeast"/>
              <w:jc w:val="center"/>
              <w:rPr>
                <w:rFonts w:ascii="宋体" w:hAnsi="宋体" w:eastAsia="宋体" w:cs="宋体"/>
                <w:color w:val="auto"/>
                <w:kern w:val="2"/>
                <w:sz w:val="21"/>
                <w:szCs w:val="21"/>
                <w:u w:color="000000"/>
                <w:lang w:val="en-US" w:eastAsia="zh-CN"/>
              </w:rPr>
            </w:pPr>
            <w:r>
              <w:rPr>
                <w:rFonts w:hint="eastAsia" w:ascii="宋体" w:hAnsi="宋体" w:eastAsia="宋体" w:cs="宋体"/>
                <w:color w:val="auto"/>
                <w:kern w:val="2"/>
                <w:sz w:val="21"/>
                <w:szCs w:val="21"/>
                <w:u w:color="000000"/>
                <w:lang w:val="en-US" w:eastAsia="zh-CN"/>
              </w:rPr>
              <w:t>4</w:t>
            </w:r>
          </w:p>
        </w:tc>
        <w:tc>
          <w:tcPr>
            <w:tcW w:w="795" w:type="dxa"/>
            <w:shd w:val="clear" w:color="auto" w:fill="FFFFFF" w:themeFill="background1"/>
            <w:tcMar>
              <w:top w:w="80" w:type="dxa"/>
              <w:left w:w="80" w:type="dxa"/>
              <w:bottom w:w="80" w:type="dxa"/>
              <w:right w:w="80" w:type="dxa"/>
            </w:tcMar>
            <w:vAlign w:val="center"/>
          </w:tcPr>
          <w:p w14:paraId="7A33142B">
            <w:pPr>
              <w:widowControl w:val="0"/>
              <w:tabs>
                <w:tab w:val="left" w:pos="420"/>
              </w:tabs>
              <w:spacing w:before="0" w:line="20" w:lineRule="atLeast"/>
              <w:jc w:val="center"/>
              <w:rPr>
                <w:rFonts w:hint="default" w:ascii="宋体" w:hAnsi="宋体" w:eastAsia="宋体" w:cs="宋体"/>
                <w:color w:val="auto"/>
                <w:kern w:val="2"/>
                <w:sz w:val="21"/>
                <w:szCs w:val="21"/>
                <w:u w:color="000000"/>
                <w:lang w:val="en-US"/>
              </w:rPr>
            </w:pPr>
            <w:r>
              <w:rPr>
                <w:rFonts w:ascii="宋体" w:hAnsi="宋体" w:eastAsia="宋体" w:cs="宋体"/>
                <w:color w:val="auto"/>
                <w:kern w:val="2"/>
                <w:sz w:val="21"/>
                <w:szCs w:val="21"/>
                <w:u w:color="000000"/>
                <w:lang w:val="en-US"/>
              </w:rPr>
              <w:t>报价</w:t>
            </w:r>
          </w:p>
          <w:p w14:paraId="7586517D">
            <w:pPr>
              <w:widowControl w:val="0"/>
              <w:tabs>
                <w:tab w:val="left" w:pos="420"/>
              </w:tabs>
              <w:spacing w:before="0" w:line="20" w:lineRule="atLeast"/>
              <w:jc w:val="center"/>
              <w:rPr>
                <w:rFonts w:hint="default" w:ascii="宋体" w:hAnsi="宋体" w:eastAsia="宋体" w:cs="宋体"/>
                <w:color w:val="auto"/>
                <w:kern w:val="2"/>
                <w:sz w:val="21"/>
                <w:szCs w:val="21"/>
                <w:u w:color="000000"/>
                <w:lang w:val="en-US"/>
              </w:rPr>
            </w:pPr>
            <w:r>
              <w:rPr>
                <w:rFonts w:ascii="宋体" w:hAnsi="宋体" w:eastAsia="宋体" w:cs="宋体"/>
                <w:color w:val="auto"/>
                <w:kern w:val="2"/>
                <w:sz w:val="21"/>
                <w:szCs w:val="21"/>
                <w:u w:color="000000"/>
                <w:lang w:val="en-US"/>
              </w:rPr>
              <w:t>得分</w:t>
            </w:r>
          </w:p>
        </w:tc>
        <w:tc>
          <w:tcPr>
            <w:tcW w:w="3885" w:type="dxa"/>
            <w:shd w:val="clear" w:color="auto" w:fill="FFFFFF" w:themeFill="background1"/>
            <w:tcMar>
              <w:top w:w="80" w:type="dxa"/>
              <w:left w:w="80" w:type="dxa"/>
              <w:bottom w:w="80" w:type="dxa"/>
              <w:right w:w="80" w:type="dxa"/>
            </w:tcMar>
            <w:vAlign w:val="center"/>
          </w:tcPr>
          <w:p w14:paraId="6A040B63">
            <w:pPr>
              <w:spacing w:before="35"/>
              <w:rPr>
                <w:rFonts w:ascii="宋体" w:hAnsi="宋体"/>
                <w:color w:val="000000"/>
                <w:kern w:val="0"/>
                <w:sz w:val="21"/>
                <w:szCs w:val="24"/>
              </w:rPr>
            </w:pPr>
            <w:r>
              <w:rPr>
                <w:rFonts w:ascii="宋体" w:hAnsi="宋体"/>
                <w:color w:val="000000"/>
                <w:kern w:val="0"/>
                <w:sz w:val="21"/>
                <w:szCs w:val="24"/>
              </w:rPr>
              <w:t>价格评分按照以下方法计算：</w:t>
            </w:r>
          </w:p>
          <w:p w14:paraId="5AC3E858">
            <w:pPr>
              <w:spacing w:before="154"/>
              <w:rPr>
                <w:rFonts w:ascii="宋体" w:hAnsi="宋体"/>
                <w:color w:val="000000"/>
                <w:kern w:val="0"/>
                <w:sz w:val="21"/>
                <w:szCs w:val="24"/>
              </w:rPr>
            </w:pPr>
            <w:r>
              <w:rPr>
                <w:rFonts w:ascii="宋体" w:hAnsi="宋体"/>
                <w:color w:val="000000"/>
                <w:kern w:val="0"/>
                <w:sz w:val="21"/>
                <w:szCs w:val="24"/>
              </w:rPr>
              <w:t>1</w:t>
            </w:r>
            <w:r>
              <w:rPr>
                <w:rFonts w:hint="eastAsia" w:ascii="宋体" w:hAnsi="宋体"/>
                <w:color w:val="000000"/>
                <w:kern w:val="0"/>
                <w:sz w:val="21"/>
                <w:szCs w:val="24"/>
              </w:rPr>
              <w:t>、</w:t>
            </w:r>
            <w:r>
              <w:rPr>
                <w:rFonts w:ascii="宋体" w:hAnsi="宋体"/>
                <w:color w:val="000000"/>
                <w:kern w:val="0"/>
                <w:sz w:val="21"/>
                <w:szCs w:val="24"/>
              </w:rPr>
              <w:t>评审基准价（K）计算方法：</w:t>
            </w:r>
          </w:p>
          <w:p w14:paraId="71E9E829">
            <w:pPr>
              <w:spacing w:before="155"/>
              <w:ind w:right="102"/>
              <w:rPr>
                <w:rFonts w:ascii="宋体" w:hAnsi="宋体"/>
                <w:color w:val="000000"/>
                <w:kern w:val="0"/>
                <w:sz w:val="21"/>
                <w:szCs w:val="24"/>
              </w:rPr>
            </w:pPr>
            <w:r>
              <w:rPr>
                <w:rFonts w:ascii="宋体" w:hAnsi="宋体"/>
                <w:color w:val="000000"/>
                <w:kern w:val="0"/>
                <w:sz w:val="21"/>
                <w:szCs w:val="24"/>
              </w:rPr>
              <w:t>通过初步评审的响应人有效评审价的平均值（K）为评审基准价。</w:t>
            </w:r>
          </w:p>
          <w:p w14:paraId="6618B93D">
            <w:pPr>
              <w:spacing w:before="155"/>
              <w:ind w:right="102"/>
              <w:rPr>
                <w:rFonts w:ascii="宋体" w:hAnsi="宋体"/>
                <w:color w:val="000000"/>
                <w:kern w:val="0"/>
                <w:sz w:val="21"/>
                <w:szCs w:val="24"/>
              </w:rPr>
            </w:pPr>
            <w:r>
              <w:rPr>
                <w:rFonts w:ascii="宋体" w:hAnsi="宋体"/>
                <w:color w:val="000000"/>
                <w:kern w:val="0"/>
                <w:sz w:val="21"/>
                <w:szCs w:val="24"/>
              </w:rPr>
              <w:t>【基准价计算公式： K= { (P1+P2+P3+…+Pn)/n）}】</w:t>
            </w:r>
          </w:p>
          <w:p w14:paraId="58D71E37">
            <w:pPr>
              <w:spacing w:before="6"/>
              <w:ind w:right="102"/>
              <w:rPr>
                <w:rFonts w:ascii="宋体" w:hAnsi="宋体"/>
                <w:color w:val="000000"/>
                <w:kern w:val="0"/>
                <w:sz w:val="21"/>
                <w:szCs w:val="24"/>
              </w:rPr>
            </w:pPr>
            <w:r>
              <w:rPr>
                <w:rFonts w:ascii="宋体" w:hAnsi="宋体"/>
                <w:color w:val="000000"/>
                <w:kern w:val="0"/>
                <w:sz w:val="21"/>
                <w:szCs w:val="24"/>
              </w:rPr>
              <w:t>2</w:t>
            </w:r>
            <w:r>
              <w:rPr>
                <w:rFonts w:hint="eastAsia" w:ascii="宋体" w:hAnsi="宋体"/>
                <w:color w:val="000000"/>
                <w:kern w:val="0"/>
                <w:sz w:val="21"/>
                <w:szCs w:val="24"/>
              </w:rPr>
              <w:t>、</w:t>
            </w:r>
            <w:r>
              <w:rPr>
                <w:rFonts w:ascii="宋体" w:hAnsi="宋体"/>
                <w:color w:val="000000"/>
                <w:kern w:val="0"/>
                <w:sz w:val="21"/>
                <w:szCs w:val="24"/>
              </w:rPr>
              <w:t>偏差值（Q）计算方法：Q=响应人有效评审价-评审基准价，偏差值计算保留两位小数，四舍五入。</w:t>
            </w:r>
          </w:p>
          <w:p w14:paraId="14C46E25">
            <w:pPr>
              <w:rPr>
                <w:rFonts w:ascii="宋体" w:hAnsi="宋体"/>
                <w:color w:val="000000"/>
                <w:kern w:val="0"/>
                <w:sz w:val="21"/>
                <w:szCs w:val="24"/>
              </w:rPr>
            </w:pPr>
            <w:r>
              <w:rPr>
                <w:rFonts w:ascii="宋体" w:hAnsi="宋体"/>
                <w:color w:val="000000"/>
                <w:kern w:val="0"/>
                <w:sz w:val="21"/>
                <w:szCs w:val="24"/>
              </w:rPr>
              <w:t>3</w:t>
            </w:r>
            <w:r>
              <w:rPr>
                <w:rFonts w:hint="eastAsia" w:ascii="宋体" w:hAnsi="宋体"/>
                <w:color w:val="000000"/>
                <w:kern w:val="0"/>
                <w:sz w:val="21"/>
                <w:szCs w:val="24"/>
              </w:rPr>
              <w:t>、</w:t>
            </w:r>
            <w:r>
              <w:rPr>
                <w:rFonts w:ascii="宋体" w:hAnsi="宋体"/>
                <w:color w:val="000000"/>
                <w:kern w:val="0"/>
                <w:sz w:val="21"/>
                <w:szCs w:val="24"/>
              </w:rPr>
              <w:t>报价分（A）计算方法：</w:t>
            </w:r>
          </w:p>
          <w:p w14:paraId="0BE52717">
            <w:pPr>
              <w:spacing w:before="148"/>
              <w:rPr>
                <w:rFonts w:ascii="宋体" w:hAnsi="宋体"/>
                <w:color w:val="000000"/>
                <w:kern w:val="0"/>
                <w:sz w:val="21"/>
                <w:szCs w:val="24"/>
              </w:rPr>
            </w:pPr>
            <w:r>
              <w:rPr>
                <w:rFonts w:hint="eastAsia" w:ascii="宋体" w:hAnsi="宋体"/>
                <w:color w:val="000000"/>
                <w:kern w:val="0"/>
                <w:sz w:val="21"/>
                <w:szCs w:val="24"/>
              </w:rPr>
              <w:t>①</w:t>
            </w:r>
            <w:r>
              <w:rPr>
                <w:rFonts w:ascii="宋体" w:hAnsi="宋体"/>
                <w:color w:val="000000"/>
                <w:kern w:val="0"/>
                <w:sz w:val="21"/>
                <w:szCs w:val="24"/>
              </w:rPr>
              <w:t xml:space="preserve">若偏差值 Q 等于 0 时，得 </w:t>
            </w:r>
            <w:r>
              <w:rPr>
                <w:rFonts w:hint="eastAsia" w:ascii="宋体" w:hAnsi="宋体" w:eastAsia="宋体"/>
                <w:color w:val="000000"/>
                <w:kern w:val="0"/>
                <w:sz w:val="21"/>
                <w:szCs w:val="24"/>
                <w:lang w:val="en-US" w:eastAsia="zh-CN"/>
              </w:rPr>
              <w:t>30</w:t>
            </w:r>
            <w:r>
              <w:rPr>
                <w:rFonts w:ascii="宋体" w:hAnsi="宋体"/>
                <w:color w:val="000000"/>
                <w:kern w:val="0"/>
                <w:sz w:val="21"/>
                <w:szCs w:val="24"/>
              </w:rPr>
              <w:t xml:space="preserve"> 分（基准分）；</w:t>
            </w:r>
          </w:p>
          <w:p w14:paraId="4D3239F7">
            <w:pPr>
              <w:spacing w:before="167"/>
              <w:ind w:right="154"/>
              <w:rPr>
                <w:rFonts w:ascii="宋体" w:hAnsi="宋体"/>
                <w:color w:val="000000"/>
                <w:kern w:val="0"/>
                <w:sz w:val="21"/>
                <w:szCs w:val="24"/>
              </w:rPr>
            </w:pPr>
            <w:r>
              <w:rPr>
                <w:rFonts w:hint="eastAsia" w:ascii="宋体" w:hAnsi="宋体"/>
                <w:color w:val="000000"/>
                <w:kern w:val="0"/>
                <w:sz w:val="21"/>
                <w:szCs w:val="24"/>
              </w:rPr>
              <w:t>②</w:t>
            </w:r>
            <w:r>
              <w:rPr>
                <w:rFonts w:ascii="宋体" w:hAnsi="宋体"/>
                <w:color w:val="000000"/>
                <w:kern w:val="0"/>
                <w:sz w:val="21"/>
                <w:szCs w:val="24"/>
              </w:rPr>
              <w:t>偏差值 Q 大于 0 时，Q 每大于 1 万元，在基准分基础上扣 1 分，最低得 5 分；</w:t>
            </w:r>
          </w:p>
          <w:p w14:paraId="6C42D9CE">
            <w:pPr>
              <w:ind w:right="154"/>
              <w:rPr>
                <w:rFonts w:ascii="宋体" w:hAnsi="宋体"/>
                <w:color w:val="000000"/>
                <w:kern w:val="0"/>
                <w:sz w:val="21"/>
                <w:szCs w:val="24"/>
              </w:rPr>
            </w:pPr>
            <w:r>
              <w:rPr>
                <w:rFonts w:hint="eastAsia" w:ascii="宋体" w:hAnsi="宋体"/>
                <w:color w:val="000000"/>
                <w:kern w:val="0"/>
                <w:sz w:val="21"/>
                <w:szCs w:val="24"/>
              </w:rPr>
              <w:t>③</w:t>
            </w:r>
            <w:r>
              <w:rPr>
                <w:rFonts w:ascii="宋体" w:hAnsi="宋体"/>
                <w:color w:val="000000"/>
                <w:kern w:val="0"/>
                <w:sz w:val="21"/>
                <w:szCs w:val="24"/>
              </w:rPr>
              <w:t>偏差值 Q 小于 0 时，Q 每小于 1 万元， 在基准分基础上扣 0.5 分， 最低得 5 分。</w:t>
            </w:r>
          </w:p>
          <w:p w14:paraId="61858B41">
            <w:pPr>
              <w:spacing w:before="1"/>
              <w:rPr>
                <w:rFonts w:ascii="宋体" w:hAnsi="宋体"/>
                <w:color w:val="000000"/>
                <w:kern w:val="0"/>
                <w:sz w:val="21"/>
                <w:szCs w:val="24"/>
              </w:rPr>
            </w:pPr>
            <w:r>
              <w:rPr>
                <w:rFonts w:ascii="宋体" w:hAnsi="宋体"/>
                <w:color w:val="000000"/>
                <w:kern w:val="0"/>
                <w:sz w:val="21"/>
                <w:szCs w:val="24"/>
              </w:rPr>
              <w:t>其他情形，按中间插入法计算报价得分。</w:t>
            </w:r>
          </w:p>
          <w:p w14:paraId="699510DB">
            <w:pPr>
              <w:rPr>
                <w:rFonts w:hint="default" w:ascii="宋体" w:hAnsi="宋体" w:eastAsia="宋体" w:cs="宋体"/>
                <w:color w:val="auto"/>
                <w:kern w:val="2"/>
                <w:sz w:val="21"/>
                <w:szCs w:val="21"/>
                <w:highlight w:val="none"/>
                <w:u w:color="000000"/>
                <w:lang w:val="en-US"/>
              </w:rPr>
            </w:pPr>
            <w:r>
              <w:rPr>
                <w:rFonts w:ascii="宋体" w:hAnsi="宋体"/>
                <w:color w:val="000000"/>
                <w:kern w:val="0"/>
                <w:sz w:val="21"/>
                <w:szCs w:val="24"/>
              </w:rPr>
              <w:t>注：报价得分计算保留两位小数，四舍五入。</w:t>
            </w:r>
          </w:p>
        </w:tc>
        <w:tc>
          <w:tcPr>
            <w:tcW w:w="1628" w:type="dxa"/>
            <w:shd w:val="clear" w:color="auto" w:fill="FFFFFF" w:themeFill="background1"/>
            <w:tcMar>
              <w:top w:w="80" w:type="dxa"/>
              <w:left w:w="80" w:type="dxa"/>
              <w:bottom w:w="80" w:type="dxa"/>
              <w:right w:w="80" w:type="dxa"/>
            </w:tcMar>
            <w:vAlign w:val="center"/>
          </w:tcPr>
          <w:p w14:paraId="356EEA65">
            <w:pPr>
              <w:widowControl w:val="0"/>
              <w:tabs>
                <w:tab w:val="left" w:pos="420"/>
                <w:tab w:val="left" w:pos="840"/>
                <w:tab w:val="left" w:pos="1260"/>
              </w:tabs>
              <w:spacing w:before="0" w:line="20" w:lineRule="atLeast"/>
              <w:jc w:val="center"/>
              <w:rPr>
                <w:rFonts w:hint="default"/>
                <w:color w:val="auto"/>
                <w:highlight w:val="none"/>
              </w:rPr>
            </w:pPr>
            <w:r>
              <w:rPr>
                <w:rFonts w:ascii="宋体" w:hAnsi="宋体" w:eastAsia="宋体" w:cs="宋体"/>
                <w:color w:val="auto"/>
                <w:kern w:val="2"/>
                <w:sz w:val="21"/>
                <w:szCs w:val="21"/>
                <w:highlight w:val="none"/>
                <w:u w:color="000000"/>
              </w:rPr>
              <w:t>提供响应报价，并加盖公章</w:t>
            </w:r>
          </w:p>
        </w:tc>
        <w:tc>
          <w:tcPr>
            <w:tcW w:w="800" w:type="dxa"/>
            <w:shd w:val="clear" w:color="auto" w:fill="FFFFFF" w:themeFill="background1"/>
            <w:tcMar>
              <w:top w:w="80" w:type="dxa"/>
              <w:left w:w="80" w:type="dxa"/>
              <w:bottom w:w="80" w:type="dxa"/>
              <w:right w:w="80" w:type="dxa"/>
            </w:tcMar>
            <w:vAlign w:val="center"/>
          </w:tcPr>
          <w:p w14:paraId="3D512137">
            <w:pPr>
              <w:widowControl w:val="0"/>
              <w:tabs>
                <w:tab w:val="left" w:pos="420"/>
              </w:tabs>
              <w:spacing w:before="0" w:line="20" w:lineRule="atLeast"/>
              <w:jc w:val="center"/>
              <w:rPr>
                <w:rFonts w:hint="default"/>
                <w:color w:val="auto"/>
                <w:highlight w:val="none"/>
              </w:rPr>
            </w:pPr>
            <w:r>
              <w:rPr>
                <w:rFonts w:hint="eastAsia" w:ascii="宋体" w:hAnsi="宋体" w:eastAsia="宋体" w:cs="宋体"/>
                <w:color w:val="auto"/>
                <w:kern w:val="2"/>
                <w:sz w:val="21"/>
                <w:szCs w:val="21"/>
                <w:highlight w:val="none"/>
                <w:u w:color="000000"/>
                <w:lang w:val="en-US" w:eastAsia="zh-CN"/>
              </w:rPr>
              <w:t>30</w:t>
            </w:r>
            <w:r>
              <w:rPr>
                <w:rFonts w:ascii="宋体" w:hAnsi="宋体" w:eastAsia="宋体" w:cs="宋体"/>
                <w:color w:val="auto"/>
                <w:kern w:val="2"/>
                <w:sz w:val="21"/>
                <w:szCs w:val="21"/>
                <w:highlight w:val="none"/>
                <w:u w:color="000000"/>
              </w:rPr>
              <w:t>分</w:t>
            </w:r>
          </w:p>
        </w:tc>
        <w:tc>
          <w:tcPr>
            <w:tcW w:w="508" w:type="dxa"/>
            <w:shd w:val="clear" w:color="auto" w:fill="FFFFFF" w:themeFill="background1"/>
            <w:tcMar>
              <w:top w:w="80" w:type="dxa"/>
              <w:left w:w="80" w:type="dxa"/>
              <w:bottom w:w="80" w:type="dxa"/>
              <w:right w:w="80" w:type="dxa"/>
            </w:tcMar>
            <w:vAlign w:val="center"/>
          </w:tcPr>
          <w:p w14:paraId="7434B427">
            <w:pPr>
              <w:rPr>
                <w:rFonts w:hint="default"/>
                <w:color w:val="auto"/>
              </w:rPr>
            </w:pPr>
          </w:p>
        </w:tc>
        <w:tc>
          <w:tcPr>
            <w:tcW w:w="956" w:type="dxa"/>
            <w:shd w:val="clear" w:color="auto" w:fill="FFFFFF" w:themeFill="background1"/>
            <w:tcMar>
              <w:top w:w="80" w:type="dxa"/>
              <w:left w:w="80" w:type="dxa"/>
              <w:bottom w:w="80" w:type="dxa"/>
              <w:right w:w="80" w:type="dxa"/>
            </w:tcMar>
            <w:vAlign w:val="center"/>
          </w:tcPr>
          <w:p w14:paraId="3BEFEDB3">
            <w:pPr>
              <w:rPr>
                <w:rFonts w:hint="default"/>
                <w:color w:val="auto"/>
              </w:rPr>
            </w:pPr>
          </w:p>
        </w:tc>
        <w:tc>
          <w:tcPr>
            <w:tcW w:w="827" w:type="dxa"/>
            <w:shd w:val="clear" w:color="auto" w:fill="FFFFFF" w:themeFill="background1"/>
            <w:tcMar>
              <w:top w:w="80" w:type="dxa"/>
              <w:left w:w="80" w:type="dxa"/>
              <w:bottom w:w="80" w:type="dxa"/>
              <w:right w:w="80" w:type="dxa"/>
            </w:tcMar>
            <w:vAlign w:val="center"/>
          </w:tcPr>
          <w:p w14:paraId="7BBD476E">
            <w:pPr>
              <w:rPr>
                <w:rFonts w:hint="default"/>
                <w:color w:val="auto"/>
              </w:rPr>
            </w:pPr>
          </w:p>
        </w:tc>
      </w:tr>
      <w:tr w14:paraId="4230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2110" w:hRule="atLeast"/>
          <w:jc w:val="center"/>
        </w:trPr>
        <w:tc>
          <w:tcPr>
            <w:tcW w:w="556" w:type="dxa"/>
            <w:shd w:val="clear" w:color="auto" w:fill="auto"/>
            <w:tcMar>
              <w:top w:w="80" w:type="dxa"/>
              <w:left w:w="80" w:type="dxa"/>
              <w:bottom w:w="80" w:type="dxa"/>
              <w:right w:w="80" w:type="dxa"/>
            </w:tcMar>
            <w:vAlign w:val="center"/>
          </w:tcPr>
          <w:p w14:paraId="12FB694F">
            <w:pPr>
              <w:tabs>
                <w:tab w:val="left" w:pos="420"/>
              </w:tabs>
              <w:spacing w:before="0" w:line="20" w:lineRule="atLeast"/>
              <w:jc w:val="center"/>
              <w:rPr>
                <w:rFonts w:hint="default" w:ascii="宋体" w:hAnsi="宋体" w:eastAsia="宋体" w:cs="宋体"/>
                <w:color w:val="auto"/>
                <w:kern w:val="2"/>
                <w:sz w:val="21"/>
                <w:szCs w:val="21"/>
                <w:u w:color="000000"/>
                <w:lang w:val="en-US" w:eastAsia="zh-CN"/>
              </w:rPr>
            </w:pPr>
            <w:r>
              <w:rPr>
                <w:rFonts w:hint="eastAsia" w:ascii="宋体" w:hAnsi="宋体" w:eastAsia="宋体" w:cs="宋体"/>
                <w:color w:val="auto"/>
                <w:kern w:val="2"/>
                <w:sz w:val="21"/>
                <w:szCs w:val="21"/>
                <w:u w:color="000000"/>
                <w:lang w:val="en-US" w:eastAsia="zh-CN"/>
              </w:rPr>
              <w:t>5</w:t>
            </w:r>
          </w:p>
        </w:tc>
        <w:tc>
          <w:tcPr>
            <w:tcW w:w="795" w:type="dxa"/>
            <w:shd w:val="clear" w:color="auto" w:fill="auto"/>
            <w:tcMar>
              <w:top w:w="80" w:type="dxa"/>
              <w:left w:w="80" w:type="dxa"/>
              <w:bottom w:w="80" w:type="dxa"/>
              <w:right w:w="80" w:type="dxa"/>
            </w:tcMar>
            <w:vAlign w:val="center"/>
          </w:tcPr>
          <w:p w14:paraId="6AFEFB82">
            <w:pPr>
              <w:widowControl w:val="0"/>
              <w:tabs>
                <w:tab w:val="left" w:pos="420"/>
              </w:tabs>
              <w:spacing w:before="0" w:line="20" w:lineRule="atLeast"/>
              <w:jc w:val="center"/>
              <w:rPr>
                <w:rFonts w:hint="default" w:ascii="宋体" w:hAnsi="宋体" w:eastAsia="宋体" w:cs="宋体"/>
                <w:color w:val="auto"/>
                <w:kern w:val="2"/>
                <w:sz w:val="21"/>
                <w:szCs w:val="21"/>
                <w:highlight w:val="none"/>
                <w:u w:color="000000"/>
                <w:lang w:val="en-US"/>
              </w:rPr>
            </w:pPr>
          </w:p>
          <w:p w14:paraId="5CB301EC">
            <w:pPr>
              <w:widowControl w:val="0"/>
              <w:tabs>
                <w:tab w:val="left" w:pos="420"/>
              </w:tabs>
              <w:spacing w:before="0" w:line="20" w:lineRule="atLeast"/>
              <w:jc w:val="center"/>
              <w:rPr>
                <w:rFonts w:hint="eastAsia" w:ascii="宋体" w:hAnsi="宋体" w:eastAsia="宋体" w:cs="宋体"/>
                <w:color w:val="auto"/>
                <w:kern w:val="2"/>
                <w:sz w:val="21"/>
                <w:szCs w:val="21"/>
                <w:highlight w:val="none"/>
                <w:u w:color="000000"/>
                <w:lang w:val="en-US" w:eastAsia="zh-CN"/>
              </w:rPr>
            </w:pPr>
            <w:r>
              <w:rPr>
                <w:rFonts w:hint="eastAsia" w:ascii="宋体" w:hAnsi="宋体" w:eastAsia="宋体" w:cs="宋体"/>
                <w:color w:val="auto"/>
                <w:kern w:val="2"/>
                <w:sz w:val="21"/>
                <w:szCs w:val="21"/>
                <w:highlight w:val="none"/>
                <w:u w:color="000000"/>
                <w:lang w:val="en-US" w:eastAsia="zh-CN"/>
              </w:rPr>
              <w:t>服务业绩得分</w:t>
            </w:r>
          </w:p>
        </w:tc>
        <w:tc>
          <w:tcPr>
            <w:tcW w:w="3885" w:type="dxa"/>
            <w:shd w:val="clear" w:color="auto" w:fill="auto"/>
            <w:tcMar>
              <w:top w:w="80" w:type="dxa"/>
              <w:left w:w="80" w:type="dxa"/>
              <w:bottom w:w="80" w:type="dxa"/>
              <w:right w:w="80" w:type="dxa"/>
            </w:tcMar>
            <w:vAlign w:val="center"/>
          </w:tcPr>
          <w:p w14:paraId="66450318">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auto"/>
                <w:kern w:val="2"/>
                <w:sz w:val="21"/>
                <w:szCs w:val="21"/>
                <w:highlight w:val="none"/>
                <w:u w:color="000000"/>
                <w:lang w:val="en-US" w:eastAsia="zh-CN"/>
              </w:rPr>
            </w:pPr>
            <w:r>
              <w:rPr>
                <w:rFonts w:hint="eastAsia" w:ascii="宋体" w:hAnsi="宋体" w:eastAsia="宋体" w:cs="宋体"/>
                <w:color w:val="auto"/>
                <w:kern w:val="2"/>
                <w:sz w:val="21"/>
                <w:szCs w:val="21"/>
                <w:highlight w:val="none"/>
                <w:u w:color="000000"/>
                <w:lang w:val="en-US" w:eastAsia="zh-CN"/>
              </w:rPr>
              <w:t>提供2023年至今财税顾问服务案例业绩：</w:t>
            </w:r>
          </w:p>
          <w:p w14:paraId="79D541BB">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auto"/>
                <w:kern w:val="2"/>
                <w:sz w:val="21"/>
                <w:szCs w:val="21"/>
                <w:highlight w:val="none"/>
                <w:u w:color="000000"/>
                <w:lang w:val="en-US" w:eastAsia="zh-CN"/>
              </w:rPr>
            </w:pPr>
            <w:r>
              <w:rPr>
                <w:rFonts w:hint="eastAsia" w:ascii="宋体" w:hAnsi="宋体" w:eastAsia="宋体" w:cs="宋体"/>
                <w:color w:val="auto"/>
                <w:kern w:val="2"/>
                <w:sz w:val="21"/>
                <w:szCs w:val="21"/>
                <w:highlight w:val="none"/>
                <w:u w:color="000000"/>
                <w:lang w:val="en-US" w:eastAsia="zh-CN"/>
              </w:rPr>
              <w:t>1、提供5项及以上业绩，得20分；</w:t>
            </w:r>
          </w:p>
          <w:p w14:paraId="2B411689">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auto"/>
                <w:kern w:val="2"/>
                <w:sz w:val="21"/>
                <w:szCs w:val="21"/>
                <w:highlight w:val="none"/>
                <w:u w:color="000000"/>
                <w:lang w:val="en-US" w:eastAsia="zh-CN"/>
              </w:rPr>
            </w:pPr>
            <w:r>
              <w:rPr>
                <w:rFonts w:hint="eastAsia" w:ascii="宋体" w:hAnsi="宋体" w:eastAsia="宋体" w:cs="宋体"/>
                <w:color w:val="auto"/>
                <w:kern w:val="2"/>
                <w:sz w:val="21"/>
                <w:szCs w:val="21"/>
                <w:highlight w:val="none"/>
                <w:u w:color="000000"/>
                <w:lang w:val="en-US" w:eastAsia="zh-CN"/>
              </w:rPr>
              <w:t>2、提供3-4项业绩，得15分；</w:t>
            </w:r>
          </w:p>
          <w:p w14:paraId="18F17434">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auto"/>
                <w:kern w:val="2"/>
                <w:sz w:val="21"/>
                <w:szCs w:val="21"/>
                <w:highlight w:val="none"/>
                <w:u w:color="000000"/>
                <w:lang w:val="en-US" w:eastAsia="zh-CN"/>
              </w:rPr>
            </w:pPr>
            <w:r>
              <w:rPr>
                <w:rFonts w:hint="eastAsia" w:ascii="宋体" w:hAnsi="宋体" w:eastAsia="宋体" w:cs="宋体"/>
                <w:color w:val="auto"/>
                <w:kern w:val="2"/>
                <w:sz w:val="21"/>
                <w:szCs w:val="21"/>
                <w:highlight w:val="none"/>
                <w:u w:color="000000"/>
                <w:lang w:val="en-US" w:eastAsia="zh-CN"/>
              </w:rPr>
              <w:t>3、提供1-2项业绩，得10分。</w:t>
            </w:r>
          </w:p>
          <w:p w14:paraId="0B4CFB39">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color w:val="auto"/>
                <w:kern w:val="2"/>
                <w:sz w:val="21"/>
                <w:szCs w:val="21"/>
                <w:highlight w:val="none"/>
                <w:u w:color="000000"/>
                <w:lang w:val="en-US" w:eastAsia="zh-CN"/>
              </w:rPr>
            </w:pPr>
            <w:r>
              <w:rPr>
                <w:rFonts w:hint="eastAsia" w:ascii="宋体" w:hAnsi="宋体" w:eastAsia="宋体" w:cs="宋体"/>
                <w:color w:val="auto"/>
                <w:kern w:val="2"/>
                <w:sz w:val="21"/>
                <w:szCs w:val="21"/>
                <w:highlight w:val="none"/>
                <w:u w:color="000000"/>
                <w:lang w:val="en-US" w:eastAsia="zh-CN"/>
              </w:rPr>
              <w:t>重复项目仅作一次统计。</w:t>
            </w:r>
          </w:p>
        </w:tc>
        <w:tc>
          <w:tcPr>
            <w:tcW w:w="1628" w:type="dxa"/>
            <w:shd w:val="clear" w:color="auto" w:fill="auto"/>
            <w:tcMar>
              <w:top w:w="80" w:type="dxa"/>
              <w:left w:w="80" w:type="dxa"/>
              <w:bottom w:w="80" w:type="dxa"/>
              <w:right w:w="80" w:type="dxa"/>
            </w:tcMar>
            <w:vAlign w:val="center"/>
          </w:tcPr>
          <w:p w14:paraId="0096B0D0">
            <w:pPr>
              <w:widowControl w:val="0"/>
              <w:tabs>
                <w:tab w:val="left" w:pos="420"/>
                <w:tab w:val="left" w:pos="840"/>
                <w:tab w:val="left" w:pos="1260"/>
              </w:tabs>
              <w:spacing w:before="0" w:line="20" w:lineRule="atLeast"/>
              <w:jc w:val="center"/>
              <w:rPr>
                <w:rFonts w:hint="eastAsia" w:ascii="宋体" w:hAnsi="宋体" w:eastAsia="宋体" w:cs="宋体"/>
                <w:color w:val="auto"/>
                <w:kern w:val="2"/>
                <w:sz w:val="21"/>
                <w:szCs w:val="21"/>
                <w:highlight w:val="none"/>
                <w:u w:color="000000"/>
                <w:lang w:val="en-US" w:eastAsia="zh-CN"/>
              </w:rPr>
            </w:pPr>
            <w:r>
              <w:rPr>
                <w:rFonts w:hint="eastAsia" w:ascii="宋体" w:hAnsi="宋体" w:eastAsia="宋体" w:cs="宋体"/>
                <w:color w:val="auto"/>
                <w:kern w:val="2"/>
                <w:sz w:val="21"/>
                <w:szCs w:val="21"/>
                <w:highlight w:val="none"/>
                <w:u w:color="000000"/>
                <w:lang w:val="en-US" w:eastAsia="zh-CN"/>
              </w:rPr>
              <w:t>提供合同复印件加盖公章（如相关合同涉及商业秘密，响应单位可自行隐去关键内容，体现合同签订时间、合同双方签字盖章即可）</w:t>
            </w:r>
          </w:p>
        </w:tc>
        <w:tc>
          <w:tcPr>
            <w:tcW w:w="800" w:type="dxa"/>
            <w:shd w:val="clear" w:color="auto" w:fill="auto"/>
            <w:tcMar>
              <w:top w:w="80" w:type="dxa"/>
              <w:left w:w="80" w:type="dxa"/>
              <w:bottom w:w="80" w:type="dxa"/>
              <w:right w:w="80" w:type="dxa"/>
            </w:tcMar>
            <w:vAlign w:val="center"/>
          </w:tcPr>
          <w:p w14:paraId="342C7707">
            <w:pPr>
              <w:widowControl w:val="0"/>
              <w:tabs>
                <w:tab w:val="left" w:pos="420"/>
              </w:tabs>
              <w:spacing w:before="0" w:line="20" w:lineRule="atLeast"/>
              <w:jc w:val="center"/>
              <w:rPr>
                <w:rFonts w:hint="default" w:ascii="宋体" w:hAnsi="宋体" w:eastAsia="宋体" w:cs="宋体"/>
                <w:color w:val="auto"/>
                <w:kern w:val="2"/>
                <w:sz w:val="21"/>
                <w:szCs w:val="21"/>
                <w:u w:color="000000"/>
                <w:lang w:val="en-US" w:eastAsia="zh-CN"/>
              </w:rPr>
            </w:pPr>
            <w:r>
              <w:rPr>
                <w:rFonts w:hint="eastAsia" w:ascii="宋体" w:hAnsi="宋体" w:eastAsia="宋体" w:cs="宋体"/>
                <w:color w:val="auto"/>
                <w:kern w:val="2"/>
                <w:sz w:val="21"/>
                <w:szCs w:val="21"/>
                <w:u w:color="000000"/>
                <w:lang w:val="en-US" w:eastAsia="zh-CN"/>
              </w:rPr>
              <w:t>20分</w:t>
            </w:r>
          </w:p>
        </w:tc>
        <w:tc>
          <w:tcPr>
            <w:tcW w:w="508" w:type="dxa"/>
            <w:shd w:val="clear" w:color="auto" w:fill="auto"/>
            <w:tcMar>
              <w:top w:w="80" w:type="dxa"/>
              <w:left w:w="80" w:type="dxa"/>
              <w:bottom w:w="80" w:type="dxa"/>
              <w:right w:w="80" w:type="dxa"/>
            </w:tcMar>
            <w:vAlign w:val="center"/>
          </w:tcPr>
          <w:p w14:paraId="79EE4CFD">
            <w:pPr>
              <w:rPr>
                <w:rFonts w:hint="default"/>
                <w:color w:val="auto"/>
                <w:lang w:val="en-US"/>
              </w:rPr>
            </w:pPr>
          </w:p>
        </w:tc>
        <w:tc>
          <w:tcPr>
            <w:tcW w:w="956" w:type="dxa"/>
            <w:shd w:val="clear" w:color="auto" w:fill="auto"/>
            <w:tcMar>
              <w:top w:w="80" w:type="dxa"/>
              <w:left w:w="80" w:type="dxa"/>
              <w:bottom w:w="80" w:type="dxa"/>
              <w:right w:w="80" w:type="dxa"/>
            </w:tcMar>
            <w:vAlign w:val="center"/>
          </w:tcPr>
          <w:p w14:paraId="726D6D1D">
            <w:pPr>
              <w:rPr>
                <w:rFonts w:hint="default"/>
                <w:color w:val="auto"/>
                <w:lang w:val="en-US"/>
              </w:rPr>
            </w:pPr>
          </w:p>
        </w:tc>
        <w:tc>
          <w:tcPr>
            <w:tcW w:w="827" w:type="dxa"/>
            <w:shd w:val="clear" w:color="auto" w:fill="auto"/>
            <w:tcMar>
              <w:top w:w="80" w:type="dxa"/>
              <w:left w:w="80" w:type="dxa"/>
              <w:bottom w:w="80" w:type="dxa"/>
              <w:right w:w="80" w:type="dxa"/>
            </w:tcMar>
            <w:vAlign w:val="center"/>
          </w:tcPr>
          <w:p w14:paraId="2960A309">
            <w:pPr>
              <w:rPr>
                <w:rFonts w:hint="default"/>
                <w:color w:val="auto"/>
                <w:lang w:val="en-US"/>
              </w:rPr>
            </w:pPr>
          </w:p>
        </w:tc>
      </w:tr>
      <w:tr w14:paraId="3A70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625" w:hRule="atLeast"/>
          <w:jc w:val="center"/>
        </w:trPr>
        <w:tc>
          <w:tcPr>
            <w:tcW w:w="6864" w:type="dxa"/>
            <w:gridSpan w:val="4"/>
            <w:shd w:val="clear" w:color="auto" w:fill="auto"/>
            <w:tcMar>
              <w:top w:w="80" w:type="dxa"/>
              <w:left w:w="80" w:type="dxa"/>
              <w:bottom w:w="80" w:type="dxa"/>
              <w:right w:w="80" w:type="dxa"/>
            </w:tcMar>
            <w:vAlign w:val="center"/>
          </w:tcPr>
          <w:p w14:paraId="73583F5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before="0" w:line="20" w:lineRule="atLeast"/>
              <w:jc w:val="center"/>
              <w:rPr>
                <w:rFonts w:hint="default"/>
                <w:color w:val="auto"/>
              </w:rPr>
            </w:pPr>
            <w:r>
              <w:rPr>
                <w:rFonts w:ascii="宋体" w:hAnsi="宋体" w:eastAsia="宋体" w:cs="宋体"/>
                <w:color w:val="auto"/>
                <w:kern w:val="2"/>
                <w:sz w:val="21"/>
                <w:szCs w:val="21"/>
                <w:u w:color="000000"/>
              </w:rPr>
              <w:t>合计</w:t>
            </w:r>
          </w:p>
        </w:tc>
        <w:tc>
          <w:tcPr>
            <w:tcW w:w="800" w:type="dxa"/>
            <w:shd w:val="clear" w:color="auto" w:fill="auto"/>
            <w:tcMar>
              <w:top w:w="80" w:type="dxa"/>
              <w:left w:w="80" w:type="dxa"/>
              <w:bottom w:w="80" w:type="dxa"/>
              <w:right w:w="80" w:type="dxa"/>
            </w:tcMar>
            <w:vAlign w:val="center"/>
          </w:tcPr>
          <w:p w14:paraId="12790589">
            <w:pPr>
              <w:tabs>
                <w:tab w:val="left" w:pos="420"/>
              </w:tabs>
              <w:spacing w:before="0" w:line="20" w:lineRule="atLeast"/>
              <w:jc w:val="center"/>
              <w:rPr>
                <w:rFonts w:hint="default"/>
                <w:color w:val="auto"/>
              </w:rPr>
            </w:pPr>
            <w:r>
              <w:rPr>
                <w:rFonts w:ascii="宋体" w:hAnsi="宋体" w:eastAsia="宋体" w:cs="宋体"/>
                <w:color w:val="auto"/>
                <w:kern w:val="2"/>
                <w:sz w:val="21"/>
                <w:szCs w:val="21"/>
                <w:u w:color="000000"/>
                <w:lang w:val="en-US"/>
              </w:rPr>
              <w:t>100</w:t>
            </w:r>
            <w:r>
              <w:rPr>
                <w:rFonts w:ascii="宋体" w:hAnsi="宋体" w:eastAsia="宋体" w:cs="宋体"/>
                <w:color w:val="auto"/>
                <w:kern w:val="2"/>
                <w:sz w:val="21"/>
                <w:szCs w:val="21"/>
                <w:u w:color="000000"/>
              </w:rPr>
              <w:t>分</w:t>
            </w:r>
          </w:p>
        </w:tc>
        <w:tc>
          <w:tcPr>
            <w:tcW w:w="508" w:type="dxa"/>
            <w:shd w:val="clear" w:color="auto" w:fill="auto"/>
            <w:tcMar>
              <w:top w:w="80" w:type="dxa"/>
              <w:left w:w="80" w:type="dxa"/>
              <w:bottom w:w="80" w:type="dxa"/>
              <w:right w:w="80" w:type="dxa"/>
            </w:tcMar>
            <w:vAlign w:val="center"/>
          </w:tcPr>
          <w:p w14:paraId="21502E59">
            <w:pPr>
              <w:rPr>
                <w:rFonts w:hint="default"/>
                <w:color w:val="auto"/>
              </w:rPr>
            </w:pPr>
          </w:p>
        </w:tc>
        <w:tc>
          <w:tcPr>
            <w:tcW w:w="956" w:type="dxa"/>
            <w:shd w:val="clear" w:color="auto" w:fill="auto"/>
            <w:tcMar>
              <w:top w:w="80" w:type="dxa"/>
              <w:left w:w="80" w:type="dxa"/>
              <w:bottom w:w="80" w:type="dxa"/>
              <w:right w:w="80" w:type="dxa"/>
            </w:tcMar>
            <w:vAlign w:val="center"/>
          </w:tcPr>
          <w:p w14:paraId="198C124E">
            <w:pPr>
              <w:rPr>
                <w:rFonts w:hint="default"/>
                <w:color w:val="auto"/>
              </w:rPr>
            </w:pPr>
          </w:p>
        </w:tc>
        <w:tc>
          <w:tcPr>
            <w:tcW w:w="827" w:type="dxa"/>
            <w:shd w:val="clear" w:color="auto" w:fill="auto"/>
            <w:tcMar>
              <w:top w:w="80" w:type="dxa"/>
              <w:left w:w="80" w:type="dxa"/>
              <w:bottom w:w="80" w:type="dxa"/>
              <w:right w:w="80" w:type="dxa"/>
            </w:tcMar>
            <w:vAlign w:val="center"/>
          </w:tcPr>
          <w:p w14:paraId="34747DF8">
            <w:pPr>
              <w:rPr>
                <w:rFonts w:hint="default"/>
                <w:color w:val="auto"/>
              </w:rPr>
            </w:pPr>
          </w:p>
        </w:tc>
      </w:tr>
      <w:tr w14:paraId="2610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347" w:hRule="atLeast"/>
          <w:jc w:val="center"/>
        </w:trPr>
        <w:tc>
          <w:tcPr>
            <w:tcW w:w="6864" w:type="dxa"/>
            <w:gridSpan w:val="4"/>
            <w:shd w:val="clear" w:color="auto" w:fill="FFFFFF" w:themeFill="background1"/>
            <w:tcMar>
              <w:top w:w="80" w:type="dxa"/>
              <w:left w:w="80" w:type="dxa"/>
              <w:bottom w:w="80" w:type="dxa"/>
              <w:right w:w="80" w:type="dxa"/>
            </w:tcMar>
            <w:vAlign w:val="center"/>
          </w:tcPr>
          <w:p w14:paraId="44AE31A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before="0" w:line="20" w:lineRule="atLeast"/>
              <w:jc w:val="center"/>
              <w:rPr>
                <w:rFonts w:hint="default"/>
                <w:color w:val="auto"/>
              </w:rPr>
            </w:pPr>
            <w:r>
              <w:rPr>
                <w:rFonts w:ascii="宋体" w:hAnsi="宋体" w:eastAsia="宋体" w:cs="宋体"/>
                <w:b/>
                <w:bCs/>
                <w:color w:val="auto"/>
                <w:kern w:val="2"/>
                <w:sz w:val="21"/>
                <w:szCs w:val="21"/>
                <w:highlight w:val="none"/>
                <w:u w:color="000000"/>
              </w:rPr>
              <w:t>拟推荐成交候选供应商（原则推荐</w:t>
            </w:r>
            <w:r>
              <w:rPr>
                <w:rFonts w:hint="eastAsia" w:ascii="宋体" w:hAnsi="宋体" w:eastAsia="宋体" w:cs="宋体"/>
                <w:b/>
                <w:bCs/>
                <w:color w:val="auto"/>
                <w:kern w:val="2"/>
                <w:sz w:val="21"/>
                <w:szCs w:val="21"/>
                <w:highlight w:val="none"/>
                <w:u w:color="000000"/>
              </w:rPr>
              <w:t>评审得票最高的</w:t>
            </w:r>
            <w:r>
              <w:rPr>
                <w:rFonts w:ascii="宋体" w:hAnsi="宋体" w:eastAsia="宋体" w:cs="宋体"/>
                <w:b/>
                <w:bCs/>
                <w:color w:val="auto"/>
                <w:kern w:val="2"/>
                <w:sz w:val="21"/>
                <w:szCs w:val="21"/>
                <w:highlight w:val="none"/>
                <w:u w:color="000000"/>
              </w:rPr>
              <w:t>单位）</w:t>
            </w:r>
          </w:p>
        </w:tc>
        <w:tc>
          <w:tcPr>
            <w:tcW w:w="3091" w:type="dxa"/>
            <w:gridSpan w:val="4"/>
            <w:shd w:val="clear" w:color="auto" w:fill="FFFFFF" w:themeFill="background1"/>
            <w:tcMar>
              <w:top w:w="80" w:type="dxa"/>
              <w:left w:w="80" w:type="dxa"/>
              <w:bottom w:w="80" w:type="dxa"/>
              <w:right w:w="80" w:type="dxa"/>
            </w:tcMar>
            <w:vAlign w:val="center"/>
          </w:tcPr>
          <w:p w14:paraId="4AB1C6F9">
            <w:pPr>
              <w:rPr>
                <w:rFonts w:hint="default"/>
                <w:color w:val="auto"/>
              </w:rPr>
            </w:pPr>
          </w:p>
        </w:tc>
      </w:tr>
    </w:tbl>
    <w:p w14:paraId="621E4FB2">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firstLine="420"/>
        <w:jc w:val="both"/>
        <w:rPr>
          <w:rFonts w:hint="default" w:ascii="黑体" w:hAnsi="黑体" w:eastAsia="黑体" w:cs="黑体"/>
          <w:kern w:val="2"/>
          <w:sz w:val="21"/>
          <w:szCs w:val="21"/>
          <w:highlight w:val="none"/>
          <w:u w:color="000000"/>
        </w:rPr>
      </w:pPr>
      <w:r>
        <w:rPr>
          <w:rFonts w:ascii="黑体" w:hAnsi="黑体" w:eastAsia="黑体" w:cs="黑体"/>
          <w:kern w:val="2"/>
          <w:sz w:val="21"/>
          <w:szCs w:val="21"/>
          <w:highlight w:val="none"/>
          <w:u w:color="000000"/>
        </w:rPr>
        <w:t>备注：</w:t>
      </w:r>
      <w:r>
        <w:rPr>
          <w:rFonts w:ascii="黑体" w:hAnsi="黑体" w:eastAsia="黑体" w:cs="黑体"/>
          <w:kern w:val="2"/>
          <w:sz w:val="21"/>
          <w:szCs w:val="21"/>
          <w:highlight w:val="none"/>
          <w:u w:color="000000"/>
          <w:lang w:val="en-US"/>
        </w:rPr>
        <w:t>1.</w:t>
      </w:r>
      <w:r>
        <w:rPr>
          <w:rFonts w:ascii="黑体" w:hAnsi="黑体" w:eastAsia="黑体" w:cs="黑体"/>
          <w:kern w:val="2"/>
          <w:sz w:val="21"/>
          <w:szCs w:val="21"/>
          <w:highlight w:val="none"/>
          <w:u w:color="000000"/>
        </w:rPr>
        <w:t>各项评审打分按照四舍五入，小数点后保留</w:t>
      </w:r>
      <w:r>
        <w:rPr>
          <w:rFonts w:ascii="黑体" w:hAnsi="黑体" w:eastAsia="黑体" w:cs="黑体"/>
          <w:kern w:val="2"/>
          <w:sz w:val="21"/>
          <w:szCs w:val="21"/>
          <w:highlight w:val="none"/>
          <w:u w:color="000000"/>
          <w:lang w:val="en-US"/>
        </w:rPr>
        <w:t>2</w:t>
      </w:r>
      <w:r>
        <w:rPr>
          <w:rFonts w:ascii="黑体" w:hAnsi="黑体" w:eastAsia="黑体" w:cs="黑体"/>
          <w:kern w:val="2"/>
          <w:sz w:val="21"/>
          <w:szCs w:val="21"/>
          <w:highlight w:val="none"/>
          <w:u w:color="000000"/>
        </w:rPr>
        <w:t>位进行计算；</w:t>
      </w:r>
    </w:p>
    <w:p w14:paraId="4BCCE32B">
      <w:r>
        <w:rPr>
          <w:rFonts w:ascii="黑体" w:hAnsi="黑体" w:eastAsia="黑体" w:cs="黑体"/>
          <w:kern w:val="2"/>
          <w:sz w:val="21"/>
          <w:szCs w:val="21"/>
          <w:highlight w:val="none"/>
          <w:u w:color="000000"/>
          <w:lang w:val="en-US"/>
        </w:rPr>
        <w:t xml:space="preserve">          2.</w:t>
      </w:r>
      <w:r>
        <w:rPr>
          <w:rFonts w:ascii="黑体" w:hAnsi="黑体" w:eastAsia="黑体" w:cs="黑体"/>
          <w:kern w:val="2"/>
          <w:sz w:val="21"/>
          <w:szCs w:val="21"/>
          <w:highlight w:val="none"/>
          <w:u w:color="000000"/>
        </w:rPr>
        <w:t>若出现拟推荐成交候选供应商票数相同的情况，以未推荐上述单位的评审专家对并列第一的候选供应商既定打分排序作为最终选定依据。</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4070D"/>
    <w:rsid w:val="0C5A7452"/>
    <w:rsid w:val="13A4070D"/>
    <w:rsid w:val="60B55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1"/>
    </w:rPr>
  </w:style>
  <w:style w:type="paragraph" w:styleId="3">
    <w:name w:val="index 8"/>
    <w:basedOn w:val="1"/>
    <w:next w:val="1"/>
    <w:unhideWhenUsed/>
    <w:qFormat/>
    <w:uiPriority w:val="99"/>
    <w:pPr>
      <w:ind w:left="1400" w:leftChars="1400"/>
    </w:pPr>
  </w:style>
  <w:style w:type="paragraph" w:customStyle="1" w:styleId="6">
    <w:name w:val="p3"/>
    <w:basedOn w:val="1"/>
    <w:qFormat/>
    <w:uiPriority w:val="0"/>
    <w:pPr>
      <w:spacing w:line="30" w:lineRule="atLeast"/>
      <w:jc w:val="center"/>
    </w:pPr>
    <w:rPr>
      <w:rFonts w:hint="eastAsia" w:ascii="宋体" w:hAnsi="宋体" w:cs="宋体"/>
      <w:kern w:val="0"/>
      <w:sz w:val="36"/>
      <w:szCs w:val="36"/>
    </w:rPr>
  </w:style>
  <w:style w:type="paragraph" w:styleId="7">
    <w:name w:val="List Paragraph"/>
    <w:basedOn w:val="1"/>
    <w:qFormat/>
    <w:uiPriority w:val="34"/>
    <w:pPr>
      <w:ind w:firstLine="420" w:firstLineChars="200"/>
    </w:pPr>
  </w:style>
  <w:style w:type="table" w:customStyle="1" w:styleId="8">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2025-06-13T01:48:00Z</dcterms:created>
  <dc:creator>實誠</dc:creator>
  <cp:lastModifiedBy>實誠</cp:lastModifiedBy>
  <dcterms:modified xsi:type="dcterms:W3CDTF">2025-06-13T01:49:03Z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80644836A2F3471485892C06C81DC66D_13</vt:lpwstr>
  </property>
  <property fmtid="{D5CDD505-2E9C-101B-9397-08002B2CF9AE}" pid="4" name="KSOTemplateDocerSaveRecord">
    <vt:lpwstr>eyJoZGlkIjoiZjYxZTUyYjc1MzQwNWRmNjlmMWQyYmQ2NmM1M2U4MmMiLCJ1c2VySWQiOiI2OTk3NTA5NDAifQ==</vt:lpwstr>
  </property>
</Properties>
</file>