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1D407">
      <w:pPr>
        <w:pStyle w:val="3"/>
        <w:adjustRightInd w:val="0"/>
        <w:snapToGrid w:val="0"/>
        <w:spacing w:after="93" w:afterLines="30"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（合同编号：</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14:paraId="59CEDA79">
      <w:pPr>
        <w:adjustRightInd w:val="0"/>
        <w:snapToGrid w:val="0"/>
        <w:spacing w:after="93" w:afterLines="30" w:line="360" w:lineRule="auto"/>
        <w:rPr>
          <w:rFonts w:hint="eastAsia" w:ascii="宋体" w:hAnsi="宋体" w:eastAsia="宋体" w:cs="宋体"/>
          <w:sz w:val="24"/>
        </w:rPr>
      </w:pPr>
    </w:p>
    <w:p w14:paraId="5C9D976E">
      <w:pPr>
        <w:pStyle w:val="3"/>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深圳市龙岗区城投新基础设施建设管理有限公司</w:t>
      </w:r>
    </w:p>
    <w:p w14:paraId="73409C23">
      <w:pPr>
        <w:pStyle w:val="3"/>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第三方工程质量评估服务合同</w:t>
      </w:r>
    </w:p>
    <w:p w14:paraId="5C5AE6C4">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（深圳工业软件园项目）</w:t>
      </w:r>
    </w:p>
    <w:p w14:paraId="4444DA56">
      <w:pPr>
        <w:adjustRightInd w:val="0"/>
        <w:snapToGrid w:val="0"/>
        <w:spacing w:after="93" w:afterLines="30" w:line="360" w:lineRule="auto"/>
        <w:rPr>
          <w:rFonts w:hint="eastAsia" w:ascii="宋体" w:hAnsi="宋体" w:eastAsia="宋体" w:cs="宋体"/>
          <w:sz w:val="28"/>
          <w:szCs w:val="28"/>
        </w:rPr>
      </w:pPr>
    </w:p>
    <w:p w14:paraId="3F82A9C4">
      <w:pPr>
        <w:adjustRightInd w:val="0"/>
        <w:snapToGrid w:val="0"/>
        <w:spacing w:after="93" w:afterLines="30" w:line="360" w:lineRule="auto"/>
        <w:rPr>
          <w:rFonts w:hint="eastAsia" w:ascii="宋体" w:hAnsi="宋体" w:eastAsia="宋体" w:cs="宋体"/>
          <w:kern w:val="0"/>
          <w:sz w:val="28"/>
          <w:szCs w:val="28"/>
        </w:rPr>
      </w:pPr>
    </w:p>
    <w:p w14:paraId="64455BF0">
      <w:pPr>
        <w:pStyle w:val="3"/>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4B41E4F8">
      <w:pPr>
        <w:pStyle w:val="3"/>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32841EDE">
      <w:pPr>
        <w:pStyle w:val="3"/>
        <w:adjustRightInd w:val="0"/>
        <w:snapToGrid w:val="0"/>
        <w:spacing w:after="93" w:afterLines="30" w:line="360" w:lineRule="auto"/>
        <w:ind w:firstLine="482" w:firstLineChars="200"/>
        <w:jc w:val="center"/>
        <w:rPr>
          <w:rFonts w:hint="eastAsia" w:ascii="宋体" w:hAnsi="宋体" w:eastAsia="宋体" w:cs="宋体"/>
          <w:kern w:val="0"/>
          <w:sz w:val="24"/>
          <w:szCs w:val="24"/>
        </w:rPr>
      </w:pPr>
    </w:p>
    <w:p w14:paraId="79060281">
      <w:pPr>
        <w:pStyle w:val="3"/>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rPr>
        <w:t>深圳市龙岗区城投新基础设施建设管理有限公司</w:t>
      </w:r>
    </w:p>
    <w:p w14:paraId="4877108F">
      <w:pPr>
        <w:pStyle w:val="3"/>
        <w:adjustRightInd w:val="0"/>
        <w:snapToGrid w:val="0"/>
        <w:spacing w:after="93" w:afterLines="30" w:line="360" w:lineRule="auto"/>
        <w:ind w:firstLine="964" w:firstLineChars="400"/>
        <w:rPr>
          <w:rFonts w:hint="eastAsia" w:ascii="宋体" w:hAnsi="宋体" w:eastAsia="宋体" w:cs="宋体"/>
          <w:kern w:val="0"/>
          <w:sz w:val="24"/>
          <w:szCs w:val="24"/>
        </w:rPr>
      </w:pPr>
      <w:r>
        <w:rPr>
          <w:rFonts w:hint="eastAsia" w:ascii="宋体" w:hAnsi="宋体" w:eastAsia="宋体" w:cs="宋体"/>
          <w:kern w:val="0"/>
          <w:sz w:val="24"/>
          <w:szCs w:val="24"/>
        </w:rPr>
        <w:t>乙    方：</w:t>
      </w:r>
      <w:r>
        <w:rPr>
          <w:rFonts w:hint="eastAsia" w:ascii="宋体" w:hAnsi="宋体" w:eastAsia="宋体" w:cs="宋体"/>
          <w:kern w:val="0"/>
          <w:sz w:val="24"/>
          <w:szCs w:val="24"/>
          <w:u w:val="single"/>
        </w:rPr>
        <w:t xml:space="preserve">                                          </w:t>
      </w:r>
    </w:p>
    <w:p w14:paraId="65C61FA4">
      <w:pPr>
        <w:pStyle w:val="3"/>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年         月         日         </w:t>
      </w:r>
    </w:p>
    <w:p w14:paraId="3C3961C5">
      <w:pPr>
        <w:pStyle w:val="3"/>
        <w:adjustRightInd w:val="0"/>
        <w:snapToGrid w:val="0"/>
        <w:spacing w:after="93" w:afterLines="30" w:line="360" w:lineRule="auto"/>
        <w:ind w:firstLine="964" w:firstLineChars="400"/>
        <w:rPr>
          <w:rFonts w:hint="eastAsia" w:ascii="宋体" w:hAnsi="宋体" w:eastAsia="宋体" w:cs="宋体"/>
          <w:sz w:val="24"/>
          <w:szCs w:val="24"/>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深圳市龙岗区                              </w:t>
      </w:r>
    </w:p>
    <w:p w14:paraId="5F403A33">
      <w:pPr>
        <w:pStyle w:val="3"/>
        <w:adjustRightInd w:val="0"/>
        <w:snapToGrid w:val="0"/>
        <w:spacing w:before="0" w:after="0" w:line="360" w:lineRule="auto"/>
        <w:jc w:val="center"/>
        <w:rPr>
          <w:rFonts w:hint="eastAsia" w:ascii="宋体" w:hAnsi="宋体" w:eastAsia="宋体" w:cs="宋体"/>
          <w:kern w:val="0"/>
          <w:sz w:val="32"/>
          <w:szCs w:val="32"/>
        </w:rPr>
      </w:pPr>
    </w:p>
    <w:p w14:paraId="0166AA48">
      <w:pPr>
        <w:pStyle w:val="3"/>
        <w:adjustRightInd w:val="0"/>
        <w:snapToGrid w:val="0"/>
        <w:spacing w:before="0" w:after="0"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深圳市龙岗区城投新基础设施建设管理有限公司</w:t>
      </w:r>
    </w:p>
    <w:p w14:paraId="132165E2">
      <w:pPr>
        <w:jc w:val="center"/>
        <w:rPr>
          <w:rFonts w:hint="eastAsia" w:ascii="宋体" w:hAnsi="宋体" w:eastAsia="宋体" w:cs="宋体"/>
          <w:b/>
          <w:bCs/>
          <w:kern w:val="0"/>
          <w:sz w:val="36"/>
          <w:szCs w:val="36"/>
        </w:rPr>
      </w:pPr>
      <w:r>
        <w:rPr>
          <w:rFonts w:hint="eastAsia" w:ascii="宋体" w:hAnsi="宋体" w:eastAsia="宋体" w:cs="宋体"/>
          <w:kern w:val="0"/>
          <w:sz w:val="32"/>
          <w:szCs w:val="32"/>
        </w:rPr>
        <w:t>（深圳工业软件园项目）第三方工程质量评估服务合同</w:t>
      </w:r>
    </w:p>
    <w:p w14:paraId="68678B42">
      <w:pPr>
        <w:pStyle w:val="3"/>
        <w:adjustRightInd w:val="0"/>
        <w:snapToGrid w:val="0"/>
        <w:spacing w:before="0" w:after="0" w:line="360" w:lineRule="auto"/>
        <w:jc w:val="center"/>
        <w:rPr>
          <w:rFonts w:hint="eastAsia" w:ascii="宋体" w:hAnsi="宋体" w:eastAsia="宋体" w:cs="宋体"/>
          <w:kern w:val="0"/>
          <w:sz w:val="32"/>
          <w:szCs w:val="32"/>
        </w:rPr>
      </w:pPr>
    </w:p>
    <w:p w14:paraId="4856D5F1">
      <w:pPr>
        <w:adjustRightInd w:val="0"/>
        <w:snapToGrid w:val="0"/>
        <w:spacing w:after="93" w:afterLines="30" w:line="360" w:lineRule="auto"/>
        <w:ind w:left="420" w:leftChars="200" w:firstLine="120" w:firstLineChars="50"/>
        <w:rPr>
          <w:rFonts w:hint="eastAsia" w:ascii="宋体" w:hAnsi="宋体" w:eastAsia="宋体" w:cs="宋体"/>
          <w:b/>
          <w:bCs/>
          <w:sz w:val="24"/>
        </w:rPr>
      </w:pPr>
    </w:p>
    <w:p w14:paraId="70C25417">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甲方：深圳市龙岗区城投新基础设施建设管理有限公司                </w:t>
      </w:r>
    </w:p>
    <w:p w14:paraId="1D2CC8F5">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乙方： </w:t>
      </w:r>
    </w:p>
    <w:p w14:paraId="14A5AD7F">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中华人民共和国民法典》和《中华人民共和国建筑法》及其他有关法律、行政法规、规章及规范等，遵循平等、自愿、公平和诚实信用的原则，经甲乙双方友好协商，确定由乙方（含乙方分、子公司）承担甲方</w:t>
      </w:r>
      <w:r>
        <w:rPr>
          <w:rFonts w:hint="eastAsia" w:ascii="宋体" w:hAnsi="宋体" w:eastAsia="宋体" w:cs="宋体"/>
          <w:kern w:val="0"/>
          <w:sz w:val="24"/>
          <w:u w:val="single"/>
        </w:rPr>
        <w:t>指定</w:t>
      </w:r>
      <w:r>
        <w:rPr>
          <w:rFonts w:hint="eastAsia" w:ascii="宋体" w:hAnsi="宋体" w:eastAsia="宋体" w:cs="宋体"/>
          <w:kern w:val="0"/>
          <w:sz w:val="24"/>
        </w:rPr>
        <w:t>项目的第三方评估技术服务等工作，为进一步明确双方的权利与义务，根据本项目具体情况，经双方协商一致，订立本合同。</w:t>
      </w:r>
    </w:p>
    <w:p w14:paraId="7BA2A9D8">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一、合同范围</w:t>
      </w:r>
    </w:p>
    <w:p w14:paraId="0219E974">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工业软件园项目进行质量评估，过程评估为施工过程中质量缺陷、通病、问题的排查和评估（包括实测实量、质量观感、管理行为等），交付评估为交付前对工程质量缺陷、通病、问题进行综合性排查和评估（包括实测实量、质量观感、渗漏试验、机电安装功能和运行等），采取到场实地服务，评估内容包含但不限于土建工程、精装修工程、机电工程、外装饰工程、园林工程等。</w:t>
      </w:r>
    </w:p>
    <w:p w14:paraId="6B73DA09">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二、项目概况</w:t>
      </w:r>
    </w:p>
    <w:p w14:paraId="57AD0A9D">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计划2025年5月完成项目竣工验收。</w:t>
      </w:r>
    </w:p>
    <w:p w14:paraId="523EFD8E">
      <w:pPr>
        <w:tabs>
          <w:tab w:val="left" w:pos="1260"/>
        </w:tabs>
        <w:adjustRightInd w:val="0"/>
        <w:snapToGrid w:val="0"/>
        <w:spacing w:after="93" w:afterLines="30"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三、技术服务内容</w:t>
      </w:r>
    </w:p>
    <w:p w14:paraId="289A6DEC">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工业软件园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3347740E">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四、技术服务时间</w:t>
      </w:r>
    </w:p>
    <w:p w14:paraId="1EF45D37">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服务期限：自合同签订之日起至深圳工业软件园项目完工（交付评估完成）止。</w:t>
      </w:r>
    </w:p>
    <w:p w14:paraId="52424F87">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服务地点：深圳工业软件园项目工地。</w:t>
      </w:r>
    </w:p>
    <w:p w14:paraId="040133B6">
      <w:pPr>
        <w:pStyle w:val="26"/>
        <w:snapToGrid w:val="0"/>
        <w:spacing w:after="93" w:afterLines="30" w:line="360" w:lineRule="auto"/>
        <w:ind w:firstLine="426" w:firstLineChars="177"/>
        <w:rPr>
          <w:rFonts w:hAnsi="宋体" w:cs="宋体"/>
          <w:b/>
          <w:color w:val="auto"/>
          <w:szCs w:val="24"/>
        </w:rPr>
      </w:pPr>
      <w:r>
        <w:rPr>
          <w:rFonts w:hAnsi="宋体" w:cs="宋体"/>
          <w:b/>
          <w:color w:val="auto"/>
          <w:szCs w:val="24"/>
        </w:rPr>
        <w:t xml:space="preserve">五、技术服务工作的依据 </w:t>
      </w:r>
    </w:p>
    <w:p w14:paraId="26E857F7">
      <w:pPr>
        <w:pStyle w:val="26"/>
        <w:snapToGrid w:val="0"/>
        <w:spacing w:after="93" w:afterLines="30" w:line="360" w:lineRule="auto"/>
        <w:ind w:firstLine="480" w:firstLineChars="200"/>
        <w:rPr>
          <w:rFonts w:hAnsi="宋体" w:cs="宋体"/>
          <w:color w:val="auto"/>
          <w:szCs w:val="24"/>
        </w:rPr>
      </w:pPr>
      <w:r>
        <w:rPr>
          <w:rFonts w:hAnsi="宋体" w:cs="宋体"/>
          <w:color w:val="auto"/>
          <w:szCs w:val="24"/>
        </w:rPr>
        <w:t xml:space="preserve">5.1 国家及地方有关工程技术咨询服务工作的规定。 </w:t>
      </w:r>
    </w:p>
    <w:p w14:paraId="10F79DDA">
      <w:pPr>
        <w:pStyle w:val="26"/>
        <w:snapToGrid w:val="0"/>
        <w:spacing w:after="93" w:afterLines="30" w:line="360" w:lineRule="auto"/>
        <w:ind w:firstLine="480" w:firstLineChars="200"/>
        <w:rPr>
          <w:rFonts w:hAnsi="宋体" w:cs="宋体"/>
          <w:color w:val="auto"/>
          <w:szCs w:val="24"/>
        </w:rPr>
      </w:pPr>
      <w:r>
        <w:rPr>
          <w:rFonts w:hAnsi="宋体" w:cs="宋体"/>
          <w:color w:val="auto"/>
          <w:szCs w:val="24"/>
        </w:rPr>
        <w:t>5.2 国家及地方相关的工程建设法律、法规、验收规范与标准。</w:t>
      </w:r>
    </w:p>
    <w:p w14:paraId="311F7731">
      <w:pPr>
        <w:pStyle w:val="26"/>
        <w:snapToGrid w:val="0"/>
        <w:spacing w:after="93" w:afterLines="30" w:line="360" w:lineRule="auto"/>
        <w:ind w:firstLine="482" w:firstLineChars="200"/>
        <w:rPr>
          <w:rFonts w:hAnsi="宋体" w:cs="宋体"/>
          <w:b/>
          <w:color w:val="auto"/>
          <w:szCs w:val="24"/>
        </w:rPr>
      </w:pPr>
      <w:r>
        <w:rPr>
          <w:rFonts w:hAnsi="宋体" w:cs="宋体"/>
          <w:b/>
          <w:color w:val="auto"/>
          <w:szCs w:val="24"/>
        </w:rPr>
        <w:t>六、评估人员组成和相关要求</w:t>
      </w:r>
    </w:p>
    <w:p w14:paraId="1792328E">
      <w:pPr>
        <w:pStyle w:val="26"/>
        <w:snapToGrid w:val="0"/>
        <w:spacing w:after="93" w:afterLines="30" w:line="360" w:lineRule="auto"/>
        <w:ind w:firstLine="482" w:firstLineChars="200"/>
        <w:rPr>
          <w:rFonts w:hAnsi="宋体" w:cs="宋体"/>
          <w:b/>
          <w:color w:val="auto"/>
        </w:rPr>
      </w:pPr>
      <w:r>
        <w:rPr>
          <w:rFonts w:hAnsi="宋体" w:cs="宋体"/>
          <w:b/>
          <w:color w:val="auto"/>
          <w:szCs w:val="24"/>
        </w:rPr>
        <w:t xml:space="preserve">6.1 </w:t>
      </w:r>
      <w:r>
        <w:rPr>
          <w:rFonts w:hAnsi="宋体" w:cs="宋体"/>
          <w:b/>
          <w:color w:val="auto"/>
        </w:rPr>
        <w:t>过程评估</w:t>
      </w:r>
    </w:p>
    <w:p w14:paraId="72ACD66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过程评估检查组由1名一类专家、1名二类专家组成，组长由一类专家担任，检查评估时间为1个工日，每个项目每月组织一次，深圳工业软件园做2次过程评估。</w:t>
      </w:r>
    </w:p>
    <w:p w14:paraId="6C4A0B07">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6.2 交付评估人员组成</w:t>
      </w:r>
    </w:p>
    <w:p w14:paraId="614C0851">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交付评估检查组由1名一类专家、3名二类专家组成，2名其他技术人员组成，组长由一类专家担任，检查时间为2个工日，深圳工业软件园项目组织一次，于项目竣工前后时间组织，具体以甲方通知为准。</w:t>
      </w:r>
    </w:p>
    <w:p w14:paraId="406C3617">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6.3 人员资质要求</w:t>
      </w:r>
    </w:p>
    <w:p w14:paraId="73C081CF">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一类专家：具备工程类高级及以上职称，从业经验不少于十年，且取得工程建设类以下任一执业资格（一级建造师或结构工程师或监理工程师或机电工程师）。</w:t>
      </w:r>
    </w:p>
    <w:p w14:paraId="277F89C3">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二类专家:具备中级工程师及以上职称(建筑工程或工程管理、监理类专业)或取得工程建设类以下任一执业资格(一级建造师或一级结构工程师或监理工程师或机电工程师)从业经验不少于五年。 </w:t>
      </w:r>
    </w:p>
    <w:p w14:paraId="2D07774E">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其他技术人员：需要具备的初级工程师及以上职称、监理员等相关专业资格证书，或取得二级及以上建造师或二级及以上结构工程师或监理工程师或机电工程师，从业经验不少于三年。</w:t>
      </w:r>
    </w:p>
    <w:p w14:paraId="274AF3E0">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6.4 评估技术服务计划</w:t>
      </w:r>
    </w:p>
    <w:p w14:paraId="0BAF4C37">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1.评估工作开始前，甲方应至少提前7日内通知乙方评估计划，乙方应当在收到甲方评估计划之后提前做好评估准备工作。</w:t>
      </w:r>
    </w:p>
    <w:p w14:paraId="6072A677">
      <w:pPr>
        <w:pStyle w:val="27"/>
        <w:adjustRightInd w:val="0"/>
        <w:snapToGrid w:val="0"/>
        <w:spacing w:after="93" w:afterLines="30"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2.在项目评估前由乙方提供项目评估实施方案（含过程和交付），经甲方同意后实施。</w:t>
      </w:r>
    </w:p>
    <w:p w14:paraId="7FCA20B1">
      <w:pPr>
        <w:pStyle w:val="27"/>
        <w:adjustRightInd w:val="0"/>
        <w:snapToGrid w:val="0"/>
        <w:spacing w:after="93" w:afterLines="30" w:line="360" w:lineRule="auto"/>
        <w:ind w:firstLine="482"/>
        <w:rPr>
          <w:rFonts w:hint="eastAsia" w:ascii="宋体" w:hAnsi="宋体" w:eastAsia="宋体" w:cs="宋体"/>
          <w:b/>
          <w:sz w:val="24"/>
        </w:rPr>
      </w:pPr>
      <w:r>
        <w:rPr>
          <w:rFonts w:hint="eastAsia" w:ascii="宋体" w:hAnsi="宋体" w:eastAsia="宋体" w:cs="宋体"/>
          <w:b/>
          <w:sz w:val="24"/>
        </w:rPr>
        <w:t>6.5 评估技术服务项目工作安排</w:t>
      </w:r>
    </w:p>
    <w:p w14:paraId="32F8290D">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6.5.1 评估作息时间：上午9：00-12：00；</w:t>
      </w:r>
      <w:bookmarkStart w:id="5" w:name="_GoBack"/>
      <w:bookmarkEnd w:id="5"/>
      <w:r>
        <w:rPr>
          <w:rFonts w:hint="eastAsia" w:ascii="宋体" w:hAnsi="宋体" w:eastAsia="宋体" w:cs="宋体"/>
          <w:sz w:val="24"/>
        </w:rPr>
        <w:t>下午</w:t>
      </w:r>
      <w:r>
        <w:rPr>
          <w:rFonts w:hint="eastAsia" w:ascii="宋体" w:hAnsi="宋体" w:eastAsia="宋体" w:cs="宋体"/>
          <w:sz w:val="24"/>
          <w:lang w:val="en-US" w:eastAsia="zh-CN"/>
        </w:rPr>
        <w:t>2</w:t>
      </w:r>
      <w:r>
        <w:rPr>
          <w:rFonts w:hint="eastAsia" w:ascii="宋体" w:hAnsi="宋体" w:eastAsia="宋体" w:cs="宋体"/>
          <w:sz w:val="24"/>
        </w:rPr>
        <w:t>：00-</w:t>
      </w:r>
      <w:r>
        <w:rPr>
          <w:rFonts w:hint="eastAsia" w:ascii="宋体" w:hAnsi="宋体" w:eastAsia="宋体" w:cs="宋体"/>
          <w:sz w:val="24"/>
          <w:lang w:val="en-US" w:eastAsia="zh-CN"/>
        </w:rPr>
        <w:t>5</w:t>
      </w:r>
      <w:r>
        <w:rPr>
          <w:rFonts w:hint="eastAsia" w:ascii="宋体" w:hAnsi="宋体" w:eastAsia="宋体" w:cs="宋体"/>
          <w:sz w:val="24"/>
        </w:rPr>
        <w:t>：00。乙方评估人员应当上午8：50前抵达工地项目部，上午9：00评估前开始评估安排会议；</w:t>
      </w:r>
    </w:p>
    <w:p w14:paraId="0F1AB9E9">
      <w:pPr>
        <w:pStyle w:val="27"/>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6.5.2 配合乙方评估的相关单位及人员：甲方公司、项目部（项目公司、被评估项目施工单位、监理单位及前述单位中的所有工作人员）。</w:t>
      </w:r>
    </w:p>
    <w:p w14:paraId="4904CD32">
      <w:pPr>
        <w:pStyle w:val="27"/>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6.5.3 评估工作流程简述：</w:t>
      </w:r>
    </w:p>
    <w:p w14:paraId="59C1B3D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6.5.3.1 乙方对当日评估工作安排进行简单介绍；</w:t>
      </w:r>
    </w:p>
    <w:p w14:paraId="1E85E9B2">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6.5.3.2 甲方项目部介绍项目形象进度；</w:t>
      </w:r>
    </w:p>
    <w:p w14:paraId="50AB84E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6.5.3.3 乙方评估组使用抽选系统确定参评项目的参评楼层，实现完全随机在线样本检查，实现评估成果的公开性、公平性、公正性；</w:t>
      </w:r>
    </w:p>
    <w:p w14:paraId="31C7B395">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6.5.3.4乙方使用自行研发软件系统，进行数据采集，快速上传云端，利用云端系统安全、快捷、高效、准确自动化分析数据能力，生成报告，由乙方按照合同约定时间反馈至甲方；</w:t>
      </w:r>
    </w:p>
    <w:p w14:paraId="542D7AC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6.5.3.5 </w:t>
      </w:r>
      <w:r>
        <w:rPr>
          <w:rFonts w:hint="eastAsia" w:ascii="宋体" w:hAnsi="宋体" w:eastAsia="宋体" w:cs="宋体"/>
          <w:sz w:val="24"/>
          <w:szCs w:val="32"/>
        </w:rPr>
        <w:t>现场评估工作结束后，乙方</w:t>
      </w:r>
      <w:r>
        <w:rPr>
          <w:rFonts w:hint="eastAsia" w:ascii="宋体" w:hAnsi="宋体" w:eastAsia="宋体" w:cs="宋体"/>
          <w:sz w:val="24"/>
        </w:rPr>
        <w:t>召开项目评估总结会议并通报现场评估基本情况；</w:t>
      </w:r>
    </w:p>
    <w:p w14:paraId="05FE3CC4">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6.5.3.6 乙方编制评估报告，按合同约定提交成果。</w:t>
      </w:r>
    </w:p>
    <w:p w14:paraId="24654593">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6.5.3.7协助甲方开展对施工、监理等参建单位的合同履约考核工作，费用已含在合同价中，结算不另增加费用。</w:t>
      </w:r>
    </w:p>
    <w:p w14:paraId="1949DE3C">
      <w:pPr>
        <w:adjustRightInd w:val="0"/>
        <w:snapToGrid w:val="0"/>
        <w:spacing w:after="93" w:afterLines="30"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6.6 评估技术成果：</w:t>
      </w:r>
    </w:p>
    <w:p w14:paraId="4A2DB88C">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6.6.1 完成在建项目的现场评估当日，现场向甲方被评估项目的项目部通报当天评估的基本情况，包括但不限于以下内容：实测数据中的明显偏差项、各质量风险指标风险状况、现场主要质量问题等；</w:t>
      </w:r>
    </w:p>
    <w:p w14:paraId="6EBD6026">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6.6.2 项目现场过程评估完成后2日内、交付评估完成后7日内，向甲方提供被评项目的评估简报，报告形式为电子版，邮件发送；年度评估报告应在当年最后一次评估完成后15日内提交，分析所有项目的质量数据及各项目的目前运作的状态。</w:t>
      </w:r>
    </w:p>
    <w:p w14:paraId="4926518A">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6.6.3 甲方相关项目现场全部评估工作结束后，乙方应在7日内向甲方的项目管理部门或甲方指定的其他部门提交提供《XX项目现场质量隐患确认单》、《XX项目现场质量检查简报》；季度检查完成后提供所有《XX项目现场质量隐患确认单》、《项目现场质量检查简报》、《深圳市龙岗区城投新基础设施建设管理有限公司在建工程质量评估季度总结报告》；年度检查完成后提供《深圳市龙岗区城投新基础设施建设管理有限公司质量评估年度总结报告》；交付评估检查完成后提供《XX项目交付评估检查问题整改确认单》、《XX项目交付评估评价报告》；</w:t>
      </w:r>
    </w:p>
    <w:p w14:paraId="514D9320">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6.6.4 对于发现的重大风险或较为严重的系统性质量安全问题，乙方应在发现问题后立即向甲方对接人电话通报质量风险情况，并将风险报告于当天以电子邮件形式邮件发送至甲方；</w:t>
      </w:r>
    </w:p>
    <w:p w14:paraId="01082A00">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6.6.5 甲方对收到的上述评估过程及结果资料存在异议的，应在收到资料之日起3日内书面（邮件或函件方式）反馈，若甲方未在3日内反馈，则视为对上述评估过程及结果资料内容无异议，该项目评估工作经甲方验收合格；</w:t>
      </w:r>
    </w:p>
    <w:p w14:paraId="6B51637E">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6.6.6乙方工作成果验收合格标准：以统一标准、尺度，对被评项目进行评估。按甲方要求及本合同约定及时编制评估成果，反馈质量评估结果。评估成果要求数据准确、内容完整，做到公示各项目质量合格率并揭示主要质量风险及相关工程管理问题等。</w:t>
      </w:r>
    </w:p>
    <w:p w14:paraId="336D6240">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 设备配置</w:t>
      </w:r>
    </w:p>
    <w:p w14:paraId="3A49076E">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6.7.1 甲方提供工具：包括但不限于项目现场办公场地、现场确认单打印、投影仪等；</w:t>
      </w:r>
    </w:p>
    <w:p w14:paraId="23032D67">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6.7.2 乙方使用工具：①实体检测工具的配置：包括但不限于激光测距仪、塞片等；②风险评估工具：包括但不限于笔记本电脑、数码相机、自行研发软件系统包括且不限于随机抽选系统、实测实量评分系统、安全文明评分系统、质量风险评分系统、报告生成系统、数据库分析系统、供应商评价系统等。（或由乙方自带其他工具，甲方提供协助）。</w:t>
      </w:r>
    </w:p>
    <w:p w14:paraId="22B567FE">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七、取费标准及计费方式</w:t>
      </w:r>
    </w:p>
    <w:p w14:paraId="532D7917">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7.1本合同暂定总价款：</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人民币          元整</w:t>
      </w:r>
      <w:r>
        <w:rPr>
          <w:rFonts w:hint="eastAsia" w:ascii="宋体" w:hAnsi="宋体" w:eastAsia="宋体" w:cs="宋体"/>
          <w:sz w:val="24"/>
        </w:rPr>
        <w:t>），该金额为暂定合同金额 。具体按照实际发生评估次数据实结算。</w:t>
      </w:r>
    </w:p>
    <w:p w14:paraId="0C406DAB">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7.2 具体计费标准如下表：</w:t>
      </w:r>
    </w:p>
    <w:tbl>
      <w:tblPr>
        <w:tblStyle w:val="14"/>
        <w:tblW w:w="8474" w:type="dxa"/>
        <w:tblInd w:w="98" w:type="dxa"/>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5B156B65">
        <w:tblPrEx>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1DC36619">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在建项目工程质量第三方评估咨询报价清单</w:t>
            </w:r>
          </w:p>
        </w:tc>
      </w:tr>
      <w:tr w14:paraId="3695DD10">
        <w:tblPrEx>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282DC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DD2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833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DE7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715">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9680">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B12A">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6D9F">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1328B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备注</w:t>
            </w:r>
          </w:p>
        </w:tc>
      </w:tr>
      <w:tr w14:paraId="4BF8B253">
        <w:tblPrEx>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7CB7D3">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CB08">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3556">
            <w:pPr>
              <w:jc w:val="center"/>
              <w:rPr>
                <w:rFonts w:hint="eastAsia" w:ascii="宋体" w:hAnsi="宋体" w:eastAsia="宋体" w:cs="宋体"/>
                <w:b/>
                <w:bCs/>
                <w:color w:val="000000"/>
                <w:sz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D12B">
            <w:pPr>
              <w:jc w:val="center"/>
              <w:rPr>
                <w:rFonts w:hint="eastAsia" w:ascii="宋体" w:hAnsi="宋体" w:eastAsia="宋体" w:cs="宋体"/>
                <w:b/>
                <w:bCs/>
                <w:color w:val="000000"/>
                <w:sz w:val="22"/>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79AE">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A8BC">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9A7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301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8D0560">
            <w:pPr>
              <w:jc w:val="center"/>
              <w:rPr>
                <w:rFonts w:hint="eastAsia" w:ascii="宋体" w:hAnsi="宋体" w:eastAsia="宋体" w:cs="宋体"/>
                <w:b/>
                <w:bCs/>
                <w:color w:val="000000"/>
                <w:sz w:val="22"/>
              </w:rPr>
            </w:pPr>
          </w:p>
        </w:tc>
      </w:tr>
      <w:tr w14:paraId="4119D31D">
        <w:tblPrEx>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0E790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FA00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AFD2D">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48B4">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FF1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750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FC32">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10BC">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79A5C7B">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过程评估每次检查时间为1个工日/项目</w:t>
            </w:r>
          </w:p>
        </w:tc>
      </w:tr>
      <w:tr w14:paraId="1DAFC0F8">
        <w:tblPrEx>
          <w:tblCellMar>
            <w:top w:w="0" w:type="dxa"/>
            <w:left w:w="108" w:type="dxa"/>
            <w:bottom w:w="0" w:type="dxa"/>
            <w:right w:w="108" w:type="dxa"/>
          </w:tblCellMar>
        </w:tblPrEx>
        <w:trPr>
          <w:trHeight w:val="83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7C4717">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A225">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C41E">
            <w:pPr>
              <w:widowControl/>
              <w:spacing w:line="240" w:lineRule="auto"/>
              <w:jc w:val="center"/>
              <w:rPr>
                <w:rFonts w:hint="eastAsia" w:ascii="宋体" w:hAnsi="宋体" w:eastAsia="宋体" w:cs="宋体"/>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F33">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C39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EE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A3BB">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5535">
            <w:pPr>
              <w:widowControl/>
              <w:jc w:val="center"/>
              <w:textAlignment w:val="center"/>
              <w:rPr>
                <w:rFonts w:hint="eastAsia" w:ascii="宋体" w:hAnsi="宋体" w:eastAsia="宋体" w:cs="宋体"/>
                <w:color w:val="000000"/>
                <w:sz w:val="24"/>
                <w:szCs w:val="24"/>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C211519">
            <w:pPr>
              <w:widowControl/>
              <w:spacing w:line="240" w:lineRule="auto"/>
              <w:jc w:val="center"/>
              <w:rPr>
                <w:rFonts w:hint="eastAsia" w:ascii="宋体" w:hAnsi="宋体" w:eastAsia="宋体" w:cs="宋体"/>
                <w:color w:val="000000"/>
                <w:sz w:val="24"/>
                <w:szCs w:val="24"/>
              </w:rPr>
            </w:pPr>
          </w:p>
        </w:tc>
      </w:tr>
      <w:tr w14:paraId="3BBB25CF">
        <w:tblPrEx>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5969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413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3823A">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实测实量质量观感渗漏试验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4D9">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527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D0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22A1">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8B61">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6BC8748">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交付评估每次检查时间为2个工日/项目</w:t>
            </w:r>
          </w:p>
        </w:tc>
      </w:tr>
      <w:tr w14:paraId="78856C90">
        <w:tblPrEx>
          <w:tblCellMar>
            <w:top w:w="0" w:type="dxa"/>
            <w:left w:w="108" w:type="dxa"/>
            <w:bottom w:w="0" w:type="dxa"/>
            <w:right w:w="108" w:type="dxa"/>
          </w:tblCellMar>
        </w:tblPrEx>
        <w:trPr>
          <w:trHeight w:val="79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5C7B13">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303E">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15CA">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3623">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E18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9DD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69E9">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85CD">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AFC83AC">
            <w:pPr>
              <w:jc w:val="center"/>
              <w:rPr>
                <w:rFonts w:hint="eastAsia" w:ascii="宋体" w:hAnsi="宋体" w:eastAsia="宋体" w:cs="宋体"/>
                <w:color w:val="000000"/>
                <w:sz w:val="22"/>
              </w:rPr>
            </w:pPr>
          </w:p>
        </w:tc>
      </w:tr>
      <w:tr w14:paraId="7850EC37">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E4AC57">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DC15">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354A">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493D47BB">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208032A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663FB25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59597098">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005EC61C">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BB5D542">
            <w:pPr>
              <w:jc w:val="center"/>
              <w:rPr>
                <w:rFonts w:hint="eastAsia" w:ascii="宋体" w:hAnsi="宋体" w:eastAsia="宋体" w:cs="宋体"/>
                <w:color w:val="000000"/>
                <w:sz w:val="22"/>
              </w:rPr>
            </w:pPr>
          </w:p>
        </w:tc>
      </w:tr>
      <w:tr w14:paraId="11AB936F">
        <w:tblPrEx>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72101EA4">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2405280A">
            <w:pPr>
              <w:widowControl/>
              <w:jc w:val="center"/>
              <w:textAlignment w:val="center"/>
              <w:rPr>
                <w:rFonts w:hint="eastAsia" w:ascii="宋体" w:hAnsi="宋体" w:eastAsia="宋体" w:cs="宋体"/>
                <w:b/>
                <w:bCs/>
                <w:color w:val="000000"/>
                <w:sz w:val="22"/>
              </w:rPr>
            </w:pPr>
          </w:p>
        </w:tc>
      </w:tr>
      <w:tr w14:paraId="29ECC538">
        <w:tblPrEx>
          <w:tblCellMar>
            <w:top w:w="0" w:type="dxa"/>
            <w:left w:w="108" w:type="dxa"/>
            <w:bottom w:w="0" w:type="dxa"/>
            <w:right w:w="108" w:type="dxa"/>
          </w:tblCellMar>
        </w:tblPrEx>
        <w:trPr>
          <w:trHeight w:val="1506"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BF7D460">
            <w:pPr>
              <w:pStyle w:val="27"/>
              <w:adjustRightInd w:val="0"/>
              <w:snapToGrid w:val="0"/>
              <w:spacing w:after="93" w:afterLines="30" w:line="240" w:lineRule="auto"/>
              <w:ind w:firstLine="480"/>
              <w:rPr>
                <w:rFonts w:hint="eastAsia" w:ascii="宋体" w:hAnsi="宋体" w:eastAsia="宋体" w:cs="宋体"/>
                <w:sz w:val="24"/>
                <w:szCs w:val="24"/>
              </w:rPr>
            </w:pPr>
            <w:r>
              <w:rPr>
                <w:rFonts w:hint="eastAsia" w:ascii="宋体" w:hAnsi="宋体" w:eastAsia="宋体" w:cs="宋体"/>
                <w:sz w:val="24"/>
                <w:szCs w:val="24"/>
              </w:rPr>
              <w:t>注：</w:t>
            </w:r>
          </w:p>
          <w:p w14:paraId="382D7E04">
            <w:pPr>
              <w:pStyle w:val="27"/>
              <w:adjustRightInd w:val="0"/>
              <w:snapToGrid w:val="0"/>
              <w:spacing w:after="93" w:afterLines="30" w:line="240" w:lineRule="auto"/>
              <w:ind w:firstLine="480"/>
              <w:rPr>
                <w:rFonts w:hint="eastAsia" w:ascii="宋体" w:hAnsi="宋体" w:eastAsia="宋体" w:cs="宋体"/>
                <w:sz w:val="24"/>
                <w:szCs w:val="24"/>
              </w:rPr>
            </w:pPr>
            <w:r>
              <w:rPr>
                <w:rFonts w:hint="eastAsia" w:ascii="宋体" w:hAnsi="宋体" w:eastAsia="宋体" w:cs="宋体"/>
                <w:sz w:val="24"/>
                <w:szCs w:val="24"/>
              </w:rPr>
              <w:t>1.采用含税固定综合单价的形式，除双方另有约定外，甲方无需再向乙方支付任何其他费用，合同履行期间，以上综合单价不会因为物价、市场波动、费率或汇率的变动等任何因素而调整；</w:t>
            </w:r>
          </w:p>
          <w:p w14:paraId="26049309">
            <w:pPr>
              <w:pStyle w:val="27"/>
              <w:adjustRightInd w:val="0"/>
              <w:snapToGrid w:val="0"/>
              <w:spacing w:after="93" w:afterLines="30" w:line="240" w:lineRule="auto"/>
              <w:ind w:firstLine="480"/>
              <w:rPr>
                <w:rFonts w:hint="eastAsia" w:ascii="宋体" w:hAnsi="宋体" w:eastAsia="宋体" w:cs="宋体"/>
                <w:sz w:val="24"/>
                <w:szCs w:val="24"/>
              </w:rPr>
            </w:pPr>
            <w:r>
              <w:rPr>
                <w:rFonts w:hint="eastAsia" w:ascii="宋体" w:hAnsi="宋体" w:eastAsia="宋体" w:cs="宋体"/>
                <w:sz w:val="24"/>
                <w:szCs w:val="24"/>
              </w:rPr>
              <w:t>2.综合单价包含前往甲方所在项目地点，完成约定检查评估工作的全部费用，其中包括但不限于人工费、税费、差旅、食宿、交通、检验检测费、专利使用费（若有）等一切相关费用。</w:t>
            </w:r>
          </w:p>
          <w:p w14:paraId="7798D6E3">
            <w:pPr>
              <w:pStyle w:val="27"/>
              <w:adjustRightInd w:val="0"/>
              <w:snapToGrid w:val="0"/>
              <w:spacing w:after="93" w:afterLines="30" w:line="240" w:lineRule="auto"/>
              <w:ind w:firstLine="480"/>
              <w:rPr>
                <w:rFonts w:hint="eastAsia" w:ascii="宋体" w:hAnsi="宋体" w:eastAsia="宋体" w:cs="宋体"/>
                <w:sz w:val="24"/>
              </w:rPr>
            </w:pPr>
            <w:r>
              <w:rPr>
                <w:rFonts w:hint="eastAsia" w:ascii="宋体" w:hAnsi="宋体" w:eastAsia="宋体" w:cs="宋体"/>
                <w:sz w:val="24"/>
              </w:rPr>
              <w:t>3.根据材料，评估咨询报价清单按服务工日报价，结算按评估次数结算，如单次评估服务时长实际超过备注工日，结算不另外增加费用；</w:t>
            </w:r>
          </w:p>
          <w:p w14:paraId="7F6756FF">
            <w:pPr>
              <w:pStyle w:val="27"/>
              <w:adjustRightInd w:val="0"/>
              <w:snapToGrid w:val="0"/>
              <w:spacing w:after="93" w:afterLines="30" w:line="240" w:lineRule="auto"/>
              <w:ind w:firstLine="480"/>
            </w:pPr>
            <w:r>
              <w:rPr>
                <w:rFonts w:hint="eastAsia" w:ascii="宋体" w:hAnsi="宋体" w:eastAsia="宋体" w:cs="宋体"/>
                <w:sz w:val="24"/>
              </w:rPr>
              <w:t>4.每次检查时间为1个工日/项目（交付评估为2个工日/项目），除检查时间外，前期第三方制定评估实施方案、后期总结评估报告等相关服务工作时长不计入单次服务天数，合同价中综合考虑，结算不另外增加费用。</w:t>
            </w:r>
          </w:p>
        </w:tc>
      </w:tr>
    </w:tbl>
    <w:p w14:paraId="769CCC06">
      <w:pPr>
        <w:pStyle w:val="27"/>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八、付款方式 ：</w:t>
      </w:r>
    </w:p>
    <w:p w14:paraId="07AF5102">
      <w:pPr>
        <w:pStyle w:val="27"/>
        <w:adjustRightInd w:val="0"/>
        <w:snapToGrid w:val="0"/>
        <w:spacing w:after="93" w:afterLines="30" w:line="360" w:lineRule="auto"/>
        <w:ind w:firstLine="480"/>
        <w:rPr>
          <w:rFonts w:hint="eastAsia" w:ascii="宋体" w:hAnsi="宋体" w:eastAsia="宋体" w:cs="宋体"/>
          <w:color w:val="FF0000"/>
          <w:sz w:val="24"/>
        </w:rPr>
      </w:pPr>
      <w:r>
        <w:rPr>
          <w:rFonts w:hint="eastAsia" w:ascii="宋体" w:hAnsi="宋体" w:eastAsia="宋体" w:cs="宋体"/>
          <w:sz w:val="24"/>
        </w:rPr>
        <w:t>8.1每季度支付一次，由甲方根据季度实际服务次数核算计价后进行支付。支付前甲方组织对乙方开展该季度以来的质量评估服务履约评价，评价根据《深圳市龙岗区城市建设投资集团有限公司工程建设项目合同履约评价管理办法》及《深圳市龙岗区城投新基础设施建设管理有限公司工程建设项目合同履约考核实施细则》执行，乙方签约即视为已知悉并同意接受相关履约评价规则。</w:t>
      </w:r>
    </w:p>
    <w:p w14:paraId="2A7B8B5A">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甲方每次付款前，乙方应当递交付款申请及合法、足额、正式的增值税专用发票。</w:t>
      </w:r>
    </w:p>
    <w:p w14:paraId="32450C31">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8.2  甲方发票开具信息</w:t>
      </w:r>
    </w:p>
    <w:p w14:paraId="338E7165">
      <w:pPr>
        <w:pStyle w:val="27"/>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 xml:space="preserve">公司名称： </w:t>
      </w:r>
      <w:r>
        <w:rPr>
          <w:rFonts w:hint="eastAsia" w:ascii="宋体" w:hAnsi="宋体" w:eastAsia="宋体" w:cs="宋体"/>
          <w:sz w:val="24"/>
          <w:u w:val="single"/>
        </w:rPr>
        <w:t>深圳市龙岗区城投新基础设施建设管理有限公司</w:t>
      </w:r>
    </w:p>
    <w:p w14:paraId="745423FE">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发票类型： 增值税专用发票 </w:t>
      </w:r>
      <w:r>
        <w:rPr>
          <w:rFonts w:hint="eastAsia" w:ascii="宋体" w:hAnsi="宋体" w:eastAsia="宋体" w:cs="宋体"/>
          <w:b/>
          <w:bCs/>
          <w:sz w:val="24"/>
        </w:rPr>
        <w:t xml:space="preserve"> </w:t>
      </w:r>
    </w:p>
    <w:p w14:paraId="790AD811">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4"/>
          <w:u w:val="single"/>
        </w:rPr>
        <w:t xml:space="preserve"> 91440300MA5H7YEW31 </w:t>
      </w:r>
    </w:p>
    <w:p w14:paraId="007041AF">
      <w:pPr>
        <w:pStyle w:val="27"/>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0755-28962519    </w:t>
      </w:r>
    </w:p>
    <w:p w14:paraId="2C6DBD95">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14:paraId="408A71B5">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银行账户：</w:t>
      </w:r>
      <w:r>
        <w:rPr>
          <w:rFonts w:hint="eastAsia" w:ascii="宋体" w:hAnsi="宋体" w:eastAsia="宋体" w:cs="宋体"/>
          <w:sz w:val="24"/>
          <w:u w:val="single"/>
        </w:rPr>
        <w:t xml:space="preserve">              </w:t>
      </w:r>
    </w:p>
    <w:p w14:paraId="69A5EAB6">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8.3 乙方银行账户信息</w:t>
      </w:r>
    </w:p>
    <w:p w14:paraId="1EE6951B">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开户名： </w:t>
      </w:r>
    </w:p>
    <w:p w14:paraId="7365C93D">
      <w:pPr>
        <w:pStyle w:val="27"/>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开户行：</w:t>
      </w:r>
    </w:p>
    <w:p w14:paraId="48FC1E9F">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账号：</w:t>
      </w:r>
    </w:p>
    <w:p w14:paraId="70422250">
      <w:pPr>
        <w:pStyle w:val="27"/>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8.4 合同履行过程中，如甲方的开票信息或乙方收款账户发生变更的，均应提前10日书面（邮件或函件方式）告知对方。如因一方未能及时告知对方变更信息而导致另一方遭受损失的，未告知方应当承担相应违约责任。</w:t>
      </w:r>
    </w:p>
    <w:p w14:paraId="024074DF">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bCs/>
          <w:sz w:val="24"/>
        </w:rPr>
        <w:t>九、</w:t>
      </w:r>
      <w:r>
        <w:rPr>
          <w:rFonts w:hint="eastAsia" w:ascii="宋体" w:hAnsi="宋体" w:eastAsia="宋体" w:cs="宋体"/>
          <w:b/>
          <w:sz w:val="24"/>
        </w:rPr>
        <w:t>甲方和乙方权利和义务：</w:t>
      </w:r>
    </w:p>
    <w:p w14:paraId="727FEAE5">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9.1 甲方的权利、义务</w:t>
      </w:r>
    </w:p>
    <w:p w14:paraId="4237A8D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9.1.1 有权监督、督促乙方完成本合同约定委托事项，并对委托事项进行验收；</w:t>
      </w:r>
    </w:p>
    <w:p w14:paraId="3E147CF6">
      <w:pPr>
        <w:pStyle w:val="28"/>
        <w:adjustRightInd w:val="0"/>
        <w:snapToGrid w:val="0"/>
        <w:spacing w:after="93" w:afterLines="30" w:line="360" w:lineRule="auto"/>
        <w:ind w:firstLine="480"/>
        <w:rPr>
          <w:rFonts w:hint="eastAsia" w:ascii="宋体" w:hAnsi="宋体" w:eastAsia="宋体" w:cs="宋体"/>
          <w:sz w:val="24"/>
          <w:szCs w:val="24"/>
        </w:rPr>
      </w:pPr>
      <w:r>
        <w:rPr>
          <w:rFonts w:hint="eastAsia" w:ascii="宋体" w:hAnsi="宋体" w:eastAsia="宋体" w:cs="宋体"/>
          <w:sz w:val="24"/>
          <w:szCs w:val="24"/>
        </w:rPr>
        <w:t>9.1.2 协助提供项目现场评估所需相关资料（</w:t>
      </w:r>
      <w:r>
        <w:rPr>
          <w:rFonts w:hint="eastAsia" w:ascii="宋体" w:hAnsi="宋体" w:eastAsia="宋体" w:cs="宋体"/>
          <w:color w:val="000000"/>
          <w:sz w:val="24"/>
          <w:szCs w:val="24"/>
        </w:rPr>
        <w:t>包括但不限于项目图纸、施工方案、设计变更等）、会议设备、打印设备等，以确保乙方现场评估工作顺利开展；</w:t>
      </w:r>
      <w:r>
        <w:rPr>
          <w:rFonts w:hint="eastAsia" w:ascii="宋体" w:hAnsi="宋体" w:eastAsia="宋体" w:cs="宋体"/>
          <w:sz w:val="24"/>
          <w:szCs w:val="24"/>
        </w:rPr>
        <w:t xml:space="preserve"> </w:t>
      </w:r>
    </w:p>
    <w:p w14:paraId="6DA4C60F">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9.1.3 按合同约定支付相关款项；</w:t>
      </w:r>
    </w:p>
    <w:p w14:paraId="28B05B10">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9.1.4 对乙方工作提出改进建议，</w:t>
      </w:r>
      <w:bookmarkStart w:id="0" w:name="_Hlk197621336"/>
      <w:r>
        <w:rPr>
          <w:rFonts w:hint="eastAsia" w:ascii="宋体" w:hAnsi="宋体" w:eastAsia="宋体" w:cs="宋体"/>
          <w:sz w:val="24"/>
        </w:rPr>
        <w:t>乙方应当按照甲方的建议内容进行整改</w:t>
      </w:r>
      <w:bookmarkEnd w:id="0"/>
      <w:r>
        <w:rPr>
          <w:rFonts w:hint="eastAsia" w:ascii="宋体" w:hAnsi="宋体" w:eastAsia="宋体" w:cs="宋体"/>
          <w:sz w:val="24"/>
        </w:rPr>
        <w:t>；</w:t>
      </w:r>
    </w:p>
    <w:p w14:paraId="219FE19E">
      <w:pPr>
        <w:pStyle w:val="28"/>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sz w:val="24"/>
          <w:szCs w:val="24"/>
        </w:rPr>
        <w:t xml:space="preserve">9.1.5  </w:t>
      </w:r>
      <w:r>
        <w:rPr>
          <w:rFonts w:hint="eastAsia" w:ascii="宋体" w:hAnsi="宋体" w:eastAsia="宋体" w:cs="宋体"/>
          <w:color w:val="000000"/>
          <w:sz w:val="24"/>
          <w:szCs w:val="24"/>
        </w:rPr>
        <w:t>现场技术服务工作完成后，甲方或项目公司配合乙方对当次项目的完成工作量予以现场盖章确认；</w:t>
      </w:r>
    </w:p>
    <w:p w14:paraId="3047A1E0">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9.1.6 应及时就乙方的请示、建议、报告等以书面文件或邮件的形式进行回复和决策；</w:t>
      </w:r>
    </w:p>
    <w:p w14:paraId="27C083A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9.1.7 有权对乙方派出的不符合甲方要求的人员提出更换；</w:t>
      </w:r>
      <w:r>
        <w:rPr>
          <w:rFonts w:hint="eastAsia" w:ascii="宋体" w:hAnsi="宋体" w:eastAsia="宋体" w:cs="宋体"/>
          <w:color w:val="000000"/>
          <w:sz w:val="24"/>
        </w:rPr>
        <w:t>对乙方完成本合同约定委托事项进行调整，提出改进之建议并审核；</w:t>
      </w:r>
    </w:p>
    <w:p w14:paraId="682545BB">
      <w:pPr>
        <w:pStyle w:val="12"/>
        <w:autoSpaceDE w:val="0"/>
        <w:autoSpaceDN w:val="0"/>
        <w:adjustRightInd w:val="0"/>
        <w:snapToGrid w:val="0"/>
        <w:spacing w:before="0" w:beforeAutospacing="0" w:after="93" w:afterLines="30" w:afterAutospacing="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rPr>
        <w:t xml:space="preserve">9.1.8 </w:t>
      </w:r>
      <w:r>
        <w:rPr>
          <w:rFonts w:hint="eastAsia" w:ascii="宋体" w:hAnsi="宋体" w:cs="宋体"/>
          <w:color w:val="000000" w:themeColor="text1"/>
          <w14:textFill>
            <w14:solidFill>
              <w14:schemeClr w14:val="tx1"/>
            </w14:solidFill>
          </w14:textFill>
        </w:rPr>
        <w:t>甲方应当为乙方工作人员提供安全的工作环境及必要的安全防护设备。</w:t>
      </w:r>
    </w:p>
    <w:p w14:paraId="38658AC3">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9.2 乙方的权利、义务</w:t>
      </w:r>
    </w:p>
    <w:p w14:paraId="45B839C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9.2.1 乙方承诺并保证具备履行本合同委托事项的各项法定资格、并已提供相关证明文件；</w:t>
      </w:r>
    </w:p>
    <w:p w14:paraId="23DCF045">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9.2.2 乙方不得将本合同约定委托事项全部或者部分转委托给第三方，但乙方分、子公司除外</w:t>
      </w:r>
      <w:bookmarkStart w:id="1" w:name="_Hlk197621371"/>
      <w:r>
        <w:rPr>
          <w:rFonts w:hint="eastAsia" w:ascii="宋体" w:hAnsi="宋体" w:eastAsia="宋体" w:cs="宋体"/>
          <w:sz w:val="24"/>
        </w:rPr>
        <w:t>（分、子公司须具备同等资质且经甲方书面确认）</w:t>
      </w:r>
      <w:bookmarkEnd w:id="1"/>
      <w:r>
        <w:rPr>
          <w:rFonts w:hint="eastAsia" w:ascii="宋体" w:hAnsi="宋体" w:eastAsia="宋体" w:cs="宋体"/>
          <w:sz w:val="24"/>
        </w:rPr>
        <w:t>；</w:t>
      </w:r>
    </w:p>
    <w:p w14:paraId="56041DF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9.2.3 乙方人员应遵守项目安全管理的相关法律法规和要求，熟练掌握检查体系要求的方法及相关技术； </w:t>
      </w:r>
    </w:p>
    <w:p w14:paraId="34087246">
      <w:pPr>
        <w:tabs>
          <w:tab w:val="left" w:pos="1260"/>
        </w:tabs>
        <w:adjustRightInd w:val="0"/>
        <w:snapToGrid w:val="0"/>
        <w:spacing w:after="93" w:afterLines="30"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9.2.4 乙方应当负责其委派的评估技术服务人员在本合同履行期限内的食宿、交通、人身、财产责任安全，并</w:t>
      </w:r>
      <w:r>
        <w:rPr>
          <w:rFonts w:hint="eastAsia" w:ascii="宋体" w:hAnsi="宋体" w:eastAsia="宋体" w:cs="宋体"/>
          <w:color w:val="000000"/>
          <w:sz w:val="24"/>
        </w:rPr>
        <w:t>负责为本公司人员购买意外伤害保险</w:t>
      </w:r>
      <w:r>
        <w:rPr>
          <w:rFonts w:hint="eastAsia" w:ascii="宋体" w:hAnsi="宋体" w:eastAsia="宋体" w:cs="宋体"/>
          <w:sz w:val="24"/>
        </w:rPr>
        <w:t>，并对因其评估人员的操作不当而造成的其他人身、财产责任安全负责；</w:t>
      </w:r>
    </w:p>
    <w:p w14:paraId="6C8FFF0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9.2.5 乙方应按照本合同约定及甲方要求开展工作，按时向甲方提交符合要求的评估报告，并积极按照甲方提出的合理建议改进工作；</w:t>
      </w:r>
    </w:p>
    <w:p w14:paraId="2703902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9.2.6 乙方人员进入待评估项目后，应负责自身人身安全，在进行评估技术服务工作期间做好自身防护工作；</w:t>
      </w:r>
    </w:p>
    <w:p w14:paraId="16ADDF7C">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9.2.7 乙方无正当理由，不得随意更换评估技术服务人员，确需更换人员，需与甲方沟通确认，人员离职等特殊原因除外；</w:t>
      </w:r>
    </w:p>
    <w:p w14:paraId="783F5E9B">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9.2.8  管理期间，乙方人员严禁参加施工单位、供方单位等其他单位任何形式的宴请或接受任何礼物、红包等财物；</w:t>
      </w:r>
    </w:p>
    <w:p w14:paraId="6E5D72D0">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9.2.9乙方指派</w:t>
      </w:r>
      <w:r>
        <w:rPr>
          <w:rFonts w:hint="eastAsia" w:ascii="宋体" w:hAnsi="宋体" w:eastAsia="宋体" w:cs="宋体"/>
          <w:sz w:val="24"/>
          <w:u w:val="single"/>
        </w:rPr>
        <w:t xml:space="preserve">         </w:t>
      </w:r>
      <w:r>
        <w:rPr>
          <w:rFonts w:hint="eastAsia" w:ascii="宋体" w:hAnsi="宋体" w:eastAsia="宋体" w:cs="宋体"/>
          <w:sz w:val="24"/>
        </w:rPr>
        <w:t>（所在部门：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 xml:space="preserve"> 邮箱：</w:t>
      </w:r>
      <w:r>
        <w:rPr>
          <w:rFonts w:hint="eastAsia" w:ascii="宋体" w:hAnsi="宋体" w:eastAsia="宋体" w:cs="宋体"/>
          <w:sz w:val="24"/>
          <w:u w:val="single"/>
        </w:rPr>
        <w:t xml:space="preserve">                   </w:t>
      </w:r>
      <w:r>
        <w:rPr>
          <w:rFonts w:hint="eastAsia" w:ascii="宋体" w:hAnsi="宋体" w:eastAsia="宋体" w:cs="宋体"/>
          <w:sz w:val="24"/>
        </w:rPr>
        <w:t>收件地址：</w:t>
      </w:r>
      <w:r>
        <w:rPr>
          <w:rFonts w:hint="eastAsia" w:ascii="宋体" w:hAnsi="宋体" w:eastAsia="宋体" w:cs="宋体"/>
          <w:sz w:val="24"/>
          <w:u w:val="single"/>
        </w:rPr>
        <w:t xml:space="preserve">            </w:t>
      </w:r>
      <w:r>
        <w:rPr>
          <w:rFonts w:hint="eastAsia" w:ascii="宋体" w:hAnsi="宋体" w:eastAsia="宋体" w:cs="宋体"/>
          <w:sz w:val="24"/>
        </w:rPr>
        <w:t xml:space="preserve">）为乙方代表，代表对本工程技术服务工作负责，并向甲方进行工作汇报，提交评估报告报告。 </w:t>
      </w:r>
    </w:p>
    <w:p w14:paraId="2AD105C2">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kern w:val="0"/>
          <w:sz w:val="24"/>
        </w:rPr>
        <w:t>指定接收资料邮箱：</w:t>
      </w:r>
      <w:r>
        <w:rPr>
          <w:rFonts w:hint="eastAsia" w:ascii="宋体" w:hAnsi="宋体" w:eastAsia="宋体" w:cs="宋体"/>
          <w:kern w:val="0"/>
          <w:sz w:val="24"/>
          <w:u w:val="single"/>
        </w:rPr>
        <w:t xml:space="preserve">                         </w:t>
      </w:r>
      <w:r>
        <w:rPr>
          <w:rFonts w:hint="eastAsia" w:ascii="宋体" w:hAnsi="宋体" w:eastAsia="宋体" w:cs="宋体"/>
          <w:sz w:val="24"/>
        </w:rPr>
        <w:t>。</w:t>
      </w:r>
    </w:p>
    <w:p w14:paraId="7A90AC84">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szCs w:val="24"/>
        </w:rPr>
        <w:t>9.2.10 乙方应当充分利用自有技术，协助甲方对项目工程实现科学信息化评估</w:t>
      </w:r>
      <w:r>
        <w:rPr>
          <w:rFonts w:hint="eastAsia" w:ascii="宋体" w:hAnsi="宋体" w:eastAsia="宋体" w:cs="宋体"/>
          <w:sz w:val="24"/>
        </w:rPr>
        <w:t>。</w:t>
      </w:r>
    </w:p>
    <w:p w14:paraId="07E1CA63">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十、合同的生效、终止、违约责任</w:t>
      </w:r>
    </w:p>
    <w:p w14:paraId="18A0550D">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10.1 本合同自双方签字盖章之日起生效，甲乙双方即开始履行各自的职责。</w:t>
      </w:r>
    </w:p>
    <w:p w14:paraId="683D60C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10.2 本合同自双方合同义务履行完毕后终止。合同履行期间，任何一方因自身原因终止合同，应提前20日书面（函件或邮件）通知对方，妥善处理相关事宜，如给对方造成损失的，应当赔偿损失。</w:t>
      </w:r>
    </w:p>
    <w:p w14:paraId="79C127A2">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10.3非因甲、乙双方原因需要终止合同的，甲、乙双方应协商妥善处理相关事宜。</w:t>
      </w:r>
    </w:p>
    <w:p w14:paraId="0326A68B">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10.4 合同履行过程中，甲方工作人员如有索贿、受贿或以其他不正当手段企图获取或已经获取不正当利益的行为的，乙方应当及时向甲方有关部门进行举报，经查证属实后，甲方可按照本公司规章制度对乙方该行为进行奖励。</w:t>
      </w:r>
    </w:p>
    <w:p w14:paraId="7337453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10.5 合同履行过程中，乙方工作人员如有索贿、受贿或以其他不正当手段企图获取或已经获取不正当利益的行为，经查证属实的，甲方有权立即终止合同。</w:t>
      </w:r>
    </w:p>
    <w:p w14:paraId="76424DC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10.6因甲方原因，不能按照合同约定支付任意一笔款项的，每逾期一天，乙方有权要求甲方按照合同约定价款的万分之三支付违约金（违约金总额不得超过合同总额的20%），如逾期超过60天的，乙方除要求甲方支付违约金外同时有权要求终止本合同。</w:t>
      </w:r>
    </w:p>
    <w:p w14:paraId="344C333B">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十一、保密义务</w:t>
      </w:r>
    </w:p>
    <w:p w14:paraId="0F4B6F4A">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乙方确定因履行本合同应遵守的保密义务如下：</w:t>
      </w:r>
    </w:p>
    <w:p w14:paraId="7B5239B4">
      <w:pPr>
        <w:adjustRightInd w:val="0"/>
        <w:snapToGrid w:val="0"/>
        <w:spacing w:after="93" w:afterLines="30" w:line="360" w:lineRule="auto"/>
        <w:ind w:firstLine="241" w:firstLineChars="100"/>
        <w:rPr>
          <w:rFonts w:hint="eastAsia" w:ascii="宋体" w:hAnsi="宋体" w:eastAsia="宋体" w:cs="宋体"/>
          <w:b/>
          <w:bCs/>
          <w:kern w:val="0"/>
          <w:sz w:val="24"/>
        </w:rPr>
      </w:pPr>
    </w:p>
    <w:p w14:paraId="14CD1DF9">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11. 乙方</w:t>
      </w:r>
    </w:p>
    <w:p w14:paraId="4FB1D840">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11.1 保密内容：包括但不限于项目规划设计指标、施工图纸、销售数据、施工信息、总分包信息、质量实测数据、项目质量风险等级、项目现场图片、测评技术，测评技术数据分析、技术手段、专业技术资料等尚未对外公开的、任何合同内容及因履行本合同获取的信息。</w:t>
      </w:r>
    </w:p>
    <w:p w14:paraId="171D60B1">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11.2涉密人员范围：乙方相关工作人员。</w:t>
      </w:r>
    </w:p>
    <w:p w14:paraId="7C632080">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11.3 保密期限：本合同签订之日至</w:t>
      </w:r>
      <w:bookmarkStart w:id="2" w:name="_Hlk197621600"/>
      <w:r>
        <w:rPr>
          <w:rFonts w:hint="eastAsia" w:ascii="宋体" w:hAnsi="宋体" w:eastAsia="宋体" w:cs="宋体"/>
          <w:kern w:val="0"/>
          <w:sz w:val="24"/>
        </w:rPr>
        <w:t>相关信息被依法公开或甲方书面解除乙方的保密义务之日</w:t>
      </w:r>
      <w:bookmarkEnd w:id="2"/>
      <w:r>
        <w:rPr>
          <w:rFonts w:hint="eastAsia" w:ascii="宋体" w:hAnsi="宋体" w:eastAsia="宋体" w:cs="宋体"/>
          <w:kern w:val="0"/>
          <w:sz w:val="24"/>
        </w:rPr>
        <w:t>止。</w:t>
      </w:r>
    </w:p>
    <w:p w14:paraId="6DC15886">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11.4 泄密责任：停止侵害，</w:t>
      </w:r>
      <w:bookmarkStart w:id="3" w:name="_Hlk197621622"/>
      <w:r>
        <w:rPr>
          <w:rFonts w:hint="eastAsia" w:ascii="宋体" w:hAnsi="宋体" w:eastAsia="宋体" w:cs="宋体"/>
          <w:kern w:val="0"/>
          <w:sz w:val="24"/>
        </w:rPr>
        <w:t>赔偿由此对甲方造成的一切直接和间接损失，并向甲方支付违约金</w:t>
      </w:r>
      <w:r>
        <w:rPr>
          <w:rFonts w:hint="eastAsia" w:ascii="宋体" w:hAnsi="宋体" w:eastAsia="宋体" w:cs="宋体"/>
          <w:kern w:val="0"/>
          <w:sz w:val="24"/>
          <w:lang w:val="en-US" w:eastAsia="zh-CN"/>
        </w:rPr>
        <w:t>合同暂定总价的30%</w:t>
      </w:r>
      <w:r>
        <w:rPr>
          <w:rFonts w:hint="eastAsia" w:ascii="宋体" w:hAnsi="宋体" w:eastAsia="宋体" w:cs="宋体"/>
          <w:kern w:val="0"/>
          <w:sz w:val="24"/>
        </w:rPr>
        <w:t>。</w:t>
      </w:r>
      <w:bookmarkEnd w:id="3"/>
    </w:p>
    <w:p w14:paraId="52BC4611">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十二、知识产权</w:t>
      </w:r>
    </w:p>
    <w:p w14:paraId="5CEE00B4">
      <w:pPr>
        <w:pStyle w:val="28"/>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履行本合同不得损害甲方及第三方依法享有的知识产权，乙方为履行本合同而完成的一切工作成果（含过程资料、工程数据，但乙方根据自身检测经验总结的、用于第三方检测的实用新型专利、发明专利、计算机软件著作权等除外）之权利归甲方所有，乙方享有署名权。未经甲方书面同意，乙方不得向第三方提供本合同涉及之一切资料，但乙方可将数据匿名处理后归于其大数据库，供乙方调查、研究、提升业务水平使用，乙方在对外提供大数据资料时，应保证行业资深人员无法根据大数据资料精确猜测到相关数据对应的主体。</w:t>
      </w:r>
    </w:p>
    <w:p w14:paraId="79543034">
      <w:pPr>
        <w:pStyle w:val="28"/>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乙方违反本条相关规定的，</w:t>
      </w:r>
      <w:bookmarkStart w:id="4" w:name="_Hlk197621644"/>
      <w:r>
        <w:rPr>
          <w:rFonts w:hint="eastAsia" w:ascii="宋体" w:hAnsi="宋体" w:eastAsia="宋体" w:cs="宋体"/>
          <w:sz w:val="24"/>
          <w:szCs w:val="24"/>
        </w:rPr>
        <w:t>赔偿由此给甲方造成的一切直接和间接损失</w:t>
      </w:r>
      <w:bookmarkEnd w:id="4"/>
      <w:r>
        <w:rPr>
          <w:rFonts w:hint="eastAsia" w:ascii="宋体" w:hAnsi="宋体" w:eastAsia="宋体" w:cs="宋体"/>
          <w:color w:val="000000"/>
          <w:sz w:val="24"/>
          <w:szCs w:val="24"/>
        </w:rPr>
        <w:t>，并保留进一步追究乙方相应法律责任的权利。</w:t>
      </w:r>
    </w:p>
    <w:p w14:paraId="6AEAEA77">
      <w:pPr>
        <w:pStyle w:val="28"/>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十三、廉洁履约管理</w:t>
      </w:r>
    </w:p>
    <w:p w14:paraId="3006E04B">
      <w:pPr>
        <w:adjustRightInd w:val="0"/>
        <w:snapToGrid w:val="0"/>
        <w:spacing w:after="93" w:afterLines="3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乙方及其工作人员禁止接受甲方及其供应商和相关工作人员任何贿赂，否则一经调查核实，甲方有权要求乙方按照收受贿赂金额的五至十倍支付罚款。乙方应对相关人员按照乙方管理制度进行处罚，并将相应处罚情况告知甲方。除上述处罚外，甲方还有权给予乙方以下一种或几种处罚，处罚方式包括但不限于：限期处理、纳入甲方供应商黑名单等。</w:t>
      </w:r>
    </w:p>
    <w:p w14:paraId="3A55B3D8">
      <w:pPr>
        <w:adjustRightInd w:val="0"/>
        <w:snapToGrid w:val="0"/>
        <w:spacing w:after="93" w:afterLines="3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甲方（含所属管理的相关区域公司、项目公司等）、与甲方合作的其他供应商及相关工作人员不得向乙方及其工作人员行贿，如乙方发现甲方及其供应商和相关工作人员存在行贿行为且乙方工作人员予以拒绝的，乙方应在拒贿后第一时间向甲方集团报备，甲方有权没收行贿财物，并对行贿单位及相关工作人员按照其行贿金额的五至十倍进行罚款，进行通报批评，并将相应处罚情况告知乙方。除上述处罚外，甲方还有权给予行贿人或行贿人所在单位以下一种或几种处罚，处罚方式包括但不限于：限期处理、通报批评、扣减评估分数、罚款、纳入甲方供应商黑名单、追究民事及刑事责任等。</w:t>
      </w:r>
    </w:p>
    <w:p w14:paraId="75F5C33E">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13.3</w:t>
      </w:r>
      <w:r>
        <w:rPr>
          <w:rFonts w:hint="eastAsia" w:ascii="宋体" w:hAnsi="宋体" w:eastAsia="宋体" w:cs="宋体"/>
          <w:sz w:val="24"/>
        </w:rPr>
        <w:t xml:space="preserve">甲方确认将公平、公正处理舞弊事件各方，给予行贿方及受贿方对等处罚。 </w:t>
      </w:r>
    </w:p>
    <w:p w14:paraId="2852FEDF">
      <w:pPr>
        <w:pStyle w:val="28"/>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十四、履约考核</w:t>
      </w:r>
    </w:p>
    <w:p w14:paraId="6DF9A2B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履约考核按《深圳市龙岗区城投新基础设施建设管理有限公司工程建设项目合同履约考核实施细则》（具体考核项目见附表14）实施，履约考核在服务费支付上的应用如下：</w:t>
      </w:r>
    </w:p>
    <w:p w14:paraId="79FDFA74">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（1）评价80分及以上（含80分）的由甲方全额支付乙方当期费用；</w:t>
      </w:r>
    </w:p>
    <w:p w14:paraId="6F285DB4">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2）评价70分以上（含70分）、80分以下（不含80分）的由甲方支付乙方当期费用80%，剩余费用于下一期履约评价90分以上（含90分）时补充支付，若评价低于90分则该费用视为对乙方服务的惩罚性扣款，且乙方不得要求支付；</w:t>
      </w:r>
    </w:p>
    <w:p w14:paraId="53F6FA66">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评价70分以下（不含70分）的由甲方支付乙方当期费用的20%，并解除后续服务合同。</w:t>
      </w:r>
    </w:p>
    <w:p w14:paraId="6F5F8B46">
      <w:pPr>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附表1</w:t>
      </w:r>
      <w:r>
        <w:rPr>
          <w:rFonts w:ascii="Times New Roman" w:hAnsi="Times New Roman" w:eastAsia="仿宋_GB2312" w:cs="Times New Roman"/>
          <w:b/>
          <w:sz w:val="32"/>
          <w:szCs w:val="32"/>
        </w:rPr>
        <w:t>4:</w:t>
      </w:r>
    </w:p>
    <w:tbl>
      <w:tblPr>
        <w:tblStyle w:val="14"/>
        <w:tblW w:w="8421" w:type="dxa"/>
        <w:tblInd w:w="0" w:type="dxa"/>
        <w:tblLayout w:type="fixed"/>
        <w:tblCellMar>
          <w:top w:w="0" w:type="dxa"/>
          <w:left w:w="0" w:type="dxa"/>
          <w:bottom w:w="0" w:type="dxa"/>
          <w:right w:w="0" w:type="dxa"/>
        </w:tblCellMar>
      </w:tblPr>
      <w:tblGrid>
        <w:gridCol w:w="652"/>
        <w:gridCol w:w="724"/>
        <w:gridCol w:w="635"/>
        <w:gridCol w:w="776"/>
        <w:gridCol w:w="636"/>
        <w:gridCol w:w="3213"/>
        <w:gridCol w:w="1020"/>
        <w:gridCol w:w="765"/>
      </w:tblGrid>
      <w:tr w14:paraId="343F9139">
        <w:tblPrEx>
          <w:tblCellMar>
            <w:top w:w="0" w:type="dxa"/>
            <w:left w:w="0" w:type="dxa"/>
            <w:bottom w:w="0" w:type="dxa"/>
            <w:right w:w="0" w:type="dxa"/>
          </w:tblCellMar>
        </w:tblPrEx>
        <w:trPr>
          <w:trHeight w:val="940" w:hRule="atLeast"/>
        </w:trPr>
        <w:tc>
          <w:tcPr>
            <w:tcW w:w="8421" w:type="dxa"/>
            <w:gridSpan w:val="8"/>
            <w:tcBorders>
              <w:top w:val="nil"/>
              <w:left w:val="nil"/>
              <w:bottom w:val="nil"/>
              <w:right w:val="nil"/>
            </w:tcBorders>
            <w:tcMar>
              <w:top w:w="15" w:type="dxa"/>
              <w:left w:w="15" w:type="dxa"/>
              <w:right w:w="15" w:type="dxa"/>
            </w:tcMar>
            <w:vAlign w:val="center"/>
          </w:tcPr>
          <w:p w14:paraId="5170E0DB">
            <w:pPr>
              <w:widowControl/>
              <w:jc w:val="center"/>
              <w:textAlignment w:val="center"/>
              <w:rPr>
                <w:rFonts w:hint="eastAsia" w:ascii="黑体" w:hAnsi="宋体" w:eastAsia="黑体" w:cs="黑体"/>
                <w:b/>
                <w:sz w:val="36"/>
                <w:szCs w:val="36"/>
              </w:rPr>
            </w:pPr>
            <w:r>
              <w:rPr>
                <w:rFonts w:hint="eastAsia" w:ascii="黑体" w:hAnsi="宋体" w:eastAsia="黑体" w:cs="黑体"/>
                <w:b/>
                <w:kern w:val="0"/>
                <w:sz w:val="24"/>
                <w:szCs w:val="24"/>
                <w:lang w:bidi="ar"/>
              </w:rPr>
              <w:t>技术服务类节点履约评价评分标准表</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（样表）</w:t>
            </w:r>
          </w:p>
        </w:tc>
      </w:tr>
      <w:tr w14:paraId="21FBC5BF">
        <w:tblPrEx>
          <w:tblCellMar>
            <w:top w:w="0" w:type="dxa"/>
            <w:left w:w="0" w:type="dxa"/>
            <w:bottom w:w="0" w:type="dxa"/>
            <w:right w:w="0" w:type="dxa"/>
          </w:tblCellMar>
        </w:tblPrEx>
        <w:trPr>
          <w:trHeight w:val="800" w:hRule="atLeast"/>
        </w:trPr>
        <w:tc>
          <w:tcPr>
            <w:tcW w:w="8421" w:type="dxa"/>
            <w:gridSpan w:val="8"/>
            <w:tcBorders>
              <w:top w:val="nil"/>
              <w:left w:val="nil"/>
              <w:bottom w:val="nil"/>
              <w:right w:val="nil"/>
            </w:tcBorders>
            <w:tcMar>
              <w:top w:w="15" w:type="dxa"/>
              <w:left w:w="15" w:type="dxa"/>
              <w:right w:w="15" w:type="dxa"/>
            </w:tcMar>
            <w:vAlign w:val="center"/>
          </w:tcPr>
          <w:p w14:paraId="1FDC733A">
            <w:pPr>
              <w:widowControl/>
              <w:jc w:val="left"/>
              <w:textAlignment w:val="center"/>
              <w:rPr>
                <w:rFonts w:hint="eastAsia" w:ascii="黑体" w:hAnsi="宋体" w:eastAsia="黑体" w:cs="黑体"/>
                <w:b/>
                <w:sz w:val="24"/>
                <w:szCs w:val="24"/>
              </w:rPr>
            </w:pPr>
            <w:r>
              <w:rPr>
                <w:rFonts w:hint="eastAsia" w:ascii="黑体" w:hAnsi="宋体" w:eastAsia="黑体" w:cs="黑体"/>
                <w:b/>
                <w:kern w:val="0"/>
                <w:sz w:val="24"/>
                <w:szCs w:val="24"/>
                <w:lang w:bidi="ar"/>
              </w:rPr>
              <w:t xml:space="preserve">工程名称：                          履约单位：                 </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评价人员：                          评价时间：</w:t>
            </w:r>
          </w:p>
        </w:tc>
      </w:tr>
      <w:tr w14:paraId="4BD52DC8">
        <w:tblPrEx>
          <w:tblCellMar>
            <w:top w:w="0" w:type="dxa"/>
            <w:left w:w="0" w:type="dxa"/>
            <w:bottom w:w="0" w:type="dxa"/>
            <w:right w:w="0" w:type="dxa"/>
          </w:tblCellMar>
        </w:tblPrEx>
        <w:trPr>
          <w:trHeight w:val="1420"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4A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295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一级指标名称</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D7D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一级指标权重分值</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FB6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二级指标名称</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828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二级指标权重分值</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53F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考核要素</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CB9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456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得分</w:t>
            </w:r>
          </w:p>
        </w:tc>
      </w:tr>
      <w:tr w14:paraId="7C9ADDBB">
        <w:tblPrEx>
          <w:tblCellMar>
            <w:top w:w="0" w:type="dxa"/>
            <w:left w:w="0" w:type="dxa"/>
            <w:bottom w:w="0" w:type="dxa"/>
            <w:right w:w="0" w:type="dxa"/>
          </w:tblCellMar>
        </w:tblPrEx>
        <w:trPr>
          <w:trHeight w:val="1180" w:hRule="atLeast"/>
        </w:trPr>
        <w:tc>
          <w:tcPr>
            <w:tcW w:w="6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5F5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w:t>
            </w:r>
          </w:p>
        </w:tc>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0FA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人员配备</w:t>
            </w:r>
          </w:p>
        </w:tc>
        <w:tc>
          <w:tcPr>
            <w:tcW w:w="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201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808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项目负责人</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5ED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224E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配备固定的项目负责人且该负责人具有高度责任心、良好的组织协调能力和专业的业务水平。</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29414">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412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D0B0B86">
        <w:tblPrEx>
          <w:tblCellMar>
            <w:top w:w="0" w:type="dxa"/>
            <w:left w:w="0" w:type="dxa"/>
            <w:bottom w:w="0" w:type="dxa"/>
            <w:right w:w="0" w:type="dxa"/>
          </w:tblCellMar>
        </w:tblPrEx>
        <w:trPr>
          <w:trHeight w:val="885" w:hRule="atLeast"/>
        </w:trPr>
        <w:tc>
          <w:tcPr>
            <w:tcW w:w="6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8990D">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CE1E9">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BC308">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1CE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专业人员</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BF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A04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配备的人员数量、专业满足合同及招标文件的要求。</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103CF">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3FA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3F71521">
        <w:tblPrEx>
          <w:tblCellMar>
            <w:top w:w="0" w:type="dxa"/>
            <w:left w:w="0" w:type="dxa"/>
            <w:bottom w:w="0" w:type="dxa"/>
            <w:right w:w="0" w:type="dxa"/>
          </w:tblCellMar>
        </w:tblPrEx>
        <w:trPr>
          <w:trHeight w:val="790" w:hRule="atLeast"/>
        </w:trPr>
        <w:tc>
          <w:tcPr>
            <w:tcW w:w="652"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63FAD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826AB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FAD88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E63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CC2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4291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按合同及相关标准规范开展工作。</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C42F7">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C09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5B23952">
        <w:tblPrEx>
          <w:tblCellMar>
            <w:top w:w="0" w:type="dxa"/>
            <w:left w:w="0" w:type="dxa"/>
            <w:bottom w:w="0" w:type="dxa"/>
            <w:right w:w="0" w:type="dxa"/>
          </w:tblCellMar>
        </w:tblPrEx>
        <w:trPr>
          <w:trHeight w:val="1240" w:hRule="atLeast"/>
        </w:trPr>
        <w:tc>
          <w:tcPr>
            <w:tcW w:w="65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46780A9">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16FB397">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E214FCB">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880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履约成果</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9A5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39B8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成果文件完全满足合同要求，成果质量全面、准确、完整；严格按照现场有关规定开展工作；资料档案及时留存。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BA043">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A33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1ACA23E">
        <w:tblPrEx>
          <w:tblCellMar>
            <w:top w:w="0" w:type="dxa"/>
            <w:left w:w="0" w:type="dxa"/>
            <w:bottom w:w="0" w:type="dxa"/>
            <w:right w:w="0" w:type="dxa"/>
          </w:tblCellMar>
        </w:tblPrEx>
        <w:trPr>
          <w:trHeight w:val="1080" w:hRule="atLeast"/>
        </w:trPr>
        <w:tc>
          <w:tcPr>
            <w:tcW w:w="6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DC124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w:t>
            </w:r>
          </w:p>
        </w:tc>
        <w:tc>
          <w:tcPr>
            <w:tcW w:w="7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658DE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履约进度</w:t>
            </w:r>
          </w:p>
        </w:tc>
        <w:tc>
          <w:tcPr>
            <w:tcW w:w="6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CF565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421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进度控制</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C97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C2AD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按照合同要求完成合同工作提交成果资料。</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8434B">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1E7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B0EB41F">
        <w:tblPrEx>
          <w:tblCellMar>
            <w:top w:w="0" w:type="dxa"/>
            <w:left w:w="0" w:type="dxa"/>
            <w:bottom w:w="0" w:type="dxa"/>
            <w:right w:w="0" w:type="dxa"/>
          </w:tblCellMar>
        </w:tblPrEx>
        <w:trPr>
          <w:trHeight w:val="1260" w:hRule="atLeast"/>
        </w:trPr>
        <w:tc>
          <w:tcPr>
            <w:tcW w:w="65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06E3B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42856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配合与协调</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B0DAE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CBC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廉政责任落实</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979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62D1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按照签订的《投标人廉政责任承诺书》、《建设工程廉政责任合同》落实，若任一条款未落实的，履约率均被判定0%。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2D1EC">
            <w:pPr>
              <w:jc w:val="left"/>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3FA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8D1CF74">
        <w:tblPrEx>
          <w:tblCellMar>
            <w:top w:w="0" w:type="dxa"/>
            <w:left w:w="0" w:type="dxa"/>
            <w:bottom w:w="0" w:type="dxa"/>
            <w:right w:w="0" w:type="dxa"/>
          </w:tblCellMar>
        </w:tblPrEx>
        <w:trPr>
          <w:trHeight w:val="1220" w:hRule="atLeast"/>
        </w:trPr>
        <w:tc>
          <w:tcPr>
            <w:tcW w:w="65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E5A8DCD">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06E963E">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9888B6D">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427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配合协调</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F4B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7937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积极配合发包单位及其他外部单位工作，积极推动项目进展，能够沟通协调各项问题。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E5898">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8EE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E47D5B6">
        <w:tblPrEx>
          <w:tblCellMar>
            <w:top w:w="0" w:type="dxa"/>
            <w:left w:w="0" w:type="dxa"/>
            <w:bottom w:w="0" w:type="dxa"/>
            <w:right w:w="0" w:type="dxa"/>
          </w:tblCellMar>
        </w:tblPrEx>
        <w:trPr>
          <w:trHeight w:val="1390" w:hRule="atLeast"/>
        </w:trPr>
        <w:tc>
          <w:tcPr>
            <w:tcW w:w="2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2406B">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总分</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5656C">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100</w:t>
            </w:r>
          </w:p>
        </w:tc>
        <w:tc>
          <w:tcPr>
            <w:tcW w:w="423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14:paraId="326B72A5">
            <w:pPr>
              <w:widowControl/>
              <w:jc w:val="left"/>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单项二级实际得分=二级指标履约率×指标权重分值；</w:t>
            </w:r>
            <w:r>
              <w:rPr>
                <w:rFonts w:hint="eastAsia" w:ascii="黑体" w:hAnsi="宋体" w:eastAsia="黑体" w:cs="黑体"/>
                <w:kern w:val="0"/>
                <w:sz w:val="20"/>
                <w:szCs w:val="20"/>
                <w:lang w:bidi="ar"/>
              </w:rPr>
              <w:br w:type="textWrapping"/>
            </w:r>
            <w:r>
              <w:rPr>
                <w:rFonts w:hint="eastAsia" w:ascii="黑体" w:hAnsi="宋体" w:eastAsia="黑体" w:cs="黑体"/>
                <w:kern w:val="0"/>
                <w:sz w:val="20"/>
                <w:szCs w:val="20"/>
                <w:lang w:bidi="ar"/>
              </w:rPr>
              <w:t>最终得分=∑各二级指标实际得分/∑各二级指标权重分值×100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14B25">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0</w:t>
            </w:r>
          </w:p>
        </w:tc>
      </w:tr>
    </w:tbl>
    <w:p w14:paraId="3C5EBAF4"/>
    <w:p w14:paraId="13ACACB2">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十五、其他</w:t>
      </w:r>
    </w:p>
    <w:p w14:paraId="14CA5A9E">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14.1 本合同履行过程中发生争议，甲乙双方应友好协商解决，协商不成的，双方应当向甲方所在地有管辖权的人民法院提起诉讼。</w:t>
      </w:r>
    </w:p>
    <w:p w14:paraId="24BC326B">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14.2本合同未尽事宜，双方可另行协商签订补充协议。本合同的任何修改、补充等均以书面形式完成，经双方授权代表签字并盖章后生效。生效的修改、补充为本合同不可分割的组成部分，与本合同具有同等法律效力。</w:t>
      </w:r>
    </w:p>
    <w:p w14:paraId="5062FE61">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14.3 甲乙双方均保证本合同约定的联系方式、邮箱地址、银行信息等是合法有效的，任何一方按本合同约定的联系方式向对方邮寄快递的，自邮件交邮之日起第四日视为收件方已收到邮件，并知晓了邮件内容，收件方是否签收与邮寄方无关。如果以电子邮件方式向对方送达文件资料的，发件方成功发送电子邮件之次日视为收件方已收到邮件，并知晓了邮件内容。</w:t>
      </w:r>
    </w:p>
    <w:p w14:paraId="087DA6E3">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任何一方变更本合同约定的联系方式、邮箱地址、银行信息等内容的，应当自变更之日起3日内及时通知另一方，如因未及时告知导致另一方按照本合同约定履行了相关义务的，即视为另一方已经按照合同约定履行了相关义务，无需承担任何法律责任，由此引起的一切不良后果均由未通知方自行承担。</w:t>
      </w:r>
    </w:p>
    <w:p w14:paraId="3537F6A2">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14.4 本合同中约定的到期日为法定节假日的，自动顺延至法定节假日后的第一个工作日。</w:t>
      </w:r>
    </w:p>
    <w:p w14:paraId="2C6B219C">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14.5附件为本合同不可分割的组成部分，与本合同具有同等法律效力。</w:t>
      </w:r>
    </w:p>
    <w:p w14:paraId="41A3C6C0">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14.6 本合同自双方盖章之日起生效。本合同一式陆份，甲乙双方各执叁份，具有同等法律效力。</w:t>
      </w:r>
    </w:p>
    <w:p w14:paraId="7982CBB2">
      <w:pPr>
        <w:adjustRightInd w:val="0"/>
        <w:snapToGrid w:val="0"/>
        <w:spacing w:after="93" w:afterLines="30" w:line="360" w:lineRule="auto"/>
        <w:rPr>
          <w:rFonts w:hint="eastAsia" w:ascii="宋体" w:hAnsi="宋体" w:eastAsia="宋体" w:cs="宋体"/>
          <w:sz w:val="24"/>
        </w:rPr>
      </w:pPr>
    </w:p>
    <w:p w14:paraId="31B9CEDC">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（以下无正文）</w:t>
      </w:r>
    </w:p>
    <w:p w14:paraId="44DF1C66">
      <w:pPr>
        <w:rPr>
          <w:rFonts w:hint="eastAsia" w:ascii="宋体" w:hAnsi="宋体" w:eastAsia="宋体" w:cs="宋体"/>
          <w:sz w:val="24"/>
        </w:rPr>
      </w:pPr>
      <w:r>
        <w:rPr>
          <w:rFonts w:hint="eastAsia" w:ascii="宋体" w:hAnsi="宋体" w:eastAsia="宋体" w:cs="宋体"/>
          <w:sz w:val="24"/>
        </w:rPr>
        <w:br w:type="page"/>
      </w:r>
    </w:p>
    <w:tbl>
      <w:tblPr>
        <w:tblStyle w:val="14"/>
        <w:tblW w:w="947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1"/>
        <w:gridCol w:w="4819"/>
      </w:tblGrid>
      <w:tr w14:paraId="5B7607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3" w:hRule="atLeast"/>
          <w:jc w:val="center"/>
        </w:trPr>
        <w:tc>
          <w:tcPr>
            <w:tcW w:w="4651" w:type="dxa"/>
            <w:tcBorders>
              <w:top w:val="single" w:color="auto" w:sz="6" w:space="0"/>
              <w:left w:val="double" w:color="auto" w:sz="6" w:space="0"/>
              <w:bottom w:val="single" w:color="auto" w:sz="6" w:space="0"/>
              <w:right w:val="single" w:color="auto" w:sz="6" w:space="0"/>
            </w:tcBorders>
          </w:tcPr>
          <w:p w14:paraId="42F853A9">
            <w:pPr>
              <w:pStyle w:val="2"/>
              <w:spacing w:line="360" w:lineRule="auto"/>
              <w:jc w:val="lef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bCs/>
                <w:sz w:val="24"/>
                <w:szCs w:val="22"/>
              </w:rPr>
              <w:t>深圳市龙岗区城投新基础设施建设管理有限公司</w:t>
            </w:r>
          </w:p>
        </w:tc>
        <w:tc>
          <w:tcPr>
            <w:tcW w:w="4819" w:type="dxa"/>
            <w:tcBorders>
              <w:top w:val="single" w:color="auto" w:sz="6" w:space="0"/>
              <w:left w:val="single" w:color="auto" w:sz="6" w:space="0"/>
              <w:bottom w:val="single" w:color="auto" w:sz="6" w:space="0"/>
              <w:right w:val="single" w:color="auto" w:sz="6" w:space="0"/>
            </w:tcBorders>
            <w:vAlign w:val="center"/>
          </w:tcPr>
          <w:p w14:paraId="5C0B2391">
            <w:pPr>
              <w:pStyle w:val="20"/>
              <w:adjustRightInd w:val="0"/>
              <w:snapToGrid w:val="0"/>
              <w:spacing w:after="93" w:afterLines="30" w:line="360" w:lineRule="auto"/>
              <w:ind w:left="307" w:hanging="307" w:hangingChars="128"/>
              <w:outlineLvl w:val="9"/>
              <w:rPr>
                <w:rFonts w:hint="eastAsia" w:ascii="宋体" w:hAnsi="宋体" w:eastAsia="宋体" w:cs="宋体"/>
              </w:rPr>
            </w:pPr>
            <w:r>
              <w:rPr>
                <w:rFonts w:hint="eastAsia" w:ascii="宋体" w:hAnsi="宋体" w:eastAsia="宋体" w:cs="宋体"/>
                <w:b w:val="0"/>
              </w:rPr>
              <w:t>乙方：</w:t>
            </w:r>
          </w:p>
        </w:tc>
      </w:tr>
      <w:tr w14:paraId="2FD51C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1" w:hRule="atLeast"/>
          <w:jc w:val="center"/>
        </w:trPr>
        <w:tc>
          <w:tcPr>
            <w:tcW w:w="4651" w:type="dxa"/>
            <w:tcBorders>
              <w:top w:val="single" w:color="auto" w:sz="6" w:space="0"/>
              <w:left w:val="double" w:color="auto" w:sz="6" w:space="0"/>
              <w:bottom w:val="single" w:color="auto" w:sz="6" w:space="0"/>
              <w:right w:val="single" w:color="auto" w:sz="6" w:space="0"/>
            </w:tcBorders>
          </w:tcPr>
          <w:p w14:paraId="00C2009E">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地址：深圳市龙岗区龙城街道黄阁坑社区腾飞路9号创投大厦2209室</w:t>
            </w:r>
          </w:p>
          <w:p w14:paraId="55118DDE">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联系人：</w:t>
            </w:r>
          </w:p>
          <w:p w14:paraId="010A5DC2">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电话：</w:t>
            </w:r>
          </w:p>
          <w:p w14:paraId="5F3C0F5B">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2E2778AD">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46BE1003">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3755EB7D">
            <w:pPr>
              <w:adjustRightInd w:val="0"/>
              <w:snapToGrid w:val="0"/>
              <w:spacing w:after="93" w:afterLines="30" w:line="360" w:lineRule="auto"/>
              <w:ind w:left="307" w:hanging="307" w:hangingChars="128"/>
              <w:rPr>
                <w:rFonts w:hint="eastAsia" w:ascii="宋体" w:hAnsi="宋体" w:eastAsia="宋体" w:cs="宋体"/>
                <w:sz w:val="24"/>
              </w:rPr>
            </w:pPr>
          </w:p>
          <w:p w14:paraId="21451EB1">
            <w:pPr>
              <w:adjustRightInd w:val="0"/>
              <w:snapToGrid w:val="0"/>
              <w:spacing w:after="93" w:afterLines="30" w:line="360" w:lineRule="auto"/>
              <w:ind w:left="307" w:hanging="307" w:hangingChars="128"/>
              <w:rPr>
                <w:rFonts w:hint="eastAsia" w:ascii="宋体" w:hAnsi="宋体" w:eastAsia="宋体" w:cs="宋体"/>
                <w:sz w:val="24"/>
              </w:rPr>
            </w:pPr>
          </w:p>
          <w:p w14:paraId="0478A240">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c>
          <w:tcPr>
            <w:tcW w:w="4819" w:type="dxa"/>
            <w:tcBorders>
              <w:top w:val="single" w:color="auto" w:sz="6" w:space="0"/>
              <w:left w:val="single" w:color="auto" w:sz="6" w:space="0"/>
              <w:bottom w:val="single" w:color="auto" w:sz="6" w:space="0"/>
              <w:right w:val="single" w:color="auto" w:sz="6" w:space="0"/>
            </w:tcBorders>
          </w:tcPr>
          <w:p w14:paraId="73220ACF">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w:t>
            </w:r>
          </w:p>
          <w:p w14:paraId="72402554">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 xml:space="preserve"> </w:t>
            </w:r>
          </w:p>
          <w:p w14:paraId="7B5FC3EA">
            <w:pPr>
              <w:adjustRightInd w:val="0"/>
              <w:snapToGrid w:val="0"/>
              <w:spacing w:after="93" w:afterLines="30" w:line="360" w:lineRule="auto"/>
              <w:rPr>
                <w:rFonts w:hint="eastAsia" w:ascii="宋体" w:hAnsi="宋体" w:eastAsia="宋体" w:cs="宋体"/>
                <w:kern w:val="0"/>
                <w:sz w:val="24"/>
              </w:rPr>
            </w:pPr>
            <w:r>
              <w:rPr>
                <w:rFonts w:hint="eastAsia" w:ascii="宋体" w:hAnsi="宋体" w:eastAsia="宋体" w:cs="宋体"/>
                <w:sz w:val="24"/>
              </w:rPr>
              <w:t>联系人：</w:t>
            </w:r>
          </w:p>
          <w:p w14:paraId="21F47070">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电话：</w:t>
            </w:r>
          </w:p>
          <w:p w14:paraId="4B65D081">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6F92931A">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6EE51C16">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28E6AF00">
            <w:pPr>
              <w:adjustRightInd w:val="0"/>
              <w:snapToGrid w:val="0"/>
              <w:spacing w:after="93" w:afterLines="30" w:line="360" w:lineRule="auto"/>
              <w:ind w:left="307" w:hanging="307" w:hangingChars="128"/>
              <w:rPr>
                <w:rFonts w:hint="eastAsia" w:ascii="宋体" w:hAnsi="宋体" w:eastAsia="宋体" w:cs="宋体"/>
                <w:sz w:val="24"/>
              </w:rPr>
            </w:pPr>
          </w:p>
          <w:p w14:paraId="57338520">
            <w:pPr>
              <w:adjustRightInd w:val="0"/>
              <w:snapToGrid w:val="0"/>
              <w:spacing w:after="93" w:afterLines="30" w:line="360" w:lineRule="auto"/>
              <w:rPr>
                <w:rFonts w:hint="eastAsia" w:ascii="宋体" w:hAnsi="宋体" w:eastAsia="宋体" w:cs="宋体"/>
                <w:sz w:val="24"/>
              </w:rPr>
            </w:pPr>
          </w:p>
          <w:p w14:paraId="40BEAFED">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r>
    </w:tbl>
    <w:p w14:paraId="68E1B37C">
      <w:pPr>
        <w:pStyle w:val="27"/>
        <w:adjustRightInd w:val="0"/>
        <w:snapToGrid w:val="0"/>
        <w:spacing w:after="93" w:afterLines="30" w:line="360" w:lineRule="auto"/>
        <w:ind w:firstLine="0" w:firstLineChars="0"/>
        <w:rPr>
          <w:rFonts w:hint="eastAsia" w:ascii="宋体" w:hAnsi="宋体" w:eastAsia="宋体" w:cs="宋体"/>
          <w:b/>
          <w:bCs/>
          <w:sz w:val="44"/>
          <w:szCs w:val="44"/>
        </w:rPr>
      </w:pPr>
    </w:p>
    <w:sectPr>
      <w:head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0FB6">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6EE9B7">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7C6EE9B7">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427C">
    <w:pPr>
      <w:pStyle w:val="11"/>
      <w:pBdr>
        <w:bottom w:val="single" w:color="auto" w:sz="6" w:space="0"/>
      </w:pBd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38"/>
    <w:rsid w:val="000306EC"/>
    <w:rsid w:val="00047C18"/>
    <w:rsid w:val="000574C8"/>
    <w:rsid w:val="00073356"/>
    <w:rsid w:val="000C4D32"/>
    <w:rsid w:val="00186DB4"/>
    <w:rsid w:val="001B3900"/>
    <w:rsid w:val="002479A4"/>
    <w:rsid w:val="00254583"/>
    <w:rsid w:val="002D28B7"/>
    <w:rsid w:val="00346FFF"/>
    <w:rsid w:val="00376DAD"/>
    <w:rsid w:val="00382FBB"/>
    <w:rsid w:val="003C09AC"/>
    <w:rsid w:val="003E7EB4"/>
    <w:rsid w:val="003F219A"/>
    <w:rsid w:val="00423181"/>
    <w:rsid w:val="00430E39"/>
    <w:rsid w:val="00430F57"/>
    <w:rsid w:val="004433E3"/>
    <w:rsid w:val="00462D9E"/>
    <w:rsid w:val="00474D3B"/>
    <w:rsid w:val="004E5245"/>
    <w:rsid w:val="004F10D4"/>
    <w:rsid w:val="00533811"/>
    <w:rsid w:val="005367A1"/>
    <w:rsid w:val="0055172D"/>
    <w:rsid w:val="005A4A42"/>
    <w:rsid w:val="005C13EA"/>
    <w:rsid w:val="005F521B"/>
    <w:rsid w:val="0060341B"/>
    <w:rsid w:val="00704A9F"/>
    <w:rsid w:val="0072021C"/>
    <w:rsid w:val="00723281"/>
    <w:rsid w:val="007516DE"/>
    <w:rsid w:val="00761779"/>
    <w:rsid w:val="007A6F53"/>
    <w:rsid w:val="007B3766"/>
    <w:rsid w:val="007C429B"/>
    <w:rsid w:val="007C770C"/>
    <w:rsid w:val="00803C33"/>
    <w:rsid w:val="00817AAD"/>
    <w:rsid w:val="00875966"/>
    <w:rsid w:val="008A2059"/>
    <w:rsid w:val="008C703E"/>
    <w:rsid w:val="008D7DD8"/>
    <w:rsid w:val="008E10E3"/>
    <w:rsid w:val="0095390B"/>
    <w:rsid w:val="00976538"/>
    <w:rsid w:val="00A67F84"/>
    <w:rsid w:val="00A96296"/>
    <w:rsid w:val="00AC2365"/>
    <w:rsid w:val="00AD69D8"/>
    <w:rsid w:val="00B04E2E"/>
    <w:rsid w:val="00B25D8C"/>
    <w:rsid w:val="00B71CE0"/>
    <w:rsid w:val="00C11EB2"/>
    <w:rsid w:val="00C719A3"/>
    <w:rsid w:val="00C74E33"/>
    <w:rsid w:val="00C9581F"/>
    <w:rsid w:val="00C960CE"/>
    <w:rsid w:val="00CA690B"/>
    <w:rsid w:val="00CB3B3E"/>
    <w:rsid w:val="00CB5534"/>
    <w:rsid w:val="00CD20DD"/>
    <w:rsid w:val="00CE5E01"/>
    <w:rsid w:val="00CF052C"/>
    <w:rsid w:val="00CF653C"/>
    <w:rsid w:val="00CF6C9A"/>
    <w:rsid w:val="00D16E5D"/>
    <w:rsid w:val="00D37A41"/>
    <w:rsid w:val="00DD1D08"/>
    <w:rsid w:val="00E11D9D"/>
    <w:rsid w:val="00E21911"/>
    <w:rsid w:val="00E36C8C"/>
    <w:rsid w:val="00E90219"/>
    <w:rsid w:val="00E91384"/>
    <w:rsid w:val="00EA0905"/>
    <w:rsid w:val="00EA64FE"/>
    <w:rsid w:val="00EB5816"/>
    <w:rsid w:val="00F1441C"/>
    <w:rsid w:val="00F37A75"/>
    <w:rsid w:val="00F664D8"/>
    <w:rsid w:val="00FB5ED7"/>
    <w:rsid w:val="00FC0740"/>
    <w:rsid w:val="00FE21BB"/>
    <w:rsid w:val="03746D3F"/>
    <w:rsid w:val="06B210C4"/>
    <w:rsid w:val="081511B4"/>
    <w:rsid w:val="09D24CC3"/>
    <w:rsid w:val="0C7F3EA8"/>
    <w:rsid w:val="0CFD5C9C"/>
    <w:rsid w:val="0DC421AB"/>
    <w:rsid w:val="0F6A3727"/>
    <w:rsid w:val="155E2828"/>
    <w:rsid w:val="15B43D15"/>
    <w:rsid w:val="17B757B5"/>
    <w:rsid w:val="17EA2544"/>
    <w:rsid w:val="189F6B67"/>
    <w:rsid w:val="19AF57F2"/>
    <w:rsid w:val="1A121EEA"/>
    <w:rsid w:val="1E8701C7"/>
    <w:rsid w:val="1FF17168"/>
    <w:rsid w:val="200D401C"/>
    <w:rsid w:val="21AE2B9A"/>
    <w:rsid w:val="255C5D8D"/>
    <w:rsid w:val="26BA78C2"/>
    <w:rsid w:val="27A521A0"/>
    <w:rsid w:val="29D4393F"/>
    <w:rsid w:val="2A805C6A"/>
    <w:rsid w:val="2C0B1734"/>
    <w:rsid w:val="2E6F4DBD"/>
    <w:rsid w:val="2EC771D6"/>
    <w:rsid w:val="2EE24644"/>
    <w:rsid w:val="2FFB7C98"/>
    <w:rsid w:val="3739561C"/>
    <w:rsid w:val="38EC4167"/>
    <w:rsid w:val="3A106030"/>
    <w:rsid w:val="3CB03CE3"/>
    <w:rsid w:val="3F8B473C"/>
    <w:rsid w:val="3FF73A02"/>
    <w:rsid w:val="402E695E"/>
    <w:rsid w:val="40D95D52"/>
    <w:rsid w:val="411666FA"/>
    <w:rsid w:val="417D27A1"/>
    <w:rsid w:val="437E300F"/>
    <w:rsid w:val="44883D24"/>
    <w:rsid w:val="4C772EB9"/>
    <w:rsid w:val="4DE22615"/>
    <w:rsid w:val="4F437987"/>
    <w:rsid w:val="4FEE2B60"/>
    <w:rsid w:val="52162C31"/>
    <w:rsid w:val="53C96B44"/>
    <w:rsid w:val="53CE651E"/>
    <w:rsid w:val="54FF3F30"/>
    <w:rsid w:val="56B0272D"/>
    <w:rsid w:val="57283E05"/>
    <w:rsid w:val="588B6F7B"/>
    <w:rsid w:val="58C03A87"/>
    <w:rsid w:val="5B961429"/>
    <w:rsid w:val="5BAD458A"/>
    <w:rsid w:val="5C714E0D"/>
    <w:rsid w:val="5CC5557E"/>
    <w:rsid w:val="5DF05B78"/>
    <w:rsid w:val="601B093B"/>
    <w:rsid w:val="63B969A4"/>
    <w:rsid w:val="64D20ED2"/>
    <w:rsid w:val="669A39A8"/>
    <w:rsid w:val="66FC380D"/>
    <w:rsid w:val="695D5BA1"/>
    <w:rsid w:val="69EE6587"/>
    <w:rsid w:val="6AA858C3"/>
    <w:rsid w:val="6D3D7E1E"/>
    <w:rsid w:val="6EEE61C3"/>
    <w:rsid w:val="73C73858"/>
    <w:rsid w:val="744D7261"/>
    <w:rsid w:val="763E1DA0"/>
    <w:rsid w:val="77933065"/>
    <w:rsid w:val="7AF038F4"/>
    <w:rsid w:val="7CD34A68"/>
    <w:rsid w:val="7EA60BA8"/>
    <w:rsid w:val="7EFEB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jc w:val="center"/>
    </w:pPr>
    <w:rPr>
      <w:sz w:val="44"/>
      <w:szCs w:val="44"/>
    </w:rPr>
  </w:style>
  <w:style w:type="paragraph" w:styleId="4">
    <w:name w:val="index 8"/>
    <w:basedOn w:val="1"/>
    <w:next w:val="1"/>
    <w:unhideWhenUsed/>
    <w:qFormat/>
    <w:uiPriority w:val="99"/>
    <w:pPr>
      <w:widowControl/>
      <w:ind w:left="1600" w:hanging="200"/>
    </w:pPr>
    <w:rPr>
      <w:rFonts w:ascii="Calibri" w:eastAsia="PMingLiU" w:cs="Calibri"/>
      <w:kern w:val="0"/>
      <w:sz w:val="20"/>
      <w:szCs w:val="20"/>
      <w:lang w:val="en-GB" w:eastAsia="en-US"/>
    </w:rPr>
  </w:style>
  <w:style w:type="paragraph" w:styleId="5">
    <w:name w:val="annotation text"/>
    <w:basedOn w:val="1"/>
    <w:link w:val="24"/>
    <w:semiHidden/>
    <w:unhideWhenUsed/>
    <w:qFormat/>
    <w:uiPriority w:val="99"/>
    <w:pPr>
      <w:jc w:val="left"/>
    </w:pPr>
  </w:style>
  <w:style w:type="paragraph" w:styleId="6">
    <w:name w:val="Body Text"/>
    <w:basedOn w:val="1"/>
    <w:next w:val="7"/>
    <w:qFormat/>
    <w:uiPriority w:val="0"/>
    <w:pPr>
      <w:jc w:val="center"/>
    </w:pPr>
    <w:rPr>
      <w:rFonts w:ascii="宋体" w:hAnsi="宋体"/>
      <w:b/>
      <w:bCs/>
      <w:sz w:val="44"/>
    </w:rPr>
  </w:style>
  <w:style w:type="paragraph" w:styleId="7">
    <w:name w:val="Title"/>
    <w:basedOn w:val="1"/>
    <w:next w:val="1"/>
    <w:qFormat/>
    <w:uiPriority w:val="0"/>
    <w:pPr>
      <w:spacing w:beforeLines="100"/>
      <w:jc w:val="center"/>
      <w:outlineLvl w:val="0"/>
    </w:pPr>
    <w:rPr>
      <w:rFonts w:ascii="Arial" w:hAnsi="Arial" w:eastAsia="黑体" w:cs="Arial"/>
      <w:bCs/>
      <w:sz w:val="44"/>
      <w:szCs w:val="32"/>
    </w:rPr>
  </w:style>
  <w:style w:type="paragraph" w:styleId="8">
    <w:name w:val="Plain Text"/>
    <w:basedOn w:val="1"/>
    <w:next w:val="4"/>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Cs w:val="24"/>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annotation subject"/>
    <w:basedOn w:val="5"/>
    <w:next w:val="5"/>
    <w:link w:val="25"/>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paragraph" w:customStyle="1" w:styleId="20">
    <w:name w:val="合同条款1"/>
    <w:basedOn w:val="1"/>
    <w:qFormat/>
    <w:uiPriority w:val="0"/>
    <w:pPr>
      <w:spacing w:after="240"/>
      <w:outlineLvl w:val="0"/>
    </w:pPr>
    <w:rPr>
      <w:rFonts w:ascii="黑体" w:eastAsia="黑体"/>
      <w:b/>
      <w:sz w:val="24"/>
    </w:rPr>
  </w:style>
  <w:style w:type="character" w:customStyle="1" w:styleId="21">
    <w:name w:val="页眉 字符"/>
    <w:basedOn w:val="16"/>
    <w:link w:val="11"/>
    <w:qFormat/>
    <w:uiPriority w:val="99"/>
    <w:rPr>
      <w:rFonts w:asciiTheme="minorHAnsi" w:hAnsiTheme="minorHAnsi" w:eastAsiaTheme="minorEastAsia" w:cstheme="minorBidi"/>
      <w:kern w:val="2"/>
      <w:sz w:val="18"/>
      <w:szCs w:val="18"/>
    </w:rPr>
  </w:style>
  <w:style w:type="character" w:customStyle="1" w:styleId="22">
    <w:name w:val="页脚 字符"/>
    <w:basedOn w:val="16"/>
    <w:link w:val="10"/>
    <w:qFormat/>
    <w:uiPriority w:val="99"/>
    <w:rPr>
      <w:rFonts w:asciiTheme="minorHAnsi" w:hAnsiTheme="minorHAnsi" w:eastAsiaTheme="minorEastAsia" w:cstheme="minorBidi"/>
      <w:kern w:val="2"/>
      <w:sz w:val="18"/>
      <w:szCs w:val="18"/>
    </w:rPr>
  </w:style>
  <w:style w:type="character" w:customStyle="1" w:styleId="23">
    <w:name w:val="批注框文本 字符"/>
    <w:basedOn w:val="16"/>
    <w:link w:val="9"/>
    <w:semiHidden/>
    <w:qFormat/>
    <w:uiPriority w:val="99"/>
    <w:rPr>
      <w:rFonts w:asciiTheme="minorHAnsi" w:hAnsiTheme="minorHAnsi" w:eastAsiaTheme="minorEastAsia" w:cstheme="minorBidi"/>
      <w:kern w:val="2"/>
      <w:sz w:val="18"/>
      <w:szCs w:val="18"/>
    </w:rPr>
  </w:style>
  <w:style w:type="character" w:customStyle="1" w:styleId="24">
    <w:name w:val="批注文字 字符"/>
    <w:basedOn w:val="16"/>
    <w:link w:val="5"/>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13"/>
    <w:semiHidden/>
    <w:qFormat/>
    <w:uiPriority w:val="99"/>
    <w:rPr>
      <w:rFonts w:asciiTheme="minorHAnsi" w:hAnsiTheme="minorHAnsi" w:eastAsiaTheme="minorEastAsia" w:cstheme="minorBidi"/>
      <w:b/>
      <w:bCs/>
      <w:kern w:val="2"/>
      <w:sz w:val="21"/>
      <w:szCs w:val="22"/>
    </w:rPr>
  </w:style>
  <w:style w:type="paragraph" w:customStyle="1" w:styleId="26">
    <w:name w:val="Default"/>
    <w:qFormat/>
    <w:uiPriority w:val="0"/>
    <w:pPr>
      <w:widowControl w:val="0"/>
      <w:autoSpaceDE w:val="0"/>
      <w:autoSpaceDN w:val="0"/>
      <w:adjustRightInd w:val="0"/>
      <w:spacing w:after="160" w:line="278" w:lineRule="auto"/>
    </w:pPr>
    <w:rPr>
      <w:rFonts w:hint="eastAsia" w:ascii="宋体" w:hAnsi="Calibri" w:eastAsia="宋体" w:cs="Times New Roman"/>
      <w:color w:val="000000"/>
      <w:sz w:val="24"/>
      <w:lang w:val="en-US" w:eastAsia="zh-CN" w:bidi="ar-SA"/>
    </w:rPr>
  </w:style>
  <w:style w:type="paragraph" w:customStyle="1" w:styleId="27">
    <w:name w:val="列出段落3"/>
    <w:basedOn w:val="1"/>
    <w:qFormat/>
    <w:uiPriority w:val="99"/>
    <w:pPr>
      <w:ind w:firstLine="420" w:firstLineChars="200"/>
    </w:pPr>
  </w:style>
  <w:style w:type="paragraph" w:customStyle="1" w:styleId="28">
    <w:name w:val="列出段落1"/>
    <w:basedOn w:val="1"/>
    <w:qFormat/>
    <w:uiPriority w:val="34"/>
    <w:pPr>
      <w:ind w:firstLine="420" w:firstLineChars="200"/>
    </w:pPr>
    <w:rPr>
      <w:rFonts w:ascii="Calibri" w:hAnsi="Calibri"/>
    </w:rPr>
  </w:style>
  <w:style w:type="paragraph" w:customStyle="1" w:styleId="29">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7737</Words>
  <Characters>8092</Characters>
  <Lines>323</Lines>
  <Paragraphs>288</Paragraphs>
  <TotalTime>57</TotalTime>
  <ScaleCrop>false</ScaleCrop>
  <LinksUpToDate>false</LinksUpToDate>
  <CharactersWithSpaces>8626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2020-10-27T19:10:00Z</dcterms:created>
  <dc:creator>詹汝生</dc:creator>
  <cp:lastModifiedBy>實誠</cp:lastModifiedBy>
  <cp:lastPrinted>2025-05-09T02:30:00Z</cp:lastPrinted>
  <dcterms:modified xsi:type="dcterms:W3CDTF">2025-05-23T09:47:19Z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067BDB8937DE48FD96C2CBC7FE27B92A_13</vt:lpwstr>
  </property>
  <property fmtid="{D5CDD505-2E9C-101B-9397-08002B2CF9AE}" pid="4" name="KSOTemplateDocerSaveRecord">
    <vt:lpwstr>eyJoZGlkIjoiZjYxZTUyYjc1MzQwNWRmNjlmMWQyYmQ2NmM1M2U4MmMiLCJ1c2VySWQiOiI2OTk3NTA5NDAifQ==</vt:lpwstr>
  </property>
</Properties>
</file>