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F1B5B">
      <w:pPr>
        <w:pStyle w:val="12"/>
        <w:rPr>
          <w:rFonts w:ascii="宋体" w:hAnsi="宋体" w:eastAsia="宋体"/>
          <w:bCs w:val="0"/>
          <w:kern w:val="0"/>
          <w:sz w:val="24"/>
          <w:szCs w:val="24"/>
        </w:rPr>
      </w:pPr>
      <w:bookmarkStart w:id="3" w:name="_GoBack"/>
      <w:r>
        <w:rPr>
          <w:rFonts w:hint="eastAsia" w:ascii="宋体" w:hAnsi="宋体" w:eastAsia="宋体"/>
          <w:bCs w:val="0"/>
          <w:kern w:val="0"/>
          <w:sz w:val="24"/>
          <w:szCs w:val="24"/>
        </w:rPr>
        <w:t>附件3</w:t>
      </w:r>
    </w:p>
    <w:p w14:paraId="5F520CEE">
      <w:pPr>
        <w:adjustRightInd w:val="0"/>
        <w:snapToGrid w:val="0"/>
        <w:spacing w:line="520" w:lineRule="exact"/>
        <w:ind w:firstLine="3012" w:firstLineChars="1000"/>
        <w:rPr>
          <w:rFonts w:ascii="宋体" w:hAnsi="宋体"/>
          <w:b/>
          <w:kern w:val="0"/>
          <w:sz w:val="30"/>
          <w:szCs w:val="24"/>
        </w:rPr>
      </w:pPr>
      <w:r>
        <w:rPr>
          <w:rFonts w:hint="eastAsia" w:ascii="宋体" w:hAnsi="宋体"/>
          <w:b/>
          <w:kern w:val="0"/>
          <w:sz w:val="30"/>
          <w:szCs w:val="24"/>
        </w:rPr>
        <w:t>安全生产责任书</w:t>
      </w:r>
    </w:p>
    <w:bookmarkEnd w:id="3"/>
    <w:p w14:paraId="18527B4B">
      <w:pPr>
        <w:pStyle w:val="13"/>
        <w:spacing w:line="360" w:lineRule="auto"/>
        <w:ind w:firstLine="480" w:firstLineChars="200"/>
        <w:rPr>
          <w:rFonts w:ascii="宋体" w:hAnsi="宋体"/>
          <w:szCs w:val="24"/>
          <w:lang w:eastAsia="zh-CN"/>
        </w:rPr>
      </w:pPr>
    </w:p>
    <w:p w14:paraId="3BD2B601">
      <w:pPr>
        <w:pStyle w:val="11"/>
        <w:autoSpaceDE w:val="0"/>
        <w:autoSpaceDN w:val="0"/>
        <w:adjustRightInd w:val="0"/>
        <w:spacing w:line="360" w:lineRule="auto"/>
        <w:ind w:firstLine="480" w:firstLineChars="200"/>
        <w:jc w:val="left"/>
        <w:rPr>
          <w:rFonts w:ascii="宋体" w:hAnsi="宋体"/>
          <w:sz w:val="24"/>
        </w:rPr>
      </w:pPr>
      <w:r>
        <w:rPr>
          <w:rFonts w:hint="eastAsia" w:ascii="宋体" w:hAnsi="宋体"/>
          <w:sz w:val="24"/>
        </w:rPr>
        <w:t>为在</w:t>
      </w:r>
      <w:r>
        <w:rPr>
          <w:rFonts w:hint="eastAsia" w:ascii="宋体" w:hAnsi="宋体"/>
          <w:bCs/>
          <w:sz w:val="24"/>
          <w:u w:val="single"/>
        </w:rPr>
        <w:t xml:space="preserve">                                                          </w:t>
      </w:r>
      <w:r>
        <w:rPr>
          <w:rFonts w:hint="eastAsia" w:ascii="宋体" w:hAnsi="宋体"/>
          <w:sz w:val="24"/>
          <w:u w:val="double"/>
        </w:rPr>
        <w:t>(</w:t>
      </w:r>
      <w:r>
        <w:rPr>
          <w:rFonts w:hint="eastAsia" w:ascii="宋体" w:hAnsi="宋体"/>
          <w:sz w:val="24"/>
        </w:rPr>
        <w:t>工程名称)建设过程中创造安全、高效的施工环境，切实搞好本项目的安全管理工作，本项目发包人</w:t>
      </w:r>
      <w:r>
        <w:rPr>
          <w:rFonts w:hint="eastAsia" w:ascii="宋体" w:hAnsi="宋体"/>
          <w:bCs/>
          <w:sz w:val="24"/>
          <w:u w:val="single"/>
        </w:rPr>
        <w:t xml:space="preserve">                                                                                       </w:t>
      </w:r>
      <w:r>
        <w:rPr>
          <w:rFonts w:hint="eastAsia" w:ascii="宋体" w:hAnsi="宋体"/>
          <w:sz w:val="24"/>
        </w:rPr>
        <w:t>与承包人</w:t>
      </w:r>
      <w:r>
        <w:rPr>
          <w:rFonts w:hint="eastAsia" w:ascii="宋体" w:hAnsi="宋体"/>
          <w:bCs/>
          <w:sz w:val="24"/>
          <w:u w:val="single"/>
        </w:rPr>
        <w:t xml:space="preserve">                             </w:t>
      </w:r>
      <w:r>
        <w:rPr>
          <w:rFonts w:hint="eastAsia" w:ascii="宋体" w:hAnsi="宋体"/>
          <w:sz w:val="24"/>
        </w:rPr>
        <w:t>特此签订安全生产合同：</w:t>
      </w:r>
    </w:p>
    <w:p w14:paraId="7BD1DFBD">
      <w:pPr>
        <w:spacing w:line="360" w:lineRule="auto"/>
        <w:outlineLvl w:val="0"/>
        <w:rPr>
          <w:rFonts w:ascii="宋体" w:hAnsi="宋体"/>
          <w:kern w:val="0"/>
          <w:sz w:val="24"/>
          <w:szCs w:val="24"/>
        </w:rPr>
      </w:pPr>
      <w:bookmarkStart w:id="0" w:name="_Toc276116554"/>
      <w:r>
        <w:rPr>
          <w:rFonts w:hint="eastAsia" w:ascii="宋体" w:hAnsi="宋体"/>
          <w:kern w:val="0"/>
          <w:sz w:val="24"/>
          <w:szCs w:val="24"/>
        </w:rPr>
        <w:t>一、发包人职责</w:t>
      </w:r>
      <w:bookmarkEnd w:id="0"/>
    </w:p>
    <w:p w14:paraId="1FDB3554">
      <w:pPr>
        <w:spacing w:line="360" w:lineRule="auto"/>
        <w:rPr>
          <w:rFonts w:ascii="宋体" w:hAnsi="宋体"/>
          <w:kern w:val="0"/>
          <w:sz w:val="24"/>
          <w:szCs w:val="24"/>
        </w:rPr>
      </w:pPr>
      <w:r>
        <w:rPr>
          <w:rFonts w:hint="eastAsia" w:ascii="宋体" w:hAnsi="宋体"/>
          <w:kern w:val="0"/>
          <w:sz w:val="24"/>
          <w:szCs w:val="24"/>
        </w:rPr>
        <w:t xml:space="preserve">    1．严格遵守国家有关安全生产的法律法规，认真执行工程施工承包合同中的有关安全要求，督促、检查承包人做好安全生产工作。</w:t>
      </w:r>
    </w:p>
    <w:p w14:paraId="3DF62194">
      <w:pPr>
        <w:spacing w:line="360" w:lineRule="auto"/>
        <w:ind w:firstLine="480" w:firstLineChars="200"/>
        <w:rPr>
          <w:rFonts w:ascii="宋体" w:hAnsi="宋体"/>
          <w:kern w:val="0"/>
          <w:sz w:val="24"/>
          <w:szCs w:val="24"/>
        </w:rPr>
      </w:pPr>
      <w:r>
        <w:rPr>
          <w:rFonts w:hint="eastAsia" w:ascii="宋体" w:hAnsi="宋体"/>
          <w:kern w:val="0"/>
          <w:sz w:val="24"/>
          <w:szCs w:val="24"/>
        </w:rPr>
        <w:t>2．重要的安全设施必须坚持与主体工程“三同时”原则中“同时设计，审批，同时验收，投入使用”两大原则。</w:t>
      </w:r>
    </w:p>
    <w:p w14:paraId="4FA0A157">
      <w:pPr>
        <w:spacing w:line="360" w:lineRule="auto"/>
        <w:ind w:firstLine="480" w:firstLineChars="200"/>
        <w:rPr>
          <w:rFonts w:ascii="宋体" w:hAnsi="宋体"/>
          <w:kern w:val="0"/>
          <w:sz w:val="24"/>
          <w:szCs w:val="24"/>
        </w:rPr>
      </w:pPr>
      <w:r>
        <w:rPr>
          <w:rFonts w:hint="eastAsia" w:ascii="宋体" w:hAnsi="宋体"/>
          <w:kern w:val="0"/>
          <w:sz w:val="24"/>
          <w:szCs w:val="24"/>
        </w:rPr>
        <w:t>3．传达中央及地方有关安全生产的精神，听取承包人安全生产工作汇报，参与各施工单位安全生产评比。</w:t>
      </w:r>
    </w:p>
    <w:p w14:paraId="017799B6">
      <w:pPr>
        <w:spacing w:line="360" w:lineRule="auto"/>
        <w:outlineLvl w:val="0"/>
        <w:rPr>
          <w:rFonts w:ascii="宋体" w:hAnsi="宋体"/>
          <w:kern w:val="0"/>
          <w:sz w:val="24"/>
          <w:szCs w:val="24"/>
        </w:rPr>
      </w:pPr>
      <w:bookmarkStart w:id="1" w:name="_Toc276116555"/>
      <w:r>
        <w:rPr>
          <w:rFonts w:hint="eastAsia" w:ascii="宋体" w:hAnsi="宋体"/>
          <w:kern w:val="0"/>
          <w:sz w:val="24"/>
          <w:szCs w:val="24"/>
        </w:rPr>
        <w:t>二、承包人职责</w:t>
      </w:r>
      <w:bookmarkEnd w:id="1"/>
    </w:p>
    <w:p w14:paraId="4FFD7942">
      <w:pPr>
        <w:spacing w:line="360" w:lineRule="auto"/>
        <w:ind w:firstLine="570"/>
        <w:rPr>
          <w:rFonts w:ascii="宋体" w:hAnsi="宋体"/>
          <w:kern w:val="0"/>
          <w:sz w:val="24"/>
          <w:szCs w:val="24"/>
        </w:rPr>
      </w:pPr>
      <w:r>
        <w:rPr>
          <w:rFonts w:hint="eastAsia" w:ascii="宋体" w:hAnsi="宋体"/>
          <w:kern w:val="0"/>
          <w:sz w:val="24"/>
          <w:szCs w:val="24"/>
        </w:rPr>
        <w:t>1．在实施和完成本合同工程及其缺陷修复的整个工程中，承包人应该对整个工程的施工安全管理负全责。</w:t>
      </w:r>
    </w:p>
    <w:p w14:paraId="1C68D37C">
      <w:pPr>
        <w:spacing w:line="360" w:lineRule="auto"/>
        <w:ind w:firstLine="570"/>
        <w:rPr>
          <w:rFonts w:ascii="宋体" w:hAnsi="宋体"/>
          <w:kern w:val="0"/>
          <w:sz w:val="24"/>
          <w:szCs w:val="24"/>
        </w:rPr>
      </w:pPr>
      <w:r>
        <w:rPr>
          <w:rFonts w:hint="eastAsia" w:ascii="宋体" w:hAnsi="宋体"/>
          <w:kern w:val="0"/>
          <w:sz w:val="24"/>
          <w:szCs w:val="24"/>
        </w:rPr>
        <w:t>2．承包人的一切行为都必须遵守中国现行法律、法规和当地条例；严格遵守国家有关安全生产的法律法规及有关安全生产的规定，认真执行工程施工承包合同中的有关安全要求。</w:t>
      </w:r>
    </w:p>
    <w:p w14:paraId="40CC569E">
      <w:pPr>
        <w:spacing w:line="360" w:lineRule="auto"/>
        <w:rPr>
          <w:rFonts w:ascii="宋体" w:hAnsi="宋体"/>
          <w:kern w:val="0"/>
          <w:sz w:val="24"/>
          <w:szCs w:val="24"/>
        </w:rPr>
      </w:pPr>
      <w:r>
        <w:rPr>
          <w:rFonts w:hint="eastAsia" w:ascii="宋体" w:hAnsi="宋体"/>
          <w:kern w:val="0"/>
          <w:sz w:val="24"/>
          <w:szCs w:val="24"/>
        </w:rPr>
        <w:t xml:space="preserve">    3．坚持“安全第一、预防为主”和“管生产必须管安全”的原则，加强安全生产宣传教育，增强全员安全生产意识，建立健全安全生产的管理机构，落实安全生产管理制度，配备专职及兼职安全检查人员，有组织有领导地开展安全生产活动。务必保证项目施工的各级领导、工程技术人员、生产管理人员和具体操作人员熟悉和遵守本条款的各项规定，做到生产与安全工作同时计划、布置、检查、总结和评比。</w:t>
      </w:r>
    </w:p>
    <w:p w14:paraId="5A62651A">
      <w:pPr>
        <w:spacing w:line="360" w:lineRule="auto"/>
        <w:ind w:firstLine="570"/>
        <w:rPr>
          <w:rFonts w:ascii="宋体" w:hAnsi="宋体"/>
          <w:kern w:val="0"/>
          <w:sz w:val="24"/>
          <w:szCs w:val="24"/>
        </w:rPr>
      </w:pPr>
      <w:r>
        <w:rPr>
          <w:rFonts w:hint="eastAsia" w:ascii="宋体" w:hAnsi="宋体"/>
          <w:kern w:val="0"/>
          <w:sz w:val="24"/>
          <w:szCs w:val="24"/>
        </w:rPr>
        <w:t>4．建立健全安全生产责任制。要求从项目经理到生产工人（包括临时雇请的民工）的安全生产管理系统必须做到纵向到底，一环不漏；各职能部门、人员的安全生产责任制做到横向到边，人人有责；现场设置的安全机构，应按施工人员的1%～3%配备注册安全主任一名和安全员若干，专职负责所有员工的安全和治安保卫工作及预防事故的发生；在任何时候均应采取各种合理的预防措施，防止其员工或社会上其他人员发生的违法行为，并维持治安和保护本工程及其附近的个人或财产免受上述行为的破坏。</w:t>
      </w:r>
    </w:p>
    <w:p w14:paraId="76F7D455">
      <w:pPr>
        <w:spacing w:line="360" w:lineRule="auto"/>
        <w:rPr>
          <w:rFonts w:ascii="宋体" w:hAnsi="宋体"/>
          <w:kern w:val="0"/>
          <w:sz w:val="24"/>
          <w:szCs w:val="24"/>
        </w:rPr>
      </w:pPr>
      <w:r>
        <w:rPr>
          <w:rFonts w:hint="eastAsia" w:ascii="宋体" w:hAnsi="宋体"/>
          <w:kern w:val="0"/>
          <w:sz w:val="24"/>
          <w:szCs w:val="24"/>
        </w:rPr>
        <w:t xml:space="preserve">    5．定期召开安全生产调度会，及时传达中央及地方有关安全生产的精神。</w:t>
      </w:r>
    </w:p>
    <w:p w14:paraId="071E3654">
      <w:pPr>
        <w:spacing w:line="360" w:lineRule="auto"/>
        <w:rPr>
          <w:rFonts w:ascii="宋体" w:hAnsi="宋体"/>
          <w:kern w:val="0"/>
          <w:sz w:val="24"/>
          <w:szCs w:val="24"/>
        </w:rPr>
      </w:pPr>
      <w:r>
        <w:rPr>
          <w:rFonts w:hint="eastAsia" w:ascii="宋体" w:hAnsi="宋体"/>
          <w:kern w:val="0"/>
          <w:sz w:val="24"/>
          <w:szCs w:val="24"/>
        </w:rPr>
        <w:t xml:space="preserve">    6．组织对各施工现场安全生产检查，监督施工单位及时处理发现的各种安全隐患。</w:t>
      </w:r>
    </w:p>
    <w:p w14:paraId="6966F454">
      <w:pPr>
        <w:spacing w:line="360" w:lineRule="auto"/>
        <w:ind w:firstLine="460" w:firstLineChars="192"/>
        <w:rPr>
          <w:rFonts w:ascii="宋体" w:hAnsi="宋体"/>
          <w:kern w:val="0"/>
          <w:sz w:val="24"/>
          <w:szCs w:val="24"/>
        </w:rPr>
      </w:pPr>
      <w:r>
        <w:rPr>
          <w:rFonts w:hint="eastAsia" w:ascii="宋体" w:hAnsi="宋体"/>
          <w:kern w:val="0"/>
          <w:sz w:val="24"/>
          <w:szCs w:val="24"/>
        </w:rPr>
        <w:t>7．承包人在任何时候都应制定或采取各种合理的预防措施，防止其员工、各施工人员发生任何违反、违禁、暴力或妨碍治安的行为。</w:t>
      </w:r>
    </w:p>
    <w:p w14:paraId="028BDB05">
      <w:pPr>
        <w:spacing w:line="360" w:lineRule="auto"/>
        <w:rPr>
          <w:rFonts w:ascii="宋体" w:hAnsi="宋体"/>
          <w:kern w:val="0"/>
          <w:sz w:val="24"/>
          <w:szCs w:val="24"/>
        </w:rPr>
      </w:pPr>
      <w:r>
        <w:rPr>
          <w:rFonts w:hint="eastAsia" w:ascii="宋体" w:hAnsi="宋体"/>
          <w:kern w:val="0"/>
          <w:sz w:val="24"/>
          <w:szCs w:val="24"/>
        </w:rPr>
        <w:t xml:space="preserve">    8．承包人必须具有劳动安全管理部门颁发的安全生产证书，参加施工与管理的人员，都必须接受安全技术教育，熟知和遵守各项安全技术操作规程。对于施工单位从事电气、起重、建筑登高架设作业、焊接、机动车驾驶、爆破、潜水、瓦斯检查等特殊工种的人员，需要求经过专业培训，获得《安全操作合格证》后，方准持证上岗。施工现场如出现特种作业无证操作现象时，承包人项目经理必须承担管理责任。</w:t>
      </w:r>
    </w:p>
    <w:p w14:paraId="36C5FF56">
      <w:pPr>
        <w:spacing w:line="360" w:lineRule="auto"/>
        <w:rPr>
          <w:rFonts w:ascii="宋体" w:hAnsi="宋体"/>
          <w:kern w:val="0"/>
          <w:sz w:val="24"/>
          <w:szCs w:val="24"/>
        </w:rPr>
      </w:pPr>
      <w:r>
        <w:rPr>
          <w:rFonts w:hint="eastAsia" w:ascii="宋体" w:hAnsi="宋体"/>
          <w:kern w:val="0"/>
          <w:sz w:val="24"/>
          <w:szCs w:val="24"/>
        </w:rPr>
        <w:t xml:space="preserve">    9．对于易燃易爆的材料除应要求专门妥善保管之外，还应要求配备有足够的消防设施，所有保管、施工人员都应熟悉消防设备的性能和使用方法；承包人不得将任何种类的爆炸物给予、易货或以其他方式转让给任何其他人，或允许、容忍上述同样行为。</w:t>
      </w:r>
    </w:p>
    <w:p w14:paraId="790753EF">
      <w:pPr>
        <w:spacing w:line="360" w:lineRule="auto"/>
        <w:rPr>
          <w:rFonts w:ascii="宋体" w:hAnsi="宋体"/>
          <w:kern w:val="0"/>
          <w:sz w:val="24"/>
          <w:szCs w:val="24"/>
        </w:rPr>
      </w:pPr>
      <w:r>
        <w:rPr>
          <w:rFonts w:hint="eastAsia" w:ascii="宋体" w:hAnsi="宋体"/>
          <w:kern w:val="0"/>
          <w:sz w:val="24"/>
          <w:szCs w:val="24"/>
        </w:rPr>
        <w:t xml:space="preserve">    10．操作人员上岗，必须按规定穿戴防护用品。承包人应随时组织检查各施工现场劳动防护用品的穿戴情况，不按规定穿戴防护用品的人员不得上岗。</w:t>
      </w:r>
    </w:p>
    <w:p w14:paraId="3DF6DF22">
      <w:pPr>
        <w:spacing w:line="360" w:lineRule="auto"/>
        <w:rPr>
          <w:rFonts w:ascii="宋体" w:hAnsi="宋体"/>
          <w:kern w:val="0"/>
          <w:sz w:val="24"/>
          <w:szCs w:val="24"/>
        </w:rPr>
      </w:pPr>
      <w:r>
        <w:rPr>
          <w:rFonts w:hint="eastAsia" w:ascii="宋体" w:hAnsi="宋体"/>
          <w:kern w:val="0"/>
          <w:sz w:val="24"/>
          <w:szCs w:val="24"/>
        </w:rPr>
        <w:t xml:space="preserve">    11．所有施工机具设备和高空作业的设备均应定期组织检查，并有安全员的签字记录，保证其经常处于完好状态；不合格的机具、设备和劳动保护用品严禁使用。</w:t>
      </w:r>
    </w:p>
    <w:p w14:paraId="352829EC">
      <w:pPr>
        <w:spacing w:line="360" w:lineRule="auto"/>
        <w:rPr>
          <w:rFonts w:ascii="宋体" w:hAnsi="宋体"/>
          <w:kern w:val="0"/>
          <w:sz w:val="24"/>
          <w:szCs w:val="24"/>
        </w:rPr>
      </w:pPr>
      <w:r>
        <w:rPr>
          <w:rFonts w:hint="eastAsia" w:ascii="宋体" w:hAnsi="宋体"/>
          <w:kern w:val="0"/>
          <w:sz w:val="24"/>
          <w:szCs w:val="24"/>
        </w:rPr>
        <w:t xml:space="preserve">    12．项目施工中采用新技术、新工艺、新设备、新材料时，必须组织制定相应的安全技术措施，施工现场必须具有相关的安全标志牌。</w:t>
      </w:r>
    </w:p>
    <w:p w14:paraId="4F1637C0">
      <w:pPr>
        <w:spacing w:line="360" w:lineRule="auto"/>
        <w:ind w:firstLine="570"/>
        <w:rPr>
          <w:rFonts w:ascii="宋体" w:hAnsi="宋体"/>
          <w:kern w:val="0"/>
          <w:sz w:val="24"/>
          <w:szCs w:val="24"/>
        </w:rPr>
      </w:pPr>
      <w:r>
        <w:rPr>
          <w:rFonts w:hint="eastAsia" w:ascii="宋体" w:hAnsi="宋体"/>
          <w:kern w:val="0"/>
          <w:sz w:val="24"/>
          <w:szCs w:val="24"/>
        </w:rPr>
        <w:t>13．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67CE16A3">
      <w:pPr>
        <w:spacing w:line="360" w:lineRule="auto"/>
        <w:ind w:firstLine="570"/>
        <w:rPr>
          <w:rFonts w:ascii="宋体" w:hAnsi="宋体"/>
          <w:kern w:val="0"/>
          <w:sz w:val="24"/>
          <w:szCs w:val="24"/>
        </w:rPr>
      </w:pPr>
      <w:r>
        <w:rPr>
          <w:rFonts w:hint="eastAsia" w:ascii="宋体" w:hAnsi="宋体"/>
          <w:kern w:val="0"/>
          <w:sz w:val="24"/>
          <w:szCs w:val="24"/>
        </w:rPr>
        <w:t>14．在合同许可的范围内，实施和完成本合同工程及缺陷修复工程中的一切施工作业，应不影响临近建筑物、构造物的安全与正常使用，也不干扰群众的生产、生活和通行方便。如果发生上述情况，并由此导致索赔、赔偿、诉讼费用及其他开支时，应由承包人承担一切责任和费用。</w:t>
      </w:r>
    </w:p>
    <w:p w14:paraId="307997BA">
      <w:pPr>
        <w:spacing w:line="360" w:lineRule="auto"/>
        <w:outlineLvl w:val="0"/>
        <w:rPr>
          <w:rFonts w:ascii="宋体" w:hAnsi="宋体"/>
          <w:kern w:val="0"/>
          <w:sz w:val="24"/>
          <w:szCs w:val="24"/>
        </w:rPr>
      </w:pPr>
      <w:bookmarkStart w:id="2" w:name="_Toc276116556"/>
      <w:r>
        <w:rPr>
          <w:rFonts w:hint="eastAsia" w:ascii="宋体" w:hAnsi="宋体"/>
          <w:kern w:val="0"/>
          <w:sz w:val="24"/>
          <w:szCs w:val="24"/>
        </w:rPr>
        <w:t>三、安全生产责任</w:t>
      </w:r>
      <w:bookmarkEnd w:id="2"/>
      <w:r>
        <w:rPr>
          <w:rFonts w:hint="eastAsia" w:ascii="宋体" w:hAnsi="宋体"/>
          <w:kern w:val="0"/>
          <w:sz w:val="24"/>
          <w:szCs w:val="24"/>
        </w:rPr>
        <w:t xml:space="preserve">  </w:t>
      </w:r>
    </w:p>
    <w:p w14:paraId="15E93EE5">
      <w:pPr>
        <w:spacing w:line="360" w:lineRule="auto"/>
        <w:ind w:firstLine="570"/>
        <w:rPr>
          <w:rFonts w:ascii="宋体" w:hAnsi="宋体"/>
          <w:kern w:val="0"/>
          <w:sz w:val="24"/>
          <w:szCs w:val="24"/>
        </w:rPr>
      </w:pPr>
      <w:r>
        <w:rPr>
          <w:rFonts w:hint="eastAsia" w:ascii="宋体" w:hAnsi="宋体"/>
          <w:kern w:val="0"/>
          <w:sz w:val="24"/>
          <w:szCs w:val="24"/>
        </w:rPr>
        <w:t xml:space="preserve">如因发包人或承包人违约造成安全事故，将依法追究责任。 </w:t>
      </w:r>
    </w:p>
    <w:p w14:paraId="6CB18167">
      <w:pPr>
        <w:pStyle w:val="14"/>
        <w:snapToGrid w:val="0"/>
        <w:spacing w:line="346" w:lineRule="auto"/>
        <w:rPr>
          <w:rFonts w:hAnsi="宋体" w:cs="Times New Roman"/>
          <w:kern w:val="0"/>
          <w:sz w:val="24"/>
          <w:szCs w:val="24"/>
        </w:rPr>
      </w:pPr>
      <w:r>
        <w:rPr>
          <w:rFonts w:hint="eastAsia" w:hAnsi="宋体" w:cs="Times New Roman"/>
          <w:kern w:val="0"/>
          <w:sz w:val="24"/>
          <w:szCs w:val="24"/>
        </w:rPr>
        <w:t>发  包  人(公章)：                         承  包  人(公章)：</w:t>
      </w:r>
    </w:p>
    <w:p w14:paraId="6258E0DC">
      <w:pPr>
        <w:pStyle w:val="10"/>
        <w:spacing w:line="360" w:lineRule="auto"/>
        <w:rPr>
          <w:rFonts w:ascii="宋体" w:hAnsi="宋体"/>
          <w:kern w:val="0"/>
          <w:sz w:val="24"/>
        </w:rPr>
      </w:pPr>
      <w:r>
        <w:rPr>
          <w:rFonts w:hint="eastAsia" w:ascii="宋体" w:hAnsi="宋体"/>
          <w:kern w:val="0"/>
          <w:sz w:val="24"/>
        </w:rPr>
        <w:t xml:space="preserve">                                                  </w:t>
      </w:r>
    </w:p>
    <w:p w14:paraId="0A444C09">
      <w:pPr>
        <w:pStyle w:val="14"/>
        <w:snapToGrid w:val="0"/>
        <w:spacing w:line="346" w:lineRule="auto"/>
        <w:rPr>
          <w:rFonts w:hAnsi="宋体" w:cs="Times New Roman"/>
          <w:kern w:val="0"/>
          <w:sz w:val="24"/>
          <w:szCs w:val="24"/>
        </w:rPr>
      </w:pPr>
      <w:r>
        <w:rPr>
          <w:rFonts w:hint="eastAsia" w:hAnsi="宋体" w:cs="Times New Roman"/>
          <w:kern w:val="0"/>
          <w:sz w:val="24"/>
          <w:szCs w:val="24"/>
        </w:rPr>
        <w:t xml:space="preserve"> </w:t>
      </w:r>
    </w:p>
    <w:p w14:paraId="2D5E1B42">
      <w:pPr>
        <w:pStyle w:val="14"/>
        <w:snapToGrid w:val="0"/>
        <w:spacing w:line="346" w:lineRule="auto"/>
        <w:rPr>
          <w:rFonts w:hAnsi="宋体" w:cs="Times New Roman"/>
          <w:kern w:val="0"/>
          <w:sz w:val="24"/>
          <w:szCs w:val="24"/>
        </w:rPr>
      </w:pPr>
      <w:r>
        <w:rPr>
          <w:rFonts w:hint="eastAsia" w:hAnsi="宋体" w:cs="Times New Roman"/>
          <w:kern w:val="0"/>
          <w:sz w:val="24"/>
          <w:szCs w:val="24"/>
        </w:rPr>
        <w:t>法定代表人：                               法定代表人：</w:t>
      </w:r>
    </w:p>
    <w:p w14:paraId="5E75DCF8">
      <w:pPr>
        <w:pStyle w:val="14"/>
        <w:snapToGrid w:val="0"/>
        <w:spacing w:line="346" w:lineRule="auto"/>
        <w:rPr>
          <w:rFonts w:hAnsi="宋体" w:cs="Times New Roman"/>
          <w:kern w:val="0"/>
          <w:sz w:val="24"/>
          <w:szCs w:val="24"/>
        </w:rPr>
      </w:pPr>
    </w:p>
    <w:p w14:paraId="2B33435C">
      <w:pPr>
        <w:pStyle w:val="14"/>
        <w:snapToGrid w:val="0"/>
        <w:spacing w:line="346" w:lineRule="auto"/>
        <w:rPr>
          <w:rFonts w:hAnsi="宋体" w:cs="Times New Roman"/>
          <w:kern w:val="0"/>
          <w:sz w:val="24"/>
          <w:szCs w:val="24"/>
        </w:rPr>
      </w:pPr>
      <w:r>
        <w:rPr>
          <w:rFonts w:hint="eastAsia" w:hAnsi="宋体" w:cs="Times New Roman"/>
          <w:kern w:val="0"/>
          <w:sz w:val="24"/>
          <w:szCs w:val="24"/>
        </w:rPr>
        <w:t>授权委托人(签字)：                        授权委托人(签字)：</w:t>
      </w:r>
    </w:p>
    <w:p w14:paraId="65B485D2">
      <w:pPr>
        <w:pStyle w:val="14"/>
        <w:snapToGrid w:val="0"/>
        <w:spacing w:line="346" w:lineRule="auto"/>
        <w:rPr>
          <w:rFonts w:hAnsi="宋体"/>
          <w:sz w:val="24"/>
          <w:szCs w:val="24"/>
        </w:rPr>
      </w:pPr>
    </w:p>
    <w:p w14:paraId="73F93EA0">
      <w:pPr>
        <w:pStyle w:val="14"/>
        <w:snapToGrid w:val="0"/>
        <w:spacing w:line="346" w:lineRule="auto"/>
        <w:ind w:firstLine="1200" w:firstLineChars="500"/>
        <w:rPr>
          <w:rFonts w:hAnsi="宋体"/>
          <w:sz w:val="24"/>
          <w:szCs w:val="24"/>
        </w:rPr>
      </w:pPr>
      <w:r>
        <w:rPr>
          <w:rFonts w:hint="eastAsia" w:hAnsi="宋体"/>
          <w:sz w:val="24"/>
          <w:szCs w:val="24"/>
        </w:rPr>
        <w:t>年    月   日                        年   月    日</w:t>
      </w:r>
    </w:p>
    <w:p w14:paraId="0DBAFDD0">
      <w:pPr>
        <w:jc w:val="center"/>
      </w:pPr>
    </w:p>
    <w:p w14:paraId="39D6104E">
      <w:pPr>
        <w:pStyle w:val="5"/>
        <w:spacing w:before="156"/>
      </w:pPr>
    </w:p>
    <w:p w14:paraId="67A8987B">
      <w:pPr>
        <w:pStyle w:val="5"/>
        <w:spacing w:before="156"/>
      </w:pPr>
    </w:p>
    <w:p w14:paraId="1A85C6C9"/>
    <w:sectPr>
      <w:headerReference r:id="rId3" w:type="default"/>
      <w:footerReference r:id="rId4"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BB608">
    <w:pPr>
      <w:pStyle w:val="6"/>
      <w:tabs>
        <w:tab w:val="left" w:pos="4716"/>
        <w:tab w:val="right" w:pos="8426"/>
      </w:tabs>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516F9A">
                          <w:pPr>
                            <w:tabs>
                              <w:tab w:val="center" w:pos="4153"/>
                              <w:tab w:val="left" w:pos="4716"/>
                              <w:tab w:val="right" w:pos="8306"/>
                              <w:tab w:val="right" w:pos="8426"/>
                            </w:tabs>
                            <w:jc w:val="right"/>
                          </w:pPr>
                        </w:p>
                        <w:p w14:paraId="67546F3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8516F9A">
                    <w:pPr>
                      <w:tabs>
                        <w:tab w:val="center" w:pos="4153"/>
                        <w:tab w:val="left" w:pos="4716"/>
                        <w:tab w:val="right" w:pos="8306"/>
                        <w:tab w:val="right" w:pos="8426"/>
                      </w:tabs>
                      <w:jc w:val="right"/>
                    </w:pPr>
                  </w:p>
                  <w:p w14:paraId="67546F37"/>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1A9C0A">
                          <w:pPr>
                            <w:tabs>
                              <w:tab w:val="center" w:pos="4153"/>
                              <w:tab w:val="left" w:pos="4716"/>
                              <w:tab w:val="right" w:pos="8306"/>
                              <w:tab w:val="right" w:pos="8426"/>
                            </w:tabs>
                            <w:jc w:val="right"/>
                          </w:pPr>
                        </w:p>
                        <w:p w14:paraId="1921405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621A9C0A">
                    <w:pPr>
                      <w:tabs>
                        <w:tab w:val="center" w:pos="4153"/>
                        <w:tab w:val="left" w:pos="4716"/>
                        <w:tab w:val="right" w:pos="8306"/>
                        <w:tab w:val="right" w:pos="8426"/>
                      </w:tabs>
                      <w:jc w:val="right"/>
                    </w:pPr>
                  </w:p>
                  <w:p w14:paraId="1921405F"/>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115C1E">
                          <w:pPr>
                            <w:tabs>
                              <w:tab w:val="center" w:pos="4153"/>
                              <w:tab w:val="left" w:pos="4716"/>
                              <w:tab w:val="right" w:pos="8306"/>
                              <w:tab w:val="right" w:pos="8426"/>
                            </w:tabs>
                            <w:jc w:val="right"/>
                          </w:pPr>
                        </w:p>
                        <w:p w14:paraId="5FC120B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F115C1E">
                    <w:pPr>
                      <w:tabs>
                        <w:tab w:val="center" w:pos="4153"/>
                        <w:tab w:val="left" w:pos="4716"/>
                        <w:tab w:val="right" w:pos="8306"/>
                        <w:tab w:val="right" w:pos="8426"/>
                      </w:tabs>
                      <w:jc w:val="right"/>
                    </w:pPr>
                  </w:p>
                  <w:p w14:paraId="5FC120BF"/>
                </w:txbxContent>
              </v:textbox>
            </v:shape>
          </w:pict>
        </mc:Fallback>
      </mc:AlternateContent>
    </w:r>
  </w:p>
  <w:p w14:paraId="2C94E94B">
    <w:pPr>
      <w:pStyle w:val="6"/>
      <w:tabs>
        <w:tab w:val="left" w:pos="4761"/>
        <w:tab w:val="clear" w:pos="4153"/>
      </w:tabs>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62E12">
    <w:pPr>
      <w:pStyle w:val="7"/>
      <w:pBdr>
        <w:bottom w:val="none" w:color="auto" w:sz="0" w:space="1"/>
      </w:pBdr>
      <w:jc w:val="left"/>
      <w:rPr>
        <w:rFonts w:ascii="仿宋_GB2312" w:hAnsi="仿宋_GB2312" w:eastAsia="仿宋_GB2312"/>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41E91"/>
    <w:multiLevelType w:val="multilevel"/>
    <w:tmpl w:val="1A141E91"/>
    <w:lvl w:ilvl="0" w:tentative="0">
      <w:start w:val="1"/>
      <w:numFmt w:val="upperRoman"/>
      <w:pStyle w:val="4"/>
      <w:lvlText w:val="第 %1 条"/>
      <w:lvlJc w:val="left"/>
      <w:pPr>
        <w:tabs>
          <w:tab w:val="left" w:pos="2640"/>
        </w:tabs>
        <w:ind w:left="1560" w:firstLine="0"/>
      </w:pPr>
    </w:lvl>
    <w:lvl w:ilvl="1" w:tentative="0">
      <w:start w:val="1"/>
      <w:numFmt w:val="decimalZero"/>
      <w:isLgl/>
      <w:lvlText w:val="节 %1.%2"/>
      <w:lvlJc w:val="left"/>
      <w:pPr>
        <w:tabs>
          <w:tab w:val="left" w:pos="2280"/>
        </w:tabs>
        <w:ind w:left="1560" w:firstLine="0"/>
      </w:pPr>
    </w:lvl>
    <w:lvl w:ilvl="2" w:tentative="0">
      <w:start w:val="1"/>
      <w:numFmt w:val="lowerLetter"/>
      <w:lvlText w:val="(%3)"/>
      <w:lvlJc w:val="left"/>
      <w:pPr>
        <w:tabs>
          <w:tab w:val="left" w:pos="2280"/>
        </w:tabs>
        <w:ind w:left="2280" w:hanging="432"/>
      </w:pPr>
    </w:lvl>
    <w:lvl w:ilvl="3" w:tentative="0">
      <w:start w:val="1"/>
      <w:numFmt w:val="lowerRoman"/>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A5B7D"/>
    <w:rsid w:val="0F0A5B7D"/>
    <w:rsid w:val="1E6766C5"/>
    <w:rsid w:val="33576347"/>
    <w:rsid w:val="7DD16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numPr>
        <w:ilvl w:val="0"/>
        <w:numId w:val="1"/>
      </w:numPr>
      <w:tabs>
        <w:tab w:val="left" w:pos="1080"/>
      </w:tab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spacing w:line="520" w:lineRule="exact"/>
      <w:ind w:firstLine="1285" w:firstLineChars="400"/>
      <w:jc w:val="left"/>
      <w:pPrChange w:id="0" w:author="磊 俞" w:date="2024-05-09T16:08:00Z">
        <w:pPr>
          <w:widowControl w:val="0"/>
          <w:jc w:val="both"/>
        </w:pPr>
      </w:pPrChange>
    </w:pPr>
    <w:rPr>
      <w:rFonts w:ascii="宋体" w:hAnsi="Courier New"/>
      <w:szCs w:val="21"/>
      <w:rPrChange w:id="1" w:author="磊 俞" w:date="2024-05-09T16:08:00Z">
        <w:rPr>
          <w:rFonts w:ascii="宋体" w:hAnsi="Courier New" w:eastAsia="宋体"/>
          <w:kern w:val="2"/>
          <w:sz w:val="21"/>
          <w:szCs w:val="21"/>
          <w:lang w:val="en-US" w:eastAsia="zh-CN" w:bidi="ar-SA"/>
        </w:rPr>
      </w:rPrChange>
    </w:rPr>
  </w:style>
  <w:style w:type="paragraph" w:styleId="3">
    <w:name w:val="index 8"/>
    <w:basedOn w:val="1"/>
    <w:next w:val="1"/>
    <w:qFormat/>
    <w:uiPriority w:val="0"/>
    <w:pPr>
      <w:ind w:left="1400" w:leftChars="1400"/>
    </w:pPr>
    <w:rPr>
      <w:rFonts w:ascii="Times New Roman" w:hAnsi="Times New Roman"/>
      <w:szCs w:val="24"/>
    </w:rPr>
  </w:style>
  <w:style w:type="paragraph" w:styleId="5">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6">
    <w:name w:val="footer"/>
    <w:basedOn w:val="1"/>
    <w:unhideWhenUsed/>
    <w:qFormat/>
    <w:uiPriority w:val="0"/>
    <w:pPr>
      <w:tabs>
        <w:tab w:val="center" w:pos="4153"/>
        <w:tab w:val="right" w:pos="8306"/>
      </w:tabs>
      <w:snapToGrid w:val="0"/>
      <w:jc w:val="left"/>
    </w:pPr>
    <w:rPr>
      <w:kern w:val="0"/>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10">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Heading 2_1"/>
    <w:basedOn w:val="10"/>
    <w:next w:val="10"/>
    <w:qFormat/>
    <w:uiPriority w:val="0"/>
    <w:pPr>
      <w:spacing w:before="360" w:after="120" w:line="360" w:lineRule="auto"/>
      <w:outlineLvl w:val="1"/>
    </w:pPr>
    <w:rPr>
      <w:rFonts w:ascii="Cambria" w:hAnsi="Cambria" w:eastAsia="黑体"/>
      <w:b/>
      <w:bCs/>
      <w:sz w:val="32"/>
      <w:szCs w:val="32"/>
    </w:rPr>
  </w:style>
  <w:style w:type="paragraph" w:customStyle="1" w:styleId="13">
    <w:name w:val="常用（宋体，5号，1.25行距）"/>
    <w:basedOn w:val="1"/>
    <w:qFormat/>
    <w:uiPriority w:val="0"/>
    <w:pPr>
      <w:widowControl/>
      <w:spacing w:line="300" w:lineRule="auto"/>
      <w:jc w:val="left"/>
    </w:pPr>
    <w:rPr>
      <w:kern w:val="0"/>
      <w:sz w:val="24"/>
      <w:szCs w:val="21"/>
      <w:lang w:eastAsia="en-US" w:bidi="en-US"/>
    </w:rPr>
  </w:style>
  <w:style w:type="paragraph" w:customStyle="1" w:styleId="14">
    <w:name w:val="Plain Text_0"/>
    <w:basedOn w:val="15"/>
    <w:qFormat/>
    <w:uiPriority w:val="0"/>
    <w:rPr>
      <w:rFonts w:ascii="宋体" w:hAnsi="Courier New" w:cs="Courier New"/>
      <w:szCs w:val="21"/>
    </w:rPr>
  </w:style>
  <w:style w:type="paragraph" w:customStyle="1" w:styleId="15">
    <w:name w:val="Normal_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1428</Words>
  <Characters>1496</Characters>
  <Lines>0</Lines>
  <Paragraphs>0</Paragraphs>
  <TotalTime>0</TotalTime>
  <ScaleCrop>false</ScaleCrop>
  <LinksUpToDate>false</LinksUpToDate>
  <CharactersWithSpaces>1683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2025-05-15T03:56:00Z</dcterms:created>
  <dc:creator>實誠</dc:creator>
  <cp:lastModifiedBy>實誠</cp:lastModifiedBy>
  <dcterms:modified xsi:type="dcterms:W3CDTF">2025-05-15T04:03:56Z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4870AF2CCD4F4EC7B6A2F24703403874_13</vt:lpwstr>
  </property>
  <property fmtid="{D5CDD505-2E9C-101B-9397-08002B2CF9AE}" pid="4" name="KSOTemplateDocerSaveRecord">
    <vt:lpwstr>eyJoZGlkIjoiZjYxZTUyYjc1MzQwNWRmNjlmMWQyYmQ2NmM1M2U4MmMiLCJ1c2VySWQiOiI2OTk3NTA5NDAifQ==</vt:lpwstr>
  </property>
</Properties>
</file>