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8557">
      <w:pPr>
        <w:tabs>
          <w:tab w:val="left" w:pos="5582"/>
        </w:tabs>
        <w:adjustRightInd/>
        <w:snapToGrid/>
        <w:spacing w:line="360" w:lineRule="auto"/>
        <w:jc w:val="left"/>
        <w:outlineLvl w:val="1"/>
        <w:rPr>
          <w:rFonts w:hint="eastAsia" w:ascii="仿宋" w:hAnsi="仿宋" w:eastAsia="仿宋" w:cs="仿宋"/>
          <w:b/>
          <w:bCs/>
          <w:color w:val="auto"/>
          <w:sz w:val="30"/>
          <w:szCs w:val="32"/>
        </w:rPr>
      </w:pPr>
      <w:r>
        <w:rPr>
          <w:rFonts w:hint="eastAsia" w:ascii="仿宋" w:hAnsi="仿宋" w:eastAsia="仿宋" w:cs="仿宋"/>
          <w:b/>
          <w:bCs/>
          <w:color w:val="auto"/>
          <w:sz w:val="30"/>
          <w:szCs w:val="32"/>
          <w:lang w:val="en-US" w:eastAsia="zh-CN"/>
        </w:rPr>
        <w:t>附件3：</w:t>
      </w:r>
      <w:r>
        <w:rPr>
          <w:rFonts w:hint="eastAsia" w:ascii="仿宋" w:hAnsi="仿宋" w:eastAsia="仿宋" w:cs="仿宋"/>
          <w:b/>
          <w:bCs/>
          <w:color w:val="auto"/>
          <w:sz w:val="30"/>
          <w:szCs w:val="32"/>
        </w:rPr>
        <w:t>计量计价原则、合同支付条款、结算条款</w:t>
      </w:r>
    </w:p>
    <w:p w14:paraId="3DEE7F2C">
      <w:pPr>
        <w:pStyle w:val="7"/>
        <w:numPr>
          <w:ilvl w:val="0"/>
          <w:numId w:val="1"/>
        </w:numPr>
        <w:adjustRightInd w:val="0"/>
        <w:snapToGrid w:val="0"/>
        <w:ind w:firstLine="482"/>
        <w:rPr>
          <w:rFonts w:hint="eastAsia" w:ascii="仿宋" w:hAnsi="仿宋" w:eastAsia="仿宋" w:cs="仿宋"/>
          <w:b/>
          <w:color w:val="auto"/>
          <w:szCs w:val="24"/>
        </w:rPr>
      </w:pPr>
      <w:r>
        <w:rPr>
          <w:rFonts w:hint="eastAsia" w:ascii="仿宋" w:hAnsi="仿宋" w:eastAsia="仿宋" w:cs="仿宋"/>
          <w:b/>
          <w:color w:val="auto"/>
          <w:szCs w:val="24"/>
          <w:lang w:val="en-US" w:eastAsia="zh-CN"/>
        </w:rPr>
        <w:t>招标控制价</w:t>
      </w:r>
      <w:r>
        <w:rPr>
          <w:rFonts w:hint="eastAsia" w:ascii="仿宋" w:hAnsi="仿宋" w:eastAsia="仿宋" w:cs="仿宋"/>
          <w:b/>
          <w:color w:val="auto"/>
          <w:szCs w:val="24"/>
        </w:rPr>
        <w:t>计量计价原则</w:t>
      </w:r>
    </w:p>
    <w:p w14:paraId="690E2955">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（一）工程量清单采用《建设工程工程量清单计价规范》（</w:t>
      </w:r>
      <w:r>
        <w:rPr>
          <w:rFonts w:ascii="仿宋" w:hAnsi="仿宋" w:eastAsia="仿宋" w:cs="仿宋"/>
          <w:bCs/>
          <w:color w:val="auto"/>
          <w:szCs w:val="24"/>
        </w:rPr>
        <w:t>GB50500—2013）、《工程量计算规范》（GB50854～862-2013）及《深圳市建设工程计价规程》（2017）相关规定；</w:t>
      </w:r>
      <w:bookmarkStart w:id="0" w:name="_GoBack"/>
      <w:bookmarkEnd w:id="0"/>
    </w:p>
    <w:p w14:paraId="173960F9">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取费费率采用《深圳市建设工程计价费率标准（</w:t>
      </w:r>
      <w:r>
        <w:rPr>
          <w:rFonts w:ascii="仿宋" w:hAnsi="仿宋" w:eastAsia="仿宋" w:cs="仿宋"/>
          <w:bCs/>
          <w:color w:val="auto"/>
          <w:szCs w:val="24"/>
        </w:rPr>
        <w:t>20</w:t>
      </w:r>
      <w:r>
        <w:rPr>
          <w:rFonts w:hint="eastAsia" w:ascii="仿宋" w:hAnsi="仿宋" w:eastAsia="仿宋" w:cs="仿宋"/>
          <w:bCs/>
          <w:color w:val="auto"/>
          <w:szCs w:val="24"/>
          <w:lang w:val="en-US" w:eastAsia="zh-CN"/>
        </w:rPr>
        <w:t>23</w:t>
      </w:r>
      <w:r>
        <w:rPr>
          <w:rFonts w:ascii="仿宋" w:hAnsi="仿宋" w:eastAsia="仿宋" w:cs="仿宋"/>
          <w:bCs/>
          <w:color w:val="auto"/>
          <w:szCs w:val="24"/>
        </w:rPr>
        <w:t>）》（以招标公告发布时最新的规定为准）；</w:t>
      </w:r>
    </w:p>
    <w:p w14:paraId="30419869">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定额标准采用《深圳市市政工程消耗量定额》（</w:t>
      </w:r>
      <w:r>
        <w:rPr>
          <w:rFonts w:ascii="仿宋" w:hAnsi="仿宋" w:eastAsia="仿宋" w:cs="仿宋"/>
          <w:bCs/>
          <w:color w:val="auto"/>
          <w:szCs w:val="24"/>
        </w:rPr>
        <w:t>2017）、《深圳市建筑工程消耗量标准（2016）》、《深圳市安装工程消耗量定额2020》、《深圳市房屋修缮工程消耗量定额》</w:t>
      </w:r>
      <w:r>
        <w:rPr>
          <w:rFonts w:hint="eastAsia" w:ascii="仿宋" w:hAnsi="仿宋" w:eastAsia="仿宋" w:cs="仿宋"/>
          <w:bCs/>
          <w:color w:val="auto"/>
          <w:szCs w:val="24"/>
          <w:lang w:eastAsia="zh-CN"/>
        </w:rPr>
        <w:t>（</w:t>
      </w:r>
      <w:r>
        <w:rPr>
          <w:rFonts w:ascii="仿宋" w:hAnsi="仿宋" w:eastAsia="仿宋" w:cs="仿宋"/>
          <w:bCs/>
          <w:color w:val="auto"/>
          <w:szCs w:val="24"/>
        </w:rPr>
        <w:t>2011</w:t>
      </w:r>
      <w:r>
        <w:rPr>
          <w:rFonts w:hint="eastAsia" w:ascii="仿宋" w:hAnsi="仿宋" w:eastAsia="仿宋" w:cs="仿宋"/>
          <w:bCs/>
          <w:color w:val="auto"/>
          <w:szCs w:val="24"/>
          <w:lang w:eastAsia="zh-CN"/>
        </w:rPr>
        <w:t>）</w:t>
      </w:r>
      <w:r>
        <w:rPr>
          <w:rFonts w:hint="eastAsia" w:ascii="仿宋" w:hAnsi="仿宋" w:eastAsia="仿宋" w:cs="仿宋"/>
          <w:color w:val="auto"/>
          <w:sz w:val="24"/>
          <w:szCs w:val="24"/>
        </w:rPr>
        <w:t>〔</w:t>
      </w:r>
      <w:r>
        <w:rPr>
          <w:rFonts w:hint="eastAsia" w:ascii="仿宋" w:hAnsi="仿宋" w:eastAsia="仿宋" w:cs="仿宋"/>
          <w:bCs/>
          <w:color w:val="auto"/>
          <w:szCs w:val="24"/>
        </w:rPr>
        <w:t>2014机械</w:t>
      </w:r>
      <w:r>
        <w:rPr>
          <w:rFonts w:ascii="仿宋" w:hAnsi="仿宋" w:eastAsia="仿宋" w:cs="仿宋"/>
          <w:color w:val="auto"/>
          <w:sz w:val="24"/>
          <w:szCs w:val="24"/>
        </w:rPr>
        <w:t>〕</w:t>
      </w:r>
      <w:r>
        <w:rPr>
          <w:rFonts w:ascii="仿宋" w:hAnsi="仿宋" w:eastAsia="仿宋" w:cs="仿宋"/>
          <w:bCs/>
          <w:color w:val="auto"/>
          <w:szCs w:val="24"/>
        </w:rPr>
        <w:t>、《深圳市装饰工程消耗量定额2020》、《深圳市园林建筑绿化工程消耗量定额》</w:t>
      </w:r>
      <w:r>
        <w:rPr>
          <w:rFonts w:hint="eastAsia" w:ascii="仿宋" w:hAnsi="仿宋" w:eastAsia="仿宋" w:cs="仿宋"/>
          <w:bCs/>
          <w:color w:val="auto"/>
          <w:szCs w:val="24"/>
          <w:lang w:eastAsia="zh-CN"/>
        </w:rPr>
        <w:t>（</w:t>
      </w:r>
      <w:r>
        <w:rPr>
          <w:rFonts w:ascii="仿宋" w:hAnsi="仿宋" w:eastAsia="仿宋" w:cs="仿宋"/>
          <w:bCs/>
          <w:color w:val="auto"/>
          <w:szCs w:val="24"/>
        </w:rPr>
        <w:t>2017</w:t>
      </w:r>
      <w:r>
        <w:rPr>
          <w:rFonts w:hint="eastAsia" w:ascii="仿宋" w:hAnsi="仿宋" w:eastAsia="仿宋" w:cs="仿宋"/>
          <w:bCs/>
          <w:color w:val="auto"/>
          <w:szCs w:val="24"/>
          <w:lang w:eastAsia="zh-CN"/>
        </w:rPr>
        <w:t>）</w:t>
      </w:r>
      <w:r>
        <w:rPr>
          <w:rFonts w:ascii="仿宋" w:hAnsi="仿宋" w:eastAsia="仿宋" w:cs="仿宋"/>
          <w:bCs/>
          <w:color w:val="auto"/>
          <w:szCs w:val="24"/>
        </w:rPr>
        <w:t>、《深圳市装配式建筑工程消耗量定额》</w:t>
      </w:r>
      <w:r>
        <w:rPr>
          <w:rFonts w:hint="eastAsia" w:ascii="仿宋" w:hAnsi="仿宋" w:eastAsia="仿宋" w:cs="仿宋"/>
          <w:bCs/>
          <w:color w:val="auto"/>
          <w:szCs w:val="24"/>
          <w:lang w:eastAsia="zh-CN"/>
        </w:rPr>
        <w:t>（</w:t>
      </w:r>
      <w:r>
        <w:rPr>
          <w:rFonts w:ascii="仿宋" w:hAnsi="仿宋" w:eastAsia="仿宋" w:cs="仿宋"/>
          <w:bCs/>
          <w:color w:val="auto"/>
          <w:szCs w:val="24"/>
        </w:rPr>
        <w:t>2016</w:t>
      </w:r>
      <w:r>
        <w:rPr>
          <w:rFonts w:hint="eastAsia" w:ascii="仿宋" w:hAnsi="仿宋" w:eastAsia="仿宋" w:cs="仿宋"/>
          <w:bCs/>
          <w:color w:val="auto"/>
          <w:szCs w:val="24"/>
          <w:lang w:eastAsia="zh-CN"/>
        </w:rPr>
        <w:t>）</w:t>
      </w:r>
      <w:r>
        <w:rPr>
          <w:rFonts w:ascii="仿宋" w:hAnsi="仿宋" w:eastAsia="仿宋" w:cs="仿宋"/>
          <w:bCs/>
          <w:color w:val="auto"/>
          <w:szCs w:val="24"/>
        </w:rPr>
        <w:t>、《深圳市市政维修工程消耗量标准2020》等现行相关计价依据（以招标公告发布时最新的规定为准）。</w:t>
      </w:r>
    </w:p>
    <w:p w14:paraId="33255921">
      <w:pPr>
        <w:pStyle w:val="7"/>
        <w:adjustRightInd w:val="0"/>
        <w:snapToGrid w:val="0"/>
        <w:ind w:firstLine="480"/>
        <w:rPr>
          <w:rFonts w:ascii="仿宋" w:hAnsi="仿宋" w:eastAsia="仿宋" w:cs="仿宋"/>
          <w:b/>
          <w:color w:val="auto"/>
          <w:szCs w:val="24"/>
        </w:rPr>
      </w:pPr>
      <w:r>
        <w:rPr>
          <w:rFonts w:hint="eastAsia" w:ascii="仿宋" w:hAnsi="仿宋" w:eastAsia="仿宋" w:cs="仿宋"/>
          <w:bCs/>
          <w:color w:val="auto"/>
          <w:szCs w:val="24"/>
        </w:rPr>
        <w:t>国家及深圳市其他计量、计价规范规定及管理规定、投资计划、勘察资料、施工图纸、施工现场条件、工期和质量要求等。上述规程规范按照现行有效版本执行（以招标公告发布时最新的规定为准）。</w:t>
      </w:r>
    </w:p>
    <w:p w14:paraId="39F72FA5">
      <w:pPr>
        <w:pStyle w:val="7"/>
        <w:adjustRightInd w:val="0"/>
        <w:snapToGrid w:val="0"/>
        <w:ind w:firstLine="480"/>
        <w:rPr>
          <w:rFonts w:ascii="仿宋" w:hAnsi="仿宋" w:eastAsia="仿宋" w:cs="仿宋"/>
          <w:color w:val="auto"/>
          <w:szCs w:val="24"/>
        </w:rPr>
      </w:pPr>
      <w:r>
        <w:rPr>
          <w:rFonts w:hint="eastAsia" w:ascii="仿宋" w:hAnsi="仿宋" w:eastAsia="仿宋" w:cs="仿宋"/>
          <w:color w:val="auto"/>
          <w:szCs w:val="24"/>
        </w:rPr>
        <w:t>（二）工程量清单结算计量、计价按以下原则处理：本工程</w:t>
      </w:r>
      <w:r>
        <w:rPr>
          <w:rFonts w:hint="eastAsia" w:ascii="仿宋" w:hAnsi="仿宋" w:eastAsia="仿宋" w:cs="仿宋"/>
          <w:color w:val="auto"/>
          <w:szCs w:val="24"/>
          <w:lang w:val="en-US" w:eastAsia="zh-CN"/>
        </w:rPr>
        <w:t>招标控制价</w:t>
      </w:r>
      <w:r>
        <w:rPr>
          <w:rFonts w:hint="eastAsia" w:ascii="仿宋" w:hAnsi="仿宋" w:eastAsia="仿宋" w:cs="仿宋"/>
          <w:color w:val="auto"/>
          <w:szCs w:val="24"/>
        </w:rPr>
        <w:t>工程量清单中所列工程量不应被理解为是对承包人工作内容的全部定义，也不能作为承包人应完成的实际工程量。承包人必须按图纸及有关标准、规范的要求完成全部内容。</w:t>
      </w:r>
    </w:p>
    <w:p w14:paraId="25905F16">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（三）</w:t>
      </w:r>
      <w:r>
        <w:rPr>
          <w:rFonts w:ascii="仿宋" w:hAnsi="仿宋" w:eastAsia="仿宋" w:cs="仿宋"/>
          <w:bCs/>
          <w:color w:val="auto"/>
          <w:szCs w:val="24"/>
        </w:rPr>
        <w:t>人工、材料、设备价格</w:t>
      </w:r>
    </w:p>
    <w:p w14:paraId="594D8A8A">
      <w:pPr>
        <w:pStyle w:val="7"/>
        <w:adjustRightInd w:val="0"/>
        <w:snapToGrid w:val="0"/>
        <w:ind w:firstLine="480"/>
        <w:rPr>
          <w:rFonts w:hint="eastAsia" w:ascii="仿宋" w:hAnsi="仿宋" w:eastAsia="仿宋" w:cs="仿宋"/>
          <w:bCs/>
          <w:color w:val="auto"/>
          <w:szCs w:val="24"/>
        </w:rPr>
      </w:pPr>
      <w:r>
        <w:rPr>
          <w:rFonts w:ascii="仿宋" w:hAnsi="仿宋" w:eastAsia="仿宋" w:cs="仿宋"/>
          <w:bCs/>
          <w:color w:val="auto"/>
          <w:szCs w:val="24"/>
        </w:rPr>
        <w:t>1</w:t>
      </w:r>
      <w:r>
        <w:rPr>
          <w:rFonts w:hint="eastAsia" w:ascii="仿宋" w:hAnsi="仿宋" w:eastAsia="仿宋" w:cs="仿宋"/>
          <w:bCs/>
          <w:color w:val="auto"/>
          <w:szCs w:val="24"/>
          <w:lang w:val="en-US" w:eastAsia="zh-CN"/>
        </w:rPr>
        <w:t>.</w:t>
      </w:r>
      <w:r>
        <w:rPr>
          <w:rFonts w:hint="eastAsia" w:ascii="仿宋" w:hAnsi="仿宋" w:eastAsia="仿宋" w:cs="仿宋"/>
          <w:bCs/>
          <w:color w:val="auto"/>
          <w:szCs w:val="24"/>
        </w:rPr>
        <w:t>人工、材料设备、机械价格优先采用《深圳建设工程价格信息》202</w:t>
      </w:r>
      <w:r>
        <w:rPr>
          <w:rFonts w:hint="eastAsia" w:ascii="仿宋" w:hAnsi="仿宋" w:eastAsia="仿宋" w:cs="仿宋"/>
          <w:bCs/>
          <w:color w:val="auto"/>
          <w:szCs w:val="24"/>
          <w:lang w:val="en-US" w:eastAsia="zh-CN"/>
        </w:rPr>
        <w:t>5</w:t>
      </w:r>
      <w:r>
        <w:rPr>
          <w:rFonts w:hint="eastAsia" w:ascii="仿宋" w:hAnsi="仿宋" w:eastAsia="仿宋" w:cs="仿宋"/>
          <w:bCs/>
          <w:color w:val="auto"/>
          <w:szCs w:val="24"/>
        </w:rPr>
        <w:t>年</w:t>
      </w:r>
      <w:r>
        <w:rPr>
          <w:rFonts w:hint="eastAsia" w:ascii="仿宋" w:hAnsi="仿宋" w:eastAsia="仿宋" w:cs="仿宋"/>
          <w:bCs/>
          <w:color w:val="auto"/>
          <w:szCs w:val="24"/>
          <w:lang w:val="en-US" w:eastAsia="zh-CN"/>
        </w:rPr>
        <w:t>4</w:t>
      </w:r>
      <w:r>
        <w:rPr>
          <w:rFonts w:hint="eastAsia" w:ascii="仿宋" w:hAnsi="仿宋" w:eastAsia="仿宋" w:cs="仿宋"/>
          <w:bCs/>
          <w:color w:val="auto"/>
          <w:szCs w:val="24"/>
        </w:rPr>
        <w:t>月，其次选用《深圳市交通工程主要材料价格信息》202</w:t>
      </w:r>
      <w:r>
        <w:rPr>
          <w:rFonts w:hint="eastAsia" w:ascii="仿宋" w:hAnsi="仿宋" w:eastAsia="仿宋" w:cs="仿宋"/>
          <w:bCs/>
          <w:color w:val="auto"/>
          <w:szCs w:val="24"/>
          <w:lang w:val="en-US" w:eastAsia="zh-CN"/>
        </w:rPr>
        <w:t>5</w:t>
      </w:r>
      <w:r>
        <w:rPr>
          <w:rFonts w:hint="eastAsia" w:ascii="仿宋" w:hAnsi="仿宋" w:eastAsia="仿宋" w:cs="仿宋"/>
          <w:bCs/>
          <w:color w:val="auto"/>
          <w:szCs w:val="24"/>
        </w:rPr>
        <w:t>年</w:t>
      </w:r>
      <w:r>
        <w:rPr>
          <w:rFonts w:hint="eastAsia" w:ascii="仿宋" w:hAnsi="仿宋" w:eastAsia="仿宋" w:cs="仿宋"/>
          <w:bCs/>
          <w:color w:val="auto"/>
          <w:szCs w:val="24"/>
          <w:lang w:val="en-US" w:eastAsia="zh-CN"/>
        </w:rPr>
        <w:t>4</w:t>
      </w:r>
      <w:r>
        <w:rPr>
          <w:rFonts w:hint="eastAsia" w:ascii="仿宋" w:hAnsi="仿宋" w:eastAsia="仿宋" w:cs="仿宋"/>
          <w:bCs/>
          <w:color w:val="auto"/>
          <w:szCs w:val="24"/>
        </w:rPr>
        <w:t>月；</w:t>
      </w:r>
      <w:r>
        <w:rPr>
          <w:rFonts w:ascii="仿宋" w:hAnsi="仿宋" w:eastAsia="仿宋" w:cs="仿宋"/>
          <w:bCs/>
          <w:color w:val="auto"/>
          <w:szCs w:val="24"/>
        </w:rPr>
        <w:t>仍没有的，</w:t>
      </w:r>
      <w:r>
        <w:rPr>
          <w:rFonts w:hint="eastAsia" w:ascii="仿宋" w:hAnsi="仿宋" w:eastAsia="仿宋" w:cs="仿宋"/>
          <w:bCs/>
          <w:color w:val="auto"/>
          <w:szCs w:val="24"/>
          <w:lang w:val="en-US" w:eastAsia="zh-CN"/>
        </w:rPr>
        <w:t>有编制单位进行市场询价</w:t>
      </w:r>
      <w:r>
        <w:rPr>
          <w:rFonts w:hint="eastAsia" w:ascii="仿宋" w:hAnsi="仿宋" w:eastAsia="仿宋" w:cs="仿宋"/>
          <w:bCs/>
          <w:color w:val="auto"/>
          <w:szCs w:val="24"/>
        </w:rPr>
        <w:t>。</w:t>
      </w:r>
    </w:p>
    <w:p w14:paraId="5019AAA6">
      <w:pPr>
        <w:pStyle w:val="7"/>
        <w:adjustRightInd w:val="0"/>
        <w:snapToGrid w:val="0"/>
        <w:ind w:left="479" w:leftChars="228" w:firstLine="0" w:firstLineChars="0"/>
        <w:rPr>
          <w:rFonts w:hint="eastAsia" w:ascii="仿宋" w:hAnsi="仿宋" w:eastAsia="仿宋" w:cs="仿宋"/>
          <w:bCs/>
          <w:color w:val="auto"/>
          <w:szCs w:val="24"/>
        </w:rPr>
      </w:pPr>
      <w:r>
        <w:rPr>
          <w:rFonts w:ascii="仿宋" w:hAnsi="仿宋" w:eastAsia="仿宋" w:cs="仿宋"/>
          <w:bCs/>
          <w:color w:val="auto"/>
          <w:szCs w:val="24"/>
        </w:rPr>
        <w:t>2</w:t>
      </w:r>
      <w:r>
        <w:rPr>
          <w:rFonts w:hint="eastAsia" w:ascii="仿宋" w:hAnsi="仿宋" w:eastAsia="仿宋" w:cs="仿宋"/>
          <w:bCs/>
          <w:color w:val="auto"/>
          <w:szCs w:val="24"/>
          <w:lang w:val="en-US" w:eastAsia="zh-CN"/>
        </w:rPr>
        <w:t>.</w:t>
      </w:r>
      <w:r>
        <w:rPr>
          <w:rFonts w:hint="eastAsia" w:ascii="仿宋" w:hAnsi="仿宋" w:eastAsia="仿宋" w:cs="仿宋"/>
          <w:bCs/>
          <w:color w:val="auto"/>
          <w:szCs w:val="24"/>
        </w:rPr>
        <w:t>如果发包人对</w:t>
      </w:r>
      <w:r>
        <w:rPr>
          <w:rFonts w:ascii="仿宋" w:hAnsi="仿宋" w:eastAsia="仿宋" w:cs="仿宋"/>
          <w:bCs/>
          <w:color w:val="auto"/>
          <w:szCs w:val="24"/>
        </w:rPr>
        <w:t>本合同中涉及的材料</w:t>
      </w:r>
      <w:r>
        <w:rPr>
          <w:rFonts w:hint="eastAsia" w:ascii="仿宋" w:hAnsi="仿宋" w:eastAsia="仿宋" w:cs="仿宋"/>
          <w:bCs/>
          <w:color w:val="auto"/>
          <w:szCs w:val="24"/>
        </w:rPr>
        <w:t>、</w:t>
      </w:r>
      <w:r>
        <w:rPr>
          <w:rFonts w:ascii="仿宋" w:hAnsi="仿宋" w:eastAsia="仿宋" w:cs="仿宋"/>
          <w:bCs/>
          <w:color w:val="auto"/>
          <w:szCs w:val="24"/>
        </w:rPr>
        <w:t>设备</w:t>
      </w:r>
      <w:r>
        <w:rPr>
          <w:rFonts w:hint="eastAsia" w:ascii="仿宋" w:hAnsi="仿宋" w:eastAsia="仿宋" w:cs="仿宋"/>
          <w:bCs/>
          <w:color w:val="auto"/>
          <w:szCs w:val="24"/>
        </w:rPr>
        <w:t>有品牌库要求，需按要求执行。</w:t>
      </w:r>
    </w:p>
    <w:p w14:paraId="26376F39">
      <w:pPr>
        <w:widowControl/>
        <w:spacing w:line="360" w:lineRule="auto"/>
        <w:ind w:firstLine="484" w:firstLineChars="202"/>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四</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招标控制价</w:t>
      </w:r>
      <w:r>
        <w:rPr>
          <w:rFonts w:hint="eastAsia" w:ascii="仿宋" w:hAnsi="仿宋" w:eastAsia="仿宋" w:cs="仿宋"/>
          <w:bCs/>
          <w:color w:val="auto"/>
          <w:sz w:val="24"/>
          <w:szCs w:val="24"/>
        </w:rPr>
        <w:t>其他计价原则</w:t>
      </w:r>
    </w:p>
    <w:p w14:paraId="7803E218">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1</w:t>
      </w:r>
      <w:r>
        <w:rPr>
          <w:rFonts w:hint="eastAsia" w:ascii="仿宋" w:hAnsi="仿宋" w:eastAsia="仿宋" w:cs="仿宋"/>
          <w:bCs/>
          <w:color w:val="auto"/>
          <w:szCs w:val="24"/>
          <w:lang w:val="en-US" w:eastAsia="zh-CN"/>
        </w:rPr>
        <w:t>.本项目招标控制价</w:t>
      </w:r>
      <w:r>
        <w:rPr>
          <w:rFonts w:hint="eastAsia" w:ascii="仿宋" w:hAnsi="仿宋" w:eastAsia="仿宋" w:cs="仿宋"/>
          <w:bCs/>
          <w:color w:val="auto"/>
          <w:szCs w:val="24"/>
        </w:rPr>
        <w:t>不单独列项本合同条款已明示或暗示的不另行支付的费用及相关风险费用。</w:t>
      </w:r>
    </w:p>
    <w:p w14:paraId="3C337F27">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2</w:t>
      </w:r>
      <w:r>
        <w:rPr>
          <w:rFonts w:hint="eastAsia" w:ascii="仿宋" w:hAnsi="仿宋" w:eastAsia="仿宋" w:cs="仿宋"/>
          <w:bCs/>
          <w:color w:val="auto"/>
          <w:szCs w:val="24"/>
          <w:lang w:val="en-US" w:eastAsia="zh-CN"/>
        </w:rPr>
        <w:t>.</w:t>
      </w:r>
      <w:r>
        <w:rPr>
          <w:rFonts w:ascii="仿宋" w:hAnsi="仿宋" w:eastAsia="仿宋" w:cs="仿宋"/>
          <w:bCs/>
          <w:color w:val="auto"/>
          <w:szCs w:val="24"/>
        </w:rPr>
        <w:t>本工程暂列金按5%计取。</w:t>
      </w:r>
    </w:p>
    <w:p w14:paraId="36541DAF">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3</w:t>
      </w:r>
      <w:r>
        <w:rPr>
          <w:rFonts w:hint="eastAsia" w:ascii="仿宋" w:hAnsi="仿宋" w:eastAsia="仿宋" w:cs="仿宋"/>
          <w:bCs/>
          <w:color w:val="auto"/>
          <w:szCs w:val="24"/>
          <w:lang w:val="en-US" w:eastAsia="zh-CN"/>
        </w:rPr>
        <w:t>.</w:t>
      </w:r>
      <w:r>
        <w:rPr>
          <w:rFonts w:ascii="仿宋" w:hAnsi="仿宋" w:eastAsia="仿宋" w:cs="仿宋"/>
          <w:bCs/>
          <w:color w:val="auto"/>
          <w:szCs w:val="24"/>
        </w:rPr>
        <w:t>施工场地内土方平衡运距按1Km计算，挖、运综合按1次计算，缺方外借运距按5Km计算。</w:t>
      </w:r>
    </w:p>
    <w:p w14:paraId="06A72E04">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4</w:t>
      </w:r>
      <w:r>
        <w:rPr>
          <w:rFonts w:hint="eastAsia" w:ascii="仿宋" w:hAnsi="仿宋" w:eastAsia="仿宋" w:cs="仿宋"/>
          <w:bCs/>
          <w:color w:val="auto"/>
          <w:szCs w:val="24"/>
          <w:lang w:val="en-US" w:eastAsia="zh-CN"/>
        </w:rPr>
        <w:t>.</w:t>
      </w:r>
      <w:r>
        <w:rPr>
          <w:rFonts w:ascii="仿宋" w:hAnsi="仿宋" w:eastAsia="仿宋" w:cs="仿宋"/>
          <w:bCs/>
          <w:color w:val="auto"/>
          <w:szCs w:val="24"/>
        </w:rPr>
        <w:t>厂拌水泥碎石混合料、厂拌水泥石粉渣混合料运距按5Km计算。</w:t>
      </w:r>
    </w:p>
    <w:p w14:paraId="001EE04F">
      <w:pPr>
        <w:pStyle w:val="7"/>
        <w:adjustRightInd w:val="0"/>
        <w:snapToGrid w:val="0"/>
        <w:ind w:firstLine="480"/>
        <w:rPr>
          <w:rFonts w:hint="eastAsia" w:ascii="仿宋" w:hAnsi="仿宋" w:eastAsia="仿宋" w:cs="仿宋"/>
          <w:bCs/>
          <w:color w:val="auto"/>
          <w:szCs w:val="24"/>
        </w:rPr>
      </w:pPr>
      <w:r>
        <w:rPr>
          <w:rFonts w:ascii="仿宋" w:hAnsi="仿宋" w:eastAsia="仿宋" w:cs="仿宋"/>
          <w:bCs/>
          <w:color w:val="auto"/>
          <w:szCs w:val="24"/>
        </w:rPr>
        <w:t>5</w:t>
      </w:r>
      <w:r>
        <w:rPr>
          <w:rFonts w:hint="eastAsia" w:ascii="仿宋" w:hAnsi="仿宋" w:eastAsia="仿宋" w:cs="仿宋"/>
          <w:bCs/>
          <w:color w:val="auto"/>
          <w:szCs w:val="24"/>
          <w:lang w:val="en-US" w:eastAsia="zh-CN"/>
        </w:rPr>
        <w:t>.</w:t>
      </w:r>
      <w:r>
        <w:rPr>
          <w:rFonts w:ascii="仿宋" w:hAnsi="仿宋" w:eastAsia="仿宋" w:cs="仿宋"/>
          <w:bCs/>
          <w:color w:val="auto"/>
          <w:szCs w:val="24"/>
        </w:rPr>
        <w:t>本项目弃土（石）、建筑物垃圾、建</w:t>
      </w:r>
      <w:r>
        <w:rPr>
          <w:rFonts w:hint="eastAsia" w:ascii="仿宋" w:hAnsi="仿宋" w:eastAsia="仿宋" w:cs="仿宋"/>
          <w:bCs/>
          <w:color w:val="auto"/>
          <w:szCs w:val="24"/>
          <w:lang w:eastAsia="zh-CN"/>
        </w:rPr>
        <w:t>（</w:t>
      </w:r>
      <w:r>
        <w:rPr>
          <w:rFonts w:ascii="仿宋" w:hAnsi="仿宋" w:eastAsia="仿宋" w:cs="仿宋"/>
          <w:bCs/>
          <w:color w:val="auto"/>
          <w:szCs w:val="24"/>
        </w:rPr>
        <w:t>构</w:t>
      </w:r>
      <w:r>
        <w:rPr>
          <w:rFonts w:hint="eastAsia" w:ascii="仿宋" w:hAnsi="仿宋" w:eastAsia="仿宋" w:cs="仿宋"/>
          <w:bCs/>
          <w:color w:val="auto"/>
          <w:szCs w:val="24"/>
          <w:lang w:eastAsia="zh-CN"/>
        </w:rPr>
        <w:t>）</w:t>
      </w:r>
      <w:r>
        <w:rPr>
          <w:rFonts w:ascii="仿宋" w:hAnsi="仿宋" w:eastAsia="仿宋" w:cs="仿宋"/>
          <w:bCs/>
          <w:color w:val="auto"/>
          <w:szCs w:val="24"/>
        </w:rPr>
        <w:t>筑物（含基础）垃圾、清表废弃物、淤泥（包含泥浆）等，外弃运距按照35公里计算，处置受纳费按25元/</w:t>
      </w:r>
      <w:r>
        <w:rPr>
          <w:rFonts w:hint="eastAsia" w:ascii="仿宋" w:hAnsi="仿宋" w:eastAsia="仿宋" w:cs="仿宋"/>
          <w:bCs/>
          <w:color w:val="auto"/>
          <w:szCs w:val="24"/>
        </w:rPr>
        <w:t>m³计算。</w:t>
      </w:r>
    </w:p>
    <w:p w14:paraId="22269564">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如果采用海弃的，由发包人和承包人另行协商，经政府相关程序同意（如需要）后按照相关规定确定运距及处置收纳费单价。如承包人无法提供海弃弃土凭证的，外弃运距按照</w:t>
      </w:r>
      <w:r>
        <w:rPr>
          <w:rFonts w:ascii="仿宋" w:hAnsi="仿宋" w:eastAsia="仿宋" w:cs="仿宋"/>
          <w:bCs/>
          <w:color w:val="auto"/>
          <w:szCs w:val="24"/>
        </w:rPr>
        <w:t>35公里计算，处置受纳费按25元/m³计算。</w:t>
      </w:r>
    </w:p>
    <w:p w14:paraId="571D319E">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如政府主管部门有新的政策要求允许调整计费标准的，经政府相关程序同意（如需要），可按照新政策要求予以调整。</w:t>
      </w:r>
    </w:p>
    <w:p w14:paraId="1059E093">
      <w:pPr>
        <w:pStyle w:val="7"/>
        <w:adjustRightInd w:val="0"/>
        <w:snapToGrid w:val="0"/>
        <w:ind w:firstLine="480"/>
        <w:rPr>
          <w:rFonts w:hint="eastAsia" w:ascii="仿宋" w:hAnsi="仿宋" w:eastAsia="仿宋" w:cs="仿宋"/>
          <w:bCs/>
          <w:color w:val="auto"/>
          <w:szCs w:val="24"/>
        </w:rPr>
      </w:pPr>
      <w:r>
        <w:rPr>
          <w:rFonts w:hint="eastAsia" w:ascii="仿宋" w:hAnsi="仿宋" w:eastAsia="仿宋" w:cs="仿宋"/>
          <w:bCs/>
          <w:color w:val="auto"/>
          <w:szCs w:val="24"/>
        </w:rPr>
        <w:t>如政府主管部门提供弃土点，发包人有权要求承包人弃置至指定弃土点，经双方协商，经政府相关程序同意（如需要），相关运距及处置收纳费可按相关政策调整。</w:t>
      </w:r>
    </w:p>
    <w:p w14:paraId="0E9797D7">
      <w:pPr>
        <w:pStyle w:val="7"/>
        <w:numPr>
          <w:ilvl w:val="0"/>
          <w:numId w:val="1"/>
        </w:numPr>
        <w:adjustRightInd w:val="0"/>
        <w:snapToGrid w:val="0"/>
        <w:ind w:firstLine="482"/>
        <w:rPr>
          <w:rFonts w:hint="eastAsia" w:ascii="仿宋" w:hAnsi="仿宋" w:eastAsia="仿宋" w:cs="仿宋"/>
          <w:b/>
          <w:color w:val="auto"/>
          <w:szCs w:val="24"/>
        </w:rPr>
      </w:pPr>
      <w:r>
        <w:rPr>
          <w:rFonts w:hint="eastAsia" w:ascii="仿宋" w:hAnsi="仿宋" w:eastAsia="仿宋" w:cs="仿宋"/>
          <w:b/>
          <w:color w:val="auto"/>
          <w:szCs w:val="24"/>
        </w:rPr>
        <w:t>合同</w:t>
      </w:r>
      <w:r>
        <w:rPr>
          <w:rFonts w:hint="eastAsia" w:ascii="仿宋" w:hAnsi="仿宋" w:eastAsia="仿宋" w:cs="仿宋"/>
          <w:b/>
          <w:color w:val="auto"/>
          <w:szCs w:val="24"/>
          <w:lang w:val="en-US" w:eastAsia="zh-CN"/>
        </w:rPr>
        <w:t>价、</w:t>
      </w:r>
      <w:r>
        <w:rPr>
          <w:rFonts w:hint="eastAsia" w:ascii="仿宋" w:hAnsi="仿宋" w:eastAsia="仿宋" w:cs="仿宋"/>
          <w:b/>
          <w:color w:val="auto"/>
          <w:szCs w:val="24"/>
        </w:rPr>
        <w:t>支付条款</w:t>
      </w:r>
    </w:p>
    <w:p w14:paraId="2F539D0C">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（一）</w:t>
      </w:r>
      <w:r>
        <w:rPr>
          <w:rFonts w:hint="eastAsia" w:ascii="仿宋" w:hAnsi="仿宋" w:eastAsia="仿宋" w:cs="仿宋"/>
          <w:bCs/>
          <w:color w:val="auto"/>
          <w:szCs w:val="24"/>
          <w:lang w:val="en-US" w:eastAsia="zh-CN"/>
        </w:rPr>
        <w:t>建安工程</w:t>
      </w:r>
      <w:r>
        <w:rPr>
          <w:rFonts w:hint="eastAsia" w:ascii="仿宋" w:hAnsi="仿宋" w:eastAsia="仿宋" w:cs="仿宋"/>
          <w:bCs/>
          <w:color w:val="auto"/>
          <w:szCs w:val="24"/>
        </w:rPr>
        <w:t>费用及弃土场受纳处置费支付条款</w:t>
      </w:r>
    </w:p>
    <w:p w14:paraId="51B5FCFB">
      <w:pPr>
        <w:pStyle w:val="8"/>
        <w:tabs>
          <w:tab w:val="left" w:pos="630"/>
          <w:tab w:val="left" w:pos="851"/>
          <w:tab w:val="left" w:pos="1260"/>
        </w:tabs>
        <w:adjustRightInd w:val="0"/>
        <w:snapToGrid w:val="0"/>
        <w:spacing w:line="360" w:lineRule="auto"/>
        <w:ind w:firstLine="480" w:firstLineChars="200"/>
        <w:rPr>
          <w:rFonts w:hint="default" w:ascii="仿宋" w:hAnsi="仿宋" w:eastAsia="仿宋" w:cs="仿宋"/>
          <w:bCs/>
          <w:color w:val="auto"/>
          <w:sz w:val="24"/>
          <w:szCs w:val="24"/>
        </w:rPr>
      </w:pPr>
      <w:r>
        <w:rPr>
          <w:rFonts w:hint="default"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default" w:ascii="仿宋" w:hAnsi="仿宋" w:eastAsia="仿宋" w:cs="仿宋"/>
          <w:bCs/>
          <w:color w:val="auto"/>
          <w:sz w:val="24"/>
          <w:szCs w:val="24"/>
        </w:rPr>
        <w:t>预付款</w:t>
      </w:r>
    </w:p>
    <w:p w14:paraId="7DF22E26">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本工程的工程预付款比例为签约合同价20% 。</w:t>
      </w:r>
      <w:r>
        <w:rPr>
          <w:rFonts w:hint="eastAsia" w:ascii="仿宋" w:hAnsi="仿宋" w:eastAsia="仿宋" w:cs="仿宋"/>
          <w:bCs/>
          <w:color w:val="auto"/>
          <w:szCs w:val="24"/>
          <w:lang w:val="en-US" w:eastAsia="zh-CN"/>
        </w:rPr>
        <w:t xml:space="preserve"> </w:t>
      </w:r>
      <w:r>
        <w:rPr>
          <w:rFonts w:ascii="仿宋" w:hAnsi="仿宋" w:eastAsia="仿宋" w:cs="仿宋"/>
          <w:bCs/>
          <w:color w:val="auto"/>
          <w:szCs w:val="24"/>
        </w:rPr>
        <w:t>其中，</w:t>
      </w:r>
      <w:r>
        <w:rPr>
          <w:rFonts w:hint="eastAsia" w:ascii="仿宋" w:hAnsi="仿宋" w:eastAsia="仿宋" w:cs="仿宋"/>
          <w:bCs/>
          <w:color w:val="auto"/>
          <w:szCs w:val="24"/>
        </w:rPr>
        <w:t>已包含施工现场安全文明措施费预付款</w:t>
      </w:r>
      <w:r>
        <w:rPr>
          <w:rFonts w:hint="eastAsia" w:ascii="仿宋" w:hAnsi="仿宋" w:eastAsia="仿宋" w:cs="仿宋"/>
          <w:bCs/>
          <w:color w:val="auto"/>
          <w:szCs w:val="24"/>
          <w:lang w:val="en-US" w:eastAsia="zh-CN"/>
        </w:rPr>
        <w:t>及合同价1%的金额作为农民工工资并拨至专款账户</w:t>
      </w:r>
      <w:r>
        <w:rPr>
          <w:rFonts w:hint="eastAsia" w:ascii="仿宋" w:hAnsi="仿宋" w:eastAsia="仿宋" w:cs="仿宋"/>
          <w:bCs/>
          <w:color w:val="auto"/>
          <w:szCs w:val="24"/>
        </w:rPr>
        <w:t>，安全文明措施费预付款的金额为安全文明措施费的</w:t>
      </w:r>
      <w:r>
        <w:rPr>
          <w:rFonts w:hint="eastAsia" w:ascii="仿宋" w:hAnsi="仿宋" w:eastAsia="仿宋" w:cs="仿宋"/>
          <w:bCs/>
          <w:color w:val="auto"/>
          <w:szCs w:val="24"/>
          <w:lang w:val="en-US" w:eastAsia="zh-CN"/>
        </w:rPr>
        <w:t>10</w:t>
      </w:r>
      <w:r>
        <w:rPr>
          <w:rFonts w:hint="eastAsia" w:ascii="仿宋" w:hAnsi="仿宋" w:eastAsia="仿宋" w:cs="仿宋"/>
          <w:bCs/>
          <w:color w:val="auto"/>
          <w:szCs w:val="24"/>
        </w:rPr>
        <w:t>0%</w:t>
      </w:r>
      <w:r>
        <w:rPr>
          <w:rFonts w:ascii="仿宋" w:hAnsi="仿宋" w:eastAsia="仿宋" w:cs="仿宋"/>
          <w:bCs/>
          <w:color w:val="auto"/>
          <w:szCs w:val="24"/>
        </w:rPr>
        <w:t>。</w:t>
      </w:r>
    </w:p>
    <w:p w14:paraId="03CACA5E">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支付条件：</w:t>
      </w:r>
      <w:r>
        <w:rPr>
          <w:rFonts w:ascii="仿宋" w:hAnsi="仿宋" w:eastAsia="仿宋" w:cs="仿宋"/>
          <w:bCs/>
          <w:color w:val="auto"/>
          <w:szCs w:val="24"/>
        </w:rPr>
        <w:t>1、合同签订并提交履约保函</w:t>
      </w:r>
      <w:r>
        <w:rPr>
          <w:rFonts w:hint="eastAsia" w:ascii="仿宋" w:hAnsi="仿宋" w:eastAsia="仿宋" w:cs="仿宋"/>
          <w:bCs/>
          <w:color w:val="auto"/>
          <w:szCs w:val="24"/>
          <w:lang w:val="en-US" w:eastAsia="zh-CN"/>
        </w:rPr>
        <w:t>及提交经监理单位审核通过的施工组织设计</w:t>
      </w:r>
      <w:r>
        <w:rPr>
          <w:rFonts w:ascii="仿宋" w:hAnsi="仿宋" w:eastAsia="仿宋" w:cs="仿宋"/>
          <w:bCs/>
          <w:color w:val="auto"/>
          <w:szCs w:val="24"/>
        </w:rPr>
        <w:t>，支付</w:t>
      </w:r>
      <w:r>
        <w:rPr>
          <w:rFonts w:hint="eastAsia" w:ascii="仿宋" w:hAnsi="仿宋" w:eastAsia="仿宋" w:cs="仿宋"/>
          <w:bCs/>
          <w:color w:val="auto"/>
          <w:szCs w:val="24"/>
        </w:rPr>
        <w:t>签约</w:t>
      </w:r>
      <w:r>
        <w:rPr>
          <w:rFonts w:ascii="仿宋" w:hAnsi="仿宋" w:eastAsia="仿宋" w:cs="仿宋"/>
          <w:bCs/>
          <w:color w:val="auto"/>
          <w:szCs w:val="24"/>
        </w:rPr>
        <w:t>合同价10%；2、</w:t>
      </w:r>
      <w:r>
        <w:rPr>
          <w:rFonts w:hint="eastAsia" w:ascii="仿宋" w:hAnsi="仿宋" w:eastAsia="仿宋" w:cs="仿宋"/>
          <w:bCs/>
          <w:color w:val="auto"/>
          <w:szCs w:val="24"/>
          <w:lang w:val="en-US" w:eastAsia="zh-CN"/>
        </w:rPr>
        <w:t>项目部成立</w:t>
      </w:r>
      <w:r>
        <w:rPr>
          <w:rFonts w:hint="eastAsia" w:ascii="仿宋" w:hAnsi="仿宋" w:eastAsia="仿宋" w:cs="仿宋"/>
          <w:bCs/>
          <w:color w:val="auto"/>
          <w:szCs w:val="24"/>
          <w:lang w:eastAsia="zh-CN"/>
        </w:rPr>
        <w:t>、</w:t>
      </w:r>
      <w:r>
        <w:rPr>
          <w:rFonts w:ascii="仿宋" w:hAnsi="仿宋" w:eastAsia="仿宋" w:cs="仿宋"/>
          <w:bCs/>
          <w:color w:val="auto"/>
          <w:szCs w:val="24"/>
        </w:rPr>
        <w:t>主要管理人员到位</w:t>
      </w:r>
      <w:r>
        <w:rPr>
          <w:rFonts w:hint="eastAsia" w:ascii="仿宋" w:hAnsi="仿宋" w:eastAsia="仿宋" w:cs="仿宋"/>
          <w:bCs/>
          <w:color w:val="auto"/>
          <w:szCs w:val="24"/>
          <w:lang w:val="en-US" w:eastAsia="zh-CN"/>
        </w:rPr>
        <w:t>及投入项目前期施工所需的机械设备到位</w:t>
      </w:r>
      <w:r>
        <w:rPr>
          <w:rFonts w:ascii="仿宋" w:hAnsi="仿宋" w:eastAsia="仿宋" w:cs="仿宋"/>
          <w:bCs/>
          <w:color w:val="auto"/>
          <w:szCs w:val="24"/>
        </w:rPr>
        <w:t>，支付</w:t>
      </w:r>
      <w:r>
        <w:rPr>
          <w:rFonts w:hint="eastAsia" w:ascii="仿宋" w:hAnsi="仿宋" w:eastAsia="仿宋" w:cs="仿宋"/>
          <w:bCs/>
          <w:color w:val="auto"/>
          <w:szCs w:val="24"/>
        </w:rPr>
        <w:t>签约</w:t>
      </w:r>
      <w:r>
        <w:rPr>
          <w:rFonts w:ascii="仿宋" w:hAnsi="仿宋" w:eastAsia="仿宋" w:cs="仿宋"/>
          <w:bCs/>
          <w:color w:val="auto"/>
          <w:szCs w:val="24"/>
        </w:rPr>
        <w:t>合同价10%</w:t>
      </w:r>
      <w:r>
        <w:rPr>
          <w:rFonts w:hint="eastAsia" w:ascii="仿宋" w:hAnsi="仿宋" w:eastAsia="仿宋" w:cs="仿宋"/>
          <w:bCs/>
          <w:color w:val="auto"/>
          <w:szCs w:val="24"/>
          <w:lang w:eastAsia="zh-CN"/>
        </w:rPr>
        <w:t>（</w:t>
      </w:r>
      <w:r>
        <w:rPr>
          <w:rFonts w:hint="eastAsia" w:ascii="仿宋" w:hAnsi="仿宋" w:eastAsia="仿宋" w:cs="仿宋"/>
          <w:bCs/>
          <w:color w:val="auto"/>
          <w:szCs w:val="24"/>
          <w:lang w:val="en-US" w:eastAsia="zh-CN"/>
        </w:rPr>
        <w:t>含合同价1%的金额作为农民工工资</w:t>
      </w:r>
      <w:r>
        <w:rPr>
          <w:rFonts w:hint="eastAsia" w:ascii="仿宋" w:hAnsi="仿宋" w:eastAsia="仿宋" w:cs="仿宋"/>
          <w:bCs/>
          <w:color w:val="auto"/>
          <w:szCs w:val="24"/>
          <w:lang w:eastAsia="zh-CN"/>
        </w:rPr>
        <w:t>）</w:t>
      </w:r>
      <w:r>
        <w:rPr>
          <w:rFonts w:ascii="仿宋" w:hAnsi="仿宋" w:eastAsia="仿宋" w:cs="仿宋"/>
          <w:bCs/>
          <w:color w:val="auto"/>
          <w:szCs w:val="24"/>
        </w:rPr>
        <w:t>。</w:t>
      </w:r>
    </w:p>
    <w:p w14:paraId="7D0DCDC1">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工程预付款扣回的起扣点：从第一次支付进度款时开始扣回。</w:t>
      </w:r>
    </w:p>
    <w:p w14:paraId="1C46EC52">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工程预付款扣回比例：按每次进度款</w:t>
      </w:r>
      <w:r>
        <w:rPr>
          <w:rFonts w:hint="eastAsia" w:ascii="仿宋" w:hAnsi="仿宋" w:eastAsia="仿宋" w:cs="仿宋"/>
          <w:bCs/>
          <w:color w:val="auto"/>
          <w:szCs w:val="24"/>
          <w:lang w:val="en-US" w:eastAsia="zh-CN"/>
        </w:rPr>
        <w:t>5</w:t>
      </w:r>
      <w:r>
        <w:rPr>
          <w:rFonts w:ascii="仿宋" w:hAnsi="仿宋" w:eastAsia="仿宋" w:cs="仿宋"/>
          <w:bCs/>
          <w:color w:val="auto"/>
          <w:szCs w:val="24"/>
        </w:rPr>
        <w:t>0%扣回，支付至签约合同价</w:t>
      </w:r>
      <w:r>
        <w:rPr>
          <w:rFonts w:hint="eastAsia" w:ascii="仿宋" w:hAnsi="仿宋" w:eastAsia="仿宋" w:cs="仿宋"/>
          <w:bCs/>
          <w:color w:val="auto"/>
          <w:szCs w:val="24"/>
        </w:rPr>
        <w:t>60%</w:t>
      </w:r>
      <w:r>
        <w:rPr>
          <w:rFonts w:ascii="仿宋" w:hAnsi="仿宋" w:eastAsia="仿宋" w:cs="仿宋"/>
          <w:bCs/>
          <w:color w:val="auto"/>
          <w:szCs w:val="24"/>
        </w:rPr>
        <w:t>时全部扣完。</w:t>
      </w:r>
    </w:p>
    <w:p w14:paraId="45249206">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发包人有权根据考核情况，调整预付款比例、起扣点和扣回比例，承包人不得因此提出任何索赔和异议。</w:t>
      </w:r>
    </w:p>
    <w:p w14:paraId="06651166">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2</w:t>
      </w:r>
      <w:r>
        <w:rPr>
          <w:rFonts w:hint="eastAsia" w:ascii="仿宋" w:hAnsi="仿宋" w:eastAsia="仿宋" w:cs="仿宋"/>
          <w:bCs/>
          <w:color w:val="auto"/>
          <w:szCs w:val="24"/>
          <w:lang w:val="en-US" w:eastAsia="zh-CN"/>
        </w:rPr>
        <w:t>.</w:t>
      </w:r>
      <w:r>
        <w:rPr>
          <w:rFonts w:ascii="仿宋" w:hAnsi="仿宋" w:eastAsia="仿宋" w:cs="仿宋"/>
          <w:bCs/>
          <w:color w:val="auto"/>
          <w:szCs w:val="24"/>
        </w:rPr>
        <w:t>工程进度款</w:t>
      </w:r>
    </w:p>
    <w:p w14:paraId="2DA3A778">
      <w:pPr>
        <w:pStyle w:val="7"/>
        <w:adjustRightInd w:val="0"/>
        <w:snapToGrid w:val="0"/>
        <w:ind w:firstLine="480"/>
        <w:rPr>
          <w:rFonts w:hint="eastAsia" w:ascii="仿宋" w:hAnsi="仿宋" w:eastAsia="仿宋" w:cs="仿宋"/>
          <w:bCs/>
          <w:color w:val="auto"/>
          <w:szCs w:val="24"/>
        </w:rPr>
      </w:pPr>
      <w:r>
        <w:rPr>
          <w:rFonts w:hint="eastAsia" w:ascii="仿宋" w:hAnsi="仿宋" w:eastAsia="仿宋" w:cs="仿宋"/>
          <w:bCs/>
          <w:color w:val="auto"/>
          <w:szCs w:val="24"/>
        </w:rPr>
        <w:t>施工期间，工程进度款根据承包人的进度按月支付。每月支付当月应付进度款为每月实际合格工程量×</w:t>
      </w:r>
      <w:r>
        <w:rPr>
          <w:rFonts w:hint="eastAsia" w:ascii="仿宋" w:hAnsi="仿宋" w:eastAsia="仿宋" w:cs="仿宋"/>
          <w:bCs/>
          <w:color w:val="auto"/>
          <w:szCs w:val="24"/>
          <w:lang w:val="en-US" w:eastAsia="zh-CN"/>
        </w:rPr>
        <w:t>签约合同单价</w:t>
      </w:r>
      <w:r>
        <w:rPr>
          <w:rFonts w:hint="eastAsia" w:ascii="仿宋" w:hAnsi="仿宋" w:eastAsia="仿宋" w:cs="仿宋"/>
          <w:bCs/>
          <w:color w:val="auto"/>
          <w:szCs w:val="24"/>
        </w:rPr>
        <w:t>×</w:t>
      </w:r>
      <w:r>
        <w:rPr>
          <w:rFonts w:ascii="仿宋" w:hAnsi="仿宋" w:eastAsia="仿宋" w:cs="仿宋"/>
          <w:bCs/>
          <w:color w:val="auto"/>
          <w:szCs w:val="24"/>
        </w:rPr>
        <w:t>85%，累计支付至</w:t>
      </w:r>
      <w:r>
        <w:rPr>
          <w:rFonts w:hint="eastAsia" w:ascii="仿宋" w:hAnsi="仿宋" w:eastAsia="仿宋" w:cs="仿宋"/>
          <w:bCs/>
          <w:color w:val="auto"/>
          <w:szCs w:val="24"/>
          <w:lang w:val="en-US" w:eastAsia="zh-CN"/>
        </w:rPr>
        <w:t>本工程</w:t>
      </w:r>
      <w:r>
        <w:rPr>
          <w:rFonts w:hint="eastAsia" w:ascii="仿宋" w:hAnsi="仿宋" w:eastAsia="仿宋" w:cs="仿宋"/>
          <w:bCs/>
          <w:color w:val="auto"/>
          <w:szCs w:val="24"/>
        </w:rPr>
        <w:t>实际</w:t>
      </w:r>
      <w:r>
        <w:rPr>
          <w:rFonts w:ascii="仿宋" w:hAnsi="仿宋" w:eastAsia="仿宋" w:cs="仿宋"/>
          <w:bCs/>
          <w:color w:val="auto"/>
          <w:szCs w:val="24"/>
        </w:rPr>
        <w:t>合格工程量的85%时，不再支付工程进度款。</w:t>
      </w:r>
      <w:r>
        <w:rPr>
          <w:rFonts w:hint="eastAsia" w:ascii="仿宋" w:hAnsi="仿宋" w:eastAsia="仿宋" w:cs="仿宋"/>
          <w:bCs/>
          <w:color w:val="auto"/>
          <w:szCs w:val="24"/>
        </w:rPr>
        <w:t>弃土场受纳处置费随工程进度款相同比例支付。</w:t>
      </w:r>
    </w:p>
    <w:p w14:paraId="27EC3180">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双方约定工程进度款按如下方式支付：承包人应在每月</w:t>
      </w:r>
      <w:r>
        <w:rPr>
          <w:rFonts w:ascii="仿宋" w:hAnsi="仿宋" w:eastAsia="仿宋" w:cs="仿宋"/>
          <w:bCs/>
          <w:color w:val="auto"/>
          <w:szCs w:val="24"/>
        </w:rPr>
        <w:t>25日按照发包人指定的格式和资料向</w:t>
      </w:r>
      <w:r>
        <w:rPr>
          <w:rFonts w:hint="eastAsia" w:ascii="仿宋" w:hAnsi="仿宋" w:eastAsia="仿宋" w:cs="仿宋"/>
          <w:bCs/>
          <w:color w:val="auto"/>
          <w:szCs w:val="24"/>
        </w:rPr>
        <w:t>监理单位</w:t>
      </w:r>
      <w:r>
        <w:rPr>
          <w:rFonts w:ascii="仿宋" w:hAnsi="仿宋" w:eastAsia="仿宋" w:cs="仿宋"/>
          <w:bCs/>
          <w:color w:val="auto"/>
          <w:szCs w:val="24"/>
        </w:rPr>
        <w:t>及发包人提交工程支付申请表和工程款支付证书及经</w:t>
      </w:r>
      <w:r>
        <w:rPr>
          <w:rFonts w:hint="eastAsia" w:ascii="仿宋" w:hAnsi="仿宋" w:eastAsia="仿宋" w:cs="仿宋"/>
          <w:bCs/>
          <w:color w:val="auto"/>
          <w:szCs w:val="24"/>
        </w:rPr>
        <w:t>监理单位</w:t>
      </w:r>
      <w:r>
        <w:rPr>
          <w:rFonts w:ascii="仿宋" w:hAnsi="仿宋" w:eastAsia="仿宋" w:cs="仿宋"/>
          <w:bCs/>
          <w:color w:val="auto"/>
          <w:szCs w:val="24"/>
        </w:rPr>
        <w:t>、造价咨询单位审核合格的本次计量相关资料一式四份，经发包人审核后，按照建安工程费用及弃土场受纳处置费的审核价（不含变更价款）的85%支付进度款。</w:t>
      </w:r>
    </w:p>
    <w:p w14:paraId="5944A82C">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承包人申请工程进度款支付时，必须提供前个阶段工人工资发放明细表（复印件加盖公章），历次提供的工资表必须连续不间断，否则，发包人将拒绝付款，由此造成的一切后果均由承包人自行承担。</w:t>
      </w:r>
    </w:p>
    <w:p w14:paraId="76E09FDD">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上述期中结算支付方式无法执行时，发承包人双方可根据工程实际情况协商确定期中结算方式。</w:t>
      </w:r>
    </w:p>
    <w:p w14:paraId="42B093E4">
      <w:pPr>
        <w:pStyle w:val="7"/>
        <w:adjustRightInd w:val="0"/>
        <w:snapToGrid w:val="0"/>
        <w:ind w:firstLine="480"/>
        <w:rPr>
          <w:rFonts w:ascii="仿宋" w:hAnsi="仿宋" w:eastAsia="仿宋" w:cs="仿宋"/>
          <w:bCs/>
          <w:color w:val="auto"/>
          <w:szCs w:val="24"/>
        </w:rPr>
      </w:pPr>
      <w:r>
        <w:rPr>
          <w:rFonts w:ascii="仿宋" w:hAnsi="仿宋" w:eastAsia="仿宋" w:cs="仿宋"/>
          <w:bCs/>
          <w:color w:val="auto"/>
          <w:szCs w:val="24"/>
        </w:rPr>
        <w:t>当所有工程进度款（含变更价款）支付至</w:t>
      </w:r>
      <w:r>
        <w:rPr>
          <w:rFonts w:hint="eastAsia" w:ascii="仿宋" w:hAnsi="仿宋" w:eastAsia="仿宋" w:cs="仿宋"/>
          <w:bCs/>
          <w:color w:val="auto"/>
          <w:szCs w:val="24"/>
        </w:rPr>
        <w:t>实际合格工程量</w:t>
      </w:r>
      <w:r>
        <w:rPr>
          <w:rFonts w:ascii="仿宋" w:hAnsi="仿宋" w:eastAsia="仿宋" w:cs="仿宋"/>
          <w:bCs/>
          <w:color w:val="auto"/>
          <w:szCs w:val="24"/>
        </w:rPr>
        <w:t>的85%时（且变更价款支付不得超过相应变更款的65%），暂停支付；</w:t>
      </w:r>
    </w:p>
    <w:p w14:paraId="791D0CF6">
      <w:pPr>
        <w:pStyle w:val="7"/>
        <w:adjustRightInd w:val="0"/>
        <w:snapToGrid w:val="0"/>
        <w:ind w:firstLine="480"/>
        <w:rPr>
          <w:rFonts w:ascii="仿宋" w:hAnsi="仿宋" w:eastAsia="仿宋" w:cs="仿宋"/>
          <w:bCs/>
          <w:color w:val="auto"/>
          <w:szCs w:val="24"/>
        </w:rPr>
      </w:pPr>
      <w:r>
        <w:rPr>
          <w:rFonts w:hint="eastAsia" w:ascii="仿宋" w:hAnsi="仿宋" w:eastAsia="仿宋" w:cs="仿宋"/>
          <w:bCs/>
          <w:color w:val="auto"/>
          <w:szCs w:val="24"/>
        </w:rPr>
        <w:t>3</w:t>
      </w:r>
      <w:r>
        <w:rPr>
          <w:rFonts w:hint="eastAsia" w:ascii="仿宋" w:hAnsi="仿宋" w:eastAsia="仿宋" w:cs="仿宋"/>
          <w:bCs/>
          <w:color w:val="auto"/>
          <w:szCs w:val="24"/>
          <w:lang w:val="en-US" w:eastAsia="zh-CN"/>
        </w:rPr>
        <w:t>.</w:t>
      </w:r>
      <w:r>
        <w:rPr>
          <w:rFonts w:hint="eastAsia" w:ascii="仿宋" w:hAnsi="仿宋" w:eastAsia="仿宋" w:cs="仿宋"/>
          <w:bCs/>
          <w:color w:val="auto"/>
          <w:szCs w:val="24"/>
        </w:rPr>
        <w:t>工程完成完工验收工作，发包人支付至实际合格工程量的</w:t>
      </w:r>
      <w:r>
        <w:rPr>
          <w:rFonts w:ascii="仿宋" w:hAnsi="仿宋" w:eastAsia="仿宋" w:cs="仿宋"/>
          <w:bCs/>
          <w:color w:val="auto"/>
          <w:szCs w:val="24"/>
        </w:rPr>
        <w:t>88%</w:t>
      </w:r>
      <w:r>
        <w:rPr>
          <w:rFonts w:hint="eastAsia" w:ascii="仿宋" w:hAnsi="仿宋" w:eastAsia="仿宋" w:cs="仿宋"/>
          <w:bCs/>
          <w:color w:val="auto"/>
          <w:szCs w:val="24"/>
        </w:rPr>
        <w:t>，且不得高于实际完成合格工程量的88%。</w:t>
      </w:r>
    </w:p>
    <w:p w14:paraId="5C600BF2">
      <w:pPr>
        <w:pStyle w:val="7"/>
        <w:adjustRightInd w:val="0"/>
        <w:snapToGrid w:val="0"/>
        <w:ind w:firstLine="480"/>
        <w:rPr>
          <w:rFonts w:hint="eastAsia" w:ascii="仿宋" w:hAnsi="仿宋" w:eastAsia="仿宋" w:cs="仿宋"/>
          <w:color w:val="auto"/>
          <w:kern w:val="0"/>
          <w:szCs w:val="21"/>
        </w:rPr>
      </w:pPr>
      <w:r>
        <w:rPr>
          <w:rFonts w:hint="eastAsia" w:ascii="仿宋" w:hAnsi="仿宋" w:eastAsia="仿宋" w:cs="仿宋"/>
          <w:color w:val="auto"/>
          <w:kern w:val="0"/>
          <w:szCs w:val="21"/>
        </w:rPr>
        <w:t>4、合同完工验收后，发包人收到承包人按要求整理的4</w:t>
      </w:r>
      <w:r>
        <w:rPr>
          <w:rFonts w:ascii="仿宋" w:hAnsi="仿宋" w:eastAsia="仿宋" w:cs="仿宋"/>
          <w:color w:val="auto"/>
          <w:kern w:val="0"/>
          <w:szCs w:val="21"/>
        </w:rPr>
        <w:t>套完整的工程结算资料，</w:t>
      </w:r>
      <w:r>
        <w:rPr>
          <w:rFonts w:hint="eastAsia" w:ascii="仿宋" w:hAnsi="仿宋" w:eastAsia="仿宋" w:cs="仿宋"/>
          <w:color w:val="auto"/>
          <w:kern w:val="0"/>
          <w:szCs w:val="21"/>
        </w:rPr>
        <w:t>工程结算经发包人审核完成后，发包人支付至</w:t>
      </w:r>
      <w:r>
        <w:rPr>
          <w:rFonts w:hint="eastAsia" w:ascii="仿宋" w:hAnsi="仿宋" w:eastAsia="仿宋" w:cs="仿宋"/>
          <w:bCs/>
          <w:color w:val="auto"/>
          <w:szCs w:val="24"/>
        </w:rPr>
        <w:t>实际合格工程量</w:t>
      </w:r>
      <w:r>
        <w:rPr>
          <w:rFonts w:hint="eastAsia" w:ascii="仿宋" w:hAnsi="仿宋" w:eastAsia="仿宋" w:cs="仿宋"/>
          <w:color w:val="auto"/>
          <w:kern w:val="0"/>
          <w:szCs w:val="21"/>
        </w:rPr>
        <w:t>的</w:t>
      </w:r>
      <w:r>
        <w:rPr>
          <w:rFonts w:ascii="仿宋" w:hAnsi="仿宋" w:eastAsia="仿宋" w:cs="仿宋"/>
          <w:color w:val="auto"/>
          <w:kern w:val="0"/>
          <w:szCs w:val="21"/>
        </w:rPr>
        <w:t>9</w:t>
      </w:r>
      <w:r>
        <w:rPr>
          <w:rFonts w:hint="eastAsia" w:ascii="仿宋" w:hAnsi="仿宋" w:eastAsia="仿宋" w:cs="仿宋"/>
          <w:color w:val="auto"/>
          <w:kern w:val="0"/>
          <w:szCs w:val="21"/>
        </w:rPr>
        <w:t>0</w:t>
      </w:r>
      <w:r>
        <w:rPr>
          <w:rFonts w:ascii="仿宋" w:hAnsi="仿宋" w:eastAsia="仿宋" w:cs="仿宋"/>
          <w:color w:val="auto"/>
          <w:kern w:val="0"/>
          <w:szCs w:val="21"/>
        </w:rPr>
        <w:t>%及发包人审核结算价的9</w:t>
      </w:r>
      <w:r>
        <w:rPr>
          <w:rFonts w:hint="eastAsia" w:ascii="仿宋" w:hAnsi="仿宋" w:eastAsia="仿宋" w:cs="仿宋"/>
          <w:color w:val="auto"/>
          <w:kern w:val="0"/>
          <w:szCs w:val="21"/>
        </w:rPr>
        <w:t>0</w:t>
      </w:r>
      <w:r>
        <w:rPr>
          <w:rFonts w:ascii="仿宋" w:hAnsi="仿宋" w:eastAsia="仿宋" w:cs="仿宋"/>
          <w:color w:val="auto"/>
          <w:kern w:val="0"/>
          <w:szCs w:val="21"/>
        </w:rPr>
        <w:t>%两者中较低者（且变更价款支付不得超过相应变更款的65%）；</w:t>
      </w:r>
    </w:p>
    <w:p w14:paraId="605E2C93">
      <w:pPr>
        <w:pStyle w:val="7"/>
        <w:adjustRightInd w:val="0"/>
        <w:snapToGrid w:val="0"/>
        <w:ind w:firstLine="480"/>
        <w:rPr>
          <w:rFonts w:ascii="仿宋" w:hAnsi="仿宋" w:eastAsia="仿宋" w:cs="仿宋"/>
          <w:color w:val="auto"/>
          <w:kern w:val="0"/>
          <w:szCs w:val="21"/>
        </w:rPr>
      </w:pPr>
      <w:r>
        <w:rPr>
          <w:rFonts w:hint="eastAsia" w:ascii="仿宋" w:hAnsi="仿宋" w:eastAsia="仿宋" w:cs="仿宋"/>
          <w:color w:val="auto"/>
          <w:kern w:val="0"/>
          <w:szCs w:val="21"/>
        </w:rPr>
        <w:t>5</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rPr>
        <w:t>余款待按照政府相关程序审定最终结算价后</w:t>
      </w:r>
      <w:r>
        <w:rPr>
          <w:rFonts w:ascii="仿宋" w:hAnsi="仿宋" w:eastAsia="仿宋" w:cs="仿宋"/>
          <w:color w:val="auto"/>
          <w:kern w:val="0"/>
          <w:szCs w:val="21"/>
        </w:rPr>
        <w:t>14个工作日内，发包人将按最终结算价余款，按照约定扣留3%的工程质量缺陷保修金后，将应付的余款一次性支付给承包人。</w:t>
      </w:r>
    </w:p>
    <w:p w14:paraId="5763B889">
      <w:pPr>
        <w:pStyle w:val="7"/>
        <w:adjustRightInd w:val="0"/>
        <w:snapToGrid w:val="0"/>
        <w:ind w:firstLine="480"/>
        <w:rPr>
          <w:rFonts w:ascii="仿宋" w:hAnsi="仿宋" w:eastAsia="仿宋" w:cs="仿宋"/>
          <w:color w:val="auto"/>
          <w:kern w:val="0"/>
          <w:szCs w:val="21"/>
        </w:rPr>
      </w:pPr>
      <w:r>
        <w:rPr>
          <w:rFonts w:ascii="仿宋" w:hAnsi="仿宋" w:eastAsia="仿宋" w:cs="仿宋"/>
          <w:color w:val="auto"/>
          <w:kern w:val="0"/>
          <w:szCs w:val="21"/>
        </w:rPr>
        <w:t>因本项目属政府投资，费用最终由龙岗区财政部门支付，因此，表中约定的支付时间只指发包人完成审批的期限。因政府其他部门核批导致付款延迟的，承包人不得因此要求发包人承担相关责任。承包人有义务提供相关付款申请的凭证，因承包人提供的资料不齐全或不及时导致付款延迟的，概由承包人自行承担。</w:t>
      </w:r>
    </w:p>
    <w:p w14:paraId="59EB527A">
      <w:pPr>
        <w:pStyle w:val="7"/>
        <w:adjustRightInd w:val="0"/>
        <w:snapToGrid w:val="0"/>
        <w:ind w:firstLine="48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根据《深圳市水务局关于抓紧抓实抓细水务工程建设单位质量安全首要责任进一步加强水务工程建设管理的通知》（2022年），承包人每季度应至少向发包人提供一份详细的工程款流水明细资料，流水明细资料要满足财务审计需求。发包人可以核查承包人相关项目工程款资金流向和分包支付凭证。</w:t>
      </w:r>
    </w:p>
    <w:p w14:paraId="7CEADA82">
      <w:pPr>
        <w:pStyle w:val="7"/>
        <w:numPr>
          <w:ilvl w:val="0"/>
          <w:numId w:val="2"/>
        </w:numPr>
        <w:adjustRightInd w:val="0"/>
        <w:snapToGrid w:val="0"/>
        <w:ind w:firstLine="480"/>
        <w:rPr>
          <w:rFonts w:hint="eastAsia" w:ascii="仿宋" w:hAnsi="仿宋" w:eastAsia="仿宋" w:cs="仿宋"/>
          <w:color w:val="auto"/>
          <w:kern w:val="0"/>
          <w:szCs w:val="21"/>
        </w:rPr>
      </w:pPr>
      <w:r>
        <w:rPr>
          <w:rFonts w:hint="eastAsia" w:ascii="仿宋" w:hAnsi="仿宋" w:eastAsia="仿宋" w:cs="仿宋"/>
          <w:color w:val="auto"/>
          <w:kern w:val="0"/>
          <w:szCs w:val="21"/>
        </w:rPr>
        <w:t>工人工资支付</w:t>
      </w:r>
    </w:p>
    <w:p w14:paraId="4B20B91F">
      <w:pPr>
        <w:pStyle w:val="7"/>
        <w:adjustRightInd w:val="0"/>
        <w:snapToGrid w:val="0"/>
        <w:ind w:firstLine="480"/>
        <w:rPr>
          <w:rFonts w:ascii="仿宋" w:hAnsi="仿宋" w:eastAsia="仿宋" w:cs="仿宋"/>
          <w:color w:val="auto"/>
          <w:kern w:val="0"/>
          <w:szCs w:val="21"/>
        </w:rPr>
      </w:pPr>
      <w:r>
        <w:rPr>
          <w:rFonts w:ascii="仿宋" w:hAnsi="仿宋" w:eastAsia="仿宋" w:cs="仿宋"/>
          <w:color w:val="auto"/>
          <w:kern w:val="0"/>
          <w:szCs w:val="21"/>
        </w:rPr>
        <w:t>本工程签约合同价中工人工资款比例为：13%。（房屋建筑工程占比一般为18%以上，市政工程占比一般为13%以上）</w:t>
      </w:r>
    </w:p>
    <w:p w14:paraId="6DB80D03">
      <w:pPr>
        <w:pStyle w:val="7"/>
        <w:adjustRightInd w:val="0"/>
        <w:snapToGrid w:val="0"/>
        <w:ind w:firstLine="480"/>
        <w:rPr>
          <w:rFonts w:ascii="仿宋" w:hAnsi="仿宋" w:eastAsia="仿宋" w:cs="仿宋"/>
          <w:color w:val="auto"/>
          <w:kern w:val="0"/>
          <w:szCs w:val="21"/>
        </w:rPr>
      </w:pPr>
      <w:r>
        <w:rPr>
          <w:rFonts w:ascii="仿宋" w:hAnsi="仿宋" w:eastAsia="仿宋" w:cs="仿宋"/>
          <w:color w:val="auto"/>
          <w:kern w:val="0"/>
          <w:szCs w:val="21"/>
        </w:rPr>
        <w:t>发包人和承包人应结合项目实际，合理确定上述比例。</w:t>
      </w:r>
    </w:p>
    <w:p w14:paraId="57CF2887">
      <w:pPr>
        <w:pStyle w:val="7"/>
        <w:adjustRightInd w:val="0"/>
        <w:snapToGrid w:val="0"/>
        <w:ind w:firstLine="480"/>
        <w:rPr>
          <w:rFonts w:ascii="仿宋" w:hAnsi="仿宋" w:eastAsia="仿宋" w:cs="仿宋"/>
          <w:color w:val="auto"/>
          <w:kern w:val="0"/>
          <w:szCs w:val="21"/>
        </w:rPr>
      </w:pPr>
      <w:r>
        <w:rPr>
          <w:rFonts w:ascii="仿宋" w:hAnsi="仿宋" w:eastAsia="仿宋" w:cs="仿宋"/>
          <w:color w:val="auto"/>
          <w:kern w:val="0"/>
          <w:szCs w:val="21"/>
        </w:rPr>
        <w:t>在特殊情况下，如因非承包人原因导致按上述比例不足以满足本工程工人工资足额发放的，双方可以协商调整上述比例，具体调整方式为：不足部分先从每月工程进度款中扣除，按现场实际考勤工人人数发放工资。</w:t>
      </w:r>
    </w:p>
    <w:p w14:paraId="7330DE6D">
      <w:pPr>
        <w:pStyle w:val="7"/>
        <w:adjustRightInd w:val="0"/>
        <w:snapToGrid w:val="0"/>
        <w:ind w:firstLine="482"/>
        <w:rPr>
          <w:rFonts w:hint="eastAsia" w:ascii="仿宋" w:hAnsi="仿宋" w:eastAsia="仿宋" w:cs="仿宋"/>
          <w:color w:val="auto"/>
          <w:szCs w:val="24"/>
          <w:lang w:bidi="en-US"/>
        </w:rPr>
      </w:pPr>
      <w:r>
        <w:rPr>
          <w:rFonts w:hint="eastAsia" w:ascii="仿宋" w:hAnsi="仿宋" w:eastAsia="仿宋" w:cs="仿宋"/>
          <w:color w:val="auto"/>
          <w:szCs w:val="24"/>
          <w:lang w:bidi="en-US"/>
        </w:rPr>
        <w:t>（三）工程保险费支付条款</w:t>
      </w:r>
    </w:p>
    <w:p w14:paraId="092588F9">
      <w:pPr>
        <w:pStyle w:val="7"/>
        <w:adjustRightInd w:val="0"/>
        <w:snapToGrid w:val="0"/>
        <w:ind w:firstLine="482"/>
        <w:rPr>
          <w:rFonts w:hint="eastAsia" w:ascii="仿宋" w:hAnsi="仿宋" w:eastAsia="仿宋" w:cs="仿宋"/>
          <w:color w:val="auto"/>
          <w:szCs w:val="24"/>
          <w:lang w:bidi="en-US"/>
        </w:rPr>
      </w:pPr>
      <w:r>
        <w:rPr>
          <w:rFonts w:hint="eastAsia" w:ascii="仿宋" w:hAnsi="仿宋" w:eastAsia="仿宋" w:cs="仿宋"/>
          <w:color w:val="auto"/>
          <w:szCs w:val="24"/>
          <w:lang w:bidi="en-US"/>
        </w:rPr>
        <w:t>承包人与保险公司签订合同后，按相关规定提供保险合同及相关凭证文件报发包人备案后支付，且最高不得超过概算批复中相关费用金额。</w:t>
      </w:r>
    </w:p>
    <w:p w14:paraId="1BB51646">
      <w:pPr>
        <w:pStyle w:val="7"/>
        <w:numPr>
          <w:ilvl w:val="0"/>
          <w:numId w:val="1"/>
        </w:numPr>
        <w:adjustRightInd w:val="0"/>
        <w:snapToGrid w:val="0"/>
        <w:ind w:left="0" w:leftChars="0" w:firstLine="482" w:firstLineChars="200"/>
        <w:rPr>
          <w:rFonts w:hint="eastAsia" w:ascii="仿宋" w:hAnsi="仿宋" w:eastAsia="仿宋" w:cs="仿宋"/>
          <w:b/>
          <w:color w:val="auto"/>
          <w:szCs w:val="24"/>
        </w:rPr>
      </w:pPr>
      <w:r>
        <w:rPr>
          <w:rFonts w:hint="eastAsia" w:ascii="仿宋" w:hAnsi="仿宋" w:eastAsia="仿宋" w:cs="仿宋"/>
          <w:b/>
          <w:color w:val="auto"/>
          <w:szCs w:val="24"/>
        </w:rPr>
        <w:t>合同结算原则</w:t>
      </w:r>
    </w:p>
    <w:p w14:paraId="46BBACD8">
      <w:pPr>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（一）工程费用结算原则：</w:t>
      </w:r>
    </w:p>
    <w:p w14:paraId="0A34451F">
      <w:pPr>
        <w:pStyle w:val="7"/>
        <w:widowControl w:val="0"/>
        <w:numPr>
          <w:ilvl w:val="0"/>
          <w:numId w:val="0"/>
        </w:numPr>
        <w:adjustRightInd w:val="0"/>
        <w:snapToGrid w:val="0"/>
        <w:spacing w:line="360" w:lineRule="auto"/>
        <w:ind w:firstLine="480" w:firstLineChars="200"/>
        <w:jc w:val="both"/>
        <w:rPr>
          <w:rFonts w:hint="eastAsia" w:ascii="仿宋" w:hAnsi="仿宋" w:eastAsia="仿宋" w:cs="仿宋"/>
          <w:b w:val="0"/>
          <w:bCs/>
          <w:color w:val="auto"/>
          <w:szCs w:val="24"/>
        </w:rPr>
      </w:pPr>
      <w:r>
        <w:rPr>
          <w:rFonts w:hint="eastAsia" w:ascii="仿宋" w:hAnsi="仿宋" w:eastAsia="仿宋" w:cs="仿宋"/>
          <w:b w:val="0"/>
          <w:bCs/>
          <w:color w:val="auto"/>
          <w:szCs w:val="24"/>
        </w:rPr>
        <w:t>1</w:t>
      </w:r>
      <w:r>
        <w:rPr>
          <w:rFonts w:hint="eastAsia" w:ascii="仿宋" w:hAnsi="仿宋" w:eastAsia="仿宋" w:cs="仿宋"/>
          <w:b w:val="0"/>
          <w:bCs/>
          <w:color w:val="auto"/>
          <w:szCs w:val="24"/>
          <w:lang w:val="en-US" w:eastAsia="zh-CN"/>
        </w:rPr>
        <w:t>.</w:t>
      </w:r>
      <w:r>
        <w:rPr>
          <w:rFonts w:hint="eastAsia" w:ascii="仿宋" w:hAnsi="仿宋" w:eastAsia="仿宋" w:cs="仿宋"/>
          <w:b w:val="0"/>
          <w:bCs/>
          <w:color w:val="auto"/>
          <w:szCs w:val="24"/>
        </w:rPr>
        <w:t>本工程采用固定单价合同。结算价＝合同内部分（不含：暂列金额）+工程变更+工程工料机调差+其它（如有）等。说明如下：</w:t>
      </w:r>
    </w:p>
    <w:p w14:paraId="005DB043">
      <w:pPr>
        <w:pStyle w:val="7"/>
        <w:widowControl w:val="0"/>
        <w:numPr>
          <w:ilvl w:val="0"/>
          <w:numId w:val="0"/>
        </w:numPr>
        <w:adjustRightInd w:val="0"/>
        <w:snapToGrid w:val="0"/>
        <w:spacing w:line="360" w:lineRule="auto"/>
        <w:ind w:firstLine="480" w:firstLineChars="200"/>
        <w:jc w:val="both"/>
        <w:rPr>
          <w:rFonts w:hint="eastAsia" w:ascii="仿宋" w:hAnsi="仿宋" w:eastAsia="仿宋" w:cs="仿宋"/>
          <w:b w:val="0"/>
          <w:bCs/>
          <w:color w:val="auto"/>
          <w:szCs w:val="24"/>
        </w:rPr>
      </w:pPr>
      <w:r>
        <w:rPr>
          <w:rFonts w:hint="eastAsia" w:ascii="仿宋" w:hAnsi="仿宋" w:eastAsia="仿宋" w:cs="仿宋"/>
          <w:b w:val="0"/>
          <w:bCs/>
          <w:color w:val="auto"/>
          <w:szCs w:val="24"/>
        </w:rPr>
        <w:t>合同内部分：按招标版施工图计算工程量</w:t>
      </w:r>
      <w:r>
        <w:rPr>
          <w:rFonts w:hint="eastAsia" w:ascii="仿宋" w:hAnsi="仿宋" w:eastAsia="仿宋" w:cs="仿宋"/>
          <w:b w:val="0"/>
          <w:bCs/>
          <w:color w:val="auto"/>
          <w:szCs w:val="24"/>
          <w:lang w:eastAsia="zh-CN"/>
        </w:rPr>
        <w:t>（</w:t>
      </w:r>
      <w:r>
        <w:rPr>
          <w:rFonts w:hint="eastAsia" w:ascii="仿宋" w:hAnsi="仿宋" w:eastAsia="仿宋" w:cs="仿宋"/>
          <w:b w:val="0"/>
          <w:bCs/>
          <w:color w:val="auto"/>
          <w:szCs w:val="24"/>
        </w:rPr>
        <w:t>包括对比招标工程量清单的多计少计、缺漏碰项</w:t>
      </w:r>
      <w:r>
        <w:rPr>
          <w:rFonts w:hint="eastAsia" w:ascii="仿宋" w:hAnsi="仿宋" w:eastAsia="仿宋" w:cs="仿宋"/>
          <w:b w:val="0"/>
          <w:bCs/>
          <w:color w:val="auto"/>
          <w:szCs w:val="24"/>
          <w:lang w:eastAsia="zh-CN"/>
        </w:rPr>
        <w:t>）</w:t>
      </w:r>
      <w:r>
        <w:rPr>
          <w:rFonts w:hint="eastAsia" w:ascii="仿宋" w:hAnsi="仿宋" w:eastAsia="仿宋" w:cs="仿宋"/>
          <w:b w:val="0"/>
          <w:bCs/>
          <w:color w:val="auto"/>
          <w:szCs w:val="24"/>
        </w:rPr>
        <w:t>和投标单价计算得出合同价部分，招标清单的多计少计、缺漏项仅限于分部分项工程中的清单项，清单综合单价为固定单价，除不平衡报价修正外，结算时不作调整。新增单价的计价原则按</w:t>
      </w:r>
      <w:r>
        <w:rPr>
          <w:rFonts w:hint="eastAsia" w:ascii="仿宋" w:hAnsi="仿宋" w:eastAsia="仿宋" w:cs="仿宋"/>
          <w:b w:val="0"/>
          <w:bCs/>
          <w:color w:val="auto"/>
          <w:szCs w:val="24"/>
          <w:lang w:val="en-US" w:eastAsia="zh-CN"/>
        </w:rPr>
        <w:t>招标控制价编制方式乘以中标下浮率</w:t>
      </w:r>
      <w:r>
        <w:rPr>
          <w:rFonts w:hint="eastAsia" w:ascii="仿宋" w:hAnsi="仿宋" w:eastAsia="仿宋" w:cs="仿宋"/>
          <w:b w:val="0"/>
          <w:bCs/>
          <w:color w:val="auto"/>
          <w:szCs w:val="24"/>
          <w:lang w:val="zh-CN"/>
        </w:rPr>
        <w:t>确定。</w:t>
      </w:r>
    </w:p>
    <w:p w14:paraId="37FEC91A">
      <w:pPr>
        <w:pStyle w:val="7"/>
        <w:widowControl w:val="0"/>
        <w:numPr>
          <w:ilvl w:val="0"/>
          <w:numId w:val="0"/>
        </w:numPr>
        <w:adjustRightInd w:val="0"/>
        <w:snapToGrid w:val="0"/>
        <w:spacing w:line="360" w:lineRule="auto"/>
        <w:ind w:firstLine="480"/>
        <w:jc w:val="both"/>
        <w:rPr>
          <w:rFonts w:hint="eastAsia" w:ascii="仿宋" w:hAnsi="仿宋" w:eastAsia="仿宋" w:cs="仿宋"/>
          <w:b/>
          <w:color w:val="auto"/>
          <w:szCs w:val="24"/>
        </w:rPr>
      </w:pPr>
      <w:r>
        <w:rPr>
          <w:rFonts w:hint="eastAsia" w:ascii="仿宋" w:hAnsi="仿宋" w:eastAsia="仿宋" w:cs="仿宋"/>
          <w:b w:val="0"/>
          <w:bCs/>
          <w:color w:val="auto"/>
          <w:szCs w:val="24"/>
        </w:rPr>
        <w:t>分部分项工程量清单存在多计少计及缺漏碰项的，除合同另有约定外，所涉及的措施费只计取</w:t>
      </w:r>
      <w:r>
        <w:rPr>
          <w:rFonts w:hint="eastAsia" w:ascii="仿宋" w:hAnsi="仿宋" w:eastAsia="仿宋" w:cs="仿宋"/>
          <w:color w:val="auto"/>
          <w:sz w:val="24"/>
          <w:szCs w:val="24"/>
          <w:lang w:eastAsia="zh-CN"/>
        </w:rPr>
        <w:t>按清单列项的</w:t>
      </w:r>
      <w:r>
        <w:rPr>
          <w:rFonts w:hint="eastAsia" w:ascii="仿宋" w:hAnsi="仿宋" w:eastAsia="仿宋" w:cs="仿宋"/>
          <w:b w:val="0"/>
          <w:bCs/>
          <w:color w:val="auto"/>
          <w:szCs w:val="24"/>
        </w:rPr>
        <w:t>安全文明措施费（不下浮）和按单价计算的措施项目费用（按中标净下浮率下浮），不计取按总价（或系数、项）计算的措施项目费用和</w:t>
      </w:r>
      <w:r>
        <w:rPr>
          <w:rFonts w:hint="eastAsia" w:ascii="仿宋" w:hAnsi="仿宋" w:eastAsia="仿宋" w:cs="仿宋"/>
          <w:color w:val="auto"/>
          <w:sz w:val="24"/>
          <w:szCs w:val="24"/>
        </w:rPr>
        <w:t>二次搬运费、大型机械设备进出场及安拆费、施工排水（降水）费、垂直运输机械费、专业工程措施项目费等</w:t>
      </w:r>
      <w:r>
        <w:rPr>
          <w:rFonts w:hint="eastAsia" w:ascii="仿宋" w:hAnsi="仿宋" w:eastAsia="仿宋" w:cs="仿宋"/>
          <w:b w:val="0"/>
          <w:bCs/>
          <w:color w:val="auto"/>
          <w:szCs w:val="24"/>
        </w:rPr>
        <w:t>。</w:t>
      </w:r>
    </w:p>
    <w:p w14:paraId="5F51F677">
      <w:pPr>
        <w:pStyle w:val="7"/>
        <w:adjustRightInd w:val="0"/>
        <w:snapToGrid w:val="0"/>
        <w:ind w:firstLine="480"/>
        <w:rPr>
          <w:rFonts w:ascii="仿宋" w:hAnsi="仿宋" w:eastAsia="仿宋" w:cs="仿宋"/>
          <w:color w:val="auto"/>
          <w:sz w:val="24"/>
          <w:szCs w:val="24"/>
        </w:rPr>
      </w:pPr>
      <w:r>
        <w:rPr>
          <w:rFonts w:hint="eastAsia" w:ascii="仿宋" w:hAnsi="仿宋" w:eastAsia="仿宋" w:cs="仿宋"/>
          <w:bCs/>
          <w:color w:val="auto"/>
          <w:szCs w:val="24"/>
        </w:rPr>
        <w:t>本工程最终结算价以政府规定的审定程序审定结果作为项目价款结算的依据，以与承包范围对应的概算批复金额为本工程结算上限</w:t>
      </w:r>
      <w:r>
        <w:rPr>
          <w:rFonts w:ascii="仿宋" w:hAnsi="仿宋" w:eastAsia="仿宋" w:cs="仿宋"/>
          <w:bCs/>
          <w:color w:val="auto"/>
          <w:szCs w:val="24"/>
        </w:rPr>
        <w:t>。</w:t>
      </w:r>
      <w:r>
        <w:rPr>
          <w:rFonts w:hint="eastAsia" w:ascii="仿宋" w:hAnsi="仿宋" w:eastAsia="仿宋" w:cs="仿宋"/>
          <w:color w:val="auto"/>
          <w:sz w:val="24"/>
          <w:szCs w:val="24"/>
        </w:rPr>
        <w:t>最终以政府规定的审定程序审定结果作为项目价款结算的依据。</w:t>
      </w:r>
    </w:p>
    <w:p w14:paraId="2ACA5D78">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因政府原因（如规划、政策）引起建设规模的调整或暂缓实施部分工程的，或本合同中途解除的，则按实际已完工程量及实际发生的措施项目结算，承包人不得因上述调整而向发包人要求任何其他经济上的索赔，承包人在投标报价中已充分考虑该风险。</w:t>
      </w:r>
    </w:p>
    <w:p w14:paraId="0FA9FEAC">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由于承包人原因引起的赔偿、行政罚款、工程费用的增加由承包人承担，合同结算价不因此调整。</w:t>
      </w:r>
    </w:p>
    <w:p w14:paraId="6F4834DC">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措施项目费用结算原则</w:t>
      </w:r>
    </w:p>
    <w:p w14:paraId="24D94019">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措施项目费中，承包人在投标报价中应充分考虑模板及支架、脚手架后期实际施工中采用的施工工艺及材料可能会出现与本项目采用的定额标准中相关定额子目不符的情况，承包人应结合本工程后期施工情况在投标报价时给予充分考虑，单价不予调整，工程量按实结算。其他措施项目费用包括但不限于：履约担保手续费、夜间施工费、赶工措施费、冬雨季施工费、已完工程及设备保护费、地上地下设施及建筑物的临时保护费、二次搬运费、大型机械设备进出场及安拆费、施工排水（降水）费、垂直运输机械费、专业工程措施项目费等，由投标人在投标报价中综合考虑，结算时不做任何调整。特别说明：其余措施项目费用如未单列在措施项目中的，视为已由承包人在投标报价中综合考虑，费用自行承担，结算不予调整。</w:t>
      </w:r>
    </w:p>
    <w:p w14:paraId="23A58778">
      <w:pPr>
        <w:widowControl/>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）安全文明措施费</w:t>
      </w:r>
    </w:p>
    <w:p w14:paraId="030A18D4">
      <w:pPr>
        <w:widowControl/>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以费率计费的安全文明措施费用、产业工人职业训练专项经费，按中标金额包干结算。</w:t>
      </w:r>
    </w:p>
    <w:p w14:paraId="51A9DC41">
      <w:pPr>
        <w:widowControl/>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按清单列项的安全文明措施费用，</w:t>
      </w:r>
      <w:r>
        <w:rPr>
          <w:rFonts w:hint="eastAsia" w:ascii="仿宋" w:hAnsi="仿宋" w:eastAsia="仿宋" w:cs="仿宋"/>
          <w:color w:val="auto"/>
          <w:sz w:val="24"/>
          <w:szCs w:val="24"/>
          <w:highlight w:val="none"/>
          <w:lang w:eastAsia="zh-CN"/>
        </w:rPr>
        <w:t>合同单价不变，</w:t>
      </w:r>
      <w:r>
        <w:rPr>
          <w:rFonts w:hint="eastAsia" w:ascii="仿宋" w:hAnsi="仿宋" w:eastAsia="仿宋" w:cs="仿宋"/>
          <w:color w:val="auto"/>
          <w:sz w:val="24"/>
          <w:szCs w:val="24"/>
          <w:lang w:eastAsia="zh-CN"/>
        </w:rPr>
        <w:t>包括施工区与外部环境隔离的临时围挡（装配式钢结构围挡、PVC围挡、铁马、水马）；场地硬化；施工区裸土覆盖；施工区临时排水沟、施工区临时集水井等，以现场确认的工程量按实结算。</w:t>
      </w:r>
    </w:p>
    <w:p w14:paraId="525F1CEC">
      <w:pPr>
        <w:widowControl/>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安全文明措施费均不下浮。上述安全文明措施费总和不超过</w:t>
      </w:r>
      <w:r>
        <w:rPr>
          <w:rFonts w:hint="eastAsia" w:ascii="仿宋" w:hAnsi="仿宋" w:eastAsia="仿宋" w:cs="仿宋"/>
          <w:color w:val="auto"/>
          <w:sz w:val="24"/>
          <w:szCs w:val="24"/>
          <w:lang w:val="en-US" w:eastAsia="zh-CN"/>
        </w:rPr>
        <w:t>招标控制价</w:t>
      </w:r>
      <w:r>
        <w:rPr>
          <w:rFonts w:hint="eastAsia" w:ascii="仿宋" w:hAnsi="仿宋" w:eastAsia="仿宋" w:cs="仿宋"/>
          <w:color w:val="auto"/>
          <w:sz w:val="24"/>
          <w:szCs w:val="24"/>
          <w:lang w:eastAsia="zh-CN"/>
        </w:rPr>
        <w:t>及中标价</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lang w:eastAsia="zh-CN"/>
        </w:rPr>
        <w:t>者所对应的安全文明措施费的低值。</w:t>
      </w:r>
    </w:p>
    <w:p w14:paraId="5D4A7948">
      <w:pPr>
        <w:pStyle w:val="9"/>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本工程土石方开挖按机械开挖计算，如遇现状管线可视情况考虑人工开挖，并以</w:t>
      </w:r>
      <w:r>
        <w:rPr>
          <w:rFonts w:hint="eastAsia" w:ascii="仿宋" w:hAnsi="仿宋" w:eastAsia="仿宋" w:cs="仿宋"/>
          <w:bCs/>
          <w:color w:val="auto"/>
          <w:sz w:val="24"/>
          <w:szCs w:val="24"/>
        </w:rPr>
        <w:t>监理工程师</w:t>
      </w:r>
      <w:r>
        <w:rPr>
          <w:rFonts w:hint="eastAsia" w:ascii="仿宋" w:hAnsi="仿宋" w:eastAsia="仿宋" w:cs="仿宋"/>
          <w:color w:val="auto"/>
          <w:sz w:val="24"/>
          <w:szCs w:val="24"/>
        </w:rPr>
        <w:t>确认为准。</w:t>
      </w:r>
    </w:p>
    <w:p w14:paraId="4F243F18">
      <w:pPr>
        <w:pStyle w:val="9"/>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土石方比例不予考虑，均按三类土计算，施工进场时，承包人对土方量有争议的，以发包人委托的第三方测量单位对原始地面标高土石方数量进行测量，测量结果作为结算时土方量的计量依据，结算时按实际发生工程量结算。</w:t>
      </w:r>
    </w:p>
    <w:p w14:paraId="2A20D89E">
      <w:pPr>
        <w:pStyle w:val="9"/>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承包人进场后就应立即对用地红线范围内场地负有看管义务，若在承包人进场后仍无故新增土方、建筑垃圾及生活垃圾等，均视为承包人看管不力，一切责任和后果均应由承包人承担，结算时不做任何调整。</w:t>
      </w:r>
    </w:p>
    <w:p w14:paraId="3ADB9768">
      <w:pPr>
        <w:pStyle w:val="9"/>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bCs/>
          <w:color w:val="auto"/>
          <w:sz w:val="24"/>
          <w:szCs w:val="24"/>
        </w:rPr>
        <w:t>厂拌水泥碎石混合料、厂拌水泥石粉渣混合料</w:t>
      </w:r>
      <w:r>
        <w:rPr>
          <w:rFonts w:hint="eastAsia" w:ascii="仿宋" w:hAnsi="仿宋" w:eastAsia="仿宋" w:cs="仿宋"/>
          <w:color w:val="auto"/>
          <w:sz w:val="24"/>
          <w:szCs w:val="24"/>
        </w:rPr>
        <w:t>运距按</w:t>
      </w:r>
      <w:r>
        <w:rPr>
          <w:rFonts w:ascii="仿宋" w:hAnsi="仿宋" w:eastAsia="仿宋" w:cs="仿宋"/>
          <w:color w:val="auto"/>
          <w:sz w:val="24"/>
          <w:szCs w:val="24"/>
        </w:rPr>
        <w:t>5km包干计算，结算单价不因施工中的实际运距变化而作任何调整。</w:t>
      </w:r>
    </w:p>
    <w:p w14:paraId="11AC39EB">
      <w:pPr>
        <w:widowControl/>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本工程因任何原因引起的原合同范围内工程项目调整（包括但不限于工程量调整、设计变更等），承包人必须无条件接受发包人指令，并严格按发包人要求施工。因此而产生的工程造价调整按如下方式确定：发包人取消的项目造价在签约合同价中直接扣除，新增项目单价按照合同约定的方式确定，工程量据实结算。承包人不得因项目调整提出其他任何形式的索赔。</w:t>
      </w:r>
    </w:p>
    <w:p w14:paraId="04DEBC87">
      <w:pPr>
        <w:widowControl/>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承包人应承担并支付为获得本合同工程所需的石料、砂、砾石、黏土或其他当地材料等所发生的料场使用费及其他开支或补偿费，该费用承包人已在投标报价中综合考虑，发包人不另行支付。</w:t>
      </w:r>
    </w:p>
    <w:p w14:paraId="7855B928">
      <w:pPr>
        <w:widowControl/>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交通疏解工程必须严格按照设计图纸及交警部门审核的交通疏解方案实施，并以批准的交通疏解方案按实际支付。如未按设计图纸及批准方案施工，发包人有权按实扣减。</w:t>
      </w:r>
    </w:p>
    <w:p w14:paraId="6DA0BB6F">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w:t>
      </w:r>
      <w:r>
        <w:rPr>
          <w:rFonts w:ascii="仿宋" w:hAnsi="仿宋" w:eastAsia="仿宋" w:cs="仿宋"/>
          <w:color w:val="auto"/>
          <w:sz w:val="24"/>
          <w:szCs w:val="24"/>
        </w:rPr>
        <w:t>承包人自行办理施工场地内所需水、电和通讯报开（停）手续及验收移交前所发生的所有费用（含使用水、电和通讯产生的一切费用），该费用已由承包人在投标报价中综合考虑，发包人不另行支付此项费用。</w:t>
      </w:r>
    </w:p>
    <w:p w14:paraId="24BF91A3">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承包人应承担提供和维修非夜间施工使用的照明、围护设施的一切责任，上述所有费用承包人已在投标报价中综合考虑，发包人不另行支付此项费用。</w:t>
      </w:r>
    </w:p>
    <w:p w14:paraId="1C0A62E2">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ascii="仿宋" w:hAnsi="仿宋" w:eastAsia="仿宋" w:cs="仿宋"/>
          <w:color w:val="auto"/>
          <w:sz w:val="24"/>
          <w:szCs w:val="24"/>
        </w:rPr>
        <w:t>承包人应按交警部门、公路管理部门、路政管理队伍和道路管理部门、燃气管理部门、电力管理部门、铁路管理部门、地铁管理部门、水务管理部门等涉及本项目相关管理部门的规定办理相关手续，手续应符合相关规定，并按规定交纳有关费用，承包人已在投标报价中综合考虑，发包人不另行支付此项费用。</w:t>
      </w:r>
    </w:p>
    <w:p w14:paraId="4D71601A">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ascii="仿宋" w:hAnsi="仿宋" w:eastAsia="仿宋" w:cs="仿宋"/>
          <w:color w:val="auto"/>
          <w:sz w:val="24"/>
          <w:szCs w:val="24"/>
        </w:rPr>
        <w:t>工程所需设备交接检测费及入网费承包人已在投标报价中综合考虑，发包人不另行支付此项费用。</w:t>
      </w:r>
    </w:p>
    <w:p w14:paraId="48567B4A">
      <w:pPr>
        <w:widowControl/>
        <w:adjustRightInd w:val="0"/>
        <w:snapToGri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ascii="仿宋" w:hAnsi="仿宋" w:eastAsia="仿宋" w:cs="仿宋"/>
          <w:color w:val="auto"/>
          <w:sz w:val="24"/>
          <w:szCs w:val="24"/>
        </w:rPr>
        <w:t>人工、材料、机械价格调差按合同相关条款执行，统一在结算时进行调整，调整后的结算价最终不得超过项目概算批复中</w:t>
      </w:r>
      <w:r>
        <w:rPr>
          <w:rFonts w:hint="eastAsia" w:ascii="仿宋" w:hAnsi="仿宋" w:eastAsia="仿宋" w:cs="仿宋"/>
          <w:color w:val="auto"/>
          <w:sz w:val="24"/>
          <w:szCs w:val="24"/>
        </w:rPr>
        <w:t>对应费用及对应预备费之和</w:t>
      </w:r>
      <w:r>
        <w:rPr>
          <w:rFonts w:ascii="仿宋" w:hAnsi="仿宋" w:eastAsia="仿宋" w:cs="仿宋"/>
          <w:color w:val="auto"/>
          <w:sz w:val="24"/>
          <w:szCs w:val="24"/>
        </w:rPr>
        <w:t>，超出部分不予调增。</w:t>
      </w:r>
    </w:p>
    <w:p w14:paraId="56213BB6">
      <w:pPr>
        <w:widowControl/>
        <w:adjustRightInd w:val="0"/>
        <w:snapToGrid w:val="0"/>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根据法律及行业规范要求等由建设单位承担费用且未包括在合同承包范围内的，发包人将另行委托第三方检测、监测单位开展相关工作，承包人须做好配合工作。在发包人委托的第三方检测、监测之外的检测、监测费用均由承包人承担，相关费用承包人已在投标报价中综合考虑，发包人不另行支付此项费用。承包人应事先取得监理工程师及发包人认可后按照深圳市的相关规定委托有资质的检测单位实施。发包人委托的第三方检测、监测，不免除承包人根据相关技术规范自行检测或监测的义务和责任。</w:t>
      </w:r>
    </w:p>
    <w:p w14:paraId="4B9BEF9B">
      <w:pPr>
        <w:widowControl/>
        <w:adjustRightInd w:val="0"/>
        <w:snapToGrid w:val="0"/>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rPr>
        <w:t>承包人有义务在收到中标通知书</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天内，函告发包人需要负责的第三方检测监测的工作内容。对由于承包人未及时告知，导致项目竣工验收移交受影响的，由承包人承担相关后果。</w:t>
      </w:r>
    </w:p>
    <w:p w14:paraId="24265C21">
      <w:pPr>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（二）其他费用结算原则</w:t>
      </w:r>
    </w:p>
    <w:p w14:paraId="18DF8288">
      <w:pPr>
        <w:pStyle w:val="3"/>
        <w:adjustRightInd w:val="0"/>
        <w:snapToGrid w:val="0"/>
        <w:spacing w:line="360" w:lineRule="auto"/>
        <w:ind w:left="0" w:leftChars="0"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ascii="仿宋" w:hAnsi="仿宋" w:eastAsia="仿宋" w:cs="仿宋"/>
          <w:color w:val="auto"/>
          <w:sz w:val="24"/>
        </w:rPr>
        <w:t>弃土场受纳处置费结算原则</w:t>
      </w:r>
    </w:p>
    <w:p w14:paraId="6C0233CE">
      <w:pPr>
        <w:pStyle w:val="9"/>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弃土场受纳处置费结算按照《龙岗区发展和改革局关于调整区政府投资项目余土外弃有关计价指标的通知》（深龙发改〔</w:t>
      </w:r>
      <w:r>
        <w:rPr>
          <w:rFonts w:ascii="仿宋" w:hAnsi="仿宋" w:eastAsia="仿宋" w:cs="仿宋"/>
          <w:color w:val="auto"/>
          <w:sz w:val="24"/>
          <w:szCs w:val="24"/>
        </w:rPr>
        <w:t>2019〕562号）的相关规定执行。</w:t>
      </w:r>
      <w:r>
        <w:rPr>
          <w:rFonts w:hint="eastAsia" w:ascii="仿宋" w:hAnsi="仿宋" w:eastAsia="仿宋" w:cs="仿宋"/>
          <w:color w:val="auto"/>
          <w:sz w:val="24"/>
          <w:szCs w:val="24"/>
        </w:rPr>
        <w:t>如果政府有相关文件允许调整的，经双方协商一致，且按政府相关程序同意后（如需要），可以调整。</w:t>
      </w:r>
    </w:p>
    <w:p w14:paraId="103B8B4C">
      <w:pPr>
        <w:pStyle w:val="9"/>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土石方工程量根据《建设工程工程量清单计价规范》（</w:t>
      </w:r>
      <w:r>
        <w:rPr>
          <w:rFonts w:ascii="仿宋" w:hAnsi="仿宋" w:eastAsia="仿宋" w:cs="仿宋"/>
          <w:b/>
          <w:bCs/>
          <w:color w:val="auto"/>
          <w:sz w:val="24"/>
          <w:szCs w:val="24"/>
        </w:rPr>
        <w:t>GB50500-2013）及深圳市现行定额计价规则，按天然密实体积计算，弃土场受纳处置费的工程量按天然密实体积计算，不考虑虚方松散系数。</w:t>
      </w:r>
    </w:p>
    <w:p w14:paraId="65B22481">
      <w:pPr>
        <w:pStyle w:val="9"/>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相关的时间、路线、地点等应遵守当地有关规定，并由承包人负责办理相关的手续，相关费用由承包人承担，发包人不另行支付此项费用。由于承包人受到罚款、指控、索赔等，由承包人自行承担。结算时，承包人应提供相关审计认可的弃土凭证，否则按照深龙发改〔</w:t>
      </w:r>
      <w:r>
        <w:rPr>
          <w:rFonts w:ascii="仿宋" w:hAnsi="仿宋" w:eastAsia="仿宋" w:cs="仿宋"/>
          <w:color w:val="auto"/>
          <w:sz w:val="24"/>
          <w:szCs w:val="24"/>
        </w:rPr>
        <w:t>2019〕562号文规定进行结算。承包人已在投标报价中综合考虑上述费用及风险。</w:t>
      </w:r>
    </w:p>
    <w:p w14:paraId="34041BCD">
      <w:pPr>
        <w:pStyle w:val="9"/>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最高不超过概算批复单列的相应费用，最终费用以政府规定的审定程序审定为准。</w:t>
      </w:r>
    </w:p>
    <w:p w14:paraId="54F686DE">
      <w:pPr>
        <w:pStyle w:val="9"/>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工程保险费用结算原则</w:t>
      </w:r>
    </w:p>
    <w:p w14:paraId="5304E87D">
      <w:pPr>
        <w:pStyle w:val="9"/>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保险费用结算时按实结算。且最高不超过概算批复单列的相应费用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如果该费用没有单列，以造价咨询单位按概算批复核定的费用为准》，如费用超过概算批复单列的相应费用,则以概算批复单列的相应费用为准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如果该费用没有单列,以造价咨询单位按概算批复核定的费用为准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。最终费用以区财政部门评审结果作为项目价款结算的依据。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1F00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E8814"/>
    <w:multiLevelType w:val="singleLevel"/>
    <w:tmpl w:val="F65E8814"/>
    <w:lvl w:ilvl="0" w:tentative="0">
      <w:start w:val="1"/>
      <w:numFmt w:val="chineseCounting"/>
      <w:suff w:val="nothing"/>
      <w:lvlText w:val="%1、"/>
      <w:lvlJc w:val="left"/>
      <w:rPr>
        <w:rFonts w:hint="eastAsia"/>
      </w:rPr>
    </w:lvl>
  </w:abstractNum>
  <w:abstractNum w:abstractNumId="1">
    <w:nsid w:val="474A3102"/>
    <w:multiLevelType w:val="singleLevel"/>
    <w:tmpl w:val="474A31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WM4MWMwODNmNWI3ZWFkOGEzMjE1Y2M3YzA3YzMifQ=="/>
  </w:docVars>
  <w:rsids>
    <w:rsidRoot w:val="47C238B9"/>
    <w:rsid w:val="0A585157"/>
    <w:rsid w:val="47C238B9"/>
    <w:rsid w:val="656C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rPr>
      <w:szCs w:val="24"/>
    </w:rPr>
  </w:style>
  <w:style w:type="paragraph" w:styleId="4">
    <w:name w:val="annotation text"/>
    <w:basedOn w:val="1"/>
    <w:qFormat/>
    <w:uiPriority w:val="0"/>
    <w:pPr>
      <w:jc w:val="left"/>
    </w:pPr>
  </w:style>
  <w:style w:type="paragraph" w:customStyle="1" w:styleId="7">
    <w:name w:val="+正文"/>
    <w:basedOn w:val="1"/>
    <w:qFormat/>
    <w:uiPriority w:val="0"/>
    <w:pPr>
      <w:spacing w:line="360" w:lineRule="auto"/>
      <w:ind w:firstLine="200" w:firstLineChars="200"/>
    </w:pPr>
    <w:rPr>
      <w:sz w:val="24"/>
      <w:szCs w:val="28"/>
    </w:rPr>
  </w:style>
  <w:style w:type="paragraph" w:customStyle="1" w:styleId="8">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9">
    <w:name w:val="Normal_2"/>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5632</Words>
  <Characters>5815</Characters>
  <Lines>0</Lines>
  <Paragraphs>0</Paragraphs>
  <TotalTime>3</TotalTime>
  <ScaleCrop>false</ScaleCrop>
  <LinksUpToDate>false</LinksUpToDate>
  <CharactersWithSpaces>5817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2025-05-12T02:31:00Z</dcterms:created>
  <dc:creator>LJM</dc:creator>
  <cp:lastModifiedBy>泥猫</cp:lastModifiedBy>
  <dcterms:modified xsi:type="dcterms:W3CDTF">2025-05-12T07:46:19Z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55010F7E6B2745DF8EC3731276B96382</vt:lpwstr>
  </property>
  <property fmtid="{D5CDD505-2E9C-101B-9397-08002B2CF9AE}" pid="4" name="KSOTemplateDocerSaveRecord">
    <vt:lpwstr>eyJoZGlkIjoiNzUyYmVkYjYwOTEzNDVmNDFiYzAxNmZhZTk2MWExYjciLCJ1c2VySWQiOiIyOTgxMjg5NjkifQ==</vt:lpwstr>
  </property>
</Properties>
</file>