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center"/>
        <w:rPr>
          <w:rFonts w:eastAsia="PingFang SC Regular"/>
          <w:sz w:val="36"/>
          <w:szCs w:val="36"/>
        </w:rPr>
      </w:pPr>
      <w:r>
        <w:rPr>
          <w:rFonts w:hint="eastAsia" w:eastAsia="宋体"/>
          <w:sz w:val="36"/>
          <w:szCs w:val="36"/>
          <w:lang w:val="en-US" w:eastAsia="zh-CN"/>
        </w:rPr>
        <w:t>资产评估</w:t>
      </w:r>
      <w:r>
        <w:rPr>
          <w:rFonts w:eastAsia="PingFang SC Regular"/>
          <w:sz w:val="36"/>
          <w:szCs w:val="36"/>
        </w:rPr>
        <w:t>综合评分表</w:t>
      </w:r>
    </w:p>
    <w:tbl>
      <w:tblPr>
        <w:tblStyle w:val="6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14"/>
        <w:gridCol w:w="3755"/>
        <w:gridCol w:w="1650"/>
        <w:gridCol w:w="118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663" w:type="dxa"/>
            <w:shd w:val="clear" w:color="auto" w:fill="DEEAF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914" w:type="dxa"/>
            <w:shd w:val="clear" w:color="auto" w:fill="DEEAF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评审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项目</w:t>
            </w:r>
          </w:p>
        </w:tc>
        <w:tc>
          <w:tcPr>
            <w:tcW w:w="3755" w:type="dxa"/>
            <w:shd w:val="clear" w:color="auto" w:fill="DEEAF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评审标准</w:t>
            </w:r>
          </w:p>
        </w:tc>
        <w:tc>
          <w:tcPr>
            <w:tcW w:w="1650" w:type="dxa"/>
            <w:shd w:val="clear" w:color="auto" w:fill="DEEAF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证明材料</w:t>
            </w:r>
          </w:p>
        </w:tc>
        <w:tc>
          <w:tcPr>
            <w:tcW w:w="1180" w:type="dxa"/>
            <w:shd w:val="clear" w:color="auto" w:fill="DEEAF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分值</w:t>
            </w:r>
          </w:p>
        </w:tc>
        <w:tc>
          <w:tcPr>
            <w:tcW w:w="1038" w:type="dxa"/>
            <w:shd w:val="clear" w:color="auto" w:fill="DEEAF6"/>
            <w:noWrap w:val="0"/>
            <w:vAlign w:val="top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同类业绩情况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cs="Times New Roman"/>
                <w:bCs/>
                <w:szCs w:val="21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具有国资类企业价值评估业绩的，每个项目得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分，最高得2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分。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提供相应合同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关键页复印件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，并加盖公章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团队成员配置评分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除项目负责人以外，项目团队成员需高标准、多专业配置，以保障研究质量。如项目团队成员具有三年以上资产评估工作经验，每增加1个加5分，最多加15分。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正式执业会员证书复印件，提供中评协查询网址</w:t>
            </w:r>
            <w:r>
              <w:rPr>
                <w:rFonts w:hint="eastAsia" w:cs="Times New Roman"/>
                <w:bCs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并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加盖公章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拟委派项目团队资格和能力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项目负责人执业年限≥15年，且团队成员中资产评估师正式执业人员≥6人，得15分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项目负责人执业年限 10年≤执业年限&lt;15年,且团队成员中资产评估师正式执业人员≥4人，得10分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项目负责人执业年限 5年≤执业年限&lt;10年，且团队成员中资产评估师正式执业会员≥2人，得5分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其余得1分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</w:rPr>
              <w:t>提供项目负责人姓名、任职情况、工作经历及相关项目经验、获奖证书或相关证明材料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技术服务方案评审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对本项目工作内容的理解是否全面、准确进行横向比较评分：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评优得2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～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分，良得1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～2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分，中得1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～1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分，较差得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～1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分，差得0～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分。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打分参考：对服务方案的完整性、合理性、可执行性和工作时间安排合理、服务保障是否到位、服务流程是否合理，服务人员配置等进行综合评议。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提供服务方案，并加盖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公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章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报价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得分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/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采用低价优先法计算，投标总价最低的投标报价为评标基准价，其价格分为满分。</w:t>
            </w:r>
          </w:p>
          <w:p>
            <w:pPr>
              <w:spacing w:line="0" w:lineRule="atLeast"/>
              <w:jc w:val="left"/>
              <w:rPr>
                <w:rFonts w:hint="eastAsia"/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其他投标人的价格分统一按照下列公式计算：投标报价得分=(评标基准价／投标总价)×15</w:t>
            </w:r>
          </w:p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评标过程中，不去掉报价中的最高报价和最低报价。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提供响应报价，并加盖公章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单次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调整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基准日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费用报价得分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/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采用低价优先法计算，调整基准日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所需</w:t>
            </w:r>
            <w:r>
              <w:rPr>
                <w:rFonts w:hint="eastAsia"/>
                <w:bCs/>
                <w:szCs w:val="21"/>
                <w:highlight w:val="none"/>
              </w:rPr>
              <w:t>费用最低的投标报价为评标基准价，其价格分为满分。</w:t>
            </w:r>
          </w:p>
          <w:p>
            <w:pPr>
              <w:spacing w:line="0" w:lineRule="atLeast"/>
              <w:jc w:val="left"/>
              <w:rPr>
                <w:rFonts w:hint="default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其他投标人的价格分统一按照下列公式计算：调整费用报价得分=(评标基准价／投标总价)×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10</w:t>
            </w:r>
          </w:p>
          <w:p>
            <w:pPr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评标过程中，不去掉报价中的最高报价和最低报价。单次调整报价不超过响应报价10%</w:t>
            </w:r>
            <w:r>
              <w:rPr>
                <w:rFonts w:hint="eastAsia"/>
                <w:bCs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如超过本项不得分。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提供响应报价，并加盖公章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698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合计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100分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8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拟推荐成交候选供应商（原则推荐评审综合得分最高的单位）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</w:tbl>
    <w:p>
      <w:pPr>
        <w:rPr>
          <w:rFonts w:hint="eastAsia" w:ascii="黑体" w:hAnsi="黑体" w:eastAsia="黑体"/>
          <w:szCs w:val="21"/>
        </w:rPr>
      </w:pPr>
    </w:p>
    <w:p>
      <w:pPr>
        <w:rPr>
          <w:rFonts w:hint="eastAsia" w:ascii="黑体" w:hAnsi="黑体" w:eastAsia="黑体"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szCs w:val="21"/>
        </w:rPr>
        <w:t>备注：1.各项评审打分按照四舍五入，小数点后保留2位进行计算；</w:t>
      </w:r>
    </w:p>
    <w:p>
      <w:pPr>
        <w:ind w:firstLine="420" w:firstLineChars="200"/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szCs w:val="21"/>
        </w:rPr>
        <w:t>2.若出现拟推荐成交候选供应商分数相同的情况，价低者得。</w:t>
      </w:r>
    </w:p>
    <w:p>
      <w:pPr>
        <w:pStyle w:val="4"/>
        <w:rPr>
          <w:rFonts w:eastAsia="PingFang SC Regular"/>
          <w:sz w:val="36"/>
          <w:szCs w:val="36"/>
        </w:rPr>
      </w:pPr>
    </w:p>
    <w:p>
      <w:pPr>
        <w:pStyle w:val="3"/>
        <w:rPr>
          <w:rFonts w:eastAsia="PingFang SC Regular"/>
          <w:sz w:val="36"/>
          <w:szCs w:val="36"/>
        </w:rPr>
      </w:pPr>
    </w:p>
    <w:p/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948DA"/>
    <w:rsid w:val="03FE5C0B"/>
    <w:rsid w:val="05617C8B"/>
    <w:rsid w:val="0A6C67D6"/>
    <w:rsid w:val="11BB5CE9"/>
    <w:rsid w:val="121E3B50"/>
    <w:rsid w:val="14CC7921"/>
    <w:rsid w:val="1A8D7F1A"/>
    <w:rsid w:val="21734078"/>
    <w:rsid w:val="21A5115D"/>
    <w:rsid w:val="22006D8A"/>
    <w:rsid w:val="24F9285E"/>
    <w:rsid w:val="2A8948DA"/>
    <w:rsid w:val="35871B04"/>
    <w:rsid w:val="373A53E2"/>
    <w:rsid w:val="432E30A0"/>
    <w:rsid w:val="472C7DAE"/>
    <w:rsid w:val="48EB09F1"/>
    <w:rsid w:val="4A92268B"/>
    <w:rsid w:val="4B793094"/>
    <w:rsid w:val="4CDE64BE"/>
    <w:rsid w:val="554A0B94"/>
    <w:rsid w:val="57963CD6"/>
    <w:rsid w:val="591D7156"/>
    <w:rsid w:val="5B4A6986"/>
    <w:rsid w:val="5DDF222C"/>
    <w:rsid w:val="615325DC"/>
    <w:rsid w:val="64853DAA"/>
    <w:rsid w:val="65085E46"/>
    <w:rsid w:val="6D346B4F"/>
    <w:rsid w:val="6FEC3B2E"/>
    <w:rsid w:val="71570A8E"/>
    <w:rsid w:val="73DC7B5F"/>
    <w:rsid w:val="7AAB2484"/>
    <w:rsid w:val="7F71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5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750</Words>
  <Characters>812</Characters>
  <Lines>0</Lines>
  <Paragraphs>0</Paragraphs>
  <TotalTime>0</TotalTime>
  <ScaleCrop>false</ScaleCrop>
  <LinksUpToDate>false</LinksUpToDate>
  <CharactersWithSpaces>865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2025-02-17T02:50:00Z</dcterms:created>
  <dc:creator>姚隽</dc:creator>
  <cp:lastModifiedBy>姚隽</cp:lastModifiedBy>
  <dcterms:modified xsi:type="dcterms:W3CDTF">2025-04-27T07:36:29Z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eyJoZGlkIjoiYWRjYTEzZDQxMGZmNDIzNDJmNDNjYzZhZDUwNGNmN2MiLCJ1c2VySWQiOiI0NDgxMjg0MDUifQ==</vt:lpwstr>
  </property>
  <property fmtid="{D5CDD505-2E9C-101B-9397-08002B2CF9AE}" pid="4" name="ICV">
    <vt:lpwstr>CE3B65FBC3FC4C49988E5BFBE504C1AF_12</vt:lpwstr>
  </property>
</Properties>
</file>