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420"/>
        <w:rPr>
          <w:rFonts w:hint="eastAsia" w:ascii="方正小标宋简体" w:hAnsi="方正小标宋简体" w:eastAsia="方正小标宋简体" w:cs="方正小标宋简体"/>
          <w:b w:val="0"/>
          <w:bCs/>
          <w:sz w:val="52"/>
          <w:szCs w:val="52"/>
          <w:lang w:val="en-US" w:eastAsia="zh-CN"/>
        </w:rPr>
      </w:pPr>
    </w:p>
    <w:p>
      <w:pPr>
        <w:pStyle w:val="7"/>
        <w:ind w:firstLine="420"/>
        <w:rPr>
          <w:rFonts w:hint="eastAsia" w:ascii="方正小标宋简体" w:hAnsi="方正小标宋简体" w:eastAsia="方正小标宋简体" w:cs="方正小标宋简体"/>
          <w:b w:val="0"/>
          <w:bCs/>
          <w:sz w:val="52"/>
          <w:szCs w:val="52"/>
          <w:lang w:val="en-US" w:eastAsia="zh-CN"/>
        </w:rPr>
      </w:pPr>
    </w:p>
    <w:p>
      <w:pPr>
        <w:pStyle w:val="7"/>
        <w:ind w:firstLine="420"/>
        <w:rPr>
          <w:rFonts w:hint="eastAsia" w:ascii="方正小标宋简体" w:hAnsi="方正小标宋简体" w:eastAsia="方正小标宋简体" w:cs="方正小标宋简体"/>
          <w:b w:val="0"/>
          <w:bCs/>
          <w:sz w:val="52"/>
          <w:szCs w:val="52"/>
          <w:lang w:val="en-US" w:eastAsia="zh-CN"/>
        </w:rPr>
      </w:pPr>
    </w:p>
    <w:p>
      <w:pPr>
        <w:pStyle w:val="7"/>
        <w:ind w:left="0" w:leftChars="0" w:firstLine="0" w:firstLineChars="0"/>
        <w:jc w:val="both"/>
        <w:rPr>
          <w:rFonts w:hint="eastAsia" w:ascii="方正小标宋简体" w:hAnsi="方正小标宋简体" w:eastAsia="方正小标宋简体" w:cs="方正小标宋简体"/>
          <w:b w:val="0"/>
          <w:bCs/>
          <w:sz w:val="52"/>
          <w:szCs w:val="52"/>
          <w:lang w:val="en-US" w:eastAsia="zh-CN"/>
        </w:rPr>
      </w:pPr>
    </w:p>
    <w:p>
      <w:pPr>
        <w:pStyle w:val="7"/>
        <w:ind w:left="0" w:leftChars="0" w:firstLine="0" w:firstLineChars="0"/>
        <w:jc w:val="center"/>
        <w:rPr>
          <w:rFonts w:hint="default" w:ascii="方正小标宋简体" w:hAnsi="方正小标宋简体" w:eastAsia="方正小标宋简体" w:cs="方正小标宋简体"/>
          <w:b w:val="0"/>
          <w:bCs/>
          <w:sz w:val="52"/>
          <w:szCs w:val="52"/>
          <w:lang w:val="en-US" w:eastAsia="zh-CN"/>
        </w:rPr>
      </w:pPr>
      <w:r>
        <w:rPr>
          <w:rFonts w:hint="eastAsia" w:ascii="方正小标宋简体" w:hAnsi="方正小标宋简体" w:eastAsia="方正小标宋简体" w:cs="方正小标宋简体"/>
          <w:b w:val="0"/>
          <w:bCs/>
          <w:sz w:val="52"/>
          <w:szCs w:val="52"/>
          <w:lang w:val="en-US" w:eastAsia="zh-CN"/>
        </w:rPr>
        <w:t>可行性研究咨询服务任务书</w:t>
      </w:r>
    </w:p>
    <w:p/>
    <w:p/>
    <w:p/>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jc w:val="center"/>
        <w:rPr>
          <w:sz w:val="28"/>
          <w:szCs w:val="28"/>
        </w:rPr>
      </w:pPr>
    </w:p>
    <w:p>
      <w:pPr>
        <w:rPr>
          <w:rFonts w:hint="eastAsia"/>
          <w:b/>
          <w:bCs/>
          <w:sz w:val="28"/>
          <w:szCs w:val="28"/>
        </w:rPr>
        <w:sectPr>
          <w:footerReference r:id="rId3" w:type="default"/>
          <w:pgSz w:w="11906" w:h="16838"/>
          <w:pgMar w:top="1440" w:right="1800" w:bottom="1440" w:left="1800" w:header="851" w:footer="992" w:gutter="0"/>
          <w:pgNumType w:fmt="decimal"/>
          <w:cols w:space="720" w:num="1"/>
          <w:docGrid w:type="lines" w:linePitch="312" w:charSpace="0"/>
        </w:sectPr>
      </w:pPr>
    </w:p>
    <w:p>
      <w:p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一、关于拟投资的目标公司</w:t>
      </w:r>
    </w:p>
    <w:p>
      <w:pPr>
        <w:pStyle w:val="7"/>
        <w:spacing w:line="56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本次股权投资为战略性入股，目标公司位于湖南怀化，属湖南省专精特新中小企业，注册资本3000万元。公司产品包括装配式高效机房、空调水处理设备、配电箱柜、智慧配电箱（临时）、新型桥架、源网荷储一体化系统、光伏一体化箱式房、成品支架和抗震支架等装配式机电全专业产品。</w:t>
      </w:r>
    </w:p>
    <w:p>
      <w:pPr>
        <w:pStyle w:val="7"/>
        <w:spacing w:line="560" w:lineRule="exact"/>
        <w:ind w:firstLine="640"/>
        <w:rPr>
          <w:rFonts w:ascii="仿宋_GB2312" w:hAnsi="仿宋_GB2312" w:eastAsia="仿宋_GB2312" w:cs="仿宋_GB2312"/>
          <w:b/>
          <w:bCs/>
          <w:sz w:val="32"/>
          <w:szCs w:val="32"/>
          <w:lang w:val="en-US"/>
        </w:rPr>
      </w:pPr>
      <w:r>
        <w:rPr>
          <w:rFonts w:hint="eastAsia" w:ascii="黑体" w:hAnsi="黑体" w:eastAsia="黑体" w:cs="黑体"/>
          <w:sz w:val="32"/>
          <w:szCs w:val="32"/>
          <w:lang w:val="en-US"/>
        </w:rPr>
        <w:t>二、可行性研究咨询服务内容</w:t>
      </w:r>
    </w:p>
    <w:p>
      <w:pPr>
        <w:pStyle w:val="7"/>
        <w:spacing w:line="560" w:lineRule="exact"/>
        <w:ind w:firstLine="64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服务内容</w:t>
      </w:r>
      <w:r>
        <w:rPr>
          <w:rFonts w:hint="eastAsia" w:ascii="仿宋_GB2312" w:hAnsi="仿宋_GB2312" w:eastAsia="仿宋_GB2312" w:cs="仿宋_GB2312"/>
          <w:sz w:val="32"/>
          <w:szCs w:val="32"/>
          <w:lang w:val="en-US"/>
        </w:rPr>
        <w:t>包括但不限于以下内容：</w:t>
      </w:r>
    </w:p>
    <w:p>
      <w:pPr>
        <w:pStyle w:val="7"/>
        <w:spacing w:line="56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目标公司的企业基本情况（历史沿革、股权结构、主营业务、经营情况等），资产与财务状况（近3年财务报表分析、资产评估），经营与市场竞争力（行业地位、市场份额、客户结构、技术研发能力与核心优势、知识产权布局等），产品与技术竞争力（核心产品矩阵与市场定位、技术先进性、研发投入强度等），风险与问题诊断（债务风险、诉讼纠纷、历史遗留问题）等。</w:t>
      </w:r>
      <w:bookmarkStart w:id="0" w:name="_GoBack"/>
      <w:bookmarkEnd w:id="0"/>
    </w:p>
    <w:p>
      <w:pPr>
        <w:pStyle w:val="7"/>
        <w:spacing w:line="56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2、行业与市场研究(市场容量、发展阶段、细分市场分析、主要竞争对手及未来发展前景、政策与趋势研判等)。</w:t>
      </w:r>
    </w:p>
    <w:p>
      <w:pPr>
        <w:pStyle w:val="7"/>
        <w:spacing w:line="56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3、股权投资的必要性。</w:t>
      </w:r>
    </w:p>
    <w:p>
      <w:pPr>
        <w:pStyle w:val="7"/>
        <w:spacing w:line="56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4、投资方案（交易结构设计、投后管理规划等）及投资估算（包括资金筹措、资金监管等）。</w:t>
      </w:r>
    </w:p>
    <w:p>
      <w:pPr>
        <w:pStyle w:val="7"/>
        <w:spacing w:line="56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5、投资后未来企业运营。</w:t>
      </w:r>
    </w:p>
    <w:p>
      <w:pPr>
        <w:pStyle w:val="7"/>
        <w:spacing w:line="56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6、投资后经营收入及利润情况等财务分析（经营收入、经营成本与费用、经营利润、现金流分析、内部收益率、静/动态投资回收期、敏感性分析等）。</w:t>
      </w:r>
    </w:p>
    <w:p>
      <w:pPr>
        <w:pStyle w:val="7"/>
        <w:spacing w:line="56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7、未来机会风险分析，防范措施等。</w:t>
      </w:r>
    </w:p>
    <w:p>
      <w:pPr>
        <w:widowControl/>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三、其他事项</w:t>
      </w:r>
    </w:p>
    <w:p>
      <w:pPr>
        <w:spacing w:line="560" w:lineRule="exact"/>
        <w:ind w:firstLine="640" w:firstLineChars="200"/>
        <w:rPr>
          <w:rFonts w:hint="eastAsia" w:ascii="楷体" w:hAnsi="楷体" w:eastAsia="楷体" w:cs="仿宋_GB2312"/>
          <w:color w:val="000000"/>
          <w:sz w:val="32"/>
          <w:szCs w:val="32"/>
        </w:rPr>
      </w:pPr>
      <w:r>
        <w:rPr>
          <w:rFonts w:hint="eastAsia" w:ascii="楷体" w:hAnsi="楷体" w:eastAsia="楷体" w:cs="仿宋_GB2312"/>
          <w:color w:val="000000"/>
          <w:sz w:val="32"/>
          <w:szCs w:val="32"/>
        </w:rPr>
        <w:t>（一）关于服务费用</w:t>
      </w:r>
    </w:p>
    <w:p>
      <w:pPr>
        <w:pStyle w:val="7"/>
        <w:spacing w:line="560" w:lineRule="exact"/>
        <w:ind w:firstLine="64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可行性研究服务报费用为包干价（含税），包含且不限于现场调查、资料收集、相关部门访谈和专家评审等一切为完成本项目可行性研究咨询服务所发生的费用，以及一个有经验的咨询服务单位可以合理预见的各项成本和税费。</w:t>
      </w:r>
    </w:p>
    <w:p>
      <w:pPr>
        <w:spacing w:line="560" w:lineRule="exact"/>
        <w:ind w:firstLine="640" w:firstLineChars="200"/>
        <w:rPr>
          <w:rFonts w:ascii="楷体" w:hAnsi="楷体" w:eastAsia="楷体" w:cs="仿宋_GB2312"/>
          <w:color w:val="000000"/>
          <w:sz w:val="32"/>
          <w:szCs w:val="32"/>
        </w:rPr>
      </w:pPr>
      <w:r>
        <w:rPr>
          <w:rFonts w:hint="eastAsia" w:ascii="楷体" w:hAnsi="楷体" w:eastAsia="楷体" w:cs="仿宋_GB2312"/>
          <w:color w:val="000000"/>
          <w:sz w:val="32"/>
          <w:szCs w:val="32"/>
        </w:rPr>
        <w:t>（二）报告要求及支付条款</w:t>
      </w:r>
    </w:p>
    <w:p>
      <w:pPr>
        <w:pStyle w:val="7"/>
        <w:spacing w:line="56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可行性研究报告需满足我集团及上级主管单位对该事项的投资决策要求。相关费用分三笔支付，支付节点分别为提交初步成果、提交终稿、合同结算且完成履约评价后。</w:t>
      </w:r>
    </w:p>
    <w:p>
      <w:pPr>
        <w:keepNext w:val="0"/>
        <w:keepLines w:val="0"/>
        <w:pageBreakBefore w:val="0"/>
        <w:widowControl w:val="0"/>
        <w:kinsoku/>
        <w:wordWrap/>
        <w:overflowPunct/>
        <w:topLinePunct w:val="0"/>
        <w:autoSpaceDE/>
        <w:autoSpaceDN/>
        <w:bidi w:val="0"/>
        <w:adjustRightInd/>
        <w:spacing w:line="240" w:lineRule="auto"/>
        <w:textAlignment w:val="auto"/>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B74B9"/>
    <w:rsid w:val="0ED748AE"/>
    <w:rsid w:val="12E0220F"/>
    <w:rsid w:val="12FE476F"/>
    <w:rsid w:val="25751F17"/>
    <w:rsid w:val="25A46238"/>
    <w:rsid w:val="2B453164"/>
    <w:rsid w:val="2B4C7984"/>
    <w:rsid w:val="2EF64671"/>
    <w:rsid w:val="3FFA449D"/>
    <w:rsid w:val="4113520C"/>
    <w:rsid w:val="463A5070"/>
    <w:rsid w:val="4AE1644F"/>
    <w:rsid w:val="4DBF20C0"/>
    <w:rsid w:val="4DEA25E4"/>
    <w:rsid w:val="515C5885"/>
    <w:rsid w:val="531042DA"/>
    <w:rsid w:val="5D205E03"/>
    <w:rsid w:val="63A511E8"/>
    <w:rsid w:val="66EC661B"/>
    <w:rsid w:val="6E230E36"/>
    <w:rsid w:val="722E1CF7"/>
    <w:rsid w:val="72414CFF"/>
    <w:rsid w:val="728C1448"/>
    <w:rsid w:val="75B75A41"/>
    <w:rsid w:val="79B6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semiHidden/>
    <w:qFormat/>
    <w:uiPriority w:val="0"/>
    <w:rPr>
      <w:rFonts w:ascii="仿宋" w:hAnsi="仿宋" w:eastAsia="仿宋" w:cs="仿宋"/>
      <w:sz w:val="28"/>
      <w:szCs w:val="28"/>
      <w:lang w:val="en-US" w:eastAsia="en-US" w:bidi="ar-SA"/>
    </w:r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2021-11-15T04:07:00Z</dcterms:created>
  <dc:creator>luosh</dc:creator>
  <cp:lastModifiedBy>姚隽</cp:lastModifiedBy>
  <dcterms:modified xsi:type="dcterms:W3CDTF">2025-04-27T07:27:30Z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eyJoZGlkIjoiOGMyZTllMjlkNzdjODU3NmJmOTZjNGZlNGNmZDc4NmMiLCJ1c2VySWQiOiIxMTQ4NTY5ODI4In0=</vt:lpwstr>
  </property>
  <property fmtid="{D5CDD505-2E9C-101B-9397-08002B2CF9AE}" pid="4" name="ICV">
    <vt:lpwstr>BAB9C0DFF06F4AE7A1E997DC4383C2AE_12</vt:lpwstr>
  </property>
</Properties>
</file>