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beforeAutospacing="0" w:afterAutospacing="0" w:line="56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龙岗区教育局2025年内控建设专业咨询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服务项目采购需求书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p>
    <w:p>
      <w:pPr>
        <w:pStyle w:val="19"/>
        <w:keepNext w:val="0"/>
        <w:keepLines w:val="0"/>
        <w:pageBreakBefore w:val="0"/>
        <w:kinsoku/>
        <w:overflowPunct/>
        <w:topLinePunct w:val="0"/>
        <w:bidi w:val="0"/>
        <w:spacing w:beforeAutospacing="0" w:afterAutospacing="0" w:line="560" w:lineRule="exact"/>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一、项目概况</w:t>
      </w:r>
    </w:p>
    <w:p>
      <w:pPr>
        <w:pStyle w:val="19"/>
        <w:keepNext w:val="0"/>
        <w:keepLines w:val="0"/>
        <w:pageBreakBefore w:val="0"/>
        <w:kinsoku/>
        <w:overflowPunct/>
        <w:topLinePunct w:val="0"/>
        <w:bidi w:val="0"/>
        <w:spacing w:beforeAutospacing="0" w:afterAutospacing="0" w:line="560" w:lineRule="exact"/>
        <w:rPr>
          <w:rFonts w:hint="eastAsia" w:ascii="仿宋_GB2312" w:hAnsi="仿宋_GB2312" w:eastAsia="仿宋_GB2312" w:cs="仿宋_GB2312"/>
          <w:bCs w:val="0"/>
          <w:kern w:val="2"/>
          <w:sz w:val="32"/>
          <w:szCs w:val="32"/>
          <w:lang w:val="en-US" w:eastAsia="zh-CN" w:bidi="ar-SA"/>
        </w:rPr>
      </w:pPr>
      <w:r>
        <w:rPr>
          <w:rFonts w:hint="eastAsia" w:ascii="仿宋_GB2312" w:hAnsi="仿宋_GB2312" w:eastAsia="仿宋_GB2312" w:cs="仿宋_GB2312"/>
          <w:bCs w:val="0"/>
          <w:kern w:val="2"/>
          <w:sz w:val="32"/>
          <w:szCs w:val="32"/>
          <w:lang w:val="en-US" w:eastAsia="zh-CN" w:bidi="ar-SA"/>
        </w:rPr>
        <w:t>根据《深圳市财政局关于开展行政事业单位内部控制评价试点工作的通知》要求，为做好龙岗区教育局2025年内部控制建设工作及2024年度内部控制报告编报工作，拟招标一家第三方专业服务公司，为教育系统完善内部控制提供专业咨询服务，</w:t>
      </w:r>
      <w:r>
        <w:rPr>
          <w:rFonts w:hint="eastAsia" w:ascii="仿宋_GB2312" w:hAnsi="仿宋_GB2312" w:eastAsia="仿宋_GB2312" w:cs="仿宋_GB2312"/>
          <w:sz w:val="32"/>
          <w:szCs w:val="32"/>
          <w:lang w:val="en-US" w:eastAsia="zh-CN"/>
        </w:rPr>
        <w:t>完成2024年度局本级经济活动风险评估、内控评价、内控系统填报、内控报告编报以及协助我局指导、审核、汇总下属单位内控评价报告、内控报告等工作，</w:t>
      </w:r>
      <w:r>
        <w:rPr>
          <w:rFonts w:hint="eastAsia" w:ascii="仿宋_GB2312" w:hAnsi="仿宋_GB2312" w:eastAsia="仿宋_GB2312" w:cs="仿宋_GB2312"/>
          <w:bCs w:val="0"/>
          <w:kern w:val="2"/>
          <w:sz w:val="32"/>
          <w:szCs w:val="32"/>
          <w:lang w:val="en-US" w:eastAsia="zh-CN" w:bidi="ar-SA"/>
        </w:rPr>
        <w:t>直至本项目达到财政机关的审核要求。</w:t>
      </w:r>
    </w:p>
    <w:p>
      <w:pPr>
        <w:pStyle w:val="19"/>
        <w:keepNext w:val="0"/>
        <w:keepLines w:val="0"/>
        <w:pageBreakBefore w:val="0"/>
        <w:kinsoku/>
        <w:overflowPunct/>
        <w:topLinePunct w:val="0"/>
        <w:bidi w:val="0"/>
        <w:spacing w:beforeAutospacing="0" w:afterAutospacing="0" w:line="560" w:lineRule="exact"/>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二、预算控制金额及付款方式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（一）服务费用控制价（包干价）</w:t>
      </w:r>
      <w:r>
        <w:rPr>
          <w:rFonts w:hint="eastAsia" w:ascii="仿宋_GB2312" w:hAnsi="仿宋_GB2312" w:eastAsia="仿宋_GB2312" w:cs="仿宋_GB2312"/>
          <w:kern w:val="2"/>
          <w:sz w:val="32"/>
          <w:szCs w:val="32"/>
          <w:lang w:val="en-US" w:eastAsia="zh-CN" w:bidi="ar-SA"/>
        </w:rPr>
        <w:t>：人民币71000元。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此费用包括开展业务所需的服务实施费、人员经费、资料费、差旅费、食宿费、税费等所有费用，投标人报价超预算控制金额作为无效应标处理；投标人在中标后不得以任何理由增加其他费用。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（二）付款方式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按深圳市龙岗区财政局有关规定执行。</w:t>
      </w:r>
    </w:p>
    <w:p>
      <w:pPr>
        <w:pStyle w:val="19"/>
        <w:keepNext w:val="0"/>
        <w:keepLines w:val="0"/>
        <w:pageBreakBefore w:val="0"/>
        <w:kinsoku/>
        <w:overflowPunct/>
        <w:topLinePunct w:val="0"/>
        <w:bidi w:val="0"/>
        <w:spacing w:beforeAutospacing="0" w:afterAutospacing="0" w:line="560" w:lineRule="exact"/>
        <w:rPr>
          <w:rFonts w:hint="eastAsia" w:ascii="黑体" w:hAnsi="黑体" w:eastAsia="黑体" w:cs="黑体"/>
          <w:bCs w:val="0"/>
          <w:kern w:val="2"/>
          <w:sz w:val="32"/>
          <w:szCs w:val="32"/>
          <w:lang w:val="en-US" w:eastAsia="zh-CN" w:bidi="ar-SA"/>
        </w:rPr>
      </w:pPr>
    </w:p>
    <w:p>
      <w:pPr>
        <w:pStyle w:val="19"/>
        <w:keepNext w:val="0"/>
        <w:keepLines w:val="0"/>
        <w:pageBreakBefore w:val="0"/>
        <w:kinsoku/>
        <w:overflowPunct/>
        <w:topLinePunct w:val="0"/>
        <w:bidi w:val="0"/>
        <w:spacing w:beforeAutospacing="0" w:afterAutospacing="0" w:line="560" w:lineRule="exact"/>
        <w:rPr>
          <w:rFonts w:hint="eastAsia" w:ascii="黑体" w:hAnsi="黑体" w:eastAsia="黑体" w:cs="黑体"/>
          <w:bCs w:val="0"/>
          <w:kern w:val="2"/>
          <w:sz w:val="32"/>
          <w:szCs w:val="32"/>
          <w:lang w:val="en-US" w:eastAsia="zh-CN" w:bidi="ar-SA"/>
        </w:rPr>
      </w:pPr>
    </w:p>
    <w:p>
      <w:pPr>
        <w:pStyle w:val="19"/>
        <w:keepNext w:val="0"/>
        <w:keepLines w:val="0"/>
        <w:pageBreakBefore w:val="0"/>
        <w:kinsoku/>
        <w:overflowPunct/>
        <w:topLinePunct w:val="0"/>
        <w:bidi w:val="0"/>
        <w:spacing w:beforeAutospacing="0" w:afterAutospacing="0" w:line="560" w:lineRule="exact"/>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三、评标定标方法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通过内部招标，具体如下：</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bCs/>
          <w:color w:val="auto"/>
          <w:sz w:val="32"/>
          <w:szCs w:val="32"/>
          <w:highlight w:val="none"/>
        </w:rPr>
        <w:t>当符合性审核合格供应商达三家或三家以上时，由区教育局评标小组以综合评分法确定一家预中标供应商，得分最高的为预中标供应商。</w:t>
      </w:r>
    </w:p>
    <w:p>
      <w:pPr>
        <w:keepNext w:val="0"/>
        <w:keepLines w:val="0"/>
        <w:pageBreakBefore w:val="0"/>
        <w:kinsoku/>
        <w:wordWrap/>
        <w:overflowPunct/>
        <w:topLinePunct w:val="0"/>
        <w:autoSpaceDE/>
        <w:autoSpaceDN/>
        <w:bidi w:val="0"/>
        <w:snapToGrid/>
        <w:spacing w:beforeAutospacing="0" w:afterAutospacing="0" w:line="560" w:lineRule="exact"/>
        <w:ind w:left="0" w:leftChars="0" w:right="0" w:rightChars="0" w:firstLine="640" w:firstLineChars="200"/>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当符合性审核合格供应商不足三家时，作废标处理。</w:t>
      </w:r>
    </w:p>
    <w:p>
      <w:pPr>
        <w:keepNext w:val="0"/>
        <w:keepLines w:val="0"/>
        <w:pageBreakBefore w:val="0"/>
        <w:kinsoku/>
        <w:overflowPunct/>
        <w:topLinePunct w:val="0"/>
        <w:bidi w:val="0"/>
        <w:spacing w:beforeAutospacing="0" w:afterAutospacing="0" w:line="560" w:lineRule="exact"/>
        <w:ind w:firstLine="640" w:firstLineChars="200"/>
        <w:rPr>
          <w:rFonts w:hint="eastAsia"/>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三</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综合评分表如下：</w:t>
      </w:r>
    </w:p>
    <w:tbl>
      <w:tblPr>
        <w:tblStyle w:val="14"/>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515"/>
        <w:gridCol w:w="1155"/>
        <w:gridCol w:w="6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90"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overflowPunct/>
              <w:topLinePunct w:val="0"/>
              <w:bidi w:val="0"/>
              <w:spacing w:beforeAutospacing="0" w:afterAutospacing="0" w:line="560" w:lineRule="exact"/>
              <w:jc w:val="center"/>
              <w:rPr>
                <w:rFonts w:hint="eastAsia" w:ascii="黑体" w:hAnsi="黑体" w:eastAsia="黑体" w:cs="宋体"/>
                <w:color w:val="auto"/>
                <w:kern w:val="2"/>
                <w:sz w:val="23"/>
                <w:szCs w:val="23"/>
                <w:highlight w:val="none"/>
                <w:lang w:val="en-US" w:eastAsia="zh-CN" w:bidi="ar-SA"/>
              </w:rPr>
            </w:pPr>
            <w:r>
              <w:rPr>
                <w:rFonts w:hint="eastAsia" w:ascii="黑体" w:hAnsi="黑体" w:eastAsia="黑体"/>
                <w:color w:val="auto"/>
                <w:sz w:val="23"/>
                <w:szCs w:val="23"/>
                <w:highlight w:val="none"/>
              </w:rPr>
              <w:t>评分项</w:t>
            </w:r>
          </w:p>
        </w:tc>
        <w:tc>
          <w:tcPr>
            <w:tcW w:w="151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overflowPunct/>
              <w:topLinePunct w:val="0"/>
              <w:bidi w:val="0"/>
              <w:spacing w:beforeAutospacing="0" w:afterAutospacing="0" w:line="560" w:lineRule="exact"/>
              <w:jc w:val="center"/>
              <w:rPr>
                <w:rFonts w:hint="default" w:ascii="黑体" w:hAnsi="黑体" w:eastAsia="黑体" w:cs="宋体"/>
                <w:color w:val="auto"/>
                <w:sz w:val="23"/>
                <w:szCs w:val="23"/>
                <w:highlight w:val="none"/>
                <w:lang w:val="en-US" w:eastAsia="zh-CN"/>
              </w:rPr>
            </w:pPr>
            <w:r>
              <w:rPr>
                <w:rFonts w:hint="eastAsia" w:ascii="黑体" w:hAnsi="黑体" w:eastAsia="黑体" w:cs="宋体"/>
                <w:color w:val="auto"/>
                <w:sz w:val="23"/>
                <w:szCs w:val="23"/>
                <w:highlight w:val="none"/>
                <w:lang w:val="en-US" w:eastAsia="zh-CN"/>
              </w:rPr>
              <w:t>评分因素</w:t>
            </w:r>
          </w:p>
        </w:tc>
        <w:tc>
          <w:tcPr>
            <w:tcW w:w="1155"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overflowPunct/>
              <w:topLinePunct w:val="0"/>
              <w:bidi w:val="0"/>
              <w:spacing w:beforeAutospacing="0" w:afterAutospacing="0" w:line="560" w:lineRule="exact"/>
              <w:jc w:val="center"/>
              <w:rPr>
                <w:rFonts w:hint="eastAsia" w:ascii="黑体" w:hAnsi="黑体" w:eastAsia="黑体"/>
                <w:color w:val="auto"/>
                <w:sz w:val="23"/>
                <w:szCs w:val="23"/>
                <w:highlight w:val="none"/>
              </w:rPr>
            </w:pPr>
            <w:r>
              <w:rPr>
                <w:rFonts w:hint="eastAsia" w:ascii="黑体" w:hAnsi="黑体" w:eastAsia="黑体"/>
                <w:color w:val="auto"/>
                <w:sz w:val="23"/>
                <w:szCs w:val="23"/>
                <w:highlight w:val="none"/>
                <w:lang w:val="en-US" w:eastAsia="zh-CN"/>
              </w:rPr>
              <w:t>分值</w:t>
            </w:r>
          </w:p>
        </w:tc>
        <w:tc>
          <w:tcPr>
            <w:tcW w:w="6007" w:type="dxa"/>
            <w:tcBorders>
              <w:top w:val="single" w:color="auto" w:sz="4" w:space="0"/>
              <w:left w:val="single" w:color="auto" w:sz="4" w:space="0"/>
              <w:bottom w:val="single" w:color="auto" w:sz="4" w:space="0"/>
              <w:right w:val="single" w:color="auto" w:sz="4" w:space="0"/>
            </w:tcBorders>
            <w:shd w:val="clear" w:color="auto" w:fill="DEEAF6" w:themeFill="accent1" w:themeFillTint="33"/>
            <w:vAlign w:val="center"/>
          </w:tcPr>
          <w:p>
            <w:pPr>
              <w:keepNext w:val="0"/>
              <w:keepLines w:val="0"/>
              <w:pageBreakBefore w:val="0"/>
              <w:kinsoku/>
              <w:overflowPunct/>
              <w:topLinePunct w:val="0"/>
              <w:bidi w:val="0"/>
              <w:spacing w:beforeAutospacing="0" w:afterAutospacing="0" w:line="560" w:lineRule="exact"/>
              <w:jc w:val="center"/>
              <w:rPr>
                <w:rFonts w:hint="default" w:ascii="黑体" w:hAnsi="黑体" w:eastAsia="黑体" w:cs="宋体"/>
                <w:color w:val="auto"/>
                <w:sz w:val="23"/>
                <w:szCs w:val="23"/>
                <w:highlight w:val="none"/>
                <w:lang w:val="en-US" w:eastAsia="zh-CN"/>
              </w:rPr>
            </w:pPr>
            <w:r>
              <w:rPr>
                <w:rFonts w:hint="eastAsia" w:ascii="黑体" w:hAnsi="黑体" w:eastAsia="黑体"/>
                <w:color w:val="auto"/>
                <w:sz w:val="23"/>
                <w:szCs w:val="23"/>
                <w:highlight w:val="no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beforeAutospacing="0" w:afterAutospacing="0" w:line="5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价格</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beforeAutospacing="0" w:afterAutospacing="0" w:line="560" w:lineRule="exact"/>
              <w:jc w:val="center"/>
              <w:rPr>
                <w:rFonts w:hint="eastAsia" w:ascii="仿宋_GB2312" w:hAnsi="宋体" w:eastAsia="仿宋_GB2312"/>
                <w:color w:val="auto"/>
                <w:szCs w:val="21"/>
                <w:highlight w:val="none"/>
                <w:lang w:val="en-US" w:eastAsia="zh-CN"/>
              </w:rPr>
            </w:pPr>
            <w:r>
              <w:rPr>
                <w:rFonts w:hint="eastAsia" w:ascii="仿宋_GB2312" w:hAnsi="宋体" w:eastAsia="仿宋_GB2312"/>
                <w:color w:val="auto"/>
                <w:szCs w:val="21"/>
                <w:highlight w:val="none"/>
                <w:lang w:val="en-US" w:eastAsia="zh-CN"/>
              </w:rPr>
              <w:t>报价</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beforeAutospacing="0" w:afterAutospacing="0" w:line="560" w:lineRule="exact"/>
              <w:jc w:val="center"/>
              <w:rPr>
                <w:rFonts w:hint="default" w:ascii="仿宋_GB2312" w:hAnsi="宋体" w:eastAsia="仿宋_GB2312"/>
                <w:color w:val="auto"/>
                <w:szCs w:val="21"/>
                <w:highlight w:val="none"/>
                <w:lang w:val="en-US" w:eastAsia="zh-CN"/>
              </w:rPr>
            </w:pPr>
            <w:r>
              <w:rPr>
                <w:rFonts w:hint="eastAsia" w:ascii="仿宋_GB2312" w:hAnsi="宋体" w:eastAsia="仿宋_GB2312"/>
                <w:color w:val="auto"/>
                <w:szCs w:val="21"/>
                <w:highlight w:val="none"/>
                <w:lang w:val="en-US" w:eastAsia="zh-CN"/>
              </w:rPr>
              <w:t>10</w:t>
            </w:r>
          </w:p>
        </w:tc>
        <w:tc>
          <w:tcPr>
            <w:tcW w:w="60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beforeAutospacing="0" w:afterAutospacing="0" w:line="560" w:lineRule="exact"/>
              <w:jc w:val="left"/>
              <w:rPr>
                <w:rFonts w:hint="eastAsia"/>
                <w:lang w:eastAsia="zh-CN"/>
              </w:rPr>
            </w:pPr>
            <w:r>
              <w:rPr>
                <w:rFonts w:hint="eastAsia" w:ascii="宋体" w:hAnsi="宋体" w:cs="宋体"/>
                <w:sz w:val="21"/>
                <w:szCs w:val="21"/>
              </w:rPr>
              <w:t>价格分计算方法：采用低价优先法计算，即满足招标文件要求且投标价格最低的投标报价为评标基准价，其价格分为满分。其他投标人的价格分统一按照下列公式计算：</w:t>
            </w:r>
            <w:r>
              <w:rPr>
                <w:rFonts w:hint="eastAsia" w:ascii="宋体" w:hAnsi="宋体" w:cs="宋体"/>
                <w:sz w:val="21"/>
                <w:szCs w:val="21"/>
              </w:rPr>
              <w:br w:type="textWrapping"/>
            </w:r>
            <w:r>
              <w:rPr>
                <w:rFonts w:hint="eastAsia" w:ascii="宋体" w:hAnsi="宋体" w:cs="宋体"/>
                <w:sz w:val="21"/>
                <w:szCs w:val="21"/>
              </w:rPr>
              <w:t>投标报价得分=</w:t>
            </w:r>
            <w:r>
              <w:rPr>
                <w:rFonts w:hint="eastAsia" w:ascii="宋体" w:hAnsi="宋体" w:cs="宋体"/>
                <w:sz w:val="21"/>
                <w:szCs w:val="21"/>
                <w:lang w:eastAsia="zh-CN"/>
              </w:rPr>
              <w:t>（</w:t>
            </w:r>
            <w:r>
              <w:rPr>
                <w:rFonts w:hint="eastAsia" w:ascii="宋体" w:hAnsi="宋体" w:cs="宋体"/>
                <w:sz w:val="21"/>
                <w:szCs w:val="21"/>
              </w:rPr>
              <w:t>评标基准价／投标报价</w:t>
            </w:r>
            <w:r>
              <w:rPr>
                <w:rFonts w:hint="eastAsia" w:ascii="宋体" w:hAnsi="宋体" w:cs="宋体"/>
                <w:sz w:val="21"/>
                <w:szCs w:val="21"/>
                <w:lang w:eastAsia="zh-CN"/>
              </w:rPr>
              <w:t>）</w:t>
            </w:r>
            <w:r>
              <w:rPr>
                <w:rFonts w:hint="eastAsia" w:ascii="宋体" w:hAnsi="宋体" w:cs="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beforeAutospacing="0" w:afterAutospacing="0" w:line="560" w:lineRule="exact"/>
              <w:jc w:val="center"/>
              <w:rPr>
                <w:rFonts w:hint="eastAsia" w:ascii="宋体" w:hAnsi="宋体" w:eastAsia="宋体" w:cs="宋体"/>
                <w:szCs w:val="21"/>
                <w:lang w:eastAsia="zh-CN"/>
              </w:rPr>
            </w:pPr>
            <w:r>
              <w:rPr>
                <w:rFonts w:hint="eastAsia" w:ascii="宋体" w:hAnsi="宋体" w:eastAsia="宋体" w:cs="宋体"/>
                <w:color w:val="auto"/>
                <w:szCs w:val="21"/>
                <w:highlight w:val="none"/>
                <w:lang w:val="en-US" w:eastAsia="zh-CN"/>
              </w:rPr>
              <w:t>技术部分</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beforeAutospacing="0" w:afterAutospacing="0" w:line="560" w:lineRule="exact"/>
              <w:jc w:val="center"/>
              <w:rPr>
                <w:rFonts w:hint="eastAsia" w:ascii="仿宋_GB2312" w:hAnsi="宋体" w:eastAsia="仿宋_GB2312" w:cs="宋体"/>
                <w:color w:val="auto"/>
                <w:szCs w:val="21"/>
                <w:highlight w:val="none"/>
              </w:rPr>
            </w:pPr>
            <w:r>
              <w:rPr>
                <w:rFonts w:hint="eastAsia" w:asciiTheme="minorEastAsia" w:hAnsiTheme="minorEastAsia" w:eastAsiaTheme="minorEastAsia"/>
                <w:szCs w:val="21"/>
              </w:rPr>
              <w:t>服务工作方案</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beforeAutospacing="0" w:afterAutospacing="0" w:line="560" w:lineRule="exact"/>
              <w:jc w:val="center"/>
              <w:rPr>
                <w:rFonts w:hint="default" w:ascii="仿宋_GB2312" w:hAnsi="宋体" w:eastAsia="仿宋_GB2312"/>
                <w:bCs/>
                <w:color w:val="auto"/>
                <w:szCs w:val="21"/>
                <w:highlight w:val="none"/>
                <w:lang w:val="en-US" w:eastAsia="zh-CN"/>
              </w:rPr>
            </w:pPr>
            <w:r>
              <w:rPr>
                <w:rFonts w:hint="eastAsia" w:ascii="仿宋_GB2312" w:hAnsi="宋体" w:eastAsia="仿宋_GB2312"/>
                <w:bCs/>
                <w:color w:val="auto"/>
                <w:szCs w:val="21"/>
                <w:highlight w:val="none"/>
                <w:lang w:val="en-US" w:eastAsia="zh-CN"/>
              </w:rPr>
              <w:t>15</w:t>
            </w:r>
          </w:p>
        </w:tc>
        <w:tc>
          <w:tcPr>
            <w:tcW w:w="60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beforeAutospacing="0" w:afterAutospacing="0" w:line="5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（一）评审内容</w:t>
            </w:r>
          </w:p>
          <w:p>
            <w:pPr>
              <w:keepNext w:val="0"/>
              <w:keepLines w:val="0"/>
              <w:pageBreakBefore w:val="0"/>
              <w:kinsoku/>
              <w:overflowPunct/>
              <w:topLinePunct w:val="0"/>
              <w:bidi w:val="0"/>
              <w:spacing w:beforeAutospacing="0" w:afterAutospacing="0" w:line="56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阐述项目的</w:t>
            </w:r>
            <w:r>
              <w:rPr>
                <w:rFonts w:hint="eastAsia" w:ascii="宋体" w:hAnsi="宋体" w:eastAsia="宋体" w:cs="宋体"/>
                <w:bCs/>
                <w:color w:val="auto"/>
                <w:szCs w:val="21"/>
                <w:highlight w:val="none"/>
                <w:lang w:val="en-US" w:eastAsia="zh-CN"/>
              </w:rPr>
              <w:t>服务工作方案</w:t>
            </w:r>
            <w:r>
              <w:rPr>
                <w:rFonts w:hint="eastAsia" w:ascii="宋体" w:hAnsi="宋体" w:eastAsia="宋体" w:cs="宋体"/>
                <w:bCs/>
                <w:color w:val="auto"/>
                <w:szCs w:val="21"/>
                <w:highlight w:val="none"/>
              </w:rPr>
              <w:t>；</w:t>
            </w:r>
          </w:p>
          <w:p>
            <w:pPr>
              <w:keepNext w:val="0"/>
              <w:keepLines w:val="0"/>
              <w:pageBreakBefore w:val="0"/>
              <w:numPr>
                <w:ilvl w:val="0"/>
                <w:numId w:val="0"/>
              </w:numPr>
              <w:kinsoku/>
              <w:overflowPunct/>
              <w:topLinePunct w:val="0"/>
              <w:bidi w:val="0"/>
              <w:spacing w:beforeAutospacing="0" w:afterAutospacing="0" w:line="560" w:lineRule="exact"/>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kern w:val="2"/>
                <w:sz w:val="21"/>
                <w:szCs w:val="21"/>
                <w:lang w:val="en-US" w:eastAsia="zh-CN" w:bidi="ar-SA"/>
              </w:rPr>
              <w:t>（1）针对如何开展教育局及下属单位内控编报的整体工作方案</w:t>
            </w:r>
            <w:r>
              <w:rPr>
                <w:rFonts w:hint="eastAsia" w:ascii="宋体" w:hAnsi="宋体" w:eastAsia="宋体" w:cs="宋体"/>
                <w:bCs/>
                <w:color w:val="auto"/>
                <w:szCs w:val="21"/>
                <w:highlight w:val="none"/>
                <w:lang w:val="en-US" w:eastAsia="zh-CN"/>
              </w:rPr>
              <w:t>；</w:t>
            </w:r>
          </w:p>
          <w:p>
            <w:pPr>
              <w:keepNext w:val="0"/>
              <w:keepLines w:val="0"/>
              <w:pageBreakBefore w:val="0"/>
              <w:numPr>
                <w:ilvl w:val="0"/>
                <w:numId w:val="0"/>
              </w:numPr>
              <w:kinsoku/>
              <w:overflowPunct/>
              <w:topLinePunct w:val="0"/>
              <w:bidi w:val="0"/>
              <w:spacing w:beforeAutospacing="0" w:afterAutospacing="0" w:line="560" w:lineRule="exact"/>
              <w:jc w:val="left"/>
              <w:rPr>
                <w:rFonts w:hint="eastAsia" w:ascii="宋体" w:hAnsi="宋体" w:eastAsia="宋体" w:cs="宋体"/>
                <w:bCs/>
                <w:color w:val="auto"/>
                <w:szCs w:val="21"/>
                <w:highlight w:val="none"/>
              </w:rPr>
            </w:pPr>
            <w:r>
              <w:rPr>
                <w:rFonts w:hint="eastAsia" w:ascii="宋体" w:hAnsi="宋体" w:eastAsia="宋体" w:cs="宋体"/>
                <w:bCs/>
                <w:color w:val="auto"/>
                <w:kern w:val="2"/>
                <w:sz w:val="21"/>
                <w:szCs w:val="21"/>
                <w:lang w:val="en-US" w:eastAsia="zh-CN" w:bidi="ar-SA"/>
              </w:rPr>
              <w:t>（2）</w:t>
            </w:r>
            <w:r>
              <w:rPr>
                <w:rFonts w:hint="eastAsia" w:ascii="宋体" w:hAnsi="宋体" w:eastAsia="宋体" w:cs="宋体"/>
                <w:bCs/>
                <w:color w:val="auto"/>
                <w:szCs w:val="21"/>
                <w:highlight w:val="none"/>
                <w:lang w:eastAsia="zh-CN"/>
              </w:rPr>
              <w:t>针对教育局本级风险评估、内控评价、内控编报工作的具体工作方案</w:t>
            </w:r>
            <w:r>
              <w:rPr>
                <w:rFonts w:hint="eastAsia" w:ascii="宋体" w:hAnsi="宋体" w:eastAsia="宋体" w:cs="宋体"/>
                <w:bCs/>
                <w:color w:val="auto"/>
                <w:szCs w:val="21"/>
                <w:highlight w:val="none"/>
              </w:rPr>
              <w:t xml:space="preserve">；  </w:t>
            </w:r>
          </w:p>
          <w:p>
            <w:pPr>
              <w:keepNext w:val="0"/>
              <w:keepLines w:val="0"/>
              <w:pageBreakBefore w:val="0"/>
              <w:kinsoku/>
              <w:overflowPunct/>
              <w:topLinePunct w:val="0"/>
              <w:bidi w:val="0"/>
              <w:spacing w:beforeAutospacing="0" w:afterAutospacing="0" w:line="560" w:lineRule="exact"/>
              <w:jc w:val="left"/>
              <w:rPr>
                <w:rFonts w:hint="eastAsia" w:ascii="宋体" w:hAnsi="宋体" w:eastAsia="宋体" w:cs="宋体"/>
                <w:bCs/>
                <w:color w:val="auto"/>
                <w:szCs w:val="21"/>
                <w:highlight w:val="yellow"/>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针对下属单位内控评价报告、内控报告收集、审核、咨询、汇总的具体工作方案</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 xml:space="preserve"> </w:t>
            </w:r>
          </w:p>
          <w:p>
            <w:pPr>
              <w:keepNext w:val="0"/>
              <w:keepLines w:val="0"/>
              <w:pageBreakBefore w:val="0"/>
              <w:kinsoku/>
              <w:overflowPunct/>
              <w:topLinePunct w:val="0"/>
              <w:bidi w:val="0"/>
              <w:spacing w:beforeAutospacing="0" w:afterAutospacing="0" w:line="56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满足以上</w:t>
            </w:r>
            <w:r>
              <w:rPr>
                <w:rFonts w:hint="eastAsia" w:ascii="宋体" w:hAnsi="宋体" w:eastAsia="宋体" w:cs="宋体"/>
                <w:bCs/>
                <w:color w:val="auto"/>
                <w:szCs w:val="21"/>
                <w:highlight w:val="none"/>
                <w:lang w:val="en-US" w:eastAsia="zh-CN"/>
              </w:rPr>
              <w:t>三</w:t>
            </w:r>
            <w:r>
              <w:rPr>
                <w:rFonts w:hint="eastAsia" w:ascii="宋体" w:hAnsi="宋体" w:eastAsia="宋体" w:cs="宋体"/>
                <w:bCs/>
                <w:color w:val="auto"/>
                <w:szCs w:val="21"/>
                <w:highlight w:val="none"/>
              </w:rPr>
              <w:t>点要求</w:t>
            </w:r>
            <w:r>
              <w:rPr>
                <w:rFonts w:hint="eastAsia" w:ascii="宋体" w:hAnsi="宋体" w:eastAsia="宋体" w:cs="宋体"/>
                <w:bCs/>
                <w:color w:val="auto"/>
                <w:szCs w:val="21"/>
                <w:highlight w:val="none"/>
                <w:lang w:eastAsia="zh-CN"/>
              </w:rPr>
              <w:t>的</w:t>
            </w:r>
            <w:r>
              <w:rPr>
                <w:rFonts w:hint="eastAsia" w:ascii="宋体" w:hAnsi="宋体" w:eastAsia="宋体" w:cs="宋体"/>
                <w:bCs/>
                <w:color w:val="auto"/>
                <w:szCs w:val="21"/>
                <w:highlight w:val="none"/>
                <w:lang w:val="en-US" w:eastAsia="zh-CN"/>
              </w:rPr>
              <w:t>得9</w:t>
            </w:r>
            <w:r>
              <w:rPr>
                <w:rFonts w:hint="eastAsia" w:ascii="宋体" w:hAnsi="宋体" w:eastAsia="宋体" w:cs="宋体"/>
                <w:bCs/>
                <w:color w:val="auto"/>
                <w:szCs w:val="21"/>
                <w:highlight w:val="none"/>
              </w:rPr>
              <w:t>，满足以上</w:t>
            </w:r>
            <w:r>
              <w:rPr>
                <w:rFonts w:hint="eastAsia" w:ascii="宋体" w:hAnsi="宋体" w:eastAsia="宋体" w:cs="宋体"/>
                <w:bCs/>
                <w:color w:val="auto"/>
                <w:szCs w:val="21"/>
                <w:highlight w:val="none"/>
                <w:lang w:val="en-US" w:eastAsia="zh-CN"/>
              </w:rPr>
              <w:t>两</w:t>
            </w:r>
            <w:r>
              <w:rPr>
                <w:rFonts w:hint="eastAsia" w:ascii="宋体" w:hAnsi="宋体" w:eastAsia="宋体" w:cs="宋体"/>
                <w:bCs/>
                <w:color w:val="auto"/>
                <w:szCs w:val="21"/>
                <w:highlight w:val="none"/>
              </w:rPr>
              <w:t>点的得</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，满足以上</w:t>
            </w:r>
            <w:r>
              <w:rPr>
                <w:rFonts w:hint="eastAsia" w:ascii="宋体" w:hAnsi="宋体" w:eastAsia="宋体" w:cs="宋体"/>
                <w:bCs/>
                <w:color w:val="auto"/>
                <w:szCs w:val="21"/>
                <w:highlight w:val="none"/>
                <w:lang w:val="en-US" w:eastAsia="zh-CN"/>
              </w:rPr>
              <w:t>一</w:t>
            </w:r>
            <w:r>
              <w:rPr>
                <w:rFonts w:hint="eastAsia" w:ascii="宋体" w:hAnsi="宋体" w:eastAsia="宋体" w:cs="宋体"/>
                <w:bCs/>
                <w:color w:val="auto"/>
                <w:szCs w:val="21"/>
                <w:highlight w:val="none"/>
              </w:rPr>
              <w:t>点的得</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，未满足不得</w:t>
            </w:r>
            <w:r>
              <w:rPr>
                <w:rFonts w:hint="eastAsia" w:ascii="宋体" w:hAnsi="宋体" w:eastAsia="宋体" w:cs="宋体"/>
                <w:bCs/>
                <w:color w:val="auto"/>
                <w:szCs w:val="21"/>
                <w:highlight w:val="none"/>
                <w:lang w:val="en-US" w:eastAsia="zh-CN"/>
              </w:rPr>
              <w:t>分</w:t>
            </w:r>
            <w:r>
              <w:rPr>
                <w:rFonts w:hint="eastAsia" w:ascii="宋体" w:hAnsi="宋体" w:eastAsia="宋体" w:cs="宋体"/>
                <w:bCs/>
                <w:color w:val="auto"/>
                <w:szCs w:val="21"/>
                <w:highlight w:val="none"/>
              </w:rPr>
              <w:t>。</w:t>
            </w:r>
          </w:p>
          <w:p>
            <w:pPr>
              <w:keepNext w:val="0"/>
              <w:keepLines w:val="0"/>
              <w:pageBreakBefore w:val="0"/>
              <w:kinsoku/>
              <w:overflowPunct/>
              <w:topLinePunct w:val="0"/>
              <w:bidi w:val="0"/>
              <w:spacing w:beforeAutospacing="0" w:afterAutospacing="0" w:line="560" w:lineRule="exact"/>
              <w:rPr>
                <w:rFonts w:hint="eastAsia" w:ascii="宋体" w:hAnsi="宋体" w:eastAsia="宋体" w:cs="宋体"/>
                <w:b/>
                <w:bCs/>
                <w:szCs w:val="21"/>
              </w:rPr>
            </w:pPr>
            <w:r>
              <w:rPr>
                <w:rFonts w:hint="eastAsia" w:ascii="宋体" w:hAnsi="宋体" w:eastAsia="宋体" w:cs="宋体"/>
                <w:b/>
                <w:bCs/>
                <w:szCs w:val="21"/>
              </w:rPr>
              <w:t>（</w:t>
            </w:r>
            <w:r>
              <w:rPr>
                <w:rFonts w:hint="eastAsia" w:ascii="宋体" w:hAnsi="宋体" w:eastAsia="宋体" w:cs="宋体"/>
                <w:b/>
                <w:bCs/>
                <w:color w:val="auto"/>
                <w:szCs w:val="21"/>
                <w:highlight w:val="none"/>
              </w:rPr>
              <w:t>二）评分标准</w:t>
            </w:r>
          </w:p>
          <w:p>
            <w:pPr>
              <w:keepNext w:val="0"/>
              <w:keepLines w:val="0"/>
              <w:pageBreakBefore w:val="0"/>
              <w:kinsoku/>
              <w:overflowPunct/>
              <w:topLinePunct w:val="0"/>
              <w:bidi w:val="0"/>
              <w:spacing w:beforeAutospacing="0" w:afterAutospacing="0" w:line="56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在此基础上，由评审委员会对具体响应内容进一步评审：</w:t>
            </w:r>
          </w:p>
          <w:p>
            <w:pPr>
              <w:keepNext w:val="0"/>
              <w:keepLines w:val="0"/>
              <w:pageBreakBefore w:val="0"/>
              <w:kinsoku/>
              <w:overflowPunct/>
              <w:topLinePunct w:val="0"/>
              <w:bidi w:val="0"/>
              <w:spacing w:beforeAutospacing="0" w:afterAutospacing="0" w:line="56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（1）评审为优：整体服务方案全面扎实，完全符合项目要求，能够有效达到项目目的，具有很好的可行性，得</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w:t>
            </w:r>
          </w:p>
          <w:p>
            <w:pPr>
              <w:keepNext w:val="0"/>
              <w:keepLines w:val="0"/>
              <w:pageBreakBefore w:val="0"/>
              <w:kinsoku/>
              <w:overflowPunct/>
              <w:topLinePunct w:val="0"/>
              <w:bidi w:val="0"/>
              <w:spacing w:beforeAutospacing="0" w:afterAutospacing="0" w:line="56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（2）评审为良：整体服务方案较为全面，基本符合项目要求，能够达到项目目的，具备较好的可行性，得</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w:t>
            </w:r>
          </w:p>
          <w:p>
            <w:pPr>
              <w:keepNext w:val="0"/>
              <w:keepLines w:val="0"/>
              <w:pageBreakBefore w:val="0"/>
              <w:kinsoku/>
              <w:overflowPunct/>
              <w:topLinePunct w:val="0"/>
              <w:bidi w:val="0"/>
              <w:spacing w:beforeAutospacing="0" w:afterAutospacing="0" w:line="56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（3）评审为中：整体服务方案一般，能符合项目要求，能够达到项目目的，具备一般的可行性，得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w:t>
            </w:r>
          </w:p>
          <w:p>
            <w:pPr>
              <w:keepNext w:val="0"/>
              <w:keepLines w:val="0"/>
              <w:pageBreakBefore w:val="0"/>
              <w:kinsoku/>
              <w:overflowPunct/>
              <w:topLinePunct w:val="0"/>
              <w:bidi w:val="0"/>
              <w:spacing w:beforeAutospacing="0" w:afterAutospacing="0" w:line="56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（4）评审为差：整体服务方案不完整，不符合项目要求，实施后较难达到项目目的，可行性较差，不得分。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beforeAutospacing="0" w:afterAutospacing="0" w:line="560" w:lineRule="exact"/>
              <w:jc w:val="center"/>
              <w:rPr>
                <w:rFonts w:hint="eastAsia" w:asciiTheme="minorEastAsia" w:hAnsiTheme="minorEastAsia" w:eastAsiaTheme="minorEastAsia"/>
                <w:szCs w:val="21"/>
              </w:rPr>
            </w:pPr>
            <w:r>
              <w:rPr>
                <w:rFonts w:hint="eastAsia" w:ascii="宋体" w:hAnsi="宋体" w:eastAsia="宋体" w:cs="宋体"/>
                <w:color w:val="auto"/>
                <w:szCs w:val="21"/>
                <w:highlight w:val="none"/>
                <w:lang w:val="en-US" w:eastAsia="zh-CN"/>
              </w:rPr>
              <w:t>技术部分</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beforeAutospacing="0" w:afterAutospacing="0" w:line="560" w:lineRule="exact"/>
              <w:jc w:val="center"/>
              <w:rPr>
                <w:rFonts w:hint="eastAsia" w:ascii="仿宋_GB2312" w:hAnsi="宋体" w:eastAsia="仿宋_GB2312"/>
                <w:bCs/>
                <w:color w:val="auto"/>
                <w:szCs w:val="21"/>
                <w:highlight w:val="none"/>
              </w:rPr>
            </w:pPr>
            <w:r>
              <w:rPr>
                <w:rFonts w:hint="eastAsia" w:asciiTheme="minorEastAsia" w:hAnsiTheme="minorEastAsia" w:eastAsiaTheme="minorEastAsia"/>
                <w:szCs w:val="21"/>
              </w:rPr>
              <w:t>服务项目重难点分析</w:t>
            </w:r>
            <w:r>
              <w:rPr>
                <w:rFonts w:hint="eastAsia" w:asciiTheme="minorEastAsia" w:hAnsiTheme="minorEastAsia"/>
                <w:szCs w:val="21"/>
                <w:lang w:val="en-US" w:eastAsia="zh-CN"/>
              </w:rPr>
              <w:t>及</w:t>
            </w:r>
            <w:r>
              <w:rPr>
                <w:rFonts w:hint="eastAsia" w:asciiTheme="minorEastAsia" w:hAnsiTheme="minorEastAsia" w:eastAsiaTheme="minorEastAsia"/>
                <w:szCs w:val="21"/>
              </w:rPr>
              <w:t>应对措施</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beforeAutospacing="0" w:afterAutospacing="0" w:line="560" w:lineRule="exact"/>
              <w:jc w:val="center"/>
              <w:rPr>
                <w:rFonts w:hint="default" w:ascii="仿宋_GB2312" w:hAnsi="宋体" w:eastAsia="仿宋_GB2312"/>
                <w:color w:val="auto"/>
                <w:szCs w:val="21"/>
                <w:highlight w:val="none"/>
                <w:lang w:val="en-US" w:eastAsia="zh-CN"/>
              </w:rPr>
            </w:pPr>
            <w:r>
              <w:rPr>
                <w:rFonts w:hint="eastAsia" w:ascii="仿宋_GB2312" w:hAnsi="宋体" w:eastAsia="仿宋_GB2312"/>
                <w:color w:val="auto"/>
                <w:szCs w:val="21"/>
                <w:highlight w:val="none"/>
                <w:lang w:val="en-US" w:eastAsia="zh-CN"/>
              </w:rPr>
              <w:t>15</w:t>
            </w:r>
          </w:p>
        </w:tc>
        <w:tc>
          <w:tcPr>
            <w:tcW w:w="600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（一）评审内容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（1）阐述项目的重</w:t>
            </w:r>
            <w:r>
              <w:rPr>
                <w:rFonts w:hint="eastAsia" w:ascii="宋体" w:hAnsi="宋体" w:eastAsia="宋体" w:cs="宋体"/>
                <w:bCs/>
                <w:color w:val="auto"/>
                <w:szCs w:val="21"/>
                <w:highlight w:val="none"/>
                <w:lang w:val="en-US" w:eastAsia="zh-CN"/>
              </w:rPr>
              <w:t>点</w:t>
            </w:r>
            <w:r>
              <w:rPr>
                <w:rFonts w:hint="eastAsia" w:ascii="宋体" w:hAnsi="宋体" w:eastAsia="宋体" w:cs="宋体"/>
                <w:bCs/>
                <w:color w:val="auto"/>
                <w:szCs w:val="21"/>
                <w:highlight w:val="none"/>
              </w:rPr>
              <w:t>内容</w:t>
            </w:r>
            <w:r>
              <w:rPr>
                <w:rFonts w:hint="eastAsia" w:ascii="宋体" w:hAnsi="宋体" w:eastAsia="宋体" w:cs="宋体"/>
                <w:bCs/>
                <w:color w:val="auto"/>
                <w:szCs w:val="21"/>
                <w:highlight w:val="none"/>
                <w:lang w:eastAsia="zh-CN"/>
              </w:rPr>
              <w:t>分析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阐述项目的</w:t>
            </w:r>
            <w:r>
              <w:rPr>
                <w:rFonts w:hint="eastAsia" w:ascii="宋体" w:hAnsi="宋体" w:eastAsia="宋体" w:cs="宋体"/>
                <w:bCs/>
                <w:color w:val="auto"/>
                <w:szCs w:val="21"/>
                <w:highlight w:val="none"/>
                <w:lang w:val="en-US" w:eastAsia="zh-CN"/>
              </w:rPr>
              <w:t>难点</w:t>
            </w:r>
            <w:r>
              <w:rPr>
                <w:rFonts w:hint="eastAsia" w:ascii="宋体" w:hAnsi="宋体" w:eastAsia="宋体" w:cs="宋体"/>
                <w:bCs/>
                <w:color w:val="auto"/>
                <w:szCs w:val="21"/>
                <w:highlight w:val="none"/>
              </w:rPr>
              <w:t>内容</w:t>
            </w:r>
            <w:r>
              <w:rPr>
                <w:rFonts w:hint="eastAsia" w:ascii="宋体" w:hAnsi="宋体" w:eastAsia="宋体" w:cs="宋体"/>
                <w:bCs/>
                <w:color w:val="auto"/>
                <w:szCs w:val="21"/>
                <w:highlight w:val="none"/>
                <w:lang w:eastAsia="zh-CN"/>
              </w:rPr>
              <w:t>分析</w:t>
            </w:r>
            <w:r>
              <w:rPr>
                <w:rFonts w:hint="eastAsia" w:ascii="宋体" w:hAnsi="宋体" w:eastAsia="宋体" w:cs="宋体"/>
                <w:bCs/>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）根据项目重难点</w:t>
            </w:r>
            <w:r>
              <w:rPr>
                <w:rFonts w:hint="eastAsia" w:ascii="宋体" w:hAnsi="宋体" w:eastAsia="宋体" w:cs="宋体"/>
                <w:bCs/>
                <w:color w:val="auto"/>
                <w:szCs w:val="21"/>
                <w:highlight w:val="none"/>
                <w:lang w:val="en-US" w:eastAsia="zh-CN"/>
              </w:rPr>
              <w:t>提出明确的</w:t>
            </w:r>
            <w:r>
              <w:rPr>
                <w:rFonts w:hint="eastAsia" w:ascii="宋体" w:hAnsi="宋体" w:eastAsia="宋体" w:cs="宋体"/>
                <w:bCs/>
                <w:color w:val="auto"/>
                <w:szCs w:val="21"/>
                <w:highlight w:val="none"/>
              </w:rPr>
              <w:t>应对措施；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提供的方案满足以上</w:t>
            </w:r>
            <w:r>
              <w:rPr>
                <w:rFonts w:hint="eastAsia" w:ascii="宋体" w:hAnsi="宋体" w:eastAsia="宋体" w:cs="宋体"/>
                <w:bCs/>
                <w:color w:val="auto"/>
                <w:szCs w:val="21"/>
                <w:highlight w:val="none"/>
                <w:lang w:val="en-US" w:eastAsia="zh-CN"/>
              </w:rPr>
              <w:t>三</w:t>
            </w:r>
            <w:r>
              <w:rPr>
                <w:rFonts w:hint="eastAsia" w:ascii="宋体" w:hAnsi="宋体" w:eastAsia="宋体" w:cs="宋体"/>
                <w:bCs/>
                <w:color w:val="auto"/>
                <w:szCs w:val="21"/>
                <w:highlight w:val="none"/>
              </w:rPr>
              <w:t>点的得</w:t>
            </w:r>
            <w:r>
              <w:rPr>
                <w:rFonts w:hint="eastAsia" w:ascii="宋体" w:hAnsi="宋体" w:eastAsia="宋体" w:cs="宋体"/>
                <w:bCs/>
                <w:color w:val="auto"/>
                <w:szCs w:val="21"/>
                <w:highlight w:val="none"/>
                <w:lang w:val="en-US" w:eastAsia="zh-CN"/>
              </w:rPr>
              <w:t>9</w:t>
            </w:r>
            <w:r>
              <w:rPr>
                <w:rFonts w:hint="eastAsia" w:ascii="宋体" w:hAnsi="宋体" w:eastAsia="宋体" w:cs="宋体"/>
                <w:bCs/>
                <w:color w:val="auto"/>
                <w:szCs w:val="21"/>
                <w:highlight w:val="none"/>
              </w:rPr>
              <w:t>，满足以上</w:t>
            </w:r>
            <w:r>
              <w:rPr>
                <w:rFonts w:hint="eastAsia" w:ascii="宋体" w:hAnsi="宋体" w:eastAsia="宋体" w:cs="宋体"/>
                <w:bCs/>
                <w:color w:val="auto"/>
                <w:szCs w:val="21"/>
                <w:highlight w:val="none"/>
                <w:lang w:val="en-US" w:eastAsia="zh-CN"/>
              </w:rPr>
              <w:t>两</w:t>
            </w:r>
            <w:r>
              <w:rPr>
                <w:rFonts w:hint="eastAsia" w:ascii="宋体" w:hAnsi="宋体" w:eastAsia="宋体" w:cs="宋体"/>
                <w:bCs/>
                <w:color w:val="auto"/>
                <w:szCs w:val="21"/>
                <w:highlight w:val="none"/>
              </w:rPr>
              <w:t>点的得</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，满足以上</w:t>
            </w:r>
            <w:r>
              <w:rPr>
                <w:rFonts w:hint="eastAsia" w:ascii="宋体" w:hAnsi="宋体" w:eastAsia="宋体" w:cs="宋体"/>
                <w:bCs/>
                <w:color w:val="auto"/>
                <w:szCs w:val="21"/>
                <w:highlight w:val="none"/>
                <w:lang w:val="en-US" w:eastAsia="zh-CN"/>
              </w:rPr>
              <w:t>一</w:t>
            </w:r>
            <w:r>
              <w:rPr>
                <w:rFonts w:hint="eastAsia" w:ascii="宋体" w:hAnsi="宋体" w:eastAsia="宋体" w:cs="宋体"/>
                <w:bCs/>
                <w:color w:val="auto"/>
                <w:szCs w:val="21"/>
                <w:highlight w:val="none"/>
              </w:rPr>
              <w:t>点的得</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，未满足不得分。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（二）评分标准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在此基础上，由评审委员会对具体响应内容进一步评审：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（1）评审为优：对项目认识理解透彻，重难点分析合理，对应措施可行性强，得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（2）评审为良：对项目认识理解较透彻，重难点分析较合理，对应措施可行性较强，得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（3）评审为中：对项目认识理解一般，重难点分析一般，对应措施可行性一般，得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（4）评审为差：对项目认识理解浅显，重难点分析不合理，对应措施可行性差，不得分。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1"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beforeAutospacing="0" w:afterAutospacing="0" w:line="5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技术部分</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beforeAutospacing="0" w:afterAutospacing="0" w:line="560" w:lineRule="exact"/>
              <w:jc w:val="center"/>
              <w:rPr>
                <w:rFonts w:hint="eastAsia" w:asciiTheme="minorEastAsia" w:hAnsiTheme="minorEastAsia" w:eastAsiaTheme="minorEastAsia"/>
                <w:szCs w:val="21"/>
              </w:rPr>
            </w:pPr>
            <w:r>
              <w:rPr>
                <w:rFonts w:hint="eastAsia"/>
                <w:sz w:val="24"/>
              </w:rPr>
              <w:t>质量保障措施及方案</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beforeAutospacing="0" w:afterAutospacing="0" w:line="560" w:lineRule="exact"/>
              <w:jc w:val="center"/>
              <w:rPr>
                <w:rFonts w:hint="default" w:ascii="仿宋_GB2312" w:hAnsi="宋体" w:eastAsia="仿宋_GB2312"/>
                <w:color w:val="auto"/>
                <w:szCs w:val="21"/>
                <w:highlight w:val="none"/>
                <w:lang w:val="en-US" w:eastAsia="zh-CN"/>
              </w:rPr>
            </w:pPr>
            <w:r>
              <w:rPr>
                <w:rFonts w:hint="eastAsia" w:ascii="仿宋_GB2312" w:hAnsi="宋体" w:eastAsia="仿宋_GB2312"/>
                <w:color w:val="auto"/>
                <w:szCs w:val="21"/>
                <w:highlight w:val="none"/>
                <w:lang w:val="en-US" w:eastAsia="zh-CN"/>
              </w:rPr>
              <w:t>10</w:t>
            </w:r>
          </w:p>
        </w:tc>
        <w:tc>
          <w:tcPr>
            <w:tcW w:w="600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（一）评审内容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（1）分阶段项目时间安排、工作进度与阶段性成果；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（2）为保障按时按质完成项目所制定的时间管理制度与措施、质量管理制度与措施；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（3）突发情况下的应急保障措施及方案；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（二）评分标准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每满足以上一项内容得2分，全部提供得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分，未满足不得分。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在此基础上，由评审委员会对具体响应内容进一步评审：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（1）评审为优：方案全面，科学合理，保证措施可行性强，应急措施全面周到，加4分；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（2）评审为良：方案较全面，较科学合理，保证措施可行性较强，应急措施较全面周到，加</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（3）评审为中：方案不够全面，科学合理性一般，保证措施可行性一般，应急措施基本到位，加</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rPr>
            </w:pPr>
            <w:r>
              <w:rPr>
                <w:rFonts w:hint="eastAsia" w:ascii="宋体" w:hAnsi="宋体" w:eastAsia="宋体" w:cs="宋体"/>
                <w:color w:val="auto"/>
                <w:szCs w:val="21"/>
                <w:highlight w:val="none"/>
              </w:rPr>
              <w:t>（4）评审为差：方案不全面，不科学合理，保证措施可行性差，应急措施不到位，不加分。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beforeAutospacing="0" w:afterAutospacing="0" w:line="560" w:lineRule="exact"/>
              <w:jc w:val="center"/>
              <w:rPr>
                <w:rFonts w:hint="eastAsia" w:ascii="仿宋_GB2312" w:hAnsi="宋体" w:eastAsia="仿宋_GB2312" w:cs="宋体"/>
                <w:color w:val="auto"/>
                <w:szCs w:val="21"/>
                <w:highlight w:val="none"/>
              </w:rPr>
            </w:pPr>
            <w:r>
              <w:rPr>
                <w:rFonts w:hint="eastAsia" w:ascii="黑体" w:hAnsi="黑体" w:eastAsia="黑体"/>
                <w:color w:val="auto"/>
                <w:sz w:val="23"/>
                <w:szCs w:val="23"/>
                <w:highlight w:val="none"/>
              </w:rPr>
              <w:t>评分项</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beforeAutospacing="0" w:afterAutospacing="0" w:line="560" w:lineRule="exact"/>
              <w:jc w:val="center"/>
              <w:rPr>
                <w:rFonts w:hint="eastAsia" w:ascii="仿宋_GB2312" w:hAnsi="宋体" w:eastAsia="仿宋_GB2312" w:cs="宋体"/>
                <w:color w:val="auto"/>
                <w:szCs w:val="21"/>
                <w:highlight w:val="none"/>
              </w:rPr>
            </w:pPr>
            <w:r>
              <w:rPr>
                <w:rFonts w:hint="eastAsia" w:ascii="黑体" w:hAnsi="黑体" w:eastAsia="黑体" w:cs="宋体"/>
                <w:color w:val="auto"/>
                <w:sz w:val="23"/>
                <w:szCs w:val="23"/>
                <w:highlight w:val="none"/>
                <w:lang w:val="en-US" w:eastAsia="zh-CN"/>
              </w:rPr>
              <w:t>评分因素</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beforeAutospacing="0" w:afterAutospacing="0" w:line="560" w:lineRule="exact"/>
              <w:jc w:val="center"/>
              <w:rPr>
                <w:rFonts w:hint="eastAsia" w:ascii="仿宋_GB2312" w:hAnsi="宋体" w:eastAsia="仿宋_GB2312" w:cs="宋体"/>
                <w:color w:val="auto"/>
                <w:szCs w:val="21"/>
                <w:highlight w:val="none"/>
              </w:rPr>
            </w:pPr>
            <w:r>
              <w:rPr>
                <w:rFonts w:hint="eastAsia" w:ascii="黑体" w:hAnsi="黑体" w:eastAsia="黑体"/>
                <w:color w:val="auto"/>
                <w:sz w:val="23"/>
                <w:szCs w:val="23"/>
                <w:highlight w:val="none"/>
                <w:lang w:val="en-US" w:eastAsia="zh-CN"/>
              </w:rPr>
              <w:t>分值</w:t>
            </w:r>
          </w:p>
        </w:tc>
        <w:tc>
          <w:tcPr>
            <w:tcW w:w="60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beforeAutospacing="0" w:afterAutospacing="0" w:line="560" w:lineRule="exact"/>
              <w:jc w:val="center"/>
              <w:rPr>
                <w:rFonts w:hint="eastAsia" w:ascii="仿宋_GB2312" w:hAnsi="宋体" w:eastAsia="仿宋_GB2312" w:cs="宋体"/>
                <w:color w:val="auto"/>
                <w:szCs w:val="21"/>
                <w:highlight w:val="none"/>
              </w:rPr>
            </w:pPr>
            <w:r>
              <w:rPr>
                <w:rFonts w:hint="eastAsia" w:ascii="黑体" w:hAnsi="黑体" w:eastAsia="黑体"/>
                <w:color w:val="auto"/>
                <w:sz w:val="23"/>
                <w:szCs w:val="23"/>
                <w:highlight w:val="no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beforeAutospacing="0" w:afterAutospacing="0" w:line="560" w:lineRule="exact"/>
              <w:jc w:val="center"/>
              <w:rPr>
                <w:rFonts w:hint="eastAsia" w:ascii="仿宋_GB2312" w:hAnsi="宋体" w:eastAsia="仿宋_GB2312" w:cs="宋体"/>
                <w:color w:val="auto"/>
                <w:szCs w:val="21"/>
                <w:highlight w:val="none"/>
                <w:lang w:eastAsia="zh-CN"/>
              </w:rPr>
            </w:pPr>
            <w:r>
              <w:rPr>
                <w:rFonts w:hint="eastAsia" w:ascii="仿宋_GB2312" w:hAnsi="宋体" w:eastAsia="仿宋_GB2312" w:cs="宋体"/>
                <w:color w:val="auto"/>
                <w:szCs w:val="21"/>
                <w:highlight w:val="none"/>
                <w:lang w:val="en-US" w:eastAsia="zh-CN"/>
              </w:rPr>
              <w:t>商务部分</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beforeAutospacing="0" w:afterAutospacing="0" w:line="560" w:lineRule="exact"/>
              <w:jc w:val="center"/>
              <w:rPr>
                <w:rFonts w:hint="eastAsia" w:ascii="仿宋_GB2312" w:hAnsi="宋体" w:eastAsia="仿宋_GB2312"/>
                <w:color w:val="auto"/>
                <w:szCs w:val="21"/>
                <w:highlight w:val="none"/>
              </w:rPr>
            </w:pPr>
            <w:r>
              <w:rPr>
                <w:rFonts w:hint="eastAsia" w:ascii="仿宋_GB2312" w:hAnsi="宋体" w:eastAsia="仿宋_GB2312" w:cs="宋体"/>
                <w:color w:val="auto"/>
                <w:kern w:val="0"/>
                <w:szCs w:val="21"/>
                <w:highlight w:val="none"/>
                <w:lang w:bidi="ar"/>
              </w:rPr>
              <w:t>投标人同类项目业绩情况</w:t>
            </w:r>
          </w:p>
          <w:p>
            <w:pPr>
              <w:keepNext w:val="0"/>
              <w:keepLines w:val="0"/>
              <w:pageBreakBefore w:val="0"/>
              <w:kinsoku/>
              <w:overflowPunct/>
              <w:topLinePunct w:val="0"/>
              <w:bidi w:val="0"/>
              <w:spacing w:beforeAutospacing="0" w:afterAutospacing="0" w:line="560" w:lineRule="exact"/>
              <w:jc w:val="center"/>
              <w:rPr>
                <w:rFonts w:hint="eastAsia" w:ascii="仿宋_GB2312" w:hAnsi="宋体" w:eastAsia="仿宋_GB2312" w:cs="宋体"/>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beforeAutospacing="0" w:afterAutospacing="0" w:line="560" w:lineRule="exact"/>
              <w:jc w:val="center"/>
              <w:rPr>
                <w:rFonts w:hint="default" w:ascii="仿宋_GB2312" w:hAnsi="宋体" w:eastAsia="仿宋_GB2312" w:cs="宋体"/>
                <w:color w:val="auto"/>
                <w:szCs w:val="21"/>
                <w:highlight w:val="none"/>
                <w:lang w:val="en-US" w:eastAsia="zh-CN"/>
              </w:rPr>
            </w:pPr>
            <w:r>
              <w:rPr>
                <w:rFonts w:hint="eastAsia" w:ascii="仿宋_GB2312" w:hAnsi="宋体" w:eastAsia="仿宋_GB2312"/>
                <w:color w:val="auto"/>
                <w:szCs w:val="21"/>
                <w:highlight w:val="none"/>
                <w:lang w:val="en-US" w:eastAsia="zh-CN"/>
              </w:rPr>
              <w:t>20</w:t>
            </w:r>
          </w:p>
        </w:tc>
        <w:tc>
          <w:tcPr>
            <w:tcW w:w="600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overflowPunct/>
              <w:topLinePunct w:val="0"/>
              <w:bidi w:val="0"/>
              <w:spacing w:beforeAutospacing="0" w:afterAutospacing="0" w:line="560" w:lineRule="exact"/>
              <w:jc w:val="left"/>
              <w:rPr>
                <w:rFonts w:hint="eastAsia" w:ascii="仿宋_GB2312" w:hAnsi="宋体" w:eastAsia="仿宋_GB2312"/>
                <w:b/>
                <w:bCs/>
                <w:color w:val="auto"/>
                <w:szCs w:val="21"/>
                <w:highlight w:val="none"/>
              </w:rPr>
            </w:pPr>
            <w:r>
              <w:rPr>
                <w:rFonts w:hint="eastAsia" w:ascii="仿宋_GB2312" w:hAnsi="宋体" w:eastAsia="仿宋_GB2312"/>
                <w:b/>
                <w:bCs/>
                <w:color w:val="auto"/>
                <w:szCs w:val="21"/>
                <w:highlight w:val="none"/>
              </w:rPr>
              <w:t xml:space="preserve">（一）评审内容： </w:t>
            </w:r>
          </w:p>
          <w:p>
            <w:pPr>
              <w:keepNext w:val="0"/>
              <w:keepLines w:val="0"/>
              <w:pageBreakBefore w:val="0"/>
              <w:kinsoku/>
              <w:wordWrap w:val="0"/>
              <w:overflowPunct/>
              <w:topLinePunct w:val="0"/>
              <w:bidi w:val="0"/>
              <w:spacing w:beforeAutospacing="0" w:afterAutospacing="0" w:line="560" w:lineRule="exact"/>
              <w:rPr>
                <w:rFonts w:hint="eastAsia" w:ascii="仿宋_GB2312" w:hAnsi="宋体" w:eastAsia="仿宋_GB2312"/>
                <w:color w:val="auto"/>
                <w:szCs w:val="21"/>
                <w:highlight w:val="none"/>
              </w:rPr>
            </w:pPr>
            <w:r>
              <w:rPr>
                <w:rFonts w:hint="eastAsia" w:ascii="仿宋_GB2312" w:hAnsi="宋体" w:eastAsia="仿宋_GB2312"/>
                <w:color w:val="auto"/>
                <w:szCs w:val="21"/>
                <w:highlight w:val="none"/>
              </w:rPr>
              <w:t>投标人自 202</w:t>
            </w:r>
            <w:r>
              <w:rPr>
                <w:rFonts w:hint="eastAsia" w:ascii="仿宋_GB2312" w:hAnsi="宋体" w:eastAsia="仿宋_GB2312"/>
                <w:color w:val="auto"/>
                <w:szCs w:val="21"/>
                <w:highlight w:val="none"/>
                <w:lang w:val="en-US" w:eastAsia="zh-CN"/>
              </w:rPr>
              <w:t>2</w:t>
            </w:r>
            <w:r>
              <w:rPr>
                <w:rFonts w:hint="eastAsia" w:ascii="仿宋_GB2312" w:hAnsi="宋体" w:eastAsia="仿宋_GB2312"/>
                <w:color w:val="auto"/>
                <w:szCs w:val="21"/>
                <w:highlight w:val="none"/>
              </w:rPr>
              <w:t>年1月1日至本项目投标截止日，以合同签订日期为准</w:t>
            </w:r>
            <w:r>
              <w:rPr>
                <w:rFonts w:hint="eastAsia" w:ascii="仿宋_GB2312" w:hAnsi="宋体" w:eastAsia="仿宋_GB2312"/>
                <w:color w:val="auto"/>
                <w:szCs w:val="21"/>
                <w:highlight w:val="none"/>
                <w:lang w:eastAsia="zh-CN"/>
              </w:rPr>
              <w:t>；</w:t>
            </w:r>
            <w:r>
              <w:rPr>
                <w:rFonts w:hint="eastAsia" w:ascii="仿宋_GB2312" w:hAnsi="宋体" w:eastAsia="仿宋_GB2312"/>
                <w:color w:val="auto"/>
                <w:szCs w:val="21"/>
                <w:highlight w:val="none"/>
              </w:rPr>
              <w:t>每提供一项</w:t>
            </w:r>
            <w:r>
              <w:rPr>
                <w:rFonts w:hint="eastAsia" w:ascii="仿宋_GB2312" w:hAnsi="宋体" w:eastAsia="仿宋_GB2312"/>
                <w:color w:val="auto"/>
                <w:szCs w:val="21"/>
                <w:highlight w:val="none"/>
                <w:lang w:val="en-US" w:eastAsia="zh-CN"/>
              </w:rPr>
              <w:t>内部控制编报</w:t>
            </w:r>
            <w:r>
              <w:rPr>
                <w:rFonts w:hint="eastAsia" w:ascii="仿宋_GB2312" w:hAnsi="宋体" w:eastAsia="仿宋_GB2312"/>
                <w:color w:val="auto"/>
                <w:szCs w:val="21"/>
                <w:highlight w:val="none"/>
              </w:rPr>
              <w:t>同类项目得</w:t>
            </w:r>
            <w:r>
              <w:rPr>
                <w:rFonts w:hint="eastAsia" w:ascii="仿宋_GB2312" w:hAnsi="宋体" w:eastAsia="仿宋_GB2312"/>
                <w:color w:val="auto"/>
                <w:szCs w:val="21"/>
                <w:highlight w:val="none"/>
                <w:lang w:val="en-US" w:eastAsia="zh-CN"/>
              </w:rPr>
              <w:t>5</w:t>
            </w:r>
            <w:r>
              <w:rPr>
                <w:rFonts w:hint="eastAsia" w:ascii="仿宋_GB2312" w:hAnsi="宋体" w:eastAsia="仿宋_GB2312"/>
                <w:color w:val="auto"/>
                <w:szCs w:val="21"/>
                <w:highlight w:val="none"/>
              </w:rPr>
              <w:t>，最高得</w:t>
            </w:r>
            <w:r>
              <w:rPr>
                <w:rFonts w:hint="eastAsia" w:ascii="仿宋_GB2312" w:hAnsi="宋体" w:eastAsia="仿宋_GB2312"/>
                <w:color w:val="auto"/>
                <w:szCs w:val="21"/>
                <w:highlight w:val="none"/>
                <w:lang w:val="en-US" w:eastAsia="zh-CN"/>
              </w:rPr>
              <w:t>20</w:t>
            </w:r>
            <w:r>
              <w:rPr>
                <w:rFonts w:hint="eastAsia" w:ascii="仿宋_GB2312" w:hAnsi="宋体" w:eastAsia="仿宋_GB2312"/>
                <w:color w:val="auto"/>
                <w:szCs w:val="21"/>
                <w:highlight w:val="none"/>
              </w:rPr>
              <w:t>。</w:t>
            </w:r>
          </w:p>
          <w:p>
            <w:pPr>
              <w:keepNext w:val="0"/>
              <w:keepLines w:val="0"/>
              <w:pageBreakBefore w:val="0"/>
              <w:widowControl/>
              <w:kinsoku/>
              <w:overflowPunct/>
              <w:topLinePunct w:val="0"/>
              <w:bidi w:val="0"/>
              <w:spacing w:beforeAutospacing="0" w:afterAutospacing="0" w:line="560" w:lineRule="exact"/>
              <w:jc w:val="left"/>
              <w:rPr>
                <w:rFonts w:hint="eastAsia" w:ascii="仿宋_GB2312" w:hAnsi="宋体" w:eastAsia="仿宋_GB2312"/>
                <w:b/>
                <w:bCs/>
                <w:color w:val="auto"/>
                <w:szCs w:val="21"/>
                <w:highlight w:val="none"/>
              </w:rPr>
            </w:pPr>
            <w:r>
              <w:rPr>
                <w:rFonts w:hint="eastAsia" w:ascii="仿宋_GB2312" w:hAnsi="宋体" w:eastAsia="仿宋_GB2312"/>
                <w:b/>
                <w:bCs/>
                <w:color w:val="auto"/>
                <w:szCs w:val="21"/>
                <w:highlight w:val="none"/>
              </w:rPr>
              <w:t xml:space="preserve">（二）评分依据： </w:t>
            </w:r>
          </w:p>
          <w:p>
            <w:pPr>
              <w:keepNext w:val="0"/>
              <w:keepLines w:val="0"/>
              <w:pageBreakBefore w:val="0"/>
              <w:widowControl/>
              <w:numPr>
                <w:ilvl w:val="0"/>
                <w:numId w:val="0"/>
              </w:numPr>
              <w:kinsoku/>
              <w:overflowPunct/>
              <w:topLinePunct w:val="0"/>
              <w:bidi w:val="0"/>
              <w:spacing w:beforeAutospacing="0" w:afterAutospacing="0" w:line="560" w:lineRule="exact"/>
              <w:jc w:val="left"/>
              <w:rPr>
                <w:rFonts w:hint="eastAsia" w:ascii="仿宋_GB2312" w:hAnsi="宋体" w:eastAsia="仿宋_GB2312" w:cs="宋体"/>
                <w:color w:val="auto"/>
                <w:szCs w:val="21"/>
                <w:highlight w:val="none"/>
              </w:rPr>
            </w:pPr>
            <w:r>
              <w:rPr>
                <w:rFonts w:hint="eastAsia" w:ascii="仿宋_GB2312" w:hAnsi="宋体" w:eastAsia="仿宋_GB2312"/>
                <w:color w:val="auto"/>
                <w:szCs w:val="21"/>
                <w:highlight w:val="none"/>
              </w:rPr>
              <w:t>提供</w:t>
            </w:r>
            <w:r>
              <w:rPr>
                <w:rFonts w:hint="eastAsia" w:ascii="仿宋_GB2312" w:hAnsi="宋体" w:eastAsia="仿宋_GB2312"/>
                <w:color w:val="auto"/>
                <w:szCs w:val="21"/>
                <w:highlight w:val="none"/>
                <w:lang w:eastAsia="zh-CN"/>
              </w:rPr>
              <w:t>项目</w:t>
            </w:r>
            <w:r>
              <w:rPr>
                <w:rFonts w:hint="eastAsia" w:ascii="仿宋_GB2312" w:hAnsi="宋体" w:eastAsia="仿宋_GB2312"/>
                <w:color w:val="auto"/>
                <w:szCs w:val="21"/>
                <w:highlight w:val="none"/>
              </w:rPr>
              <w:t>合同关键信息</w:t>
            </w:r>
            <w:r>
              <w:rPr>
                <w:rFonts w:hint="eastAsia" w:ascii="仿宋_GB2312" w:hAnsi="宋体" w:eastAsia="仿宋_GB2312" w:cs="宋体"/>
                <w:color w:val="auto"/>
                <w:szCs w:val="21"/>
                <w:highlight w:val="none"/>
              </w:rPr>
              <w:t>页</w:t>
            </w:r>
            <w:r>
              <w:rPr>
                <w:rFonts w:hint="eastAsia" w:ascii="仿宋_GB2312" w:hAnsi="宋体" w:eastAsia="仿宋_GB2312"/>
                <w:bCs/>
                <w:color w:val="auto"/>
                <w:szCs w:val="21"/>
                <w:highlight w:val="none"/>
              </w:rPr>
              <w:t>（关键信息包括但不仅限于合同的项目名称、服务内容、签订日期等）</w:t>
            </w:r>
            <w:r>
              <w:rPr>
                <w:rFonts w:hint="eastAsia" w:ascii="仿宋_GB2312" w:hAnsi="宋体" w:eastAsia="仿宋_GB2312" w:cs="宋体"/>
                <w:color w:val="auto"/>
                <w:szCs w:val="21"/>
                <w:highlight w:val="none"/>
              </w:rPr>
              <w:t>，原件备查；</w:t>
            </w:r>
          </w:p>
          <w:p>
            <w:pPr>
              <w:keepNext w:val="0"/>
              <w:keepLines w:val="0"/>
              <w:pageBreakBefore w:val="0"/>
              <w:widowControl/>
              <w:kinsoku/>
              <w:overflowPunct/>
              <w:topLinePunct w:val="0"/>
              <w:bidi w:val="0"/>
              <w:spacing w:beforeAutospacing="0" w:afterAutospacing="0" w:line="560" w:lineRule="exact"/>
              <w:jc w:val="left"/>
              <w:rPr>
                <w:rFonts w:hint="eastAsia" w:ascii="仿宋_GB2312" w:hAnsi="宋体" w:eastAsia="仿宋_GB2312"/>
                <w:color w:val="auto"/>
                <w:szCs w:val="21"/>
                <w:highlight w:val="none"/>
              </w:rPr>
            </w:pPr>
            <w:r>
              <w:rPr>
                <w:rFonts w:hint="eastAsia" w:ascii="仿宋_GB2312" w:hAnsi="宋体" w:eastAsia="仿宋_GB2312"/>
                <w:color w:val="auto"/>
                <w:szCs w:val="21"/>
                <w:highlight w:val="none"/>
              </w:rPr>
              <w:t xml:space="preserve">评分中出现无证明资料或专家无法凭所提供资料判断是否得分的情况，一律作不得分处理。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beforeAutospacing="0" w:afterAutospacing="0" w:line="560" w:lineRule="exact"/>
              <w:rPr>
                <w:rFonts w:hint="eastAsia" w:ascii="仿宋_GB2312" w:hAnsi="宋体" w:eastAsia="仿宋_GB2312"/>
                <w:bCs/>
                <w:color w:val="auto"/>
                <w:szCs w:val="21"/>
                <w:highlight w:val="none"/>
              </w:rPr>
            </w:pPr>
            <w:r>
              <w:rPr>
                <w:rFonts w:hint="eastAsia" w:ascii="仿宋_GB2312" w:hAnsi="宋体" w:eastAsia="仿宋_GB2312" w:cs="宋体"/>
                <w:color w:val="auto"/>
                <w:szCs w:val="21"/>
                <w:highlight w:val="none"/>
                <w:lang w:val="en-US" w:eastAsia="zh-CN"/>
              </w:rPr>
              <w:t>商务部分</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beforeAutospacing="0" w:afterAutospacing="0" w:line="560" w:lineRule="exact"/>
              <w:rPr>
                <w:rFonts w:hint="eastAsia" w:ascii="仿宋_GB2312" w:hAnsi="宋体" w:eastAsia="仿宋_GB2312"/>
                <w:bCs/>
                <w:color w:val="auto"/>
                <w:szCs w:val="21"/>
                <w:highlight w:val="none"/>
              </w:rPr>
            </w:pPr>
          </w:p>
          <w:p>
            <w:pPr>
              <w:keepNext w:val="0"/>
              <w:keepLines w:val="0"/>
              <w:pageBreakBefore w:val="0"/>
              <w:kinsoku/>
              <w:overflowPunct/>
              <w:topLinePunct w:val="0"/>
              <w:bidi w:val="0"/>
              <w:spacing w:beforeAutospacing="0" w:afterAutospacing="0" w:line="560" w:lineRule="exact"/>
              <w:rPr>
                <w:rFonts w:hint="eastAsia" w:ascii="仿宋_GB2312" w:hAnsi="宋体" w:eastAsia="仿宋_GB2312"/>
                <w:bCs/>
                <w:color w:val="auto"/>
                <w:szCs w:val="21"/>
                <w:highlight w:val="none"/>
              </w:rPr>
            </w:pPr>
          </w:p>
          <w:p>
            <w:pPr>
              <w:keepNext w:val="0"/>
              <w:keepLines w:val="0"/>
              <w:pageBreakBefore w:val="0"/>
              <w:kinsoku/>
              <w:overflowPunct/>
              <w:topLinePunct w:val="0"/>
              <w:bidi w:val="0"/>
              <w:spacing w:beforeAutospacing="0" w:afterAutospacing="0" w:line="560" w:lineRule="exact"/>
              <w:rPr>
                <w:rFonts w:hint="eastAsia" w:ascii="仿宋_GB2312" w:hAnsi="宋体" w:eastAsia="仿宋_GB2312"/>
                <w:bCs/>
                <w:color w:val="auto"/>
                <w:szCs w:val="21"/>
                <w:highlight w:val="none"/>
              </w:rPr>
            </w:pPr>
          </w:p>
          <w:p>
            <w:pPr>
              <w:keepNext w:val="0"/>
              <w:keepLines w:val="0"/>
              <w:pageBreakBefore w:val="0"/>
              <w:kinsoku/>
              <w:overflowPunct/>
              <w:topLinePunct w:val="0"/>
              <w:bidi w:val="0"/>
              <w:spacing w:beforeAutospacing="0" w:afterAutospacing="0" w:line="560" w:lineRule="exact"/>
              <w:rPr>
                <w:rFonts w:hint="eastAsia" w:ascii="仿宋_GB2312" w:hAnsi="宋体" w:eastAsia="仿宋_GB2312"/>
                <w:bCs/>
                <w:color w:val="auto"/>
                <w:szCs w:val="21"/>
                <w:highlight w:val="none"/>
              </w:rPr>
            </w:pPr>
          </w:p>
          <w:p>
            <w:pPr>
              <w:keepNext w:val="0"/>
              <w:keepLines w:val="0"/>
              <w:pageBreakBefore w:val="0"/>
              <w:kinsoku/>
              <w:overflowPunct/>
              <w:topLinePunct w:val="0"/>
              <w:bidi w:val="0"/>
              <w:spacing w:beforeAutospacing="0" w:afterAutospacing="0" w:line="560" w:lineRule="exact"/>
              <w:rPr>
                <w:rFonts w:hint="eastAsia" w:ascii="仿宋_GB2312" w:hAnsi="宋体" w:eastAsia="仿宋_GB2312"/>
                <w:bCs/>
                <w:color w:val="auto"/>
                <w:szCs w:val="21"/>
                <w:highlight w:val="none"/>
              </w:rPr>
            </w:pPr>
          </w:p>
          <w:p>
            <w:pPr>
              <w:keepNext w:val="0"/>
              <w:keepLines w:val="0"/>
              <w:pageBreakBefore w:val="0"/>
              <w:kinsoku/>
              <w:overflowPunct/>
              <w:topLinePunct w:val="0"/>
              <w:bidi w:val="0"/>
              <w:spacing w:beforeAutospacing="0" w:afterAutospacing="0" w:line="560" w:lineRule="exact"/>
              <w:rPr>
                <w:rFonts w:hint="eastAsia" w:ascii="仿宋_GB2312" w:hAnsi="宋体" w:eastAsia="仿宋_GB2312" w:cs="宋体"/>
                <w:color w:val="auto"/>
                <w:szCs w:val="21"/>
                <w:highlight w:val="none"/>
                <w:lang w:eastAsia="zh-CN"/>
              </w:rPr>
            </w:pPr>
            <w:r>
              <w:rPr>
                <w:rFonts w:hint="eastAsia" w:ascii="仿宋_GB2312" w:hAnsi="宋体" w:eastAsia="仿宋_GB2312"/>
                <w:bCs/>
                <w:color w:val="auto"/>
                <w:szCs w:val="21"/>
                <w:highlight w:val="none"/>
              </w:rPr>
              <w:t>拟</w:t>
            </w:r>
            <w:r>
              <w:rPr>
                <w:rFonts w:hint="eastAsia" w:ascii="仿宋_GB2312" w:hAnsi="宋体" w:eastAsia="仿宋_GB2312"/>
                <w:bCs/>
                <w:color w:val="auto"/>
                <w:szCs w:val="21"/>
                <w:highlight w:val="none"/>
                <w:lang w:val="en-US" w:eastAsia="zh-CN"/>
              </w:rPr>
              <w:t>安排</w:t>
            </w:r>
            <w:r>
              <w:rPr>
                <w:rFonts w:hint="eastAsia" w:ascii="仿宋_GB2312" w:hAnsi="宋体" w:eastAsia="仿宋_GB2312"/>
                <w:bCs/>
                <w:color w:val="auto"/>
                <w:szCs w:val="21"/>
                <w:highlight w:val="none"/>
              </w:rPr>
              <w:t>本项目</w:t>
            </w:r>
            <w:r>
              <w:rPr>
                <w:rFonts w:hint="eastAsia" w:ascii="仿宋_GB2312" w:hAnsi="宋体" w:eastAsia="仿宋_GB2312"/>
                <w:bCs/>
                <w:color w:val="auto"/>
                <w:szCs w:val="21"/>
                <w:highlight w:val="none"/>
                <w:lang w:val="en-US" w:eastAsia="zh-CN"/>
              </w:rPr>
              <w:t>负责人</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beforeAutospacing="0" w:afterAutospacing="0" w:line="560" w:lineRule="exact"/>
              <w:jc w:val="center"/>
              <w:rPr>
                <w:rFonts w:hint="eastAsia" w:ascii="仿宋_GB2312" w:hAnsi="宋体" w:eastAsia="仿宋_GB2312"/>
                <w:color w:val="auto"/>
                <w:szCs w:val="21"/>
                <w:highlight w:val="none"/>
              </w:rPr>
            </w:pPr>
          </w:p>
          <w:p>
            <w:pPr>
              <w:keepNext w:val="0"/>
              <w:keepLines w:val="0"/>
              <w:pageBreakBefore w:val="0"/>
              <w:kinsoku/>
              <w:overflowPunct/>
              <w:topLinePunct w:val="0"/>
              <w:bidi w:val="0"/>
              <w:spacing w:beforeAutospacing="0" w:afterAutospacing="0" w:line="560" w:lineRule="exact"/>
              <w:jc w:val="center"/>
              <w:rPr>
                <w:rFonts w:hint="eastAsia" w:ascii="仿宋_GB2312" w:hAnsi="宋体" w:eastAsia="仿宋_GB2312"/>
                <w:color w:val="auto"/>
                <w:szCs w:val="21"/>
                <w:highlight w:val="none"/>
              </w:rPr>
            </w:pPr>
          </w:p>
          <w:p>
            <w:pPr>
              <w:keepNext w:val="0"/>
              <w:keepLines w:val="0"/>
              <w:pageBreakBefore w:val="0"/>
              <w:kinsoku/>
              <w:overflowPunct/>
              <w:topLinePunct w:val="0"/>
              <w:bidi w:val="0"/>
              <w:spacing w:beforeAutospacing="0" w:afterAutospacing="0" w:line="560" w:lineRule="exact"/>
              <w:jc w:val="center"/>
              <w:rPr>
                <w:rFonts w:hint="eastAsia" w:ascii="仿宋_GB2312" w:hAnsi="宋体" w:eastAsia="仿宋_GB2312"/>
                <w:color w:val="auto"/>
                <w:szCs w:val="21"/>
                <w:highlight w:val="none"/>
              </w:rPr>
            </w:pPr>
          </w:p>
          <w:p>
            <w:pPr>
              <w:keepNext w:val="0"/>
              <w:keepLines w:val="0"/>
              <w:pageBreakBefore w:val="0"/>
              <w:kinsoku/>
              <w:overflowPunct/>
              <w:topLinePunct w:val="0"/>
              <w:bidi w:val="0"/>
              <w:spacing w:beforeAutospacing="0" w:afterAutospacing="0" w:line="560" w:lineRule="exact"/>
              <w:jc w:val="center"/>
              <w:rPr>
                <w:rFonts w:hint="eastAsia" w:ascii="仿宋_GB2312" w:hAnsi="宋体" w:eastAsia="仿宋_GB2312"/>
                <w:color w:val="auto"/>
                <w:szCs w:val="21"/>
                <w:highlight w:val="none"/>
              </w:rPr>
            </w:pPr>
          </w:p>
          <w:p>
            <w:pPr>
              <w:keepNext w:val="0"/>
              <w:keepLines w:val="0"/>
              <w:pageBreakBefore w:val="0"/>
              <w:kinsoku/>
              <w:overflowPunct/>
              <w:topLinePunct w:val="0"/>
              <w:bidi w:val="0"/>
              <w:spacing w:beforeAutospacing="0" w:afterAutospacing="0" w:line="560" w:lineRule="exact"/>
              <w:jc w:val="center"/>
              <w:rPr>
                <w:rFonts w:hint="eastAsia" w:ascii="仿宋_GB2312" w:hAnsi="宋体" w:eastAsia="仿宋_GB2312"/>
                <w:color w:val="auto"/>
                <w:szCs w:val="21"/>
                <w:highlight w:val="none"/>
              </w:rPr>
            </w:pPr>
          </w:p>
          <w:p>
            <w:pPr>
              <w:keepNext w:val="0"/>
              <w:keepLines w:val="0"/>
              <w:pageBreakBefore w:val="0"/>
              <w:kinsoku/>
              <w:overflowPunct/>
              <w:topLinePunct w:val="0"/>
              <w:bidi w:val="0"/>
              <w:spacing w:beforeAutospacing="0" w:afterAutospacing="0" w:line="560" w:lineRule="exact"/>
              <w:jc w:val="center"/>
              <w:rPr>
                <w:rFonts w:hint="default" w:ascii="仿宋_GB2312" w:hAnsi="宋体" w:eastAsia="仿宋_GB2312" w:cs="宋体"/>
                <w:color w:val="auto"/>
                <w:szCs w:val="21"/>
                <w:highlight w:val="none"/>
                <w:lang w:val="en-US" w:eastAsia="zh-CN"/>
              </w:rPr>
            </w:pPr>
            <w:r>
              <w:rPr>
                <w:rFonts w:hint="eastAsia" w:ascii="仿宋_GB2312" w:hAnsi="宋体" w:eastAsia="仿宋_GB2312"/>
                <w:color w:val="auto"/>
                <w:szCs w:val="21"/>
                <w:highlight w:val="none"/>
                <w:lang w:val="en-US" w:eastAsia="zh-CN"/>
              </w:rPr>
              <w:t>12</w:t>
            </w:r>
          </w:p>
        </w:tc>
        <w:tc>
          <w:tcPr>
            <w:tcW w:w="600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adjustRightInd w:val="0"/>
              <w:snapToGrid w:val="0"/>
              <w:spacing w:beforeAutospacing="0" w:afterAutospacing="0" w:line="560" w:lineRule="exact"/>
              <w:rPr>
                <w:rFonts w:hint="eastAsia" w:ascii="仿宋_GB2312" w:hAnsi="宋体" w:eastAsia="仿宋_GB2312"/>
                <w:b/>
                <w:bCs/>
                <w:color w:val="auto"/>
                <w:szCs w:val="21"/>
                <w:highlight w:val="none"/>
              </w:rPr>
            </w:pPr>
            <w:r>
              <w:rPr>
                <w:rFonts w:hint="eastAsia" w:ascii="仿宋_GB2312" w:hAnsi="宋体" w:eastAsia="仿宋_GB2312"/>
                <w:b/>
                <w:bCs/>
                <w:color w:val="auto"/>
                <w:szCs w:val="21"/>
                <w:highlight w:val="none"/>
              </w:rPr>
              <w:t>（一）评审内容：</w:t>
            </w:r>
          </w:p>
          <w:p>
            <w:pPr>
              <w:keepNext w:val="0"/>
              <w:keepLines w:val="0"/>
              <w:pageBreakBefore w:val="0"/>
              <w:numPr>
                <w:ilvl w:val="0"/>
                <w:numId w:val="0"/>
              </w:numPr>
              <w:kinsoku/>
              <w:overflowPunct/>
              <w:topLinePunct w:val="0"/>
              <w:bidi w:val="0"/>
              <w:spacing w:beforeAutospacing="0" w:afterAutospacing="0" w:line="560" w:lineRule="exact"/>
              <w:jc w:val="left"/>
              <w:rPr>
                <w:rFonts w:hint="eastAsia" w:ascii="仿宋_GB2312" w:hAnsi="宋体" w:eastAsia="仿宋_GB2312"/>
                <w:bCs/>
                <w:color w:val="auto"/>
                <w:szCs w:val="21"/>
                <w:highlight w:val="none"/>
              </w:rPr>
            </w:pPr>
            <w:r>
              <w:rPr>
                <w:rFonts w:hint="eastAsia" w:ascii="仿宋_GB2312" w:hAnsi="宋体" w:eastAsia="仿宋_GB2312"/>
                <w:bCs/>
                <w:color w:val="auto"/>
                <w:szCs w:val="21"/>
                <w:highlight w:val="none"/>
                <w:lang w:val="en-US" w:eastAsia="zh-CN"/>
              </w:rPr>
              <w:t>拟安排的项目负责人需为投标人自有员工，否则本项不得分。在此基础上，须具备</w:t>
            </w:r>
            <w:r>
              <w:rPr>
                <w:rFonts w:hint="eastAsia" w:ascii="仿宋_GB2312" w:hAnsi="宋体" w:eastAsia="仿宋_GB2312"/>
                <w:bCs/>
                <w:color w:val="auto"/>
                <w:szCs w:val="21"/>
                <w:highlight w:val="none"/>
              </w:rPr>
              <w:t>注册会计师</w:t>
            </w:r>
            <w:r>
              <w:rPr>
                <w:rFonts w:hint="eastAsia" w:ascii="仿宋_GB2312" w:hAnsi="宋体" w:eastAsia="仿宋_GB2312"/>
                <w:bCs/>
                <w:color w:val="auto"/>
                <w:szCs w:val="21"/>
                <w:highlight w:val="none"/>
                <w:lang w:val="en-US" w:eastAsia="zh-CN"/>
              </w:rPr>
              <w:t>资格证书，</w:t>
            </w:r>
            <w:r>
              <w:rPr>
                <w:rFonts w:hint="eastAsia" w:ascii="仿宋_GB2312" w:hAnsi="宋体" w:eastAsia="仿宋_GB2312"/>
                <w:bCs/>
                <w:color w:val="auto"/>
                <w:szCs w:val="21"/>
                <w:highlight w:val="none"/>
              </w:rPr>
              <w:t>执业年限满足以下条件的：</w:t>
            </w:r>
          </w:p>
          <w:p>
            <w:pPr>
              <w:keepNext w:val="0"/>
              <w:keepLines w:val="0"/>
              <w:pageBreakBefore w:val="0"/>
              <w:kinsoku/>
              <w:overflowPunct/>
              <w:topLinePunct w:val="0"/>
              <w:bidi w:val="0"/>
              <w:spacing w:beforeAutospacing="0" w:afterAutospacing="0" w:line="560" w:lineRule="exact"/>
              <w:jc w:val="left"/>
              <w:rPr>
                <w:rFonts w:hint="eastAsia" w:ascii="仿宋_GB2312" w:hAnsi="宋体" w:eastAsia="仿宋_GB2312"/>
                <w:bCs/>
                <w:color w:val="auto"/>
                <w:szCs w:val="21"/>
                <w:highlight w:val="none"/>
              </w:rPr>
            </w:pPr>
            <w:r>
              <w:rPr>
                <w:rFonts w:hint="eastAsia" w:ascii="仿宋_GB2312" w:hAnsi="宋体" w:eastAsia="仿宋_GB2312"/>
                <w:bCs/>
                <w:color w:val="auto"/>
                <w:szCs w:val="21"/>
                <w:highlight w:val="none"/>
                <w:lang w:eastAsia="zh-CN"/>
              </w:rPr>
              <w:t>（</w:t>
            </w:r>
            <w:r>
              <w:rPr>
                <w:rFonts w:hint="eastAsia" w:ascii="仿宋_GB2312" w:hAnsi="宋体" w:eastAsia="仿宋_GB2312"/>
                <w:bCs/>
                <w:color w:val="auto"/>
                <w:szCs w:val="21"/>
                <w:highlight w:val="none"/>
                <w:lang w:val="en-US" w:eastAsia="zh-CN"/>
              </w:rPr>
              <w:t>1</w:t>
            </w:r>
            <w:r>
              <w:rPr>
                <w:rFonts w:hint="eastAsia" w:ascii="仿宋_GB2312" w:hAnsi="宋体" w:eastAsia="仿宋_GB2312"/>
                <w:bCs/>
                <w:color w:val="auto"/>
                <w:szCs w:val="21"/>
                <w:highlight w:val="none"/>
                <w:lang w:eastAsia="zh-CN"/>
              </w:rPr>
              <w:t>）</w:t>
            </w:r>
            <w:r>
              <w:rPr>
                <w:rFonts w:hint="eastAsia" w:ascii="仿宋_GB2312" w:hAnsi="宋体" w:eastAsia="仿宋_GB2312"/>
                <w:bCs/>
                <w:color w:val="auto"/>
                <w:szCs w:val="21"/>
                <w:highlight w:val="none"/>
              </w:rPr>
              <w:t>执业年限</w:t>
            </w:r>
            <w:r>
              <w:rPr>
                <w:rFonts w:hint="eastAsia" w:ascii="仿宋_GB2312" w:hAnsi="宋体" w:eastAsia="仿宋_GB2312"/>
                <w:bCs/>
                <w:color w:val="auto"/>
                <w:szCs w:val="21"/>
                <w:highlight w:val="none"/>
                <w:lang w:val="en-US" w:eastAsia="zh-CN"/>
              </w:rPr>
              <w:t>大于10</w:t>
            </w:r>
            <w:r>
              <w:rPr>
                <w:rFonts w:hint="eastAsia" w:ascii="仿宋_GB2312" w:hAnsi="宋体" w:eastAsia="仿宋_GB2312"/>
                <w:bCs/>
                <w:color w:val="auto"/>
                <w:szCs w:val="21"/>
                <w:highlight w:val="none"/>
              </w:rPr>
              <w:t>年的，得</w:t>
            </w:r>
            <w:r>
              <w:rPr>
                <w:rFonts w:hint="eastAsia" w:ascii="仿宋_GB2312" w:hAnsi="宋体" w:eastAsia="仿宋_GB2312"/>
                <w:bCs/>
                <w:color w:val="auto"/>
                <w:szCs w:val="21"/>
                <w:highlight w:val="none"/>
                <w:lang w:val="en-US" w:eastAsia="zh-CN"/>
              </w:rPr>
              <w:t>12</w:t>
            </w:r>
            <w:r>
              <w:rPr>
                <w:rFonts w:hint="eastAsia" w:ascii="仿宋_GB2312" w:hAnsi="宋体" w:eastAsia="仿宋_GB2312"/>
                <w:bCs/>
                <w:color w:val="auto"/>
                <w:szCs w:val="21"/>
                <w:highlight w:val="none"/>
              </w:rPr>
              <w:t>；</w:t>
            </w:r>
          </w:p>
          <w:p>
            <w:pPr>
              <w:keepNext w:val="0"/>
              <w:keepLines w:val="0"/>
              <w:pageBreakBefore w:val="0"/>
              <w:kinsoku/>
              <w:overflowPunct/>
              <w:topLinePunct w:val="0"/>
              <w:bidi w:val="0"/>
              <w:spacing w:beforeAutospacing="0" w:afterAutospacing="0" w:line="560" w:lineRule="exact"/>
              <w:jc w:val="left"/>
              <w:rPr>
                <w:rFonts w:hint="eastAsia" w:ascii="仿宋_GB2312" w:hAnsi="宋体" w:eastAsia="仿宋_GB2312"/>
                <w:bCs/>
                <w:color w:val="auto"/>
                <w:szCs w:val="21"/>
                <w:highlight w:val="none"/>
              </w:rPr>
            </w:pPr>
            <w:r>
              <w:rPr>
                <w:rFonts w:hint="eastAsia" w:ascii="仿宋_GB2312" w:hAnsi="宋体" w:eastAsia="仿宋_GB2312"/>
                <w:bCs/>
                <w:color w:val="auto"/>
                <w:szCs w:val="21"/>
                <w:highlight w:val="none"/>
                <w:lang w:eastAsia="zh-CN"/>
              </w:rPr>
              <w:t>（</w:t>
            </w:r>
            <w:r>
              <w:rPr>
                <w:rFonts w:hint="eastAsia" w:ascii="仿宋_GB2312" w:hAnsi="宋体" w:eastAsia="仿宋_GB2312"/>
                <w:bCs/>
                <w:color w:val="auto"/>
                <w:szCs w:val="21"/>
                <w:highlight w:val="none"/>
                <w:lang w:val="en-US" w:eastAsia="zh-CN"/>
              </w:rPr>
              <w:t>2</w:t>
            </w:r>
            <w:r>
              <w:rPr>
                <w:rFonts w:hint="eastAsia" w:ascii="仿宋_GB2312" w:hAnsi="宋体" w:eastAsia="仿宋_GB2312"/>
                <w:bCs/>
                <w:color w:val="auto"/>
                <w:szCs w:val="21"/>
                <w:highlight w:val="none"/>
                <w:lang w:eastAsia="zh-CN"/>
              </w:rPr>
              <w:t>）</w:t>
            </w:r>
            <w:r>
              <w:rPr>
                <w:rFonts w:hint="eastAsia" w:ascii="仿宋_GB2312" w:hAnsi="宋体" w:eastAsia="仿宋_GB2312"/>
                <w:bCs/>
                <w:color w:val="auto"/>
                <w:szCs w:val="21"/>
                <w:highlight w:val="none"/>
                <w:lang w:val="en-US" w:eastAsia="zh-CN"/>
              </w:rPr>
              <w:t>5</w:t>
            </w:r>
            <w:r>
              <w:rPr>
                <w:rFonts w:hint="eastAsia" w:ascii="仿宋_GB2312" w:hAnsi="宋体" w:eastAsia="仿宋_GB2312"/>
                <w:bCs/>
                <w:color w:val="auto"/>
                <w:szCs w:val="21"/>
                <w:highlight w:val="none"/>
              </w:rPr>
              <w:t>年＜执业年限≤</w:t>
            </w:r>
            <w:r>
              <w:rPr>
                <w:rFonts w:hint="eastAsia" w:ascii="仿宋_GB2312" w:hAnsi="宋体" w:eastAsia="仿宋_GB2312"/>
                <w:bCs/>
                <w:color w:val="auto"/>
                <w:szCs w:val="21"/>
                <w:highlight w:val="none"/>
                <w:lang w:val="en-US" w:eastAsia="zh-CN"/>
              </w:rPr>
              <w:t>1</w:t>
            </w:r>
            <w:r>
              <w:rPr>
                <w:rFonts w:hint="eastAsia" w:ascii="仿宋_GB2312" w:hAnsi="宋体" w:eastAsia="仿宋_GB2312"/>
                <w:bCs/>
                <w:color w:val="auto"/>
                <w:szCs w:val="21"/>
                <w:highlight w:val="none"/>
              </w:rPr>
              <w:t>0年的，得</w:t>
            </w:r>
            <w:r>
              <w:rPr>
                <w:rFonts w:hint="eastAsia" w:ascii="仿宋_GB2312" w:hAnsi="宋体" w:eastAsia="仿宋_GB2312"/>
                <w:bCs/>
                <w:color w:val="auto"/>
                <w:szCs w:val="21"/>
                <w:highlight w:val="none"/>
                <w:lang w:val="en-US" w:eastAsia="zh-CN"/>
              </w:rPr>
              <w:t>9</w:t>
            </w:r>
            <w:r>
              <w:rPr>
                <w:rFonts w:hint="eastAsia" w:ascii="仿宋_GB2312" w:hAnsi="宋体" w:eastAsia="仿宋_GB2312"/>
                <w:bCs/>
                <w:color w:val="auto"/>
                <w:szCs w:val="21"/>
                <w:highlight w:val="none"/>
              </w:rPr>
              <w:t>；</w:t>
            </w:r>
          </w:p>
          <w:p>
            <w:pPr>
              <w:keepNext w:val="0"/>
              <w:keepLines w:val="0"/>
              <w:pageBreakBefore w:val="0"/>
              <w:kinsoku/>
              <w:overflowPunct/>
              <w:topLinePunct w:val="0"/>
              <w:bidi w:val="0"/>
              <w:spacing w:beforeAutospacing="0" w:afterAutospacing="0" w:line="560" w:lineRule="exact"/>
              <w:jc w:val="left"/>
              <w:rPr>
                <w:rFonts w:hint="eastAsia" w:ascii="仿宋_GB2312" w:hAnsi="宋体" w:eastAsia="仿宋_GB2312"/>
                <w:bCs/>
                <w:color w:val="auto"/>
                <w:szCs w:val="21"/>
                <w:highlight w:val="none"/>
                <w:lang w:val="en-US" w:eastAsia="zh-CN"/>
              </w:rPr>
            </w:pPr>
            <w:r>
              <w:rPr>
                <w:rFonts w:hint="eastAsia" w:ascii="仿宋_GB2312" w:hAnsi="宋体" w:eastAsia="仿宋_GB2312"/>
                <w:bCs/>
                <w:color w:val="auto"/>
                <w:szCs w:val="21"/>
                <w:highlight w:val="none"/>
                <w:lang w:eastAsia="zh-CN"/>
              </w:rPr>
              <w:t>（</w:t>
            </w:r>
            <w:r>
              <w:rPr>
                <w:rFonts w:hint="eastAsia" w:ascii="仿宋_GB2312" w:hAnsi="宋体" w:eastAsia="仿宋_GB2312"/>
                <w:bCs/>
                <w:color w:val="auto"/>
                <w:szCs w:val="21"/>
                <w:highlight w:val="none"/>
                <w:lang w:val="en-US" w:eastAsia="zh-CN"/>
              </w:rPr>
              <w:t>3</w:t>
            </w:r>
            <w:r>
              <w:rPr>
                <w:rFonts w:hint="eastAsia" w:ascii="仿宋_GB2312" w:hAnsi="宋体" w:eastAsia="仿宋_GB2312"/>
                <w:bCs/>
                <w:color w:val="auto"/>
                <w:szCs w:val="21"/>
                <w:highlight w:val="none"/>
                <w:lang w:eastAsia="zh-CN"/>
              </w:rPr>
              <w:t>）</w:t>
            </w:r>
            <w:r>
              <w:rPr>
                <w:rFonts w:hint="eastAsia" w:ascii="仿宋_GB2312" w:hAnsi="宋体" w:eastAsia="仿宋_GB2312"/>
                <w:bCs/>
                <w:color w:val="auto"/>
                <w:szCs w:val="21"/>
                <w:highlight w:val="none"/>
              </w:rPr>
              <w:t>执业年限≤</w:t>
            </w:r>
            <w:r>
              <w:rPr>
                <w:rFonts w:hint="eastAsia" w:ascii="仿宋_GB2312" w:hAnsi="宋体" w:eastAsia="仿宋_GB2312"/>
                <w:bCs/>
                <w:color w:val="auto"/>
                <w:szCs w:val="21"/>
                <w:highlight w:val="none"/>
                <w:lang w:val="en-US" w:eastAsia="zh-CN"/>
              </w:rPr>
              <w:t>5</w:t>
            </w:r>
            <w:r>
              <w:rPr>
                <w:rFonts w:hint="eastAsia" w:ascii="仿宋_GB2312" w:hAnsi="宋体" w:eastAsia="仿宋_GB2312"/>
                <w:bCs/>
                <w:color w:val="auto"/>
                <w:szCs w:val="21"/>
                <w:highlight w:val="none"/>
              </w:rPr>
              <w:t>年，得</w:t>
            </w:r>
            <w:r>
              <w:rPr>
                <w:rFonts w:hint="eastAsia" w:ascii="仿宋_GB2312" w:hAnsi="宋体" w:eastAsia="仿宋_GB2312"/>
                <w:bCs/>
                <w:color w:val="auto"/>
                <w:szCs w:val="21"/>
                <w:highlight w:val="none"/>
                <w:lang w:val="en-US" w:eastAsia="zh-CN"/>
              </w:rPr>
              <w:t>3</w:t>
            </w:r>
            <w:r>
              <w:rPr>
                <w:rFonts w:hint="eastAsia" w:ascii="仿宋_GB2312" w:hAnsi="宋体" w:eastAsia="仿宋_GB2312"/>
                <w:bCs/>
                <w:color w:val="auto"/>
                <w:szCs w:val="21"/>
                <w:highlight w:val="none"/>
              </w:rPr>
              <w:t>。</w:t>
            </w:r>
          </w:p>
          <w:p>
            <w:pPr>
              <w:keepNext w:val="0"/>
              <w:keepLines w:val="0"/>
              <w:pageBreakBefore w:val="0"/>
              <w:kinsoku/>
              <w:overflowPunct/>
              <w:topLinePunct w:val="0"/>
              <w:bidi w:val="0"/>
              <w:adjustRightInd w:val="0"/>
              <w:snapToGrid w:val="0"/>
              <w:spacing w:beforeAutospacing="0" w:afterAutospacing="0" w:line="560" w:lineRule="exact"/>
              <w:rPr>
                <w:rFonts w:hint="eastAsia" w:ascii="仿宋_GB2312" w:hAnsi="宋体" w:eastAsia="仿宋_GB2312"/>
                <w:b/>
                <w:bCs/>
                <w:color w:val="auto"/>
                <w:szCs w:val="21"/>
                <w:highlight w:val="none"/>
              </w:rPr>
            </w:pPr>
            <w:r>
              <w:rPr>
                <w:rFonts w:hint="eastAsia" w:ascii="仿宋_GB2312" w:hAnsi="宋体" w:eastAsia="仿宋_GB2312"/>
                <w:b/>
                <w:bCs/>
                <w:color w:val="auto"/>
                <w:szCs w:val="21"/>
                <w:highlight w:val="none"/>
              </w:rPr>
              <w:t>（二）评分标准依据：</w:t>
            </w:r>
          </w:p>
          <w:p>
            <w:pPr>
              <w:keepNext w:val="0"/>
              <w:keepLines w:val="0"/>
              <w:pageBreakBefore w:val="0"/>
              <w:kinsoku/>
              <w:overflowPunct/>
              <w:topLinePunct w:val="0"/>
              <w:bidi w:val="0"/>
              <w:spacing w:beforeAutospacing="0" w:afterAutospacing="0" w:line="560" w:lineRule="exact"/>
              <w:jc w:val="left"/>
              <w:rPr>
                <w:rFonts w:hint="eastAsia" w:ascii="仿宋_GB2312" w:hAnsi="宋体" w:eastAsia="仿宋_GB2312"/>
                <w:bCs/>
                <w:color w:val="auto"/>
                <w:szCs w:val="21"/>
                <w:highlight w:val="none"/>
              </w:rPr>
            </w:pPr>
            <w:r>
              <w:rPr>
                <w:rFonts w:hint="eastAsia" w:ascii="仿宋_GB2312" w:hAnsi="宋体" w:eastAsia="仿宋_GB2312"/>
                <w:bCs/>
                <w:color w:val="auto"/>
                <w:szCs w:val="21"/>
                <w:highlight w:val="none"/>
                <w:lang w:val="en-US" w:eastAsia="zh-CN"/>
              </w:rPr>
              <w:t>1.项目负责人</w:t>
            </w:r>
            <w:r>
              <w:rPr>
                <w:rFonts w:hint="eastAsia" w:ascii="仿宋_GB2312" w:hAnsi="宋体" w:eastAsia="仿宋_GB2312"/>
                <w:bCs/>
                <w:color w:val="auto"/>
                <w:szCs w:val="21"/>
                <w:highlight w:val="none"/>
              </w:rPr>
              <w:t>提供注册会计师执业证，原件备查；注册会计师执业年限以执业证发证时间计算（以6个月为标准四舍五入，即还差不到6个月满整年的，按整年计算；还差6个月（含）以上满整年的，按上一年计算）。</w:t>
            </w:r>
          </w:p>
          <w:p>
            <w:pPr>
              <w:keepNext w:val="0"/>
              <w:keepLines w:val="0"/>
              <w:pageBreakBefore w:val="0"/>
              <w:kinsoku/>
              <w:overflowPunct/>
              <w:topLinePunct w:val="0"/>
              <w:bidi w:val="0"/>
              <w:spacing w:beforeAutospacing="0" w:afterAutospacing="0" w:line="560" w:lineRule="exact"/>
              <w:jc w:val="left"/>
              <w:rPr>
                <w:rFonts w:hint="eastAsia" w:ascii="仿宋_GB2312" w:hAnsi="宋体" w:eastAsia="仿宋_GB2312"/>
                <w:bCs/>
                <w:color w:val="auto"/>
                <w:szCs w:val="21"/>
                <w:highlight w:val="none"/>
              </w:rPr>
            </w:pPr>
            <w:r>
              <w:rPr>
                <w:rFonts w:hint="eastAsia" w:ascii="仿宋_GB2312" w:hAnsi="宋体" w:eastAsia="仿宋_GB2312"/>
                <w:bCs/>
                <w:color w:val="auto"/>
                <w:szCs w:val="21"/>
                <w:highlight w:val="none"/>
                <w:lang w:val="en-US" w:eastAsia="zh-CN"/>
              </w:rPr>
              <w:t>2.</w:t>
            </w:r>
            <w:r>
              <w:rPr>
                <w:rFonts w:hint="eastAsia" w:ascii="仿宋_GB2312" w:hAnsi="宋体" w:eastAsia="仿宋_GB2312"/>
                <w:bCs/>
                <w:color w:val="auto"/>
                <w:szCs w:val="21"/>
                <w:highlight w:val="none"/>
              </w:rPr>
              <w:t>关于注册会计师执业年限执业证明材料，投标人需在“中国注册会计师协会行业管理信息系统（https://cmis.cicpa.org.cn/#/login）”相关栏目查询获取，以批准注册时间为准，须提供该查询结果截图，并加盖投标人公章作为得分依据。</w:t>
            </w:r>
          </w:p>
          <w:p>
            <w:pPr>
              <w:keepNext w:val="0"/>
              <w:keepLines w:val="0"/>
              <w:pageBreakBefore w:val="0"/>
              <w:kinsoku/>
              <w:overflowPunct/>
              <w:topLinePunct w:val="0"/>
              <w:bidi w:val="0"/>
              <w:spacing w:beforeAutospacing="0" w:afterAutospacing="0" w:line="560" w:lineRule="exact"/>
              <w:rPr>
                <w:rFonts w:hint="eastAsia" w:ascii="仿宋_GB2312" w:hAnsi="宋体" w:eastAsia="仿宋_GB2312"/>
                <w:bCs/>
                <w:color w:val="auto"/>
                <w:szCs w:val="21"/>
                <w:highlight w:val="none"/>
                <w:lang w:val="en-US" w:eastAsia="zh-CN"/>
              </w:rPr>
            </w:pPr>
            <w:r>
              <w:rPr>
                <w:rFonts w:hint="eastAsia" w:ascii="仿宋_GB2312" w:hAnsi="宋体" w:eastAsia="仿宋_GB2312"/>
                <w:bCs/>
                <w:color w:val="auto"/>
                <w:szCs w:val="21"/>
                <w:highlight w:val="none"/>
                <w:lang w:val="en-US" w:eastAsia="zh-CN"/>
              </w:rPr>
              <w:t>3.本项目负责人需同时提供近三个月的任意一个月（由于社保部门原因最近一个月的社保证明无法提供的可往前顺延一个月）的社保证明作为本单位员工的证明依据。另，若供应商成立不足三个月的，需提供成立情况说明函（格式自拟），无需提供社保，亦可得分。若为退休返聘人员，需提供退休证明和聘用合同。</w:t>
            </w:r>
          </w:p>
          <w:p>
            <w:pPr>
              <w:keepNext w:val="0"/>
              <w:keepLines w:val="0"/>
              <w:pageBreakBefore w:val="0"/>
              <w:kinsoku/>
              <w:overflowPunct/>
              <w:topLinePunct w:val="0"/>
              <w:bidi w:val="0"/>
              <w:spacing w:beforeAutospacing="0" w:afterAutospacing="0" w:line="560" w:lineRule="exact"/>
              <w:rPr>
                <w:rFonts w:hint="eastAsia" w:ascii="仿宋_GB2312" w:hAnsi="宋体" w:eastAsia="仿宋_GB2312" w:cs="宋体"/>
                <w:color w:val="auto"/>
                <w:szCs w:val="21"/>
                <w:highlight w:val="yellow"/>
                <w:lang w:eastAsia="zh-CN"/>
              </w:rPr>
            </w:pPr>
            <w:r>
              <w:rPr>
                <w:rFonts w:hint="eastAsia" w:ascii="仿宋_GB2312" w:hAnsi="宋体" w:eastAsia="仿宋_GB2312"/>
                <w:bCs/>
                <w:color w:val="auto"/>
                <w:szCs w:val="21"/>
                <w:highlight w:val="none"/>
                <w:lang w:val="en-US" w:eastAsia="zh-CN"/>
              </w:rPr>
              <w:t>4.评分中出现无证明资料或专家无法凭所提供资料判断是否得分的情况，一律作不得分处理。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jc w:val="center"/>
        </w:trPr>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beforeAutospacing="0" w:afterAutospacing="0" w:line="560" w:lineRule="exact"/>
              <w:rPr>
                <w:rFonts w:hint="eastAsia" w:ascii="仿宋_GB2312" w:hAnsi="宋体" w:eastAsia="仿宋_GB2312" w:cstheme="minorBidi"/>
                <w:bCs/>
                <w:color w:val="auto"/>
                <w:kern w:val="2"/>
                <w:sz w:val="21"/>
                <w:szCs w:val="21"/>
                <w:highlight w:val="none"/>
                <w:lang w:val="en-US" w:eastAsia="zh-CN" w:bidi="ar-SA"/>
              </w:rPr>
            </w:pPr>
            <w:r>
              <w:rPr>
                <w:rFonts w:hint="eastAsia" w:ascii="仿宋_GB2312" w:hAnsi="宋体" w:eastAsia="仿宋_GB2312" w:cs="宋体"/>
                <w:color w:val="auto"/>
                <w:szCs w:val="21"/>
                <w:highlight w:val="none"/>
                <w:lang w:val="en-US" w:eastAsia="zh-CN"/>
              </w:rPr>
              <w:t>商务部分</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beforeAutospacing="0" w:afterAutospacing="0" w:line="560" w:lineRule="exact"/>
              <w:rPr>
                <w:rFonts w:hint="eastAsia" w:ascii="仿宋_GB2312" w:hAnsi="宋体" w:eastAsia="仿宋_GB2312"/>
                <w:bCs/>
                <w:color w:val="auto"/>
                <w:szCs w:val="21"/>
                <w:highlight w:val="none"/>
              </w:rPr>
            </w:pPr>
          </w:p>
          <w:p>
            <w:pPr>
              <w:keepNext w:val="0"/>
              <w:keepLines w:val="0"/>
              <w:pageBreakBefore w:val="0"/>
              <w:kinsoku/>
              <w:overflowPunct/>
              <w:topLinePunct w:val="0"/>
              <w:bidi w:val="0"/>
              <w:spacing w:beforeAutospacing="0" w:afterAutospacing="0" w:line="560" w:lineRule="exact"/>
              <w:rPr>
                <w:rFonts w:hint="eastAsia" w:ascii="仿宋_GB2312" w:hAnsi="宋体" w:eastAsia="仿宋_GB2312"/>
                <w:bCs/>
                <w:color w:val="auto"/>
                <w:szCs w:val="21"/>
                <w:highlight w:val="none"/>
              </w:rPr>
            </w:pPr>
          </w:p>
          <w:p>
            <w:pPr>
              <w:keepNext w:val="0"/>
              <w:keepLines w:val="0"/>
              <w:pageBreakBefore w:val="0"/>
              <w:kinsoku/>
              <w:overflowPunct/>
              <w:topLinePunct w:val="0"/>
              <w:bidi w:val="0"/>
              <w:spacing w:beforeAutospacing="0" w:afterAutospacing="0" w:line="560" w:lineRule="exact"/>
              <w:rPr>
                <w:rFonts w:hint="eastAsia" w:ascii="仿宋_GB2312" w:hAnsi="宋体" w:eastAsia="仿宋_GB2312"/>
                <w:bCs/>
                <w:color w:val="auto"/>
                <w:szCs w:val="21"/>
                <w:highlight w:val="none"/>
              </w:rPr>
            </w:pPr>
          </w:p>
          <w:p>
            <w:pPr>
              <w:keepNext w:val="0"/>
              <w:keepLines w:val="0"/>
              <w:pageBreakBefore w:val="0"/>
              <w:kinsoku/>
              <w:overflowPunct/>
              <w:topLinePunct w:val="0"/>
              <w:bidi w:val="0"/>
              <w:spacing w:beforeAutospacing="0" w:afterAutospacing="0" w:line="560" w:lineRule="exact"/>
              <w:rPr>
                <w:rFonts w:hint="eastAsia" w:ascii="仿宋_GB2312" w:hAnsi="宋体" w:eastAsia="仿宋_GB2312"/>
                <w:bCs/>
                <w:color w:val="auto"/>
                <w:szCs w:val="21"/>
                <w:highlight w:val="none"/>
              </w:rPr>
            </w:pPr>
          </w:p>
          <w:p>
            <w:pPr>
              <w:keepNext w:val="0"/>
              <w:keepLines w:val="0"/>
              <w:pageBreakBefore w:val="0"/>
              <w:kinsoku/>
              <w:overflowPunct/>
              <w:topLinePunct w:val="0"/>
              <w:bidi w:val="0"/>
              <w:spacing w:beforeAutospacing="0" w:afterAutospacing="0" w:line="560" w:lineRule="exact"/>
              <w:rPr>
                <w:rFonts w:hint="eastAsia" w:ascii="仿宋_GB2312" w:hAnsi="宋体" w:eastAsia="仿宋_GB2312"/>
                <w:bCs/>
                <w:color w:val="auto"/>
                <w:szCs w:val="21"/>
                <w:highlight w:val="none"/>
              </w:rPr>
            </w:pPr>
          </w:p>
          <w:p>
            <w:pPr>
              <w:keepNext w:val="0"/>
              <w:keepLines w:val="0"/>
              <w:pageBreakBefore w:val="0"/>
              <w:kinsoku/>
              <w:overflowPunct/>
              <w:topLinePunct w:val="0"/>
              <w:bidi w:val="0"/>
              <w:spacing w:beforeAutospacing="0" w:afterAutospacing="0" w:line="560" w:lineRule="exact"/>
              <w:rPr>
                <w:rFonts w:hint="eastAsia" w:ascii="仿宋_GB2312" w:hAnsi="宋体" w:eastAsia="仿宋_GB2312" w:cs="宋体"/>
                <w:color w:val="auto"/>
                <w:kern w:val="2"/>
                <w:sz w:val="21"/>
                <w:szCs w:val="21"/>
                <w:highlight w:val="none"/>
                <w:lang w:val="en-US" w:eastAsia="zh-CN" w:bidi="ar-SA"/>
              </w:rPr>
            </w:pPr>
            <w:r>
              <w:rPr>
                <w:rFonts w:hint="eastAsia" w:ascii="仿宋_GB2312" w:hAnsi="宋体" w:eastAsia="仿宋_GB2312"/>
                <w:bCs/>
                <w:color w:val="auto"/>
                <w:szCs w:val="21"/>
                <w:highlight w:val="none"/>
              </w:rPr>
              <w:t>拟</w:t>
            </w:r>
            <w:r>
              <w:rPr>
                <w:rFonts w:hint="eastAsia" w:ascii="仿宋_GB2312" w:hAnsi="宋体" w:eastAsia="仿宋_GB2312"/>
                <w:bCs/>
                <w:color w:val="auto"/>
                <w:szCs w:val="21"/>
                <w:highlight w:val="none"/>
                <w:lang w:val="en-US" w:eastAsia="zh-CN"/>
              </w:rPr>
              <w:t>安排</w:t>
            </w:r>
            <w:r>
              <w:rPr>
                <w:rFonts w:hint="eastAsia" w:ascii="仿宋_GB2312" w:hAnsi="宋体" w:eastAsia="仿宋_GB2312"/>
                <w:bCs/>
                <w:color w:val="auto"/>
                <w:szCs w:val="21"/>
                <w:highlight w:val="none"/>
              </w:rPr>
              <w:t>本项目</w:t>
            </w:r>
            <w:r>
              <w:rPr>
                <w:rFonts w:hint="eastAsia" w:ascii="仿宋_GB2312" w:hAnsi="宋体" w:eastAsia="仿宋_GB2312"/>
                <w:bCs/>
                <w:color w:val="auto"/>
                <w:szCs w:val="21"/>
                <w:highlight w:val="none"/>
                <w:lang w:eastAsia="zh-CN"/>
              </w:rPr>
              <w:t>团队</w:t>
            </w:r>
            <w:r>
              <w:rPr>
                <w:rFonts w:hint="eastAsia" w:ascii="仿宋_GB2312" w:hAnsi="宋体" w:eastAsia="仿宋_GB2312"/>
                <w:bCs/>
                <w:color w:val="auto"/>
                <w:szCs w:val="21"/>
                <w:highlight w:val="none"/>
                <w:lang w:val="en-US" w:eastAsia="zh-CN"/>
              </w:rPr>
              <w:t>人员</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bidi w:val="0"/>
              <w:spacing w:beforeAutospacing="0" w:afterAutospacing="0" w:line="560" w:lineRule="exact"/>
              <w:jc w:val="center"/>
              <w:rPr>
                <w:rFonts w:hint="eastAsia" w:ascii="仿宋_GB2312" w:hAnsi="宋体" w:eastAsia="仿宋_GB2312"/>
                <w:color w:val="auto"/>
                <w:szCs w:val="21"/>
                <w:highlight w:val="none"/>
              </w:rPr>
            </w:pPr>
          </w:p>
          <w:p>
            <w:pPr>
              <w:keepNext w:val="0"/>
              <w:keepLines w:val="0"/>
              <w:pageBreakBefore w:val="0"/>
              <w:kinsoku/>
              <w:overflowPunct/>
              <w:topLinePunct w:val="0"/>
              <w:bidi w:val="0"/>
              <w:spacing w:beforeAutospacing="0" w:afterAutospacing="0" w:line="560" w:lineRule="exact"/>
              <w:jc w:val="center"/>
              <w:rPr>
                <w:rFonts w:hint="eastAsia" w:ascii="仿宋_GB2312" w:hAnsi="宋体" w:eastAsia="仿宋_GB2312"/>
                <w:color w:val="auto"/>
                <w:szCs w:val="21"/>
                <w:highlight w:val="none"/>
              </w:rPr>
            </w:pPr>
          </w:p>
          <w:p>
            <w:pPr>
              <w:keepNext w:val="0"/>
              <w:keepLines w:val="0"/>
              <w:pageBreakBefore w:val="0"/>
              <w:kinsoku/>
              <w:overflowPunct/>
              <w:topLinePunct w:val="0"/>
              <w:bidi w:val="0"/>
              <w:spacing w:beforeAutospacing="0" w:afterAutospacing="0" w:line="560" w:lineRule="exact"/>
              <w:jc w:val="center"/>
              <w:rPr>
                <w:rFonts w:hint="eastAsia" w:ascii="仿宋_GB2312" w:hAnsi="宋体" w:eastAsia="仿宋_GB2312"/>
                <w:color w:val="auto"/>
                <w:szCs w:val="21"/>
                <w:highlight w:val="none"/>
              </w:rPr>
            </w:pPr>
          </w:p>
          <w:p>
            <w:pPr>
              <w:keepNext w:val="0"/>
              <w:keepLines w:val="0"/>
              <w:pageBreakBefore w:val="0"/>
              <w:kinsoku/>
              <w:overflowPunct/>
              <w:topLinePunct w:val="0"/>
              <w:bidi w:val="0"/>
              <w:spacing w:beforeAutospacing="0" w:afterAutospacing="0" w:line="560" w:lineRule="exact"/>
              <w:jc w:val="center"/>
              <w:rPr>
                <w:rFonts w:hint="eastAsia" w:ascii="仿宋_GB2312" w:hAnsi="宋体" w:eastAsia="仿宋_GB2312"/>
                <w:color w:val="auto"/>
                <w:szCs w:val="21"/>
                <w:highlight w:val="none"/>
              </w:rPr>
            </w:pPr>
          </w:p>
          <w:p>
            <w:pPr>
              <w:keepNext w:val="0"/>
              <w:keepLines w:val="0"/>
              <w:pageBreakBefore w:val="0"/>
              <w:kinsoku/>
              <w:overflowPunct/>
              <w:topLinePunct w:val="0"/>
              <w:bidi w:val="0"/>
              <w:spacing w:beforeAutospacing="0" w:afterAutospacing="0" w:line="560" w:lineRule="exact"/>
              <w:jc w:val="center"/>
              <w:rPr>
                <w:rFonts w:hint="eastAsia" w:ascii="仿宋_GB2312" w:hAnsi="宋体" w:eastAsia="仿宋_GB2312"/>
                <w:color w:val="auto"/>
                <w:szCs w:val="21"/>
                <w:highlight w:val="none"/>
              </w:rPr>
            </w:pPr>
          </w:p>
          <w:p>
            <w:pPr>
              <w:keepNext w:val="0"/>
              <w:keepLines w:val="0"/>
              <w:pageBreakBefore w:val="0"/>
              <w:kinsoku/>
              <w:overflowPunct/>
              <w:topLinePunct w:val="0"/>
              <w:bidi w:val="0"/>
              <w:spacing w:beforeAutospacing="0" w:afterAutospacing="0" w:line="560" w:lineRule="exact"/>
              <w:jc w:val="center"/>
              <w:rPr>
                <w:rFonts w:hint="default" w:ascii="仿宋_GB2312" w:hAnsi="宋体" w:eastAsia="仿宋_GB2312" w:cs="宋体"/>
                <w:color w:val="auto"/>
                <w:kern w:val="2"/>
                <w:sz w:val="21"/>
                <w:szCs w:val="21"/>
                <w:highlight w:val="none"/>
                <w:lang w:val="en-US" w:eastAsia="zh-CN" w:bidi="ar-SA"/>
              </w:rPr>
            </w:pPr>
            <w:r>
              <w:rPr>
                <w:rFonts w:hint="eastAsia" w:ascii="仿宋_GB2312" w:hAnsi="宋体" w:eastAsia="仿宋_GB2312"/>
                <w:color w:val="auto"/>
                <w:szCs w:val="21"/>
                <w:highlight w:val="none"/>
                <w:lang w:val="en-US" w:eastAsia="zh-CN"/>
              </w:rPr>
              <w:t>18</w:t>
            </w:r>
          </w:p>
        </w:tc>
        <w:tc>
          <w:tcPr>
            <w:tcW w:w="6007"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bidi w:val="0"/>
              <w:adjustRightInd w:val="0"/>
              <w:snapToGrid w:val="0"/>
              <w:spacing w:beforeAutospacing="0" w:afterAutospacing="0" w:line="560" w:lineRule="exact"/>
              <w:rPr>
                <w:rFonts w:hint="eastAsia" w:ascii="仿宋_GB2312" w:hAnsi="宋体" w:eastAsia="仿宋_GB2312"/>
                <w:b/>
                <w:bCs/>
                <w:color w:val="auto"/>
                <w:szCs w:val="21"/>
                <w:highlight w:val="none"/>
              </w:rPr>
            </w:pPr>
            <w:r>
              <w:rPr>
                <w:rFonts w:hint="eastAsia" w:ascii="仿宋_GB2312" w:hAnsi="宋体" w:eastAsia="仿宋_GB2312"/>
                <w:b/>
                <w:bCs/>
                <w:color w:val="auto"/>
                <w:szCs w:val="21"/>
                <w:highlight w:val="none"/>
              </w:rPr>
              <w:t>（一）评审内容：</w:t>
            </w:r>
          </w:p>
          <w:p>
            <w:pPr>
              <w:keepNext w:val="0"/>
              <w:keepLines w:val="0"/>
              <w:pageBreakBefore w:val="0"/>
              <w:numPr>
                <w:ilvl w:val="0"/>
                <w:numId w:val="0"/>
              </w:numPr>
              <w:kinsoku/>
              <w:overflowPunct/>
              <w:topLinePunct w:val="0"/>
              <w:bidi w:val="0"/>
              <w:spacing w:beforeAutospacing="0" w:afterAutospacing="0" w:line="560" w:lineRule="exact"/>
              <w:jc w:val="left"/>
              <w:rPr>
                <w:rFonts w:hint="eastAsia" w:ascii="仿宋_GB2312" w:hAnsi="宋体" w:eastAsia="仿宋_GB2312"/>
                <w:bCs/>
                <w:color w:val="auto"/>
                <w:szCs w:val="21"/>
                <w:highlight w:val="none"/>
                <w:lang w:val="en-US" w:eastAsia="zh-CN"/>
              </w:rPr>
            </w:pPr>
            <w:r>
              <w:rPr>
                <w:rFonts w:hint="eastAsia" w:ascii="仿宋_GB2312" w:hAnsi="宋体" w:eastAsia="仿宋_GB2312"/>
                <w:bCs/>
                <w:color w:val="auto"/>
                <w:szCs w:val="21"/>
                <w:highlight w:val="none"/>
                <w:lang w:val="en-US" w:eastAsia="zh-CN"/>
              </w:rPr>
              <w:t>拟安排的项目团队人员</w:t>
            </w:r>
            <w:r>
              <w:rPr>
                <w:rFonts w:hint="eastAsia" w:ascii="仿宋_GB2312" w:hAnsi="宋体" w:eastAsia="仿宋_GB2312"/>
                <w:bCs/>
                <w:color w:val="auto"/>
                <w:szCs w:val="21"/>
                <w:highlight w:val="none"/>
              </w:rPr>
              <w:t>（项目负责人除外）</w:t>
            </w:r>
            <w:r>
              <w:rPr>
                <w:rFonts w:hint="eastAsia" w:ascii="仿宋_GB2312" w:hAnsi="宋体" w:eastAsia="仿宋_GB2312"/>
                <w:bCs/>
                <w:color w:val="auto"/>
                <w:szCs w:val="21"/>
                <w:highlight w:val="none"/>
                <w:lang w:val="en-US" w:eastAsia="zh-CN"/>
              </w:rPr>
              <w:t>需为投标人自有员工，否则本项不得分。在此基础上：</w:t>
            </w:r>
          </w:p>
          <w:p>
            <w:pPr>
              <w:keepNext w:val="0"/>
              <w:keepLines w:val="0"/>
              <w:pageBreakBefore w:val="0"/>
              <w:kinsoku/>
              <w:overflowPunct/>
              <w:topLinePunct w:val="0"/>
              <w:bidi w:val="0"/>
              <w:spacing w:beforeAutospacing="0" w:afterAutospacing="0" w:line="560" w:lineRule="exact"/>
              <w:jc w:val="left"/>
              <w:rPr>
                <w:rFonts w:hint="eastAsia" w:ascii="仿宋_GB2312" w:hAnsi="宋体" w:eastAsia="仿宋_GB2312"/>
                <w:bCs/>
                <w:color w:val="auto"/>
                <w:szCs w:val="21"/>
                <w:highlight w:val="none"/>
              </w:rPr>
            </w:pPr>
            <w:r>
              <w:rPr>
                <w:rFonts w:hint="eastAsia" w:ascii="仿宋_GB2312" w:hAnsi="宋体" w:eastAsia="仿宋_GB2312"/>
                <w:bCs/>
                <w:color w:val="auto"/>
                <w:szCs w:val="21"/>
                <w:highlight w:val="none"/>
                <w:lang w:val="en-US" w:eastAsia="zh-CN"/>
              </w:rPr>
              <w:t>至少提供2名团队人员具有具备会计师中级或以上</w:t>
            </w:r>
            <w:r>
              <w:rPr>
                <w:rFonts w:hint="eastAsia" w:ascii="仿宋_GB2312" w:hAnsi="宋体" w:eastAsia="仿宋_GB2312"/>
                <w:bCs/>
                <w:color w:val="auto"/>
                <w:szCs w:val="21"/>
                <w:highlight w:val="none"/>
              </w:rPr>
              <w:t>职称或审计师中级或以上职称</w:t>
            </w:r>
            <w:r>
              <w:rPr>
                <w:rFonts w:hint="eastAsia" w:ascii="仿宋_GB2312" w:hAnsi="宋体" w:eastAsia="仿宋_GB2312"/>
                <w:bCs/>
                <w:color w:val="auto"/>
                <w:szCs w:val="21"/>
                <w:highlight w:val="none"/>
                <w:lang w:eastAsia="zh-CN"/>
              </w:rPr>
              <w:t>，</w:t>
            </w:r>
            <w:r>
              <w:rPr>
                <w:rFonts w:hint="eastAsia" w:ascii="仿宋_GB2312" w:hAnsi="宋体" w:eastAsia="仿宋_GB2312"/>
                <w:bCs/>
                <w:color w:val="auto"/>
                <w:szCs w:val="21"/>
                <w:highlight w:val="none"/>
                <w:lang w:val="en-US" w:eastAsia="zh-CN"/>
              </w:rPr>
              <w:t>否则不得分。</w:t>
            </w:r>
            <w:r>
              <w:rPr>
                <w:rFonts w:hint="eastAsia" w:ascii="仿宋_GB2312" w:hAnsi="宋体" w:eastAsia="仿宋_GB2312"/>
                <w:bCs/>
                <w:color w:val="auto"/>
                <w:szCs w:val="21"/>
                <w:highlight w:val="none"/>
              </w:rPr>
              <w:t>每</w:t>
            </w:r>
            <w:r>
              <w:rPr>
                <w:rFonts w:hint="eastAsia" w:ascii="仿宋_GB2312" w:hAnsi="宋体" w:eastAsia="仿宋_GB2312"/>
                <w:bCs/>
                <w:color w:val="auto"/>
                <w:szCs w:val="21"/>
                <w:highlight w:val="none"/>
                <w:lang w:val="en-US" w:eastAsia="zh-CN"/>
              </w:rPr>
              <w:t>多</w:t>
            </w:r>
            <w:r>
              <w:rPr>
                <w:rFonts w:hint="eastAsia" w:ascii="仿宋_GB2312" w:hAnsi="宋体" w:eastAsia="仿宋_GB2312"/>
                <w:bCs/>
                <w:color w:val="auto"/>
                <w:szCs w:val="21"/>
                <w:highlight w:val="none"/>
              </w:rPr>
              <w:t>提供一名中级及以上会计师职称或中级及以上审计师职称的得</w:t>
            </w:r>
            <w:r>
              <w:rPr>
                <w:rFonts w:hint="eastAsia" w:ascii="仿宋_GB2312" w:hAnsi="宋体" w:eastAsia="仿宋_GB2312"/>
                <w:bCs/>
                <w:color w:val="auto"/>
                <w:szCs w:val="21"/>
                <w:highlight w:val="none"/>
                <w:lang w:val="en-US" w:eastAsia="zh-CN"/>
              </w:rPr>
              <w:t>9</w:t>
            </w:r>
            <w:r>
              <w:rPr>
                <w:rFonts w:hint="eastAsia" w:ascii="仿宋_GB2312" w:hAnsi="宋体" w:eastAsia="仿宋_GB2312"/>
                <w:bCs/>
                <w:color w:val="auto"/>
                <w:szCs w:val="21"/>
                <w:highlight w:val="none"/>
              </w:rPr>
              <w:t>，最多得</w:t>
            </w:r>
            <w:r>
              <w:rPr>
                <w:rFonts w:hint="eastAsia" w:ascii="仿宋_GB2312" w:hAnsi="宋体" w:eastAsia="仿宋_GB2312"/>
                <w:bCs/>
                <w:color w:val="auto"/>
                <w:szCs w:val="21"/>
                <w:highlight w:val="none"/>
                <w:lang w:val="en-US" w:eastAsia="zh-CN"/>
              </w:rPr>
              <w:t>18</w:t>
            </w:r>
            <w:r>
              <w:rPr>
                <w:rFonts w:hint="eastAsia" w:ascii="仿宋_GB2312" w:hAnsi="宋体" w:eastAsia="仿宋_GB2312"/>
                <w:bCs/>
                <w:color w:val="auto"/>
                <w:szCs w:val="21"/>
                <w:highlight w:val="none"/>
              </w:rPr>
              <w:t>。</w:t>
            </w:r>
          </w:p>
          <w:p>
            <w:pPr>
              <w:keepNext w:val="0"/>
              <w:keepLines w:val="0"/>
              <w:pageBreakBefore w:val="0"/>
              <w:kinsoku/>
              <w:overflowPunct/>
              <w:topLinePunct w:val="0"/>
              <w:bidi w:val="0"/>
              <w:spacing w:beforeAutospacing="0" w:afterAutospacing="0" w:line="560" w:lineRule="exact"/>
              <w:jc w:val="left"/>
              <w:rPr>
                <w:rFonts w:hint="default" w:ascii="仿宋_GB2312" w:hAnsi="宋体" w:eastAsia="仿宋_GB2312"/>
                <w:b/>
                <w:bCs/>
                <w:color w:val="auto"/>
                <w:szCs w:val="21"/>
                <w:highlight w:val="none"/>
                <w:lang w:val="en-US" w:eastAsia="zh-CN"/>
              </w:rPr>
            </w:pPr>
            <w:r>
              <w:rPr>
                <w:rFonts w:hint="eastAsia" w:ascii="仿宋_GB2312" w:hAnsi="宋体" w:eastAsia="仿宋_GB2312"/>
                <w:bCs/>
                <w:color w:val="auto"/>
                <w:szCs w:val="21"/>
                <w:highlight w:val="none"/>
              </w:rPr>
              <w:t>备注：同一人不重复得分。</w:t>
            </w:r>
          </w:p>
          <w:p>
            <w:pPr>
              <w:keepNext w:val="0"/>
              <w:keepLines w:val="0"/>
              <w:pageBreakBefore w:val="0"/>
              <w:kinsoku/>
              <w:overflowPunct/>
              <w:topLinePunct w:val="0"/>
              <w:bidi w:val="0"/>
              <w:adjustRightInd w:val="0"/>
              <w:snapToGrid w:val="0"/>
              <w:spacing w:beforeAutospacing="0" w:afterAutospacing="0" w:line="560" w:lineRule="exact"/>
              <w:rPr>
                <w:rFonts w:hint="eastAsia" w:ascii="仿宋_GB2312" w:hAnsi="宋体" w:eastAsia="仿宋_GB2312"/>
                <w:b/>
                <w:bCs/>
                <w:color w:val="auto"/>
                <w:szCs w:val="21"/>
                <w:highlight w:val="none"/>
              </w:rPr>
            </w:pPr>
            <w:r>
              <w:rPr>
                <w:rFonts w:hint="eastAsia" w:ascii="仿宋_GB2312" w:hAnsi="宋体" w:eastAsia="仿宋_GB2312"/>
                <w:b/>
                <w:bCs/>
                <w:color w:val="auto"/>
                <w:szCs w:val="21"/>
                <w:highlight w:val="none"/>
              </w:rPr>
              <w:t>（二）评分标准依据：</w:t>
            </w:r>
          </w:p>
          <w:p>
            <w:pPr>
              <w:keepNext w:val="0"/>
              <w:keepLines w:val="0"/>
              <w:pageBreakBefore w:val="0"/>
              <w:kinsoku/>
              <w:overflowPunct/>
              <w:topLinePunct w:val="0"/>
              <w:bidi w:val="0"/>
              <w:spacing w:beforeAutospacing="0" w:afterAutospacing="0" w:line="560" w:lineRule="exact"/>
              <w:jc w:val="left"/>
              <w:rPr>
                <w:rFonts w:hint="eastAsia"/>
              </w:rPr>
            </w:pPr>
            <w:r>
              <w:rPr>
                <w:rFonts w:hint="eastAsia" w:ascii="仿宋_GB2312" w:hAnsi="宋体" w:eastAsia="仿宋_GB2312"/>
                <w:bCs/>
                <w:color w:val="auto"/>
                <w:szCs w:val="21"/>
                <w:highlight w:val="none"/>
                <w:lang w:val="en-US" w:eastAsia="zh-CN"/>
              </w:rPr>
              <w:t>1.团队</w:t>
            </w:r>
            <w:r>
              <w:rPr>
                <w:rFonts w:hint="eastAsia" w:ascii="仿宋_GB2312" w:hAnsi="宋体" w:eastAsia="仿宋_GB2312"/>
                <w:bCs/>
                <w:color w:val="auto"/>
                <w:szCs w:val="21"/>
                <w:highlight w:val="none"/>
              </w:rPr>
              <w:t>人员具备会计师中级或以上职称或审计师中级或以上职称的需提供：职称证书扫描件或权威机构等合法查询渠道的查询记录（原件备查）。</w:t>
            </w:r>
          </w:p>
          <w:p>
            <w:pPr>
              <w:keepNext w:val="0"/>
              <w:keepLines w:val="0"/>
              <w:pageBreakBefore w:val="0"/>
              <w:kinsoku/>
              <w:overflowPunct/>
              <w:topLinePunct w:val="0"/>
              <w:bidi w:val="0"/>
              <w:spacing w:beforeAutospacing="0" w:afterAutospacing="0" w:line="560" w:lineRule="exact"/>
              <w:rPr>
                <w:rFonts w:hint="eastAsia" w:ascii="仿宋_GB2312" w:hAnsi="宋体" w:eastAsia="仿宋_GB2312"/>
                <w:bCs/>
                <w:color w:val="auto"/>
                <w:szCs w:val="21"/>
                <w:highlight w:val="none"/>
                <w:lang w:val="en-US" w:eastAsia="zh-CN"/>
              </w:rPr>
            </w:pPr>
            <w:r>
              <w:rPr>
                <w:rFonts w:hint="eastAsia" w:ascii="仿宋_GB2312" w:hAnsi="宋体" w:eastAsia="仿宋_GB2312"/>
                <w:bCs/>
                <w:color w:val="auto"/>
                <w:szCs w:val="21"/>
                <w:highlight w:val="none"/>
                <w:lang w:val="en-US" w:eastAsia="zh-CN"/>
              </w:rPr>
              <w:t>2.本项团队成员需同时提供近三个月的任意一个月（由于社保部门原因最近一个月的社保证明无法提供的可往前顺延一个月）的社保证明作为本单位员工的证明依据。另，若供应商成立不足三个月的，需提供成立情况说明函（格式自拟），无需提供社保，亦可得分。若为退休返聘人员，需提供退休证明和聘用合同。</w:t>
            </w:r>
          </w:p>
          <w:p>
            <w:pPr>
              <w:keepNext w:val="0"/>
              <w:keepLines w:val="0"/>
              <w:pageBreakBefore w:val="0"/>
              <w:kinsoku/>
              <w:overflowPunct/>
              <w:topLinePunct w:val="0"/>
              <w:bidi w:val="0"/>
              <w:spacing w:beforeAutospacing="0" w:afterAutospacing="0" w:line="560" w:lineRule="exact"/>
              <w:rPr>
                <w:rFonts w:hint="eastAsia" w:ascii="仿宋_GB2312" w:hAnsi="宋体" w:eastAsia="仿宋_GB2312"/>
                <w:bCs/>
                <w:color w:val="auto"/>
                <w:szCs w:val="21"/>
                <w:highlight w:val="none"/>
                <w:lang w:val="en-US" w:eastAsia="zh-CN"/>
              </w:rPr>
            </w:pPr>
            <w:r>
              <w:rPr>
                <w:rFonts w:hint="eastAsia" w:ascii="仿宋_GB2312" w:hAnsi="宋体" w:eastAsia="仿宋_GB2312"/>
                <w:bCs/>
                <w:color w:val="auto"/>
                <w:szCs w:val="21"/>
                <w:highlight w:val="none"/>
                <w:lang w:val="en-US" w:eastAsia="zh-CN"/>
              </w:rPr>
              <w:t>3.评分中出现无证明资料或专家无法凭所提供资料判断是否得分的情况，一律作不得分处理。</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四、供应商资质要求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（一）具有独立法人资格或具有独立承担民事责任能力的其它组织（提供营业执照或事业单位法人证等法人证明复印件，原件备查）；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（二）本项目不接受联合体投标，不允许转包、分包；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（三）参与本项目投标前三年内，在经营活动中没有重大违法记录（由供应商在《政府采购投标及履约承诺函》中作出承诺）；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（四）参与本项目政府采购活动时不存在被有关部门禁止参与政府采购活动且在有效期内的情况（由供应商在《政府采购投标及履约承诺函》中作出承诺）；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（五）满足《中华人民共和国政府采购法》第二十二条规定（投标人在投标文件中签署《政府采购投标及履约承诺函》即可）；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（六）参与本项目政府采购活动时未被列入失信被执行人、重大税收违法案件当事人名单、政府采购严重违法失信行为记录名单（由供应商在《政府采购投标及履约承诺函》中作出声明）。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注：“信用中国”“中国政府采购网”“深圳信用网”以及“深圳市政府采购监管网”为供应商信用信息的查询渠道，相关信息以开标当日的查询结果为准。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五、投标材料要求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特别说明：</w:t>
      </w:r>
      <w:r>
        <w:rPr>
          <w:rFonts w:hint="eastAsia" w:ascii="仿宋_GB2312" w:hAnsi="仿宋_GB2312" w:eastAsia="仿宋_GB2312" w:cs="仿宋_GB2312"/>
          <w:sz w:val="32"/>
          <w:szCs w:val="32"/>
          <w:lang w:val="en-US" w:eastAsia="zh-CN"/>
        </w:rPr>
        <w:t xml:space="preserve">1.在采购公告中有“格式要求”的按要求编制；无“格式要求”的由投标人自拟；2.投标人须提交以下材料，所提交复印件须加盖单位公章，一式五份（正本一份，副本四份）。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（一）法定代表人证明书或法定代表人授权书及应标人身份证复印件；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（二）营业执照或事业单位法人证书或社会团体法人登记证书等法人证书证明文件复印件；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（三）《政府采购投标及履约承诺函》（附件2）；</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（四）《开标一览表》（附件3）；</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（五）《供应商基本情况表》（附件4）；</w:t>
      </w:r>
    </w:p>
    <w:p>
      <w:pPr>
        <w:pStyle w:val="19"/>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（六）投标人认为需提供的其他投标材料（同类业绩、方案等）。</w:t>
      </w:r>
    </w:p>
    <w:p>
      <w:pPr>
        <w:pStyle w:val="19"/>
        <w:keepNext w:val="0"/>
        <w:keepLines w:val="0"/>
        <w:pageBreakBefore w:val="0"/>
        <w:kinsoku/>
        <w:overflowPunct/>
        <w:topLinePunct w:val="0"/>
        <w:bidi w:val="0"/>
        <w:spacing w:beforeAutospacing="0" w:afterAutospacing="0" w:line="560" w:lineRule="exact"/>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六、项目需求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（一）服务内容</w:t>
      </w:r>
    </w:p>
    <w:p>
      <w:pPr>
        <w:keepNext w:val="0"/>
        <w:keepLines w:val="0"/>
        <w:pageBreakBefore w:val="0"/>
        <w:kinsoku/>
        <w:overflowPunct/>
        <w:topLinePunct w:val="0"/>
        <w:bidi w:val="0"/>
        <w:spacing w:beforeAutospacing="0" w:afterAutospacing="0"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auto"/>
          <w:sz w:val="32"/>
          <w:szCs w:val="32"/>
          <w:lang w:val="en-US" w:eastAsia="zh-CN"/>
        </w:rPr>
        <w:t>1.组织完成</w:t>
      </w:r>
      <w:r>
        <w:rPr>
          <w:rFonts w:hint="eastAsia" w:ascii="仿宋_GB2312" w:hAnsi="仿宋_GB2312" w:eastAsia="仿宋_GB2312" w:cs="仿宋_GB2312"/>
          <w:b/>
          <w:bCs/>
          <w:sz w:val="32"/>
          <w:szCs w:val="32"/>
          <w:lang w:val="en-US" w:eastAsia="zh-CN"/>
        </w:rPr>
        <w:t>2024年度局本级内控编报工作及汇总下属单位内控报告工作。</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rPr>
        <w:t>按照深圳市</w:t>
      </w:r>
      <w:r>
        <w:rPr>
          <w:rFonts w:hint="eastAsia" w:ascii="仿宋_GB2312" w:hAnsi="仿宋_GB2312" w:eastAsia="仿宋_GB2312" w:cs="仿宋_GB2312"/>
          <w:color w:val="auto"/>
          <w:sz w:val="32"/>
          <w:szCs w:val="32"/>
          <w:lang w:eastAsia="zh-CN"/>
        </w:rPr>
        <w:t>财政局、</w:t>
      </w:r>
      <w:r>
        <w:rPr>
          <w:rFonts w:hint="eastAsia" w:ascii="仿宋_GB2312" w:hAnsi="仿宋_GB2312" w:eastAsia="仿宋_GB2312" w:cs="仿宋_GB2312"/>
          <w:color w:val="auto"/>
          <w:sz w:val="32"/>
          <w:szCs w:val="32"/>
        </w:rPr>
        <w:t>龙岗区财政局关于开展</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b w:val="0"/>
          <w:bCs w:val="0"/>
          <w:color w:val="auto"/>
          <w:sz w:val="32"/>
          <w:szCs w:val="32"/>
        </w:rPr>
        <w:t>年度行政事业单位内控报告编报的</w:t>
      </w:r>
      <w:r>
        <w:rPr>
          <w:rFonts w:hint="eastAsia" w:ascii="仿宋_GB2312" w:hAnsi="仿宋_GB2312" w:eastAsia="仿宋_GB2312" w:cs="仿宋_GB2312"/>
          <w:b w:val="0"/>
          <w:bCs w:val="0"/>
          <w:color w:val="auto"/>
          <w:sz w:val="32"/>
          <w:szCs w:val="32"/>
          <w:lang w:eastAsia="zh-CN"/>
        </w:rPr>
        <w:t>有关</w:t>
      </w:r>
      <w:r>
        <w:rPr>
          <w:rFonts w:hint="eastAsia" w:ascii="仿宋_GB2312" w:hAnsi="仿宋_GB2312" w:eastAsia="仿宋_GB2312" w:cs="仿宋_GB2312"/>
          <w:b w:val="0"/>
          <w:bCs w:val="0"/>
          <w:color w:val="auto"/>
          <w:sz w:val="32"/>
          <w:szCs w:val="32"/>
        </w:rPr>
        <w:t>通知要求，</w:t>
      </w:r>
      <w:r>
        <w:rPr>
          <w:rFonts w:hint="eastAsia" w:ascii="仿宋_GB2312" w:hAnsi="仿宋_GB2312" w:eastAsia="仿宋_GB2312" w:cs="仿宋_GB2312"/>
          <w:b w:val="0"/>
          <w:bCs w:val="0"/>
          <w:color w:val="auto"/>
          <w:sz w:val="32"/>
          <w:szCs w:val="32"/>
          <w:lang w:val="en-US" w:eastAsia="zh-CN"/>
        </w:rPr>
        <w:t>在规定时间内，</w:t>
      </w:r>
      <w:r>
        <w:rPr>
          <w:rFonts w:hint="eastAsia" w:ascii="仿宋_GB2312" w:hAnsi="仿宋_GB2312" w:eastAsia="仿宋_GB2312" w:cs="仿宋_GB2312"/>
          <w:sz w:val="32"/>
          <w:szCs w:val="32"/>
          <w:lang w:val="en-US" w:eastAsia="zh-CN"/>
        </w:rPr>
        <w:t>完成2024年度局本级经济活动风险评估、内控评价、内控系统填报、内控报告编报以及协助我局指导、审核、汇总下属单位内控评价报告、内控报告等工作，</w:t>
      </w:r>
      <w:r>
        <w:rPr>
          <w:rFonts w:hint="eastAsia" w:ascii="仿宋_GB2312" w:hAnsi="仿宋_GB2312" w:eastAsia="仿宋_GB2312" w:cs="仿宋_GB2312"/>
          <w:b w:val="0"/>
          <w:bCs w:val="0"/>
          <w:color w:val="auto"/>
          <w:sz w:val="32"/>
          <w:szCs w:val="32"/>
          <w:lang w:eastAsia="zh-CN"/>
        </w:rPr>
        <w:t>直至本项工作达到财政机关的审核要求，具体要求包含但不限于以下方面：</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1）收集、整理教育局2024年度行政事业单位经济活动风险评估工作涉及的相关验证资料；协助形成风险点清单，采取多种方式，验证现有管控措施是否有效；协助分析本次风险评估所发现的内部控制剩余风险点，评估风险等级，提出可落实、可执行的应对措施；跟进剩余风险点的整改情况等，形成风险评估工作底稿及风险评估报告。 　　 　　 　　     </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color w:val="auto"/>
          <w:sz w:val="32"/>
          <w:szCs w:val="32"/>
          <w:lang w:val="en-US" w:eastAsia="zh-CN"/>
        </w:rPr>
        <w:t>协助我局对内控情况开展评价，制定内部控制评价方案，细化评价指标，形成</w:t>
      </w:r>
      <w:r>
        <w:rPr>
          <w:rFonts w:hint="eastAsia" w:ascii="仿宋_GB2312" w:hAnsi="仿宋_GB2312" w:eastAsia="仿宋_GB2312" w:cs="仿宋_GB2312"/>
          <w:b w:val="0"/>
          <w:bCs w:val="0"/>
          <w:color w:val="auto"/>
          <w:sz w:val="32"/>
          <w:szCs w:val="32"/>
        </w:rPr>
        <w:t>龙岗区教育局</w:t>
      </w:r>
      <w:r>
        <w:rPr>
          <w:rFonts w:hint="eastAsia" w:ascii="仿宋_GB2312" w:hAnsi="仿宋_GB2312" w:eastAsia="仿宋_GB2312" w:cs="仿宋_GB2312"/>
          <w:b w:val="0"/>
          <w:bCs w:val="0"/>
          <w:color w:val="auto"/>
          <w:sz w:val="32"/>
          <w:szCs w:val="32"/>
          <w:highlight w:val="none"/>
        </w:rPr>
        <w:t>机关本级的</w:t>
      </w:r>
      <w:r>
        <w:rPr>
          <w:rFonts w:hint="eastAsia" w:ascii="仿宋_GB2312" w:hAnsi="仿宋_GB2312" w:eastAsia="仿宋_GB2312" w:cs="仿宋_GB2312"/>
          <w:b w:val="0"/>
          <w:bCs w:val="0"/>
          <w:color w:val="auto"/>
          <w:sz w:val="32"/>
          <w:szCs w:val="32"/>
          <w:highlight w:val="none"/>
          <w:lang w:val="en-US" w:eastAsia="zh-CN"/>
        </w:rPr>
        <w:t>2024年度行政事业单位</w:t>
      </w:r>
      <w:r>
        <w:rPr>
          <w:rFonts w:hint="eastAsia" w:ascii="仿宋_GB2312" w:hAnsi="仿宋_GB2312" w:eastAsia="仿宋_GB2312" w:cs="仿宋_GB2312"/>
          <w:b w:val="0"/>
          <w:bCs w:val="0"/>
          <w:color w:val="auto"/>
          <w:sz w:val="32"/>
          <w:szCs w:val="32"/>
          <w:highlight w:val="none"/>
        </w:rPr>
        <w:t>内控</w:t>
      </w:r>
      <w:r>
        <w:rPr>
          <w:rFonts w:hint="eastAsia" w:ascii="仿宋_GB2312" w:hAnsi="仿宋_GB2312" w:eastAsia="仿宋_GB2312" w:cs="仿宋_GB2312"/>
          <w:b w:val="0"/>
          <w:bCs w:val="0"/>
          <w:color w:val="auto"/>
          <w:sz w:val="32"/>
          <w:szCs w:val="32"/>
          <w:highlight w:val="none"/>
          <w:lang w:val="en-US" w:eastAsia="zh-CN"/>
        </w:rPr>
        <w:t>评价</w:t>
      </w:r>
      <w:r>
        <w:rPr>
          <w:rFonts w:hint="eastAsia" w:ascii="仿宋_GB2312" w:hAnsi="仿宋_GB2312" w:eastAsia="仿宋_GB2312" w:cs="仿宋_GB2312"/>
          <w:b w:val="0"/>
          <w:bCs w:val="0"/>
          <w:color w:val="auto"/>
          <w:sz w:val="32"/>
          <w:szCs w:val="32"/>
          <w:highlight w:val="none"/>
        </w:rPr>
        <w:t>报告</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并纳入内控报告。</w:t>
      </w:r>
    </w:p>
    <w:p>
      <w:pPr>
        <w:pStyle w:val="2"/>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b w:val="0"/>
          <w:bCs w:val="0"/>
          <w:color w:val="auto"/>
          <w:sz w:val="32"/>
          <w:szCs w:val="32"/>
          <w:lang w:val="en-US" w:eastAsia="zh-CN"/>
        </w:rPr>
        <w:t>（3）协助对教育局及</w:t>
      </w:r>
      <w:r>
        <w:rPr>
          <w:rFonts w:hint="eastAsia" w:ascii="仿宋_GB2312" w:hAnsi="仿宋_GB2312" w:eastAsia="仿宋_GB2312" w:cs="仿宋_GB2312"/>
          <w:color w:val="auto"/>
          <w:sz w:val="32"/>
          <w:szCs w:val="32"/>
        </w:rPr>
        <w:t>下属</w:t>
      </w:r>
      <w:r>
        <w:rPr>
          <w:rFonts w:hint="eastAsia" w:ascii="仿宋_GB2312" w:hAnsi="仿宋_GB2312" w:eastAsia="仿宋_GB2312" w:cs="仿宋_GB2312"/>
          <w:color w:val="auto"/>
          <w:sz w:val="32"/>
          <w:szCs w:val="32"/>
          <w:lang w:val="en-US" w:eastAsia="zh-CN"/>
        </w:rPr>
        <w:t>所有</w:t>
      </w:r>
      <w:r>
        <w:rPr>
          <w:rFonts w:hint="eastAsia" w:ascii="仿宋_GB2312" w:hAnsi="仿宋_GB2312" w:eastAsia="仿宋_GB2312" w:cs="仿宋_GB2312"/>
          <w:color w:val="auto"/>
          <w:sz w:val="32"/>
          <w:szCs w:val="32"/>
        </w:rPr>
        <w:t>公办教育单位</w:t>
      </w:r>
      <w:r>
        <w:rPr>
          <w:rFonts w:hint="eastAsia" w:ascii="仿宋_GB2312" w:hAnsi="仿宋_GB2312" w:eastAsia="仿宋_GB2312" w:cs="仿宋_GB2312"/>
          <w:b w:val="0"/>
          <w:bCs w:val="0"/>
          <w:color w:val="auto"/>
          <w:sz w:val="32"/>
          <w:szCs w:val="32"/>
          <w:lang w:val="en-US" w:eastAsia="zh-CN"/>
        </w:rPr>
        <w:t>内部控制进行综合评估，结合</w:t>
      </w:r>
      <w:r>
        <w:rPr>
          <w:rFonts w:hint="eastAsia" w:ascii="仿宋_GB2312" w:hAnsi="仿宋_GB2312" w:eastAsia="仿宋_GB2312" w:cs="仿宋_GB2312"/>
          <w:color w:val="auto"/>
          <w:sz w:val="32"/>
          <w:szCs w:val="32"/>
        </w:rPr>
        <w:t>下属单位</w:t>
      </w:r>
      <w:r>
        <w:rPr>
          <w:rFonts w:hint="eastAsia" w:ascii="仿宋_GB2312" w:hAnsi="仿宋_GB2312" w:eastAsia="仿宋_GB2312" w:cs="仿宋_GB2312"/>
          <w:b w:val="0"/>
          <w:bCs w:val="0"/>
          <w:color w:val="auto"/>
          <w:sz w:val="32"/>
          <w:szCs w:val="32"/>
          <w:lang w:val="en-US" w:eastAsia="zh-CN"/>
        </w:rPr>
        <w:t>自我评价报告及相关材料逐级复核并形成复核意见，对全系统内部控制整体情况开展评价，形成部门内控评价报告。</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lang w:val="en-US" w:eastAsia="zh-CN"/>
        </w:rPr>
        <w:t>（4）协助收集、整理2024年内控报告编报涉及的相关佐证资料，建立我局2024年内部控制工作基本事实资料库，协助在内控报告系统中</w:t>
      </w:r>
      <w:r>
        <w:rPr>
          <w:rFonts w:hint="eastAsia" w:ascii="仿宋_GB2312" w:hAnsi="仿宋_GB2312" w:eastAsia="仿宋_GB2312" w:cs="仿宋_GB2312"/>
          <w:color w:val="auto"/>
          <w:sz w:val="32"/>
          <w:szCs w:val="32"/>
          <w:highlight w:val="none"/>
          <w:lang w:val="en-US" w:eastAsia="zh-CN"/>
        </w:rPr>
        <w:t>录入内控相关信息、上传佐证材料，</w:t>
      </w:r>
      <w:r>
        <w:rPr>
          <w:rFonts w:hint="eastAsia" w:ascii="仿宋_GB2312" w:hAnsi="仿宋_GB2312" w:eastAsia="仿宋_GB2312" w:cs="仿宋_GB2312"/>
          <w:b w:val="0"/>
          <w:bCs w:val="0"/>
          <w:color w:val="auto"/>
          <w:sz w:val="32"/>
          <w:szCs w:val="32"/>
          <w:highlight w:val="none"/>
        </w:rPr>
        <w:t>通过专业指导、资料收集、专题调研、撰写报告等形式</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形成龙岗区教育局机关本级的</w:t>
      </w:r>
      <w:r>
        <w:rPr>
          <w:rFonts w:hint="eastAsia" w:ascii="仿宋_GB2312" w:hAnsi="仿宋_GB2312" w:eastAsia="仿宋_GB2312" w:cs="仿宋_GB2312"/>
          <w:b w:val="0"/>
          <w:bCs w:val="0"/>
          <w:color w:val="auto"/>
          <w:sz w:val="32"/>
          <w:szCs w:val="32"/>
          <w:highlight w:val="none"/>
          <w:lang w:val="en-US" w:eastAsia="zh-CN"/>
        </w:rPr>
        <w:t>2024年度</w:t>
      </w:r>
      <w:r>
        <w:rPr>
          <w:rFonts w:hint="eastAsia" w:ascii="仿宋_GB2312" w:hAnsi="仿宋_GB2312" w:eastAsia="仿宋_GB2312" w:cs="仿宋_GB2312"/>
          <w:b w:val="0"/>
          <w:bCs w:val="0"/>
          <w:color w:val="auto"/>
          <w:sz w:val="32"/>
          <w:szCs w:val="32"/>
          <w:highlight w:val="none"/>
        </w:rPr>
        <w:t>内控报告编报</w:t>
      </w:r>
      <w:r>
        <w:rPr>
          <w:rFonts w:hint="eastAsia" w:ascii="仿宋_GB2312" w:hAnsi="仿宋_GB2312" w:eastAsia="仿宋_GB2312" w:cs="仿宋_GB2312"/>
          <w:b w:val="0"/>
          <w:bCs w:val="0"/>
          <w:color w:val="auto"/>
          <w:sz w:val="32"/>
          <w:szCs w:val="32"/>
        </w:rPr>
        <w:t>成果，并按时完成向财政部门报送</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overflowPunct/>
        <w:topLinePunct w:val="0"/>
        <w:bidi w:val="0"/>
        <w:spacing w:beforeAutospacing="0" w:afterAutospacing="0"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color w:val="auto"/>
          <w:sz w:val="32"/>
          <w:szCs w:val="32"/>
          <w:lang w:val="en-US" w:eastAsia="zh-CN"/>
        </w:rPr>
        <w:t>协助对</w:t>
      </w:r>
      <w:r>
        <w:rPr>
          <w:rFonts w:hint="eastAsia" w:ascii="仿宋_GB2312" w:hAnsi="仿宋_GB2312" w:eastAsia="仿宋_GB2312" w:cs="仿宋_GB2312"/>
          <w:color w:val="auto"/>
          <w:sz w:val="32"/>
          <w:szCs w:val="32"/>
          <w:lang w:eastAsia="zh-CN"/>
        </w:rPr>
        <w:t>教育局</w:t>
      </w:r>
      <w:r>
        <w:rPr>
          <w:rFonts w:hint="eastAsia" w:ascii="仿宋_GB2312" w:hAnsi="仿宋_GB2312" w:eastAsia="仿宋_GB2312" w:cs="仿宋_GB2312"/>
          <w:color w:val="auto"/>
          <w:sz w:val="32"/>
          <w:szCs w:val="32"/>
        </w:rPr>
        <w:t>下属</w:t>
      </w:r>
      <w:r>
        <w:rPr>
          <w:rFonts w:hint="eastAsia" w:ascii="仿宋_GB2312" w:hAnsi="仿宋_GB2312" w:eastAsia="仿宋_GB2312" w:cs="仿宋_GB2312"/>
          <w:color w:val="auto"/>
          <w:sz w:val="32"/>
          <w:szCs w:val="32"/>
          <w:lang w:val="en-US" w:eastAsia="zh-CN"/>
        </w:rPr>
        <w:t>所有</w:t>
      </w:r>
      <w:r>
        <w:rPr>
          <w:rFonts w:hint="eastAsia" w:ascii="仿宋_GB2312" w:hAnsi="仿宋_GB2312" w:eastAsia="仿宋_GB2312" w:cs="仿宋_GB2312"/>
          <w:color w:val="auto"/>
          <w:sz w:val="32"/>
          <w:szCs w:val="32"/>
        </w:rPr>
        <w:t>公办教育单位在内控报告编报工作过程中的答疑与指导，</w:t>
      </w:r>
      <w:r>
        <w:rPr>
          <w:rFonts w:hint="eastAsia" w:ascii="仿宋_GB2312" w:hAnsi="仿宋_GB2312" w:eastAsia="仿宋_GB2312" w:cs="仿宋_GB2312"/>
          <w:color w:val="auto"/>
          <w:sz w:val="32"/>
          <w:szCs w:val="32"/>
          <w:lang w:eastAsia="zh-CN"/>
        </w:rPr>
        <w:t>完成</w:t>
      </w:r>
      <w:r>
        <w:rPr>
          <w:rFonts w:hint="eastAsia" w:ascii="仿宋_GB2312" w:hAnsi="仿宋_GB2312" w:eastAsia="仿宋_GB2312" w:cs="仿宋_GB2312"/>
          <w:color w:val="auto"/>
          <w:sz w:val="32"/>
          <w:szCs w:val="32"/>
        </w:rPr>
        <w:t>全系统</w:t>
      </w:r>
      <w:r>
        <w:rPr>
          <w:rFonts w:hint="eastAsia" w:ascii="仿宋_GB2312" w:hAnsi="仿宋_GB2312" w:eastAsia="仿宋_GB2312" w:cs="仿宋_GB2312"/>
          <w:color w:val="auto"/>
          <w:sz w:val="32"/>
          <w:szCs w:val="32"/>
          <w:lang w:eastAsia="zh-CN"/>
        </w:rPr>
        <w:t>公办教育单位内控报告</w:t>
      </w:r>
      <w:r>
        <w:rPr>
          <w:rFonts w:hint="eastAsia" w:ascii="仿宋_GB2312" w:hAnsi="仿宋_GB2312" w:eastAsia="仿宋_GB2312" w:cs="仿宋_GB2312"/>
          <w:color w:val="auto"/>
          <w:sz w:val="32"/>
          <w:szCs w:val="32"/>
          <w:lang w:val="en-US" w:eastAsia="zh-CN"/>
        </w:rPr>
        <w:t>及佐证材料</w:t>
      </w:r>
      <w:r>
        <w:rPr>
          <w:rFonts w:hint="eastAsia" w:ascii="仿宋_GB2312" w:hAnsi="仿宋_GB2312" w:eastAsia="仿宋_GB2312" w:cs="仿宋_GB2312"/>
          <w:color w:val="auto"/>
          <w:sz w:val="32"/>
          <w:szCs w:val="32"/>
          <w:lang w:eastAsia="zh-CN"/>
        </w:rPr>
        <w:t>的审核、</w:t>
      </w:r>
      <w:r>
        <w:rPr>
          <w:rFonts w:hint="eastAsia" w:ascii="仿宋_GB2312" w:hAnsi="仿宋_GB2312" w:eastAsia="仿宋_GB2312" w:cs="仿宋_GB2312"/>
          <w:color w:val="auto"/>
          <w:sz w:val="32"/>
          <w:szCs w:val="32"/>
        </w:rPr>
        <w:t>汇总</w:t>
      </w:r>
      <w:r>
        <w:rPr>
          <w:rFonts w:hint="eastAsia" w:ascii="仿宋_GB2312" w:hAnsi="仿宋_GB2312" w:eastAsia="仿宋_GB2312" w:cs="仿宋_GB2312"/>
          <w:color w:val="auto"/>
          <w:sz w:val="32"/>
          <w:szCs w:val="32"/>
          <w:lang w:eastAsia="zh-CN"/>
        </w:rPr>
        <w:t>与上报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直</w:t>
      </w:r>
      <w:r>
        <w:rPr>
          <w:rFonts w:hint="eastAsia" w:ascii="仿宋_GB2312" w:hAnsi="仿宋_GB2312" w:eastAsia="仿宋_GB2312" w:cs="仿宋_GB2312"/>
          <w:color w:val="auto"/>
          <w:sz w:val="32"/>
          <w:szCs w:val="32"/>
        </w:rPr>
        <w:t>至</w:t>
      </w:r>
      <w:r>
        <w:rPr>
          <w:rFonts w:hint="eastAsia" w:ascii="仿宋_GB2312" w:hAnsi="仿宋_GB2312" w:eastAsia="仿宋_GB2312" w:cs="仿宋_GB2312"/>
          <w:color w:val="auto"/>
          <w:sz w:val="32"/>
          <w:szCs w:val="32"/>
          <w:lang w:eastAsia="zh-CN"/>
        </w:rPr>
        <w:t>财政局</w:t>
      </w:r>
      <w:r>
        <w:rPr>
          <w:rFonts w:hint="eastAsia" w:ascii="仿宋_GB2312" w:hAnsi="仿宋_GB2312" w:eastAsia="仿宋_GB2312" w:cs="仿宋_GB2312"/>
          <w:color w:val="auto"/>
          <w:sz w:val="32"/>
          <w:szCs w:val="32"/>
        </w:rPr>
        <w:t>审核通过为止，最终形成</w:t>
      </w:r>
      <w:r>
        <w:rPr>
          <w:rFonts w:hint="eastAsia" w:ascii="仿宋_GB2312" w:hAnsi="仿宋_GB2312" w:eastAsia="仿宋_GB2312" w:cs="仿宋_GB2312"/>
          <w:color w:val="auto"/>
          <w:sz w:val="32"/>
          <w:szCs w:val="32"/>
          <w:lang w:val="en-US" w:eastAsia="zh-CN"/>
        </w:rPr>
        <w:t>汇总</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部门</w:t>
      </w:r>
      <w:r>
        <w:rPr>
          <w:rFonts w:hint="eastAsia" w:ascii="仿宋_GB2312" w:hAnsi="仿宋_GB2312" w:eastAsia="仿宋_GB2312" w:cs="仿宋_GB2312"/>
          <w:color w:val="auto"/>
          <w:sz w:val="32"/>
          <w:szCs w:val="32"/>
        </w:rPr>
        <w:t>内控报告编报成果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完成审核100%、实地抽查50%审核工作，完成上报。</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龙岗区教育</w:t>
      </w:r>
      <w:r>
        <w:rPr>
          <w:rFonts w:hint="eastAsia" w:ascii="仿宋_GB2312" w:hAnsi="仿宋_GB2312" w:eastAsia="仿宋_GB2312" w:cs="仿宋_GB2312"/>
          <w:color w:val="auto"/>
          <w:sz w:val="32"/>
          <w:szCs w:val="32"/>
        </w:rPr>
        <w:t>局本级、全系统的内控</w:t>
      </w:r>
      <w:r>
        <w:rPr>
          <w:rFonts w:hint="eastAsia" w:ascii="仿宋_GB2312" w:hAnsi="仿宋_GB2312" w:eastAsia="仿宋_GB2312" w:cs="仿宋_GB2312"/>
          <w:color w:val="auto"/>
          <w:sz w:val="32"/>
          <w:szCs w:val="32"/>
          <w:lang w:eastAsia="zh-CN"/>
        </w:rPr>
        <w:t>工作现状、</w:t>
      </w:r>
      <w:r>
        <w:rPr>
          <w:rFonts w:hint="eastAsia" w:ascii="仿宋_GB2312" w:hAnsi="仿宋_GB2312" w:eastAsia="仿宋_GB2312" w:cs="仿宋_GB2312"/>
          <w:color w:val="auto"/>
          <w:sz w:val="32"/>
          <w:szCs w:val="32"/>
        </w:rPr>
        <w:t>重点不足和提升改进提出客观专业的</w:t>
      </w:r>
      <w:r>
        <w:rPr>
          <w:rFonts w:hint="eastAsia" w:ascii="仿宋_GB2312" w:hAnsi="仿宋_GB2312" w:eastAsia="仿宋_GB2312" w:cs="仿宋_GB2312"/>
          <w:color w:val="auto"/>
          <w:sz w:val="32"/>
          <w:szCs w:val="32"/>
          <w:lang w:eastAsia="zh-CN"/>
        </w:rPr>
        <w:t>总结和</w:t>
      </w:r>
      <w:r>
        <w:rPr>
          <w:rFonts w:hint="eastAsia" w:ascii="仿宋_GB2312" w:hAnsi="仿宋_GB2312" w:eastAsia="仿宋_GB2312" w:cs="仿宋_GB2312"/>
          <w:color w:val="auto"/>
          <w:sz w:val="32"/>
          <w:szCs w:val="32"/>
        </w:rPr>
        <w:t>可行性建议；</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具体成果包含但不限于风险评估报告、风险评估底稿、风险整改情况反馈表、局本级及汇总下属事业单位内控评价报告、内控报告、内控自我评级复核意见书，以各级财政机关要求为准。</w:t>
      </w:r>
      <w:r>
        <w:rPr>
          <w:rFonts w:hint="eastAsia" w:ascii="仿宋_GB2312" w:hAnsi="仿宋_GB2312" w:eastAsia="仿宋_GB2312" w:cs="仿宋_GB2312"/>
          <w:color w:val="auto"/>
          <w:sz w:val="32"/>
          <w:szCs w:val="32"/>
        </w:rPr>
        <w:t>若</w:t>
      </w:r>
      <w:r>
        <w:rPr>
          <w:rFonts w:hint="eastAsia" w:ascii="仿宋_GB2312" w:hAnsi="仿宋_GB2312" w:eastAsia="仿宋_GB2312" w:cs="仿宋_GB2312"/>
          <w:color w:val="auto"/>
          <w:sz w:val="32"/>
          <w:szCs w:val="32"/>
          <w:lang w:eastAsia="zh-CN"/>
        </w:rPr>
        <w:t>深圳</w:t>
      </w:r>
      <w:r>
        <w:rPr>
          <w:rFonts w:hint="eastAsia" w:ascii="仿宋_GB2312" w:hAnsi="仿宋_GB2312" w:eastAsia="仿宋_GB2312" w:cs="仿宋_GB2312"/>
          <w:color w:val="auto"/>
          <w:sz w:val="32"/>
          <w:szCs w:val="32"/>
        </w:rPr>
        <w:t>市、区财政部门</w:t>
      </w:r>
      <w:r>
        <w:rPr>
          <w:rFonts w:hint="eastAsia" w:ascii="仿宋_GB2312" w:hAnsi="仿宋_GB2312" w:eastAsia="仿宋_GB2312" w:cs="仿宋_GB2312"/>
          <w:color w:val="auto"/>
          <w:sz w:val="32"/>
          <w:szCs w:val="32"/>
          <w:lang w:eastAsia="zh-CN"/>
        </w:rPr>
        <w:t>后续新增</w:t>
      </w:r>
      <w:r>
        <w:rPr>
          <w:rFonts w:hint="eastAsia" w:ascii="仿宋_GB2312" w:hAnsi="仿宋_GB2312" w:eastAsia="仿宋_GB2312" w:cs="仿宋_GB2312"/>
          <w:color w:val="auto"/>
          <w:sz w:val="32"/>
          <w:szCs w:val="32"/>
        </w:rPr>
        <w:t>部署有关20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度</w:t>
      </w:r>
      <w:r>
        <w:rPr>
          <w:rFonts w:hint="eastAsia" w:ascii="仿宋_GB2312" w:hAnsi="仿宋_GB2312" w:eastAsia="仿宋_GB2312" w:cs="仿宋_GB2312"/>
          <w:color w:val="auto"/>
          <w:sz w:val="32"/>
          <w:szCs w:val="32"/>
        </w:rPr>
        <w:t>内控</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rPr>
        <w:t>编报工作更新</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，中标方应及时向采购方提供解决思路方案，在取得采购方认可后及时开展并完成好相关工作。</w:t>
      </w:r>
    </w:p>
    <w:p>
      <w:pPr>
        <w:pStyle w:val="3"/>
        <w:pageBreakBefore w:val="0"/>
        <w:kinsoku/>
        <w:overflowPunct/>
        <w:topLinePunct w:val="0"/>
        <w:bidi w:val="0"/>
        <w:spacing w:line="560" w:lineRule="exact"/>
        <w:rPr>
          <w:rFonts w:hint="default" w:eastAsia="仿宋_GB2312"/>
          <w:lang w:val="en-US" w:eastAsia="zh-CN"/>
        </w:rPr>
      </w:pPr>
      <w:r>
        <w:rPr>
          <w:rFonts w:hint="eastAsia" w:ascii="仿宋_GB2312" w:hAnsi="仿宋_GB2312" w:cs="仿宋_GB2312"/>
          <w:b/>
          <w:bCs/>
          <w:color w:val="auto"/>
          <w:sz w:val="32"/>
          <w:szCs w:val="32"/>
          <w:lang w:val="en-US" w:eastAsia="zh-CN"/>
        </w:rPr>
        <w:t>2.教育局本级日常内部控制建设咨询工作。</w:t>
      </w:r>
      <w:r>
        <w:rPr>
          <w:rFonts w:hint="eastAsia" w:ascii="仿宋_GB2312" w:hAnsi="仿宋_GB2312" w:cs="仿宋_GB2312"/>
          <w:color w:val="auto"/>
          <w:sz w:val="32"/>
          <w:szCs w:val="32"/>
          <w:lang w:val="en-US" w:eastAsia="zh-CN"/>
        </w:rPr>
        <w:t>包括但不限于通过专业指导、资料收集、专题调研、培训、撰写报告等形式，对龙岗区教育局本级内部控制日常工作提出可行性建议等。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 本项目团队人员相关要求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val="en-US" w:eastAsia="zh-CN"/>
        </w:rPr>
      </w:pPr>
      <w:r>
        <w:rPr>
          <w:rFonts w:hint="eastAsia" w:hAnsi="宋体" w:eastAsiaTheme="minorEastAsia"/>
          <w:kern w:val="0"/>
          <w:szCs w:val="21"/>
        </w:rPr>
        <w:t>★</w:t>
      </w:r>
      <w:r>
        <w:rPr>
          <w:rFonts w:hint="eastAsia" w:ascii="仿宋_GB2312" w:hAnsi="仿宋_GB2312" w:eastAsia="仿宋_GB2312" w:cs="仿宋_GB2312"/>
          <w:sz w:val="32"/>
          <w:szCs w:val="32"/>
          <w:lang w:val="en-US" w:eastAsia="zh-CN"/>
        </w:rPr>
        <w:t>中标单位应根据采购方的要求，安排</w:t>
      </w:r>
      <w:r>
        <w:rPr>
          <w:rFonts w:hint="eastAsia" w:ascii="仿宋_GB2312" w:hAnsi="仿宋_GB2312" w:eastAsia="仿宋_GB2312" w:cs="仿宋_GB2312"/>
          <w:b/>
          <w:bCs w:val="0"/>
          <w:color w:val="FF0000"/>
          <w:kern w:val="0"/>
          <w:sz w:val="32"/>
          <w:szCs w:val="32"/>
          <w:lang w:val="en-US" w:eastAsia="zh-CN"/>
        </w:rPr>
        <w:t>不少于5人的团队人员</w:t>
      </w:r>
      <w:r>
        <w:rPr>
          <w:rFonts w:hint="eastAsia" w:ascii="仿宋_GB2312" w:hAnsi="仿宋_GB2312" w:eastAsia="仿宋_GB2312" w:cs="仿宋_GB2312"/>
          <w:sz w:val="32"/>
          <w:szCs w:val="32"/>
          <w:lang w:val="en-US" w:eastAsia="zh-CN"/>
        </w:rPr>
        <w:t>服务于本项目，其中</w:t>
      </w:r>
      <w:r>
        <w:rPr>
          <w:rFonts w:hint="eastAsia" w:ascii="仿宋_GB2312" w:hAnsi="仿宋_GB2312" w:eastAsia="仿宋_GB2312" w:cs="仿宋_GB2312"/>
          <w:b/>
          <w:bCs/>
          <w:sz w:val="32"/>
          <w:szCs w:val="32"/>
          <w:lang w:val="en-US" w:eastAsia="zh-CN"/>
        </w:rPr>
        <w:t>1名为项目负责人，</w:t>
      </w:r>
      <w:r>
        <w:rPr>
          <w:rFonts w:hint="eastAsia" w:ascii="仿宋_GB2312" w:hAnsi="仿宋_GB2312" w:eastAsia="仿宋_GB2312" w:cs="仿宋_GB2312"/>
          <w:sz w:val="32"/>
          <w:szCs w:val="32"/>
          <w:lang w:val="en-US" w:eastAsia="zh-CN"/>
        </w:rPr>
        <w:t>负责与采购单位沟通、联系，对过程及结果进行质量把关；</w:t>
      </w:r>
      <w:r>
        <w:rPr>
          <w:rFonts w:hint="eastAsia" w:ascii="仿宋_GB2312" w:hAnsi="仿宋_GB2312" w:eastAsia="仿宋_GB2312" w:cs="仿宋_GB2312"/>
          <w:color w:val="auto"/>
          <w:sz w:val="32"/>
          <w:szCs w:val="32"/>
        </w:rPr>
        <w:t>其中</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负责项目具体服务，</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服务期间（</w:t>
      </w:r>
      <w:r>
        <w:rPr>
          <w:rFonts w:hint="eastAsia" w:ascii="仿宋_GB2312" w:hAnsi="仿宋_GB2312" w:eastAsia="仿宋_GB2312" w:cs="仿宋_GB2312"/>
          <w:color w:val="auto"/>
          <w:sz w:val="32"/>
          <w:szCs w:val="32"/>
        </w:rPr>
        <w:t>实施过程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需服从采购方</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工作安排和调度</w:t>
      </w:r>
      <w:r>
        <w:rPr>
          <w:rFonts w:hint="eastAsia" w:ascii="仿宋_GB2312" w:hAnsi="仿宋_GB2312" w:eastAsia="仿宋_GB2312" w:cs="仿宋_GB2312"/>
          <w:color w:val="auto"/>
          <w:sz w:val="32"/>
          <w:szCs w:val="32"/>
          <w:lang w:eastAsia="zh-CN"/>
        </w:rPr>
        <w:t>，服从采购人指定办公地点</w:t>
      </w:r>
      <w:r>
        <w:rPr>
          <w:rFonts w:hint="eastAsia" w:ascii="仿宋_GB2312" w:hAnsi="仿宋_GB2312" w:eastAsia="仿宋_GB2312" w:cs="仿宋_GB2312"/>
          <w:color w:val="auto"/>
          <w:sz w:val="32"/>
          <w:szCs w:val="32"/>
        </w:rPr>
        <w:t>开展服务工作</w:t>
      </w:r>
      <w:r>
        <w:rPr>
          <w:rFonts w:hint="eastAsia" w:ascii="仿宋_GB2312" w:hAnsi="仿宋_GB2312" w:eastAsia="仿宋_GB2312" w:cs="仿宋_GB2312"/>
          <w:color w:val="auto"/>
          <w:sz w:val="32"/>
          <w:szCs w:val="32"/>
          <w:lang w:eastAsia="zh-CN"/>
        </w:rPr>
        <w:t>（视情况经采购人同意可以远程开展服务）</w:t>
      </w:r>
      <w:r>
        <w:rPr>
          <w:rFonts w:hint="eastAsia" w:ascii="仿宋_GB2312" w:hAnsi="仿宋_GB2312" w:eastAsia="仿宋_GB2312" w:cs="仿宋_GB2312"/>
          <w:sz w:val="32"/>
          <w:szCs w:val="32"/>
          <w:lang w:val="en-US" w:eastAsia="zh-CN"/>
        </w:rPr>
        <w:t>。所有人员均应是投标单位的自有员工，具体要求如下：</w:t>
      </w:r>
    </w:p>
    <w:tbl>
      <w:tblPr>
        <w:tblStyle w:val="15"/>
        <w:tblW w:w="8678"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343"/>
        <w:gridCol w:w="816"/>
        <w:gridCol w:w="1839"/>
        <w:gridCol w:w="3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2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序号</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 w:hAnsi="仿宋" w:eastAsia="仿宋" w:cs="仿宋"/>
                <w:b/>
                <w:sz w:val="28"/>
                <w:szCs w:val="28"/>
                <w:highlight w:val="none"/>
              </w:rPr>
            </w:pPr>
            <w:r>
              <w:rPr>
                <w:rFonts w:hint="eastAsia" w:ascii="仿宋" w:hAnsi="仿宋" w:eastAsia="仿宋" w:cs="仿宋"/>
                <w:b/>
                <w:kern w:val="0"/>
                <w:sz w:val="28"/>
                <w:szCs w:val="28"/>
              </w:rPr>
              <w:t>人员类别</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 w:hAnsi="仿宋" w:eastAsia="仿宋" w:cs="仿宋"/>
                <w:b/>
                <w:sz w:val="28"/>
                <w:szCs w:val="28"/>
                <w:highlight w:val="none"/>
              </w:rPr>
            </w:pPr>
            <w:r>
              <w:rPr>
                <w:rFonts w:hint="eastAsia" w:hAnsi="宋体" w:eastAsiaTheme="minorEastAsia"/>
                <w:kern w:val="0"/>
                <w:szCs w:val="21"/>
              </w:rPr>
              <w:t>★</w:t>
            </w:r>
            <w:r>
              <w:rPr>
                <w:rFonts w:hint="eastAsia" w:ascii="仿宋" w:hAnsi="仿宋" w:eastAsia="仿宋" w:cs="仿宋"/>
                <w:b/>
                <w:sz w:val="28"/>
                <w:szCs w:val="28"/>
                <w:highlight w:val="none"/>
              </w:rPr>
              <w:t>人数</w:t>
            </w:r>
          </w:p>
        </w:tc>
        <w:tc>
          <w:tcPr>
            <w:tcW w:w="183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 w:hAnsi="仿宋" w:eastAsia="仿宋" w:cs="仿宋"/>
                <w:b/>
                <w:sz w:val="28"/>
                <w:szCs w:val="28"/>
                <w:highlight w:val="none"/>
              </w:rPr>
            </w:pPr>
            <w:r>
              <w:rPr>
                <w:rFonts w:hint="eastAsia" w:hAnsi="宋体" w:eastAsiaTheme="minorEastAsia"/>
                <w:kern w:val="0"/>
                <w:szCs w:val="21"/>
              </w:rPr>
              <w:t>★</w:t>
            </w:r>
            <w:r>
              <w:rPr>
                <w:rFonts w:hint="eastAsia" w:ascii="仿宋" w:hAnsi="仿宋" w:eastAsia="仿宋" w:cs="仿宋"/>
                <w:b/>
                <w:kern w:val="0"/>
                <w:sz w:val="28"/>
                <w:szCs w:val="28"/>
                <w:lang w:eastAsia="zh-CN"/>
              </w:rPr>
              <w:t>需</w:t>
            </w:r>
            <w:r>
              <w:rPr>
                <w:rFonts w:hint="eastAsia" w:ascii="仿宋" w:hAnsi="仿宋" w:eastAsia="仿宋" w:cs="仿宋"/>
                <w:b/>
                <w:kern w:val="0"/>
                <w:sz w:val="28"/>
                <w:szCs w:val="28"/>
              </w:rPr>
              <w:t>具备的资质条件</w:t>
            </w:r>
          </w:p>
        </w:tc>
        <w:tc>
          <w:tcPr>
            <w:tcW w:w="385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 w:hAnsi="仿宋" w:eastAsia="仿宋" w:cs="仿宋"/>
                <w:b/>
                <w:sz w:val="28"/>
                <w:szCs w:val="28"/>
                <w:highlight w:val="none"/>
              </w:rPr>
            </w:pPr>
            <w:r>
              <w:rPr>
                <w:rFonts w:hint="eastAsia" w:ascii="仿宋" w:hAnsi="仿宋" w:eastAsia="仿宋" w:cs="仿宋"/>
                <w:kern w:val="0"/>
                <w:sz w:val="28"/>
                <w:szCs w:val="28"/>
              </w:rPr>
              <w:t>人员可偏离条件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2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项目负责人</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p>
        </w:tc>
        <w:tc>
          <w:tcPr>
            <w:tcW w:w="183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 w:hAnsi="仿宋" w:eastAsia="仿宋" w:cs="仿宋"/>
                <w:sz w:val="28"/>
                <w:szCs w:val="28"/>
                <w:highlight w:val="none"/>
              </w:rPr>
            </w:pPr>
            <w:r>
              <w:rPr>
                <w:rFonts w:hint="eastAsia" w:ascii="仿宋" w:hAnsi="仿宋" w:eastAsia="仿宋" w:cs="仿宋"/>
                <w:kern w:val="0"/>
                <w:sz w:val="28"/>
                <w:szCs w:val="28"/>
              </w:rPr>
              <w:t>注册会计师执业资格</w:t>
            </w:r>
          </w:p>
        </w:tc>
        <w:tc>
          <w:tcPr>
            <w:tcW w:w="3858" w:type="dxa"/>
            <w:vAlign w:val="center"/>
          </w:tcPr>
          <w:p>
            <w:pPr>
              <w:pStyle w:val="9"/>
              <w:keepNext w:val="0"/>
              <w:keepLines w:val="0"/>
              <w:pageBreakBefore w:val="0"/>
              <w:numPr>
                <w:ilvl w:val="0"/>
                <w:numId w:val="0"/>
              </w:numPr>
              <w:kinsoku/>
              <w:overflowPunct/>
              <w:topLinePunct w:val="0"/>
              <w:bidi w:val="0"/>
              <w:spacing w:beforeAutospacing="0" w:afterAutospacing="0" w:line="560" w:lineRule="exact"/>
              <w:rPr>
                <w:rFonts w:hint="eastAsia" w:ascii="仿宋" w:hAnsi="仿宋" w:eastAsia="仿宋" w:cs="仿宋"/>
                <w:sz w:val="28"/>
                <w:szCs w:val="28"/>
                <w:highlight w:val="none"/>
                <w:lang w:eastAsia="zh-CN"/>
              </w:rPr>
            </w:pPr>
            <w:r>
              <w:rPr>
                <w:rFonts w:hint="eastAsia" w:ascii="仿宋" w:hAnsi="仿宋" w:eastAsia="仿宋" w:cs="仿宋"/>
                <w:bCs/>
                <w:sz w:val="28"/>
                <w:szCs w:val="28"/>
                <w:lang w:eastAsia="zh-CN"/>
              </w:rPr>
              <w:t>注册会计师执业年限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82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p>
        </w:tc>
        <w:tc>
          <w:tcPr>
            <w:tcW w:w="134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团队</w:t>
            </w:r>
            <w:r>
              <w:rPr>
                <w:rFonts w:hint="eastAsia" w:ascii="仿宋" w:hAnsi="仿宋" w:eastAsia="仿宋" w:cs="仿宋"/>
                <w:sz w:val="28"/>
                <w:szCs w:val="28"/>
                <w:highlight w:val="none"/>
              </w:rPr>
              <w:t>人员</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183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p>
        </w:tc>
        <w:tc>
          <w:tcPr>
            <w:tcW w:w="3858" w:type="dxa"/>
            <w:vAlign w:val="center"/>
          </w:tcPr>
          <w:p>
            <w:pPr>
              <w:keepNext w:val="0"/>
              <w:keepLines w:val="0"/>
              <w:pageBreakBefore w:val="0"/>
              <w:widowControl/>
              <w:kinsoku/>
              <w:overflowPunct/>
              <w:topLinePunct w:val="0"/>
              <w:bidi w:val="0"/>
              <w:spacing w:beforeAutospacing="0" w:afterAutospacing="0" w:line="560" w:lineRule="exact"/>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至少2人</w:t>
            </w:r>
            <w:r>
              <w:rPr>
                <w:rFonts w:hint="eastAsia" w:ascii="仿宋" w:hAnsi="仿宋" w:eastAsia="仿宋" w:cs="仿宋"/>
                <w:color w:val="000000" w:themeColor="text1"/>
                <w:sz w:val="28"/>
                <w:szCs w:val="28"/>
                <w14:textFill>
                  <w14:solidFill>
                    <w14:schemeClr w14:val="tx1"/>
                  </w14:solidFill>
                </w14:textFill>
              </w:rPr>
              <w:t>具备会计师中级或以上职称或审计师中级或以上职称；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65"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合计</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p>
        </w:tc>
        <w:tc>
          <w:tcPr>
            <w:tcW w:w="183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 w:hAnsi="仿宋" w:eastAsia="仿宋" w:cs="仿宋"/>
                <w:sz w:val="28"/>
                <w:szCs w:val="28"/>
                <w:highlight w:val="none"/>
              </w:rPr>
            </w:pPr>
          </w:p>
        </w:tc>
        <w:tc>
          <w:tcPr>
            <w:tcW w:w="385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 w:hAnsi="仿宋" w:eastAsia="仿宋" w:cs="仿宋"/>
                <w:sz w:val="28"/>
                <w:szCs w:val="28"/>
                <w:highlight w:val="none"/>
              </w:rPr>
            </w:pPr>
          </w:p>
        </w:tc>
      </w:tr>
    </w:tbl>
    <w:p>
      <w:pPr>
        <w:pStyle w:val="10"/>
        <w:keepNext w:val="0"/>
        <w:keepLines w:val="0"/>
        <w:pageBreakBefore w:val="0"/>
        <w:kinsoku/>
        <w:overflowPunct/>
        <w:topLinePunct w:val="0"/>
        <w:bidi w:val="0"/>
        <w:spacing w:beforeAutospacing="0" w:afterAutospacing="0" w:line="560" w:lineRule="exact"/>
        <w:rPr>
          <w:rFonts w:hint="eastAsia"/>
        </w:rPr>
      </w:pP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（三）服务期限</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本项目合同期为自签订之日起一年。本项目为长期服务项目，长期服务政府采购合同履行期限最长不得超过三十六个月。如甲方对履约情况不满意，甲方不再续约。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lang w:val="en-US" w:eastAsia="zh-CN"/>
        </w:rPr>
        <w:t>其他要求</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中标</w:t>
      </w:r>
      <w:r>
        <w:rPr>
          <w:rFonts w:hint="eastAsia" w:ascii="仿宋_GB2312" w:hAnsi="仿宋_GB2312" w:eastAsia="仿宋_GB2312" w:cs="仿宋_GB2312"/>
          <w:b w:val="0"/>
          <w:bCs w:val="0"/>
          <w:color w:val="auto"/>
          <w:sz w:val="32"/>
          <w:szCs w:val="32"/>
          <w:lang w:eastAsia="zh-CN"/>
        </w:rPr>
        <w:t>方</w:t>
      </w:r>
      <w:r>
        <w:rPr>
          <w:rFonts w:hint="eastAsia" w:ascii="仿宋_GB2312" w:hAnsi="仿宋_GB2312" w:eastAsia="仿宋_GB2312" w:cs="仿宋_GB2312"/>
          <w:b w:val="0"/>
          <w:bCs w:val="0"/>
          <w:color w:val="auto"/>
          <w:sz w:val="32"/>
          <w:szCs w:val="32"/>
        </w:rPr>
        <w:t>必须严格按照相关法律法规做好</w:t>
      </w:r>
      <w:r>
        <w:rPr>
          <w:rFonts w:hint="eastAsia" w:ascii="仿宋_GB2312" w:hAnsi="仿宋_GB2312" w:eastAsia="仿宋_GB2312" w:cs="仿宋_GB2312"/>
          <w:color w:val="auto"/>
          <w:sz w:val="32"/>
          <w:szCs w:val="32"/>
        </w:rPr>
        <w:t>招标文件 和服务事项的保密工作，实施项目的一切程序都应符合国家安全、保密的有关规定和标准，未经采购</w:t>
      </w:r>
      <w:r>
        <w:rPr>
          <w:rFonts w:hint="eastAsia" w:ascii="仿宋_GB2312" w:hAnsi="仿宋_GB2312" w:eastAsia="仿宋_GB2312" w:cs="仿宋_GB2312"/>
          <w:color w:val="auto"/>
          <w:sz w:val="32"/>
          <w:szCs w:val="32"/>
          <w:lang w:eastAsia="zh-CN"/>
        </w:rPr>
        <w:t>方</w:t>
      </w:r>
      <w:r>
        <w:rPr>
          <w:rFonts w:hint="eastAsia" w:ascii="仿宋_GB2312" w:hAnsi="仿宋_GB2312" w:eastAsia="仿宋_GB2312" w:cs="仿宋_GB2312"/>
          <w:color w:val="auto"/>
          <w:sz w:val="32"/>
          <w:szCs w:val="32"/>
        </w:rPr>
        <w:t>同意，不得将采购</w:t>
      </w:r>
      <w:r>
        <w:rPr>
          <w:rFonts w:hint="eastAsia" w:ascii="仿宋_GB2312" w:hAnsi="仿宋_GB2312" w:eastAsia="仿宋_GB2312" w:cs="仿宋_GB2312"/>
          <w:color w:val="auto"/>
          <w:sz w:val="32"/>
          <w:szCs w:val="32"/>
          <w:lang w:eastAsia="zh-CN"/>
        </w:rPr>
        <w:t>方</w:t>
      </w:r>
      <w:r>
        <w:rPr>
          <w:rFonts w:hint="eastAsia" w:ascii="仿宋_GB2312" w:hAnsi="仿宋_GB2312" w:eastAsia="仿宋_GB2312" w:cs="仿宋_GB2312"/>
          <w:color w:val="auto"/>
          <w:sz w:val="32"/>
          <w:szCs w:val="32"/>
        </w:rPr>
        <w:t xml:space="preserve">提供的有关资产资料、文件及工作成果通过任何方式向第三方透露。 如发生泄密事件造成影响的，将依法追究相关责任。 </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中标</w:t>
      </w:r>
      <w:r>
        <w:rPr>
          <w:rFonts w:hint="eastAsia" w:ascii="仿宋_GB2312" w:hAnsi="仿宋_GB2312" w:eastAsia="仿宋_GB2312" w:cs="仿宋_GB2312"/>
          <w:color w:val="auto"/>
          <w:sz w:val="32"/>
          <w:szCs w:val="32"/>
          <w:lang w:eastAsia="zh-CN"/>
        </w:rPr>
        <w:t>方</w:t>
      </w:r>
      <w:r>
        <w:rPr>
          <w:rFonts w:hint="eastAsia" w:ascii="仿宋_GB2312" w:hAnsi="仿宋_GB2312" w:eastAsia="仿宋_GB2312" w:cs="仿宋_GB2312"/>
          <w:color w:val="auto"/>
          <w:sz w:val="32"/>
          <w:szCs w:val="32"/>
        </w:rPr>
        <w:t>应按照</w:t>
      </w:r>
      <w:r>
        <w:rPr>
          <w:rFonts w:hint="eastAsia" w:ascii="仿宋_GB2312" w:hAnsi="仿宋_GB2312" w:eastAsia="仿宋_GB2312" w:cs="仿宋_GB2312"/>
          <w:color w:val="auto"/>
          <w:sz w:val="32"/>
          <w:szCs w:val="32"/>
          <w:lang w:eastAsia="zh-CN"/>
        </w:rPr>
        <w:t>深圳</w:t>
      </w:r>
      <w:r>
        <w:rPr>
          <w:rFonts w:hint="eastAsia" w:ascii="仿宋_GB2312" w:hAnsi="仿宋_GB2312" w:eastAsia="仿宋_GB2312" w:cs="仿宋_GB2312"/>
          <w:color w:val="auto"/>
          <w:sz w:val="32"/>
          <w:szCs w:val="32"/>
        </w:rPr>
        <w:t>市、区财政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关于20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度行政事业单位</w:t>
      </w:r>
      <w:r>
        <w:rPr>
          <w:rFonts w:hint="eastAsia" w:ascii="仿宋_GB2312" w:hAnsi="仿宋_GB2312" w:eastAsia="仿宋_GB2312" w:cs="仿宋_GB2312"/>
          <w:color w:val="auto"/>
          <w:sz w:val="32"/>
          <w:szCs w:val="32"/>
        </w:rPr>
        <w:t>内控报告编报工作</w:t>
      </w:r>
      <w:r>
        <w:rPr>
          <w:rFonts w:hint="eastAsia" w:ascii="仿宋_GB2312" w:hAnsi="仿宋_GB2312" w:eastAsia="仿宋_GB2312" w:cs="仿宋_GB2312"/>
          <w:color w:val="auto"/>
          <w:sz w:val="32"/>
          <w:szCs w:val="32"/>
          <w:lang w:eastAsia="zh-CN"/>
        </w:rPr>
        <w:t>有关</w:t>
      </w:r>
      <w:r>
        <w:rPr>
          <w:rFonts w:hint="eastAsia" w:ascii="仿宋_GB2312" w:hAnsi="仿宋_GB2312" w:eastAsia="仿宋_GB2312" w:cs="仿宋_GB2312"/>
          <w:color w:val="auto"/>
          <w:sz w:val="32"/>
          <w:szCs w:val="32"/>
        </w:rPr>
        <w:t>文件精神及采购方的要求开展内控报告编报、数据审核、资料汇总等工作。采购方有权对中标</w:t>
      </w:r>
      <w:r>
        <w:rPr>
          <w:rFonts w:hint="eastAsia" w:ascii="仿宋_GB2312" w:hAnsi="仿宋_GB2312" w:eastAsia="仿宋_GB2312" w:cs="仿宋_GB2312"/>
          <w:color w:val="auto"/>
          <w:sz w:val="32"/>
          <w:szCs w:val="32"/>
          <w:lang w:eastAsia="zh-CN"/>
        </w:rPr>
        <w:t>方</w:t>
      </w:r>
      <w:r>
        <w:rPr>
          <w:rFonts w:hint="eastAsia" w:ascii="仿宋_GB2312" w:hAnsi="仿宋_GB2312" w:eastAsia="仿宋_GB2312" w:cs="仿宋_GB2312"/>
          <w:color w:val="auto"/>
          <w:sz w:val="32"/>
          <w:szCs w:val="32"/>
        </w:rPr>
        <w:t>的工作质量进行抽查复核，中标</w:t>
      </w:r>
      <w:r>
        <w:rPr>
          <w:rFonts w:hint="eastAsia" w:ascii="仿宋_GB2312" w:hAnsi="仿宋_GB2312" w:eastAsia="仿宋_GB2312" w:cs="仿宋_GB2312"/>
          <w:color w:val="auto"/>
          <w:sz w:val="32"/>
          <w:szCs w:val="32"/>
          <w:lang w:eastAsia="zh-CN"/>
        </w:rPr>
        <w:t>方</w:t>
      </w:r>
      <w:r>
        <w:rPr>
          <w:rFonts w:hint="eastAsia" w:ascii="仿宋_GB2312" w:hAnsi="仿宋_GB2312" w:eastAsia="仿宋_GB2312" w:cs="仿宋_GB2312"/>
          <w:color w:val="auto"/>
          <w:sz w:val="32"/>
          <w:szCs w:val="32"/>
        </w:rPr>
        <w:t>必须无条件配合采购单位的抽查复核与整改工作。 </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中标</w:t>
      </w:r>
      <w:r>
        <w:rPr>
          <w:rFonts w:hint="eastAsia" w:ascii="仿宋_GB2312" w:hAnsi="仿宋_GB2312" w:eastAsia="仿宋_GB2312" w:cs="仿宋_GB2312"/>
          <w:color w:val="auto"/>
          <w:sz w:val="32"/>
          <w:szCs w:val="32"/>
          <w:lang w:eastAsia="zh-CN"/>
        </w:rPr>
        <w:t>方</w:t>
      </w:r>
      <w:r>
        <w:rPr>
          <w:rFonts w:hint="eastAsia" w:ascii="仿宋_GB2312" w:hAnsi="仿宋_GB2312" w:eastAsia="仿宋_GB2312" w:cs="仿宋_GB2312"/>
          <w:color w:val="auto"/>
          <w:sz w:val="32"/>
          <w:szCs w:val="32"/>
        </w:rPr>
        <w:t>必须将工作成果及时</w:t>
      </w:r>
      <w:r>
        <w:rPr>
          <w:rFonts w:hint="eastAsia" w:ascii="仿宋_GB2312" w:hAnsi="仿宋_GB2312" w:eastAsia="仿宋_GB2312" w:cs="仿宋_GB2312"/>
          <w:color w:val="auto"/>
          <w:sz w:val="32"/>
          <w:szCs w:val="32"/>
          <w:lang w:eastAsia="zh-CN"/>
        </w:rPr>
        <w:t>提交</w:t>
      </w:r>
      <w:r>
        <w:rPr>
          <w:rFonts w:hint="eastAsia" w:ascii="仿宋_GB2312" w:hAnsi="仿宋_GB2312" w:eastAsia="仿宋_GB2312" w:cs="仿宋_GB2312"/>
          <w:color w:val="auto"/>
          <w:sz w:val="32"/>
          <w:szCs w:val="32"/>
        </w:rPr>
        <w:t>给采购方，以便采购方根据工作成果及实际情况开展后续工作。 </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在本服务周期内，</w:t>
      </w:r>
      <w:r>
        <w:rPr>
          <w:rFonts w:hint="eastAsia" w:ascii="仿宋_GB2312" w:hAnsi="仿宋_GB2312" w:eastAsia="仿宋_GB2312" w:cs="仿宋_GB2312"/>
          <w:color w:val="auto"/>
          <w:sz w:val="32"/>
          <w:szCs w:val="32"/>
          <w:lang w:eastAsia="zh-CN"/>
        </w:rPr>
        <w:t>为保障工作延续性和保障质量，</w:t>
      </w:r>
      <w:r>
        <w:rPr>
          <w:rFonts w:hint="eastAsia" w:ascii="仿宋_GB2312" w:hAnsi="仿宋_GB2312" w:eastAsia="仿宋_GB2312" w:cs="仿宋_GB2312"/>
          <w:color w:val="auto"/>
          <w:sz w:val="32"/>
          <w:szCs w:val="32"/>
        </w:rPr>
        <w:t>未经采购方同意，中标</w:t>
      </w:r>
      <w:r>
        <w:rPr>
          <w:rFonts w:hint="eastAsia" w:ascii="仿宋_GB2312" w:hAnsi="仿宋_GB2312" w:eastAsia="仿宋_GB2312" w:cs="仿宋_GB2312"/>
          <w:color w:val="auto"/>
          <w:sz w:val="32"/>
          <w:szCs w:val="32"/>
          <w:lang w:eastAsia="zh-CN"/>
        </w:rPr>
        <w:t>方</w:t>
      </w:r>
      <w:r>
        <w:rPr>
          <w:rFonts w:hint="eastAsia" w:ascii="仿宋_GB2312" w:hAnsi="仿宋_GB2312" w:eastAsia="仿宋_GB2312" w:cs="仿宋_GB2312"/>
          <w:color w:val="auto"/>
          <w:sz w:val="32"/>
          <w:szCs w:val="32"/>
        </w:rPr>
        <w:t>不得</w:t>
      </w:r>
      <w:r>
        <w:rPr>
          <w:rFonts w:hint="eastAsia" w:ascii="仿宋_GB2312" w:hAnsi="仿宋_GB2312" w:eastAsia="仿宋_GB2312" w:cs="仿宋_GB2312"/>
          <w:color w:val="auto"/>
          <w:sz w:val="32"/>
          <w:szCs w:val="32"/>
          <w:lang w:eastAsia="zh-CN"/>
        </w:rPr>
        <w:t>随意</w:t>
      </w:r>
      <w:r>
        <w:rPr>
          <w:rFonts w:hint="eastAsia" w:ascii="仿宋_GB2312" w:hAnsi="仿宋_GB2312" w:eastAsia="仿宋_GB2312" w:cs="仿宋_GB2312"/>
          <w:color w:val="auto"/>
          <w:sz w:val="32"/>
          <w:szCs w:val="32"/>
        </w:rPr>
        <w:t>撤</w:t>
      </w:r>
      <w:r>
        <w:rPr>
          <w:rFonts w:hint="eastAsia" w:ascii="仿宋_GB2312" w:hAnsi="仿宋_GB2312" w:eastAsia="仿宋_GB2312" w:cs="仿宋_GB2312"/>
          <w:color w:val="auto"/>
          <w:sz w:val="32"/>
          <w:szCs w:val="32"/>
          <w:lang w:eastAsia="zh-CN"/>
        </w:rPr>
        <w:t>换确定的</w:t>
      </w:r>
      <w:r>
        <w:rPr>
          <w:rFonts w:hint="eastAsia" w:ascii="仿宋_GB2312" w:hAnsi="仿宋_GB2312" w:eastAsia="仿宋_GB2312" w:cs="仿宋_GB2312"/>
          <w:color w:val="auto"/>
          <w:sz w:val="32"/>
          <w:szCs w:val="32"/>
        </w:rPr>
        <w:t>专业人员，派驻专业人员不得从事与</w:t>
      </w:r>
      <w:r>
        <w:rPr>
          <w:rFonts w:hint="eastAsia" w:ascii="仿宋_GB2312" w:hAnsi="仿宋_GB2312" w:eastAsia="仿宋_GB2312" w:cs="仿宋_GB2312"/>
          <w:color w:val="auto"/>
          <w:sz w:val="32"/>
          <w:szCs w:val="32"/>
          <w:lang w:eastAsia="zh-CN"/>
        </w:rPr>
        <w:t>服务项目</w:t>
      </w:r>
      <w:r>
        <w:rPr>
          <w:rFonts w:hint="eastAsia" w:ascii="仿宋_GB2312" w:hAnsi="仿宋_GB2312" w:eastAsia="仿宋_GB2312" w:cs="仿宋_GB2312"/>
          <w:color w:val="auto"/>
          <w:sz w:val="32"/>
          <w:szCs w:val="32"/>
        </w:rPr>
        <w:t>工作无关的事宜。 </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中标</w:t>
      </w:r>
      <w:r>
        <w:rPr>
          <w:rFonts w:hint="eastAsia" w:ascii="仿宋_GB2312" w:hAnsi="仿宋_GB2312" w:eastAsia="仿宋_GB2312" w:cs="仿宋_GB2312"/>
          <w:color w:val="auto"/>
          <w:sz w:val="32"/>
          <w:szCs w:val="32"/>
          <w:lang w:eastAsia="zh-CN"/>
        </w:rPr>
        <w:t>方</w:t>
      </w:r>
      <w:r>
        <w:rPr>
          <w:rFonts w:hint="eastAsia" w:ascii="仿宋_GB2312" w:hAnsi="仿宋_GB2312" w:eastAsia="仿宋_GB2312" w:cs="仿宋_GB2312"/>
          <w:color w:val="auto"/>
          <w:sz w:val="32"/>
          <w:szCs w:val="32"/>
        </w:rPr>
        <w:t>的工作人员，自行携带电脑</w:t>
      </w:r>
      <w:r>
        <w:rPr>
          <w:rFonts w:hint="eastAsia" w:ascii="仿宋_GB2312" w:hAnsi="仿宋_GB2312" w:eastAsia="仿宋_GB2312" w:cs="仿宋_GB2312"/>
          <w:color w:val="auto"/>
          <w:sz w:val="32"/>
          <w:szCs w:val="32"/>
          <w:lang w:eastAsia="zh-CN"/>
        </w:rPr>
        <w:t>、自行解决交通和食宿</w:t>
      </w:r>
      <w:r>
        <w:rPr>
          <w:rFonts w:hint="eastAsia" w:ascii="仿宋_GB2312" w:hAnsi="仿宋_GB2312" w:eastAsia="仿宋_GB2312" w:cs="仿宋_GB2312"/>
          <w:color w:val="auto"/>
          <w:sz w:val="32"/>
          <w:szCs w:val="32"/>
        </w:rPr>
        <w:t>。对于采购方提供的工作场所和设备需认真爱护和保管，如因疏忽造成财产损失，中标</w:t>
      </w:r>
      <w:r>
        <w:rPr>
          <w:rFonts w:hint="eastAsia" w:ascii="仿宋_GB2312" w:hAnsi="仿宋_GB2312" w:eastAsia="仿宋_GB2312" w:cs="仿宋_GB2312"/>
          <w:color w:val="auto"/>
          <w:sz w:val="32"/>
          <w:szCs w:val="32"/>
          <w:lang w:eastAsia="zh-CN"/>
        </w:rPr>
        <w:t>方</w:t>
      </w:r>
      <w:r>
        <w:rPr>
          <w:rFonts w:hint="eastAsia" w:ascii="仿宋_GB2312" w:hAnsi="仿宋_GB2312" w:eastAsia="仿宋_GB2312" w:cs="仿宋_GB2312"/>
          <w:color w:val="auto"/>
          <w:sz w:val="32"/>
          <w:szCs w:val="32"/>
        </w:rPr>
        <w:t>应承担赔偿损失责任。 </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中标方需视采购方需要在服务期间对全系统公办教育单位开展一期《行政事业单位内控报告》编报辅导培训，以及在2025年度内另行对全系统公办教育单位举办一期的内控业务培训（不在项目服务期间和验收范围）。</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7.投标人一经投标，视为已完全理解和接受招标方案的所有要求，并能做出实质性响应承诺。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七、投标要求和评标时间</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lang w:val="en-US" w:eastAsia="zh-CN"/>
        </w:rPr>
        <w:t>14:30</w:t>
      </w:r>
      <w:r>
        <w:rPr>
          <w:rFonts w:hint="eastAsia" w:ascii="仿宋_GB2312" w:hAnsi="仿宋_GB2312" w:eastAsia="仿宋_GB2312" w:cs="仿宋_GB2312"/>
          <w:color w:val="auto"/>
          <w:sz w:val="32"/>
          <w:szCs w:val="32"/>
        </w:rPr>
        <w:t>前，</w:t>
      </w:r>
      <w:r>
        <w:rPr>
          <w:rFonts w:hint="eastAsia" w:ascii="仿宋_GB2312" w:hAnsi="仿宋_GB2312" w:eastAsia="仿宋_GB2312" w:cs="仿宋_GB2312"/>
          <w:color w:val="auto"/>
          <w:sz w:val="32"/>
          <w:szCs w:val="32"/>
          <w:lang w:eastAsia="zh-CN"/>
        </w:rPr>
        <w:t>投标人</w:t>
      </w:r>
      <w:r>
        <w:rPr>
          <w:rFonts w:hint="eastAsia" w:ascii="仿宋_GB2312" w:hAnsi="仿宋_GB2312" w:eastAsia="仿宋_GB2312" w:cs="仿宋_GB2312"/>
          <w:color w:val="auto"/>
          <w:sz w:val="32"/>
          <w:szCs w:val="32"/>
        </w:rPr>
        <w:t>须</w:t>
      </w:r>
      <w:r>
        <w:rPr>
          <w:rFonts w:hint="eastAsia" w:ascii="仿宋_GB2312" w:hAnsi="仿宋_GB2312" w:eastAsia="仿宋_GB2312" w:cs="仿宋_GB2312"/>
          <w:color w:val="auto"/>
          <w:sz w:val="32"/>
          <w:szCs w:val="32"/>
          <w:lang w:eastAsia="zh-CN"/>
        </w:rPr>
        <w:t>根据本招标公告的项目需求和要求，编制投标书，按照本公告中所</w:t>
      </w:r>
      <w:r>
        <w:rPr>
          <w:rFonts w:hint="eastAsia" w:ascii="仿宋_GB2312" w:hAnsi="仿宋_GB2312" w:eastAsia="仿宋_GB2312" w:cs="仿宋_GB2312"/>
          <w:color w:val="auto"/>
          <w:sz w:val="32"/>
          <w:szCs w:val="32"/>
          <w:lang w:val="en-US" w:eastAsia="zh-CN"/>
        </w:rPr>
        <w:t>列的材料和提交</w:t>
      </w:r>
      <w:bookmarkStart w:id="0" w:name="_GoBack"/>
      <w:bookmarkEnd w:id="0"/>
      <w:r>
        <w:rPr>
          <w:rFonts w:hint="eastAsia" w:ascii="仿宋_GB2312" w:hAnsi="仿宋_GB2312" w:eastAsia="仿宋_GB2312" w:cs="仿宋_GB2312"/>
          <w:color w:val="auto"/>
          <w:sz w:val="32"/>
          <w:szCs w:val="32"/>
          <w:lang w:val="en-US" w:eastAsia="zh-CN"/>
        </w:rPr>
        <w:t>要求，</w:t>
      </w:r>
      <w:r>
        <w:rPr>
          <w:rFonts w:hint="eastAsia" w:ascii="仿宋_GB2312" w:hAnsi="仿宋_GB2312" w:eastAsia="仿宋_GB2312" w:cs="仿宋_GB2312"/>
          <w:color w:val="auto"/>
          <w:sz w:val="32"/>
          <w:szCs w:val="32"/>
        </w:rPr>
        <w:t>提交</w:t>
      </w:r>
      <w:r>
        <w:rPr>
          <w:rFonts w:hint="eastAsia" w:ascii="仿宋_GB2312" w:hAnsi="仿宋_GB2312" w:eastAsia="仿宋_GB2312" w:cs="仿宋_GB2312"/>
          <w:color w:val="auto"/>
          <w:sz w:val="32"/>
          <w:szCs w:val="32"/>
          <w:lang w:eastAsia="zh-CN"/>
        </w:rPr>
        <w:t>投标文件（资料）</w:t>
      </w:r>
      <w:r>
        <w:rPr>
          <w:rFonts w:hint="eastAsia" w:ascii="仿宋_GB2312" w:hAnsi="仿宋_GB2312" w:eastAsia="仿宋_GB2312" w:cs="仿宋_GB2312"/>
          <w:color w:val="auto"/>
          <w:sz w:val="32"/>
          <w:szCs w:val="32"/>
        </w:rPr>
        <w:t xml:space="preserve">至龙岗区教育局 </w:t>
      </w:r>
      <w:r>
        <w:rPr>
          <w:rFonts w:hint="eastAsia" w:ascii="仿宋_GB2312" w:hAnsi="仿宋_GB2312" w:eastAsia="仿宋_GB2312" w:cs="仿宋_GB2312"/>
          <w:color w:val="auto"/>
          <w:sz w:val="32"/>
          <w:szCs w:val="32"/>
          <w:highlight w:val="none"/>
          <w:lang w:val="en-US" w:eastAsia="zh-CN"/>
        </w:rPr>
        <w:t>305</w:t>
      </w:r>
      <w:r>
        <w:rPr>
          <w:rFonts w:hint="eastAsia" w:ascii="仿宋_GB2312" w:hAnsi="仿宋_GB2312" w:eastAsia="仿宋_GB2312" w:cs="仿宋_GB2312"/>
          <w:color w:val="auto"/>
          <w:sz w:val="32"/>
          <w:szCs w:val="32"/>
          <w:lang w:eastAsia="zh-CN"/>
        </w:rPr>
        <w:t>办公</w:t>
      </w:r>
      <w:r>
        <w:rPr>
          <w:rFonts w:hint="eastAsia" w:ascii="仿宋_GB2312" w:hAnsi="仿宋_GB2312" w:eastAsia="仿宋_GB2312" w:cs="仿宋_GB2312"/>
          <w:color w:val="auto"/>
          <w:sz w:val="32"/>
          <w:szCs w:val="32"/>
        </w:rPr>
        <w:t>室，逾期提交将不予受理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0，龙岗区教育局</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评标</w:t>
      </w:r>
      <w:r>
        <w:rPr>
          <w:rFonts w:hint="eastAsia" w:ascii="仿宋_GB2312" w:hAnsi="仿宋_GB2312" w:eastAsia="仿宋_GB2312" w:cs="仿宋_GB2312"/>
          <w:b/>
          <w:bCs/>
          <w:color w:val="auto"/>
          <w:sz w:val="32"/>
          <w:szCs w:val="32"/>
          <w:lang w:eastAsia="zh-CN"/>
        </w:rPr>
        <w:t>（投标人不需到</w:t>
      </w:r>
      <w:r>
        <w:rPr>
          <w:rFonts w:hint="eastAsia" w:ascii="仿宋_GB2312" w:hAnsi="仿宋_GB2312" w:eastAsia="仿宋_GB2312" w:cs="仿宋_GB2312"/>
          <w:b/>
          <w:bCs/>
          <w:color w:val="auto"/>
          <w:sz w:val="32"/>
          <w:szCs w:val="32"/>
        </w:rPr>
        <w:t>场</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完成评定标流程</w:t>
      </w:r>
      <w:r>
        <w:rPr>
          <w:rFonts w:hint="eastAsia" w:ascii="仿宋_GB2312" w:hAnsi="仿宋_GB2312" w:eastAsia="仿宋_GB2312" w:cs="仿宋_GB2312"/>
          <w:color w:val="auto"/>
          <w:sz w:val="32"/>
          <w:szCs w:val="32"/>
          <w:lang w:val="en-US" w:eastAsia="zh-CN"/>
        </w:rPr>
        <w:t>3个工作日内，</w:t>
      </w:r>
      <w:r>
        <w:rPr>
          <w:rFonts w:hint="eastAsia" w:ascii="仿宋_GB2312" w:hAnsi="仿宋_GB2312" w:eastAsia="仿宋_GB2312" w:cs="仿宋_GB2312"/>
          <w:color w:val="auto"/>
          <w:sz w:val="32"/>
          <w:szCs w:val="32"/>
        </w:rPr>
        <w:t>通过龙岗区政府在线的龙岗区教育局阳光采购栏目对采购结果公示3</w:t>
      </w:r>
      <w:r>
        <w:rPr>
          <w:rFonts w:hint="eastAsia" w:ascii="仿宋_GB2312" w:hAnsi="仿宋_GB2312" w:eastAsia="仿宋_GB2312" w:cs="仿宋_GB2312"/>
          <w:color w:val="auto"/>
          <w:sz w:val="32"/>
          <w:szCs w:val="32"/>
          <w:lang w:eastAsia="zh-CN"/>
        </w:rPr>
        <w:t>个工作日</w:t>
      </w:r>
      <w:r>
        <w:rPr>
          <w:rFonts w:hint="eastAsia" w:ascii="仿宋_GB2312" w:hAnsi="仿宋_GB2312" w:eastAsia="仿宋_GB2312" w:cs="仿宋_GB2312"/>
          <w:color w:val="auto"/>
          <w:sz w:val="32"/>
          <w:szCs w:val="32"/>
        </w:rPr>
        <w:t>，公示期间无异议，</w:t>
      </w:r>
      <w:r>
        <w:rPr>
          <w:rFonts w:hint="eastAsia" w:ascii="仿宋_GB2312" w:hAnsi="仿宋_GB2312" w:eastAsia="仿宋_GB2312" w:cs="仿宋_GB2312"/>
          <w:color w:val="auto"/>
          <w:sz w:val="32"/>
          <w:szCs w:val="32"/>
          <w:lang w:eastAsia="zh-CN"/>
        </w:rPr>
        <w:t>则</w:t>
      </w:r>
      <w:r>
        <w:rPr>
          <w:rFonts w:hint="eastAsia" w:ascii="仿宋_GB2312" w:hAnsi="仿宋_GB2312" w:eastAsia="仿宋_GB2312" w:cs="仿宋_GB2312"/>
          <w:color w:val="auto"/>
          <w:sz w:val="32"/>
          <w:szCs w:val="32"/>
        </w:rPr>
        <w:t>确定最终中标公司及中标价格</w:t>
      </w:r>
      <w:r>
        <w:rPr>
          <w:rFonts w:hint="eastAsia" w:ascii="仿宋_GB2312" w:hAnsi="仿宋_GB2312" w:eastAsia="仿宋_GB2312" w:cs="仿宋_GB2312"/>
          <w:color w:val="auto"/>
          <w:sz w:val="32"/>
          <w:szCs w:val="32"/>
          <w:lang w:eastAsia="zh-CN"/>
        </w:rPr>
        <w:t>，并办理</w:t>
      </w:r>
      <w:r>
        <w:rPr>
          <w:rFonts w:hint="eastAsia" w:ascii="仿宋_GB2312" w:hAnsi="仿宋_GB2312" w:eastAsia="仿宋_GB2312" w:cs="仿宋_GB2312"/>
          <w:color w:val="auto"/>
          <w:sz w:val="32"/>
          <w:szCs w:val="32"/>
        </w:rPr>
        <w:t>服务合同</w:t>
      </w:r>
      <w:r>
        <w:rPr>
          <w:rFonts w:hint="eastAsia" w:ascii="仿宋_GB2312" w:hAnsi="仿宋_GB2312" w:eastAsia="仿宋_GB2312" w:cs="仿宋_GB2312"/>
          <w:color w:val="auto"/>
          <w:sz w:val="32"/>
          <w:szCs w:val="32"/>
          <w:lang w:eastAsia="zh-CN"/>
        </w:rPr>
        <w:t>签订</w:t>
      </w:r>
      <w:r>
        <w:rPr>
          <w:rFonts w:hint="eastAsia" w:ascii="仿宋_GB2312" w:hAnsi="仿宋_GB2312" w:eastAsia="仿宋_GB2312" w:cs="仿宋_GB2312"/>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八、项目联系人及联系方式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项目联系人：洪老师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联系方</w:t>
      </w:r>
      <w:r>
        <w:rPr>
          <w:rFonts w:hint="eastAsia" w:ascii="仿宋_GB2312" w:hAnsi="仿宋_GB2312" w:eastAsia="仿宋_GB2312" w:cs="仿宋_GB2312"/>
          <w:sz w:val="32"/>
          <w:szCs w:val="32"/>
          <w:highlight w:val="none"/>
          <w:lang w:val="en-US" w:eastAsia="zh-CN"/>
        </w:rPr>
        <w:t>式：0755-89551952,13760361288</w:t>
      </w:r>
    </w:p>
    <w:p>
      <w:pPr>
        <w:pStyle w:val="2"/>
        <w:rPr>
          <w:rFonts w:hint="default"/>
          <w:lang w:val="en-US"/>
        </w:rPr>
      </w:pPr>
    </w:p>
    <w:p>
      <w:pPr>
        <w:keepNext w:val="0"/>
        <w:keepLines w:val="0"/>
        <w:pageBreakBefore w:val="0"/>
        <w:kinsoku/>
        <w:wordWrap w:val="0"/>
        <w:overflowPunct/>
        <w:topLinePunct w:val="0"/>
        <w:bidi w:val="0"/>
        <w:spacing w:beforeAutospacing="0" w:afterAutospacing="0" w:line="560" w:lineRule="exact"/>
        <w:jc w:val="right"/>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rPr>
        <w:t>龙岗区教育局</w:t>
      </w:r>
      <w:r>
        <w:rPr>
          <w:rFonts w:hint="eastAsia" w:ascii="仿宋_GB2312" w:hAnsi="仿宋_GB2312" w:eastAsia="仿宋_GB2312" w:cs="仿宋_GB2312"/>
          <w:bCs/>
          <w:color w:val="auto"/>
          <w:kern w:val="0"/>
          <w:sz w:val="32"/>
          <w:szCs w:val="32"/>
          <w:highlight w:val="none"/>
          <w:lang w:val="en-US" w:eastAsia="zh-CN"/>
        </w:rPr>
        <w:t xml:space="preserve"> </w:t>
      </w:r>
    </w:p>
    <w:p>
      <w:pPr>
        <w:keepNext w:val="0"/>
        <w:keepLines w:val="0"/>
        <w:pageBreakBefore w:val="0"/>
        <w:kinsoku/>
        <w:overflowPunct/>
        <w:topLinePunct w:val="0"/>
        <w:bidi w:val="0"/>
        <w:spacing w:beforeAutospacing="0" w:afterAutospacing="0" w:line="560" w:lineRule="exact"/>
        <w:jc w:val="righ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202</w:t>
      </w:r>
      <w:r>
        <w:rPr>
          <w:rFonts w:hint="eastAsia" w:ascii="仿宋_GB2312" w:hAnsi="仿宋_GB2312" w:eastAsia="仿宋_GB2312" w:cs="仿宋_GB2312"/>
          <w:bCs/>
          <w:color w:val="auto"/>
          <w:kern w:val="0"/>
          <w:sz w:val="32"/>
          <w:szCs w:val="32"/>
          <w:highlight w:val="none"/>
          <w:lang w:val="en-US" w:eastAsia="zh-CN"/>
        </w:rPr>
        <w:t>5</w:t>
      </w:r>
      <w:r>
        <w:rPr>
          <w:rFonts w:hint="eastAsia" w:ascii="仿宋_GB2312" w:hAnsi="仿宋_GB2312" w:eastAsia="仿宋_GB2312" w:cs="仿宋_GB2312"/>
          <w:bCs/>
          <w:color w:val="auto"/>
          <w:kern w:val="0"/>
          <w:sz w:val="32"/>
          <w:szCs w:val="32"/>
          <w:highlight w:val="none"/>
          <w:lang w:eastAsia="zh-CN"/>
        </w:rPr>
        <w:t>年</w:t>
      </w:r>
      <w:r>
        <w:rPr>
          <w:rFonts w:hint="eastAsia" w:ascii="仿宋_GB2312" w:hAnsi="仿宋_GB2312" w:eastAsia="仿宋_GB2312" w:cs="仿宋_GB2312"/>
          <w:bCs/>
          <w:color w:val="auto"/>
          <w:kern w:val="0"/>
          <w:sz w:val="32"/>
          <w:szCs w:val="32"/>
          <w:highlight w:val="none"/>
          <w:lang w:val="en-US" w:eastAsia="zh-CN"/>
        </w:rPr>
        <w:t>3</w:t>
      </w:r>
      <w:r>
        <w:rPr>
          <w:rFonts w:hint="eastAsia" w:ascii="仿宋_GB2312" w:hAnsi="仿宋_GB2312" w:eastAsia="仿宋_GB2312" w:cs="仿宋_GB2312"/>
          <w:bCs/>
          <w:color w:val="auto"/>
          <w:kern w:val="0"/>
          <w:sz w:val="32"/>
          <w:szCs w:val="32"/>
          <w:highlight w:val="none"/>
        </w:rPr>
        <w:t>月</w:t>
      </w:r>
      <w:r>
        <w:rPr>
          <w:rFonts w:hint="eastAsia" w:ascii="仿宋_GB2312" w:hAnsi="仿宋_GB2312" w:eastAsia="仿宋_GB2312" w:cs="仿宋_GB2312"/>
          <w:bCs/>
          <w:color w:val="auto"/>
          <w:kern w:val="0"/>
          <w:sz w:val="32"/>
          <w:szCs w:val="32"/>
          <w:highlight w:val="none"/>
          <w:lang w:val="en-US" w:eastAsia="zh-CN"/>
        </w:rPr>
        <w:t>18</w:t>
      </w:r>
      <w:r>
        <w:rPr>
          <w:rFonts w:hint="eastAsia" w:ascii="仿宋_GB2312" w:hAnsi="仿宋_GB2312" w:eastAsia="仿宋_GB2312" w:cs="仿宋_GB2312"/>
          <w:bCs/>
          <w:color w:val="auto"/>
          <w:kern w:val="0"/>
          <w:sz w:val="32"/>
          <w:szCs w:val="32"/>
          <w:highlight w:val="none"/>
        </w:rPr>
        <w:t>日</w:t>
      </w:r>
    </w:p>
    <w:p>
      <w:pPr>
        <w:pStyle w:val="10"/>
        <w:pageBreakBefore w:val="0"/>
        <w:kinsoku/>
        <w:overflowPunct/>
        <w:topLinePunct w:val="0"/>
        <w:bidi w:val="0"/>
        <w:spacing w:line="560" w:lineRule="exact"/>
        <w:rPr>
          <w:rFonts w:hint="default"/>
          <w:color w:val="auto"/>
          <w:highlight w:val="none"/>
          <w:lang w:val="en-US" w:eastAsia="zh-CN"/>
        </w:rPr>
      </w:pPr>
    </w:p>
    <w:sectPr>
      <w:footerReference r:id="rId3" w:type="default"/>
      <w:pgSz w:w="11906" w:h="16838"/>
      <w:pgMar w:top="192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EE6CF3-F386-4F21-A0AA-42B9D7B884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04F0E70-0EA1-4235-8C78-76C89D2C7F68}"/>
  </w:font>
  <w:font w:name="汉仪中宋简">
    <w:altName w:val="宋体"/>
    <w:panose1 w:val="02010600000101010101"/>
    <w:charset w:val="80"/>
    <w:family w:val="auto"/>
    <w:pitch w:val="default"/>
    <w:sig w:usb0="00000000" w:usb1="00000000" w:usb2="00000012" w:usb3="00000000" w:csb0="00020001" w:csb1="00000000"/>
  </w:font>
  <w:font w:name="Calibri Light">
    <w:panose1 w:val="020F0302020204030204"/>
    <w:charset w:val="00"/>
    <w:family w:val="auto"/>
    <w:pitch w:val="default"/>
    <w:sig w:usb0="E4002EFF" w:usb1="C2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3" w:fontKey="{3B85084B-D6AD-40F8-993B-6CA4510F28E8}"/>
  </w:font>
  <w:font w:name="方正小标宋简体">
    <w:panose1 w:val="03000509000000000000"/>
    <w:charset w:val="86"/>
    <w:family w:val="auto"/>
    <w:pitch w:val="default"/>
    <w:sig w:usb0="00000001" w:usb1="080E0000" w:usb2="00000000" w:usb3="00000000" w:csb0="00040000" w:csb1="00000000"/>
    <w:embedRegular r:id="rId4" w:fontKey="{AA71D5F0-90B3-421F-A74A-063AF05A31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79F130"/>
    <w:multiLevelType w:val="multilevel"/>
    <w:tmpl w:val="ED79F130"/>
    <w:lvl w:ilvl="0" w:tentative="0">
      <w:start w:val="1"/>
      <w:numFmt w:val="chineseCounting"/>
      <w:pStyle w:val="5"/>
      <w:suff w:val="nothing"/>
      <w:lvlText w:val="%1、"/>
      <w:lvlJc w:val="left"/>
      <w:pPr>
        <w:tabs>
          <w:tab w:val="left" w:pos="0"/>
        </w:tabs>
        <w:ind w:left="0" w:firstLine="0"/>
      </w:pPr>
      <w:rPr>
        <w:rFonts w:hint="eastAsia" w:eastAsia="黑体"/>
        <w:b/>
        <w:sz w:val="32"/>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
      <w:suff w:val="nothing"/>
      <w:lvlText w:val="%5）"/>
      <w:lvlJc w:val="left"/>
      <w:pPr>
        <w:tabs>
          <w:tab w:val="left" w:pos="0"/>
        </w:tabs>
        <w:ind w:left="0" w:firstLine="402"/>
      </w:pPr>
      <w:rPr>
        <w:rFonts w:hint="eastAsia" w:ascii="Calibri" w:hAnsi="Calibri" w:cs="Calibri"/>
      </w:rPr>
    </w:lvl>
    <w:lvl w:ilvl="5" w:tentative="0">
      <w:start w:val="1"/>
      <w:numFmt w:val="decimalEnclosedCircleChinese"/>
      <w:suff w:val="nothing"/>
      <w:lvlText w:val="%6"/>
      <w:lvlJc w:val="left"/>
      <w:pPr>
        <w:tabs>
          <w:tab w:val="left" w:pos="0"/>
        </w:tabs>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hNDU4MjMyZjZlZjVmZDJiNWQ1MDBiNzRkOTQzMGYifQ=="/>
  </w:docVars>
  <w:rsids>
    <w:rsidRoot w:val="1E820E05"/>
    <w:rsid w:val="00023780"/>
    <w:rsid w:val="00025BE7"/>
    <w:rsid w:val="001657AA"/>
    <w:rsid w:val="009F3580"/>
    <w:rsid w:val="01922277"/>
    <w:rsid w:val="024969D8"/>
    <w:rsid w:val="02880018"/>
    <w:rsid w:val="02C66D61"/>
    <w:rsid w:val="02D72D01"/>
    <w:rsid w:val="034B4BE6"/>
    <w:rsid w:val="036D1000"/>
    <w:rsid w:val="042C28C0"/>
    <w:rsid w:val="05436623"/>
    <w:rsid w:val="05720B50"/>
    <w:rsid w:val="065B5A88"/>
    <w:rsid w:val="06897EFF"/>
    <w:rsid w:val="06B331CE"/>
    <w:rsid w:val="06F23CF7"/>
    <w:rsid w:val="08050524"/>
    <w:rsid w:val="082E5D0D"/>
    <w:rsid w:val="0A6842D0"/>
    <w:rsid w:val="0CBB4BA8"/>
    <w:rsid w:val="0DA74955"/>
    <w:rsid w:val="0DE46EAF"/>
    <w:rsid w:val="0DF20F4A"/>
    <w:rsid w:val="0E3F5863"/>
    <w:rsid w:val="0E5A5D82"/>
    <w:rsid w:val="0EE50F59"/>
    <w:rsid w:val="0EE8142C"/>
    <w:rsid w:val="0EEA79A9"/>
    <w:rsid w:val="0F615EBD"/>
    <w:rsid w:val="0FE4264A"/>
    <w:rsid w:val="10636C3B"/>
    <w:rsid w:val="1091005C"/>
    <w:rsid w:val="11414BC0"/>
    <w:rsid w:val="118C11EC"/>
    <w:rsid w:val="11955A3F"/>
    <w:rsid w:val="12C02EFB"/>
    <w:rsid w:val="134D2E14"/>
    <w:rsid w:val="13600912"/>
    <w:rsid w:val="13E54630"/>
    <w:rsid w:val="140F2B49"/>
    <w:rsid w:val="144A746E"/>
    <w:rsid w:val="16104199"/>
    <w:rsid w:val="163C4F8E"/>
    <w:rsid w:val="16ED6288"/>
    <w:rsid w:val="17935ADC"/>
    <w:rsid w:val="18182A90"/>
    <w:rsid w:val="184A42DA"/>
    <w:rsid w:val="19BE30C9"/>
    <w:rsid w:val="19E86D27"/>
    <w:rsid w:val="1A4D304A"/>
    <w:rsid w:val="1B852F33"/>
    <w:rsid w:val="1DB861DB"/>
    <w:rsid w:val="1E820E05"/>
    <w:rsid w:val="1EDB10BC"/>
    <w:rsid w:val="21AF1C78"/>
    <w:rsid w:val="21CD73E2"/>
    <w:rsid w:val="233F104B"/>
    <w:rsid w:val="26264B68"/>
    <w:rsid w:val="297F274C"/>
    <w:rsid w:val="2988363E"/>
    <w:rsid w:val="2AE1684B"/>
    <w:rsid w:val="2B2A2EBB"/>
    <w:rsid w:val="2D11501C"/>
    <w:rsid w:val="2D212620"/>
    <w:rsid w:val="2D453739"/>
    <w:rsid w:val="2DDB7041"/>
    <w:rsid w:val="2E4D1205"/>
    <w:rsid w:val="308B5C87"/>
    <w:rsid w:val="30B71ED4"/>
    <w:rsid w:val="311B27B2"/>
    <w:rsid w:val="337771AE"/>
    <w:rsid w:val="34877E03"/>
    <w:rsid w:val="35D24DFD"/>
    <w:rsid w:val="38840E27"/>
    <w:rsid w:val="39C34D75"/>
    <w:rsid w:val="3A514FBF"/>
    <w:rsid w:val="3AC557D1"/>
    <w:rsid w:val="3B2C7D89"/>
    <w:rsid w:val="3B455DE4"/>
    <w:rsid w:val="3B812638"/>
    <w:rsid w:val="3C326368"/>
    <w:rsid w:val="3CE84C78"/>
    <w:rsid w:val="3D182F82"/>
    <w:rsid w:val="3EEC4865"/>
    <w:rsid w:val="3F9E48B5"/>
    <w:rsid w:val="424714E0"/>
    <w:rsid w:val="444D17C3"/>
    <w:rsid w:val="451A3E3D"/>
    <w:rsid w:val="45C81AEB"/>
    <w:rsid w:val="4623422F"/>
    <w:rsid w:val="46455CC1"/>
    <w:rsid w:val="46D77F3D"/>
    <w:rsid w:val="471374A2"/>
    <w:rsid w:val="47AC3472"/>
    <w:rsid w:val="489B7043"/>
    <w:rsid w:val="491D214E"/>
    <w:rsid w:val="491F38EE"/>
    <w:rsid w:val="49330F59"/>
    <w:rsid w:val="4A27193A"/>
    <w:rsid w:val="4A2B5B43"/>
    <w:rsid w:val="4A4D5980"/>
    <w:rsid w:val="4AD213AB"/>
    <w:rsid w:val="4BCA3358"/>
    <w:rsid w:val="4BE6200A"/>
    <w:rsid w:val="4C411597"/>
    <w:rsid w:val="4CB91FE5"/>
    <w:rsid w:val="4CC65398"/>
    <w:rsid w:val="4D604CA6"/>
    <w:rsid w:val="4F482C33"/>
    <w:rsid w:val="4F4C76BD"/>
    <w:rsid w:val="50463D38"/>
    <w:rsid w:val="507F092F"/>
    <w:rsid w:val="51215764"/>
    <w:rsid w:val="516B36FC"/>
    <w:rsid w:val="51FD2B1C"/>
    <w:rsid w:val="5268443A"/>
    <w:rsid w:val="53560F47"/>
    <w:rsid w:val="538A35FE"/>
    <w:rsid w:val="53FF4CAB"/>
    <w:rsid w:val="55C52F3E"/>
    <w:rsid w:val="5809221B"/>
    <w:rsid w:val="58DE3B30"/>
    <w:rsid w:val="59836A08"/>
    <w:rsid w:val="59BD6FD0"/>
    <w:rsid w:val="5A041D8D"/>
    <w:rsid w:val="5AC615AD"/>
    <w:rsid w:val="5BEE21FC"/>
    <w:rsid w:val="5C4B1E34"/>
    <w:rsid w:val="5CF11194"/>
    <w:rsid w:val="5D180DA4"/>
    <w:rsid w:val="5D1A07B4"/>
    <w:rsid w:val="5E8E52BE"/>
    <w:rsid w:val="5E9F1F4D"/>
    <w:rsid w:val="5FBE0AEA"/>
    <w:rsid w:val="5FF41615"/>
    <w:rsid w:val="60B3124F"/>
    <w:rsid w:val="61823F79"/>
    <w:rsid w:val="61E151E7"/>
    <w:rsid w:val="62E24294"/>
    <w:rsid w:val="63172842"/>
    <w:rsid w:val="63EF5599"/>
    <w:rsid w:val="64B30C27"/>
    <w:rsid w:val="64D809F6"/>
    <w:rsid w:val="653205EA"/>
    <w:rsid w:val="655125D3"/>
    <w:rsid w:val="65536795"/>
    <w:rsid w:val="656B0071"/>
    <w:rsid w:val="66AD4959"/>
    <w:rsid w:val="671F721A"/>
    <w:rsid w:val="67CC5193"/>
    <w:rsid w:val="682528FE"/>
    <w:rsid w:val="69E00902"/>
    <w:rsid w:val="6AC737B4"/>
    <w:rsid w:val="6B161AF0"/>
    <w:rsid w:val="6D537B3F"/>
    <w:rsid w:val="6E3868D1"/>
    <w:rsid w:val="6F2B2E7D"/>
    <w:rsid w:val="6F822C50"/>
    <w:rsid w:val="6FBB7362"/>
    <w:rsid w:val="6FFB3061"/>
    <w:rsid w:val="703F58AB"/>
    <w:rsid w:val="71264BC1"/>
    <w:rsid w:val="714B0D57"/>
    <w:rsid w:val="72820B90"/>
    <w:rsid w:val="732574F1"/>
    <w:rsid w:val="73834617"/>
    <w:rsid w:val="73D95F4D"/>
    <w:rsid w:val="741367D1"/>
    <w:rsid w:val="74BA1537"/>
    <w:rsid w:val="750B0E95"/>
    <w:rsid w:val="752E72EC"/>
    <w:rsid w:val="76DB7075"/>
    <w:rsid w:val="77053747"/>
    <w:rsid w:val="77585F7B"/>
    <w:rsid w:val="791A5BDE"/>
    <w:rsid w:val="7C2F476A"/>
    <w:rsid w:val="7DAE2D99"/>
    <w:rsid w:val="7EF70A41"/>
    <w:rsid w:val="7F684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numPr>
        <w:ilvl w:val="0"/>
        <w:numId w:val="1"/>
      </w:numPr>
      <w:tabs>
        <w:tab w:val="left" w:pos="420"/>
        <w:tab w:val="clear" w:pos="0"/>
      </w:tabs>
      <w:adjustRightInd w:val="0"/>
      <w:snapToGrid w:val="0"/>
      <w:spacing w:before="100" w:beforeLines="100" w:line="288" w:lineRule="auto"/>
      <w:ind w:left="0" w:firstLine="0"/>
      <w:outlineLvl w:val="0"/>
    </w:pPr>
    <w:rPr>
      <w:rFonts w:ascii="汉仪中宋简" w:hAnsi="汉仪中宋简" w:eastAsia="黑体" w:cstheme="minorBidi"/>
      <w:b/>
      <w:bCs/>
      <w:kern w:val="44"/>
      <w:sz w:val="32"/>
      <w:szCs w:val="16"/>
      <w:lang w:val="en-US" w:eastAsia="zh-CN" w:bidi="ar-SA"/>
    </w:rPr>
  </w:style>
  <w:style w:type="paragraph" w:styleId="6">
    <w:name w:val="heading 2"/>
    <w:basedOn w:val="7"/>
    <w:next w:val="8"/>
    <w:unhideWhenUsed/>
    <w:qFormat/>
    <w:uiPriority w:val="9"/>
    <w:pPr>
      <w:adjustRightInd w:val="0"/>
      <w:jc w:val="center"/>
      <w:textAlignment w:val="baseline"/>
      <w:outlineLvl w:val="1"/>
    </w:pPr>
    <w:rPr>
      <w:kern w:val="0"/>
      <w:sz w:val="24"/>
      <w:szCs w:val="20"/>
    </w:rPr>
  </w:style>
  <w:style w:type="paragraph" w:styleId="7">
    <w:name w:val="heading 3"/>
    <w:basedOn w:val="8"/>
    <w:next w:val="1"/>
    <w:unhideWhenUsed/>
    <w:qFormat/>
    <w:uiPriority w:val="0"/>
    <w:pPr>
      <w:spacing w:before="260" w:after="260" w:line="240" w:lineRule="auto"/>
      <w:outlineLvl w:val="2"/>
    </w:pPr>
    <w:rPr>
      <w:rFonts w:ascii="宋体" w:hAnsi="宋体" w:eastAsia="宋体" w:cs="Times New Roman"/>
      <w:szCs w:val="32"/>
    </w:rPr>
  </w:style>
  <w:style w:type="paragraph" w:styleId="8">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widowControl/>
      <w:spacing w:beforeAutospacing="1" w:afterAutospacing="1"/>
      <w:jc w:val="left"/>
    </w:pPr>
    <w:rPr>
      <w:rFonts w:ascii="宋体" w:hAnsi="宋体"/>
      <w:kern w:val="0"/>
      <w:sz w:val="24"/>
    </w:rPr>
  </w:style>
  <w:style w:type="paragraph" w:styleId="3">
    <w:name w:val="Body Text"/>
    <w:basedOn w:val="1"/>
    <w:next w:val="4"/>
    <w:unhideWhenUsed/>
    <w:qFormat/>
    <w:uiPriority w:val="99"/>
    <w:pPr>
      <w:spacing w:line="560" w:lineRule="exact"/>
      <w:ind w:firstLine="883" w:firstLineChars="200"/>
    </w:pPr>
    <w:rPr>
      <w:rFonts w:ascii="Times New Roman" w:hAnsi="Times New Roman" w:eastAsia="仿宋_GB2312" w:cs="Times New Roman"/>
      <w:sz w:val="32"/>
    </w:rPr>
  </w:style>
  <w:style w:type="paragraph" w:styleId="4">
    <w:name w:val="Title"/>
    <w:basedOn w:val="1"/>
    <w:next w:val="1"/>
    <w:qFormat/>
    <w:uiPriority w:val="0"/>
    <w:pPr>
      <w:spacing w:before="240" w:after="60"/>
      <w:jc w:val="center"/>
      <w:outlineLvl w:val="0"/>
    </w:pPr>
    <w:rPr>
      <w:rFonts w:ascii="Arial" w:hAnsi="Arial" w:eastAsia="隶书" w:cs="Arial"/>
      <w:b/>
      <w:bCs/>
      <w:sz w:val="32"/>
      <w:szCs w:val="32"/>
    </w:rPr>
  </w:style>
  <w:style w:type="paragraph" w:styleId="9">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10">
    <w:name w:val="Plain Text"/>
    <w:basedOn w:val="1"/>
    <w:unhideWhenUsed/>
    <w:qFormat/>
    <w:uiPriority w:val="99"/>
    <w:rPr>
      <w:rFonts w:ascii="宋体" w:hAnsi="Courier New"/>
      <w:kern w:val="0"/>
      <w:sz w:val="20"/>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18">
    <w:name w:val="List Paragraph"/>
    <w:basedOn w:val="1"/>
    <w:qFormat/>
    <w:uiPriority w:val="0"/>
    <w:pPr>
      <w:ind w:firstLine="420" w:firstLineChars="200"/>
    </w:pPr>
  </w:style>
  <w:style w:type="paragraph" w:customStyle="1" w:styleId="19">
    <w:name w:val="标题1"/>
    <w:basedOn w:val="1"/>
    <w:qFormat/>
    <w:uiPriority w:val="0"/>
    <w:pPr>
      <w:spacing w:line="600" w:lineRule="exact"/>
      <w:ind w:firstLine="640" w:firstLineChars="200"/>
    </w:pPr>
    <w:rPr>
      <w:rFonts w:ascii="黑体" w:hAnsi="黑体" w:eastAsia="黑体" w:cs="仿宋"/>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5635</Words>
  <Characters>5811</Characters>
  <Lines>0</Lines>
  <Paragraphs>0</Paragraphs>
  <TotalTime>30</TotalTime>
  <ScaleCrop>false</ScaleCrop>
  <LinksUpToDate>false</LinksUpToDate>
  <CharactersWithSpaces>5853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2022-02-09T01:37:00Z</dcterms:created>
  <dc:creator>admin</dc:creator>
  <cp:lastModifiedBy>林英浩</cp:lastModifiedBy>
  <cp:lastPrinted>2025-03-13T01:33:00Z</cp:lastPrinted>
  <dcterms:modified xsi:type="dcterms:W3CDTF">2025-03-18T01:11:40Z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DAAB70A19F834F6BAACA3A19792874B9_13</vt:lpwstr>
  </property>
  <property fmtid="{D5CDD505-2E9C-101B-9397-08002B2CF9AE}" pid="4" name="KSOTemplateDocerSaveRecord">
    <vt:lpwstr>eyJoZGlkIjoiYjA0NmM5ODE0NWQ0YmJlYTkyNWQxNzBiY2MxOWM5NDIiLCJ1c2VySWQiOiI0NTA1NTM0OTAifQ==</vt:lpwstr>
  </property>
</Properties>
</file>