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63BBEC">
      <w:pPr>
        <w:spacing w:line="360" w:lineRule="auto"/>
        <w:jc w:val="center"/>
        <w:rPr>
          <w:rFonts w:hint="eastAsia" w:ascii="仿宋_GB2312" w:hAnsi="仿宋_GB2312" w:eastAsia="仿宋_GB2312" w:cs="仿宋_GB2312"/>
          <w:color w:val="auto"/>
          <w:sz w:val="32"/>
          <w:szCs w:val="32"/>
        </w:rPr>
      </w:pPr>
      <w:bookmarkStart w:id="0" w:name="_GoBack"/>
      <w:r>
        <w:rPr>
          <w:rFonts w:hint="eastAsia" w:ascii="宋体" w:hAnsi="宋体" w:eastAsia="宋体" w:cs="宋体"/>
          <w:b/>
          <w:color w:val="auto"/>
          <w:sz w:val="44"/>
          <w:szCs w:val="44"/>
        </w:rPr>
        <w:t>常年法律顾问合同</w:t>
      </w:r>
      <w:r>
        <w:rPr>
          <w:rFonts w:hint="eastAsia" w:ascii="宋体" w:hAnsi="宋体" w:eastAsia="宋体" w:cs="宋体"/>
          <w:b/>
          <w:bCs/>
          <w:color w:val="auto"/>
          <w:sz w:val="44"/>
          <w:szCs w:val="44"/>
        </w:rPr>
        <w:t>（范本）</w:t>
      </w:r>
      <w:bookmarkEnd w:id="0"/>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p>
    <w:p w14:paraId="7B1932AD">
      <w:pPr>
        <w:spacing w:line="360" w:lineRule="auto"/>
        <w:rPr>
          <w:rFonts w:hint="eastAsia" w:ascii="仿宋_GB2312" w:hAnsi="仿宋_GB2312" w:eastAsia="仿宋_GB2312" w:cs="仿宋_GB2312"/>
          <w:color w:val="auto"/>
          <w:sz w:val="32"/>
          <w:szCs w:val="32"/>
        </w:rPr>
      </w:pPr>
    </w:p>
    <w:p w14:paraId="3CDFB8A3">
      <w:pPr>
        <w:spacing w:line="360"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甲方（聘请方）： </w:t>
      </w:r>
    </w:p>
    <w:p w14:paraId="733E74F2">
      <w:pPr>
        <w:spacing w:line="360"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w:t>
      </w:r>
    </w:p>
    <w:p w14:paraId="554C67E9">
      <w:pPr>
        <w:spacing w:line="360"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住 所：</w:t>
      </w:r>
    </w:p>
    <w:p w14:paraId="50BC4160">
      <w:pPr>
        <w:spacing w:line="360"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 话：</w:t>
      </w:r>
    </w:p>
    <w:p w14:paraId="41A43ECC">
      <w:pPr>
        <w:spacing w:line="360"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联系人</w:t>
      </w:r>
      <w:r>
        <w:rPr>
          <w:rFonts w:hint="eastAsia" w:ascii="仿宋_GB2312" w:hAnsi="仿宋_GB2312" w:eastAsia="仿宋_GB2312" w:cs="仿宋_GB2312"/>
          <w:color w:val="auto"/>
          <w:sz w:val="32"/>
          <w:szCs w:val="32"/>
        </w:rPr>
        <w:t>：</w:t>
      </w:r>
    </w:p>
    <w:p w14:paraId="05E79628">
      <w:pPr>
        <w:spacing w:line="360" w:lineRule="auto"/>
        <w:rPr>
          <w:rFonts w:hint="eastAsia" w:ascii="仿宋_GB2312" w:hAnsi="仿宋_GB2312" w:eastAsia="仿宋_GB2312" w:cs="仿宋_GB2312"/>
          <w:color w:val="auto"/>
          <w:sz w:val="32"/>
          <w:szCs w:val="32"/>
        </w:rPr>
      </w:pPr>
    </w:p>
    <w:p w14:paraId="59828BD9">
      <w:pPr>
        <w:spacing w:line="360"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乙方（受聘方）： </w:t>
      </w:r>
    </w:p>
    <w:p w14:paraId="21FC546A">
      <w:pPr>
        <w:spacing w:line="360"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负责人：</w:t>
      </w:r>
    </w:p>
    <w:p w14:paraId="592D86BB">
      <w:pPr>
        <w:spacing w:line="360"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住 所： </w:t>
      </w:r>
    </w:p>
    <w:p w14:paraId="6BF96622">
      <w:pPr>
        <w:spacing w:line="360"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 话：</w:t>
      </w:r>
    </w:p>
    <w:p w14:paraId="31D74E90">
      <w:pPr>
        <w:spacing w:line="360"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联系人</w:t>
      </w:r>
      <w:r>
        <w:rPr>
          <w:rFonts w:hint="eastAsia" w:ascii="仿宋_GB2312" w:hAnsi="仿宋_GB2312" w:eastAsia="仿宋_GB2312" w:cs="仿宋_GB2312"/>
          <w:color w:val="auto"/>
          <w:sz w:val="32"/>
          <w:szCs w:val="32"/>
        </w:rPr>
        <w:t>：</w:t>
      </w:r>
    </w:p>
    <w:p w14:paraId="6D7F379E">
      <w:pPr>
        <w:spacing w:line="360"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14:paraId="6C463643">
      <w:pPr>
        <w:pStyle w:val="3"/>
        <w:spacing w:beforeLines="0"/>
        <w:ind w:right="0" w:right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甲方因业务需要，聘请乙方律师担任常年法律顾问。根据《中华人民共和国民法典》《中华人民共和国律师法》等法律的有关规定，经双方协商一致，订立本合同。</w:t>
      </w:r>
    </w:p>
    <w:p w14:paraId="78BDE297">
      <w:pPr>
        <w:pStyle w:val="3"/>
        <w:spacing w:beforeLines="0"/>
        <w:ind w:right="-29" w:rightChars="0" w:firstLine="643" w:firstLineChars="200"/>
        <w:outlineLvl w:val="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第一条  常年法律顾问的选任</w:t>
      </w:r>
    </w:p>
    <w:p w14:paraId="632DC312">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乙方接受甲方聘请，指派</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律师担任甲方常年法律顾问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团队负责人为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。如被指派的律师因客观原因不能履行职务时，经甲方同意，可由乙方另派律师代替其行使职务。</w:t>
      </w:r>
    </w:p>
    <w:p w14:paraId="1FFC8A81">
      <w:pPr>
        <w:spacing w:line="360" w:lineRule="auto"/>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第二条  合同期限</w:t>
      </w:r>
    </w:p>
    <w:p w14:paraId="2F0CB37E">
      <w:pPr>
        <w:spacing w:line="360" w:lineRule="auto"/>
        <w:ind w:firstLine="627"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乙方律师担任甲方常年法律顾问的期限为  壹  年，即自     年     月     日起至     年     月     日止。</w:t>
      </w:r>
    </w:p>
    <w:p w14:paraId="4AA588C9">
      <w:pPr>
        <w:tabs>
          <w:tab w:val="left" w:pos="900"/>
        </w:tabs>
        <w:spacing w:line="360" w:lineRule="auto"/>
        <w:ind w:firstLine="643" w:firstLineChars="200"/>
        <w:outlineLvl w:val="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第三条  工作范围</w:t>
      </w:r>
    </w:p>
    <w:p w14:paraId="679F93EE">
      <w:pPr>
        <w:tabs>
          <w:tab w:val="left" w:pos="900"/>
        </w:tabs>
        <w:spacing w:line="360" w:lineRule="auto"/>
        <w:ind w:firstLine="640" w:firstLineChars="200"/>
        <w:outlineLvl w:val="0"/>
        <w:rPr>
          <w:rFonts w:hint="eastAsia" w:ascii="仿宋_GB2312" w:hAnsi="仿宋_GB2312" w:eastAsia="仿宋_GB2312" w:cs="仿宋_GB2312"/>
          <w:b/>
          <w:bCs/>
          <w:color w:val="auto"/>
          <w:sz w:val="32"/>
          <w:szCs w:val="32"/>
        </w:rPr>
      </w:pPr>
      <w:r>
        <w:rPr>
          <w:rFonts w:hint="eastAsia" w:ascii="黑体" w:hAnsi="黑体" w:eastAsia="黑体" w:cs="黑体"/>
          <w:sz w:val="32"/>
          <w:szCs w:val="32"/>
          <w:lang w:val="en-US" w:eastAsia="zh-CN"/>
        </w:rPr>
        <w:t>服务范围：</w:t>
      </w:r>
      <w:r>
        <w:rPr>
          <w:rFonts w:hint="eastAsia" w:ascii="仿宋_GB2312" w:hAnsi="仿宋_GB2312" w:eastAsia="仿宋_GB2312" w:cs="仿宋_GB2312"/>
          <w:sz w:val="32"/>
          <w:szCs w:val="32"/>
          <w:lang w:val="en-US" w:eastAsia="zh-CN"/>
        </w:rPr>
        <w:t>深圳市龙岗区供销合作联社系统，含本部、辖属基层社、直属公司，以下统称“甲方”。</w:t>
      </w:r>
    </w:p>
    <w:p w14:paraId="1C88FFA6">
      <w:pPr>
        <w:spacing w:line="360" w:lineRule="auto"/>
        <w:ind w:firstLine="627" w:firstLineChars="196"/>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乙方律师作为甲方聘请的常年法律顾问，为甲方提供以下法律服务</w:t>
      </w:r>
      <w:r>
        <w:rPr>
          <w:rFonts w:hint="eastAsia" w:ascii="仿宋_GB2312" w:hAnsi="仿宋_GB2312" w:eastAsia="仿宋_GB2312" w:cs="仿宋_GB2312"/>
          <w:color w:val="auto"/>
          <w:sz w:val="32"/>
          <w:szCs w:val="32"/>
          <w:lang w:eastAsia="zh-CN"/>
        </w:rPr>
        <w:t>：</w:t>
      </w:r>
    </w:p>
    <w:p w14:paraId="53A3078A">
      <w:pPr>
        <w:spacing w:line="360" w:lineRule="auto"/>
        <w:ind w:firstLine="627"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1、解答法律问题，提供法律建议，出具法律意见书；</w:t>
      </w:r>
    </w:p>
    <w:p w14:paraId="22F8A557">
      <w:pPr>
        <w:pStyle w:val="2"/>
        <w:spacing w:line="360" w:lineRule="auto"/>
        <w:ind w:left="0"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2、起草或审查修改合同、法律文书、公司各项章程及规章制度等文件，协助重大经营决策；</w:t>
      </w:r>
    </w:p>
    <w:p w14:paraId="4355EBF4">
      <w:pPr>
        <w:pStyle w:val="2"/>
        <w:spacing w:line="360" w:lineRule="auto"/>
        <w:ind w:left="0"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3、参与重大合同的谈判、签约工作，参与处置化解涉及社会管理与稳定的重大事项、涉法涉诉案件、信访案件和重大群体性、突发性事件；</w:t>
      </w:r>
    </w:p>
    <w:p w14:paraId="4C9E9250">
      <w:pPr>
        <w:pStyle w:val="2"/>
        <w:spacing w:line="360" w:lineRule="auto"/>
        <w:ind w:left="0"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4、应甲方要求，参与有关决策、听证、复议、调解、裁决等活动，提出相关意见。</w:t>
      </w:r>
    </w:p>
    <w:p w14:paraId="29C62A0C">
      <w:pPr>
        <w:pStyle w:val="2"/>
        <w:spacing w:line="360" w:lineRule="auto"/>
        <w:ind w:left="0"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5、对外发函：以甲方法律顾问的名义发出催款、催办或其它对外交涉性律师信函；</w:t>
      </w:r>
    </w:p>
    <w:p w14:paraId="21298E2E">
      <w:pPr>
        <w:pStyle w:val="2"/>
        <w:spacing w:line="360" w:lineRule="auto"/>
        <w:ind w:left="0" w:firstLine="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 xml:space="preserve">    6、发表声明：以甲方法律顾问的身份，授权发表声明，公开陈述甲方的立场或某种真相，维护甲方的合法权益；</w:t>
      </w:r>
    </w:p>
    <w:p w14:paraId="62A898AD">
      <w:pPr>
        <w:pStyle w:val="2"/>
        <w:spacing w:line="360" w:lineRule="auto"/>
        <w:ind w:left="0"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rPr>
        <w:t xml:space="preserve">    7、协助甲方进行法律宣传教育，乙方律师担任甲方常年法律顾问的期限内，至少到甲方指定地点为甲方开设两次普法讲座，普法主题应与甲方业务相关；</w:t>
      </w:r>
    </w:p>
    <w:p w14:paraId="2E67A24D">
      <w:pPr>
        <w:pStyle w:val="2"/>
        <w:spacing w:line="360" w:lineRule="auto"/>
        <w:ind w:left="0"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 xml:space="preserve">8、提供与甲方运营和业务经营有关的各类法律信息； </w:t>
      </w:r>
    </w:p>
    <w:p w14:paraId="38134B78">
      <w:pPr>
        <w:pStyle w:val="2"/>
        <w:spacing w:line="360" w:lineRule="auto"/>
        <w:ind w:left="0"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9、主动了解甲方的日常业务情况和行业方向，分析和满足相关的潜在法律需求；</w:t>
      </w:r>
    </w:p>
    <w:p w14:paraId="07FE6C19">
      <w:pPr>
        <w:pStyle w:val="2"/>
        <w:spacing w:line="360" w:lineRule="auto"/>
        <w:ind w:left="0"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10、及时分析和报告国家新出台和修订的法律法规对甲方的业务影响；</w:t>
      </w:r>
    </w:p>
    <w:p w14:paraId="59387CAF">
      <w:pPr>
        <w:pStyle w:val="2"/>
        <w:spacing w:line="360" w:lineRule="auto"/>
        <w:ind w:left="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11、指派一名律师到甲方办公地点提供驻点服务，每月不少于两个工作日；</w:t>
      </w:r>
    </w:p>
    <w:p w14:paraId="377ECE58">
      <w:pPr>
        <w:pStyle w:val="2"/>
        <w:spacing w:line="360" w:lineRule="auto"/>
        <w:ind w:left="0"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12、办理甲方委托的其他法律事务。</w:t>
      </w:r>
    </w:p>
    <w:p w14:paraId="74D570CC">
      <w:pPr>
        <w:pStyle w:val="2"/>
        <w:spacing w:line="360" w:lineRule="auto"/>
        <w:ind w:left="0" w:firstLine="643" w:firstLineChars="200"/>
        <w:rPr>
          <w:rFonts w:hint="eastAsia" w:ascii="仿宋_GB2312" w:hAnsi="仿宋_GB2312" w:eastAsia="仿宋_GB2312" w:cs="仿宋_GB2312"/>
          <w:b/>
          <w:bCs/>
          <w:color w:val="auto"/>
          <w:kern w:val="2"/>
          <w:sz w:val="32"/>
          <w:szCs w:val="32"/>
        </w:rPr>
      </w:pPr>
      <w:r>
        <w:rPr>
          <w:rFonts w:hint="eastAsia" w:ascii="仿宋_GB2312" w:hAnsi="仿宋_GB2312" w:eastAsia="仿宋_GB2312" w:cs="仿宋_GB2312"/>
          <w:b/>
          <w:bCs/>
          <w:color w:val="auto"/>
          <w:kern w:val="2"/>
          <w:sz w:val="32"/>
          <w:szCs w:val="32"/>
        </w:rPr>
        <w:t>第四条  双方义务</w:t>
      </w:r>
    </w:p>
    <w:p w14:paraId="0B3F749D">
      <w:pPr>
        <w:pStyle w:val="2"/>
        <w:spacing w:line="360" w:lineRule="auto"/>
        <w:ind w:left="0" w:firstLine="640" w:firstLineChars="200"/>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color w:val="auto"/>
          <w:kern w:val="2"/>
          <w:sz w:val="32"/>
          <w:szCs w:val="32"/>
        </w:rPr>
        <w:t>1.甲方应为乙方律师的工作提供及时、真实、详尽的资料</w:t>
      </w:r>
      <w:r>
        <w:rPr>
          <w:rFonts w:hint="eastAsia" w:ascii="仿宋_GB2312" w:hAnsi="仿宋_GB2312" w:eastAsia="仿宋_GB2312" w:cs="仿宋_GB2312"/>
          <w:color w:val="auto"/>
          <w:kern w:val="2"/>
          <w:sz w:val="32"/>
          <w:szCs w:val="32"/>
          <w:lang w:eastAsia="zh-CN"/>
        </w:rPr>
        <w:t>；</w:t>
      </w:r>
    </w:p>
    <w:p w14:paraId="29B7D661">
      <w:pPr>
        <w:pStyle w:val="2"/>
        <w:spacing w:line="360" w:lineRule="auto"/>
        <w:ind w:left="0" w:firstLine="640" w:firstLineChars="200"/>
        <w:rPr>
          <w:rFonts w:hint="default"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2、甲方应当依照本合同约定，按时、足额向乙方支付法律服务费。</w:t>
      </w:r>
    </w:p>
    <w:p w14:paraId="5BF5CEA1">
      <w:pPr>
        <w:pStyle w:val="2"/>
        <w:spacing w:line="360" w:lineRule="auto"/>
        <w:ind w:left="0"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rPr>
        <w:t>3</w:t>
      </w:r>
      <w:r>
        <w:rPr>
          <w:rFonts w:hint="eastAsia" w:ascii="仿宋_GB2312" w:hAnsi="仿宋_GB2312" w:eastAsia="仿宋_GB2312" w:cs="仿宋_GB2312"/>
          <w:color w:val="auto"/>
          <w:kern w:val="2"/>
          <w:sz w:val="32"/>
          <w:szCs w:val="32"/>
        </w:rPr>
        <w:t>.乙方对其接触的甲方资料及获知的讯息负有保密义务，非由法律规定或者甲方书面同意，不得向任何第三方披露；该保密义务不受合同期限的限制。</w:t>
      </w:r>
    </w:p>
    <w:p w14:paraId="4F57644B">
      <w:pPr>
        <w:pStyle w:val="2"/>
        <w:spacing w:line="360" w:lineRule="auto"/>
        <w:ind w:left="0"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rPr>
        <w:t>4</w:t>
      </w:r>
      <w:r>
        <w:rPr>
          <w:rFonts w:hint="eastAsia" w:ascii="仿宋_GB2312" w:hAnsi="仿宋_GB2312" w:eastAsia="仿宋_GB2312" w:cs="仿宋_GB2312"/>
          <w:color w:val="auto"/>
          <w:kern w:val="2"/>
          <w:sz w:val="32"/>
          <w:szCs w:val="32"/>
        </w:rPr>
        <w:t>.在本合同有效期限内，乙方律师不得代理以甲方为相对当事人且与甲方有利害关系的法律事务；</w:t>
      </w:r>
    </w:p>
    <w:p w14:paraId="3EFD7C8B">
      <w:pPr>
        <w:pStyle w:val="2"/>
        <w:spacing w:line="360" w:lineRule="auto"/>
        <w:ind w:left="0"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rPr>
        <w:t>5</w:t>
      </w:r>
      <w:r>
        <w:rPr>
          <w:rFonts w:hint="eastAsia" w:ascii="仿宋_GB2312" w:hAnsi="仿宋_GB2312" w:eastAsia="仿宋_GB2312" w:cs="仿宋_GB2312"/>
          <w:color w:val="auto"/>
          <w:kern w:val="2"/>
          <w:sz w:val="32"/>
          <w:szCs w:val="32"/>
        </w:rPr>
        <w:t>.乙方律师不得利用工作便利，为本人或者他人牟取不正当利益；</w:t>
      </w:r>
    </w:p>
    <w:p w14:paraId="370848C7">
      <w:pPr>
        <w:pStyle w:val="2"/>
        <w:spacing w:line="360" w:lineRule="auto"/>
        <w:ind w:left="0"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rPr>
        <w:t>6</w:t>
      </w:r>
      <w:r>
        <w:rPr>
          <w:rFonts w:hint="eastAsia" w:ascii="仿宋_GB2312" w:hAnsi="仿宋_GB2312" w:eastAsia="仿宋_GB2312" w:cs="仿宋_GB2312"/>
          <w:color w:val="auto"/>
          <w:kern w:val="2"/>
          <w:sz w:val="32"/>
          <w:szCs w:val="32"/>
        </w:rPr>
        <w:t>.乙方律师不得以甲方法律顾问名义宣传、招揽或办理与甲方法律事务无关的业务；</w:t>
      </w:r>
    </w:p>
    <w:p w14:paraId="61AD6144">
      <w:pPr>
        <w:pStyle w:val="2"/>
        <w:spacing w:line="360" w:lineRule="auto"/>
        <w:ind w:left="0"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rPr>
        <w:t>7</w:t>
      </w:r>
      <w:r>
        <w:rPr>
          <w:rFonts w:hint="eastAsia" w:ascii="仿宋_GB2312" w:hAnsi="仿宋_GB2312" w:eastAsia="仿宋_GB2312" w:cs="仿宋_GB2312"/>
          <w:color w:val="auto"/>
          <w:kern w:val="2"/>
          <w:sz w:val="32"/>
          <w:szCs w:val="32"/>
        </w:rPr>
        <w:t>.乙方律师不得向他人转让委托事项，也不得将委托事项肢解后分别向他人转让；</w:t>
      </w:r>
    </w:p>
    <w:p w14:paraId="5C1C4192">
      <w:pPr>
        <w:pStyle w:val="2"/>
        <w:spacing w:line="360" w:lineRule="auto"/>
        <w:ind w:left="0"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rPr>
        <w:t>8</w:t>
      </w:r>
      <w:r>
        <w:rPr>
          <w:rFonts w:hint="eastAsia" w:ascii="仿宋_GB2312" w:hAnsi="仿宋_GB2312" w:eastAsia="仿宋_GB2312" w:cs="仿宋_GB2312"/>
          <w:color w:val="auto"/>
          <w:kern w:val="2"/>
          <w:sz w:val="32"/>
          <w:szCs w:val="32"/>
        </w:rPr>
        <w:t>.乙方律师不得从事损害甲方利益或者形象的活动。</w:t>
      </w:r>
    </w:p>
    <w:p w14:paraId="4CEDD75C">
      <w:pPr>
        <w:pStyle w:val="2"/>
        <w:spacing w:line="360" w:lineRule="auto"/>
        <w:ind w:left="0"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rPr>
        <w:t>9</w:t>
      </w:r>
      <w:r>
        <w:rPr>
          <w:rFonts w:hint="eastAsia" w:ascii="仿宋_GB2312" w:hAnsi="仿宋_GB2312" w:eastAsia="仿宋_GB2312" w:cs="仿宋_GB2312"/>
          <w:color w:val="auto"/>
          <w:kern w:val="2"/>
          <w:sz w:val="32"/>
          <w:szCs w:val="32"/>
        </w:rPr>
        <w:t>、乙方未经甲方同意，不得擅自更换指派律师；</w:t>
      </w:r>
    </w:p>
    <w:p w14:paraId="7FA79D51">
      <w:pPr>
        <w:pStyle w:val="2"/>
        <w:spacing w:line="360" w:lineRule="auto"/>
        <w:ind w:left="0"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rPr>
        <w:t>10</w:t>
      </w:r>
      <w:r>
        <w:rPr>
          <w:rFonts w:hint="eastAsia" w:ascii="仿宋_GB2312" w:hAnsi="仿宋_GB2312" w:eastAsia="仿宋_GB2312" w:cs="仿宋_GB2312"/>
          <w:color w:val="auto"/>
          <w:kern w:val="2"/>
          <w:sz w:val="32"/>
          <w:szCs w:val="32"/>
        </w:rPr>
        <w:t>、甲方有权要求乙方在本合同约定的服务范围内提供法律服务，乙方不得以各种理由推诿或要求另行计费。</w:t>
      </w:r>
    </w:p>
    <w:p w14:paraId="2F44001A">
      <w:pPr>
        <w:pStyle w:val="2"/>
        <w:spacing w:line="360" w:lineRule="auto"/>
        <w:ind w:left="0"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rPr>
        <w:t>11</w:t>
      </w:r>
      <w:r>
        <w:rPr>
          <w:rFonts w:hint="eastAsia" w:ascii="仿宋_GB2312" w:hAnsi="仿宋_GB2312" w:eastAsia="仿宋_GB2312" w:cs="仿宋_GB2312"/>
          <w:color w:val="auto"/>
          <w:kern w:val="2"/>
          <w:sz w:val="32"/>
          <w:szCs w:val="32"/>
        </w:rPr>
        <w:t>、乙方律师应按照甲方要求的期限提供上门法律服务或提交书面法律文件。紧急情况下，在接到甲方口头或书面通知后，指派律师应在3个小时内到达通知的地点（深圳市内）提供法律服务。</w:t>
      </w:r>
    </w:p>
    <w:p w14:paraId="091DE6A6">
      <w:pPr>
        <w:pStyle w:val="2"/>
        <w:spacing w:line="360" w:lineRule="auto"/>
        <w:ind w:left="0"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rPr>
        <w:t>12</w:t>
      </w:r>
      <w:r>
        <w:rPr>
          <w:rFonts w:hint="eastAsia" w:ascii="仿宋_GB2312" w:hAnsi="仿宋_GB2312" w:eastAsia="仿宋_GB2312" w:cs="仿宋_GB2312"/>
          <w:color w:val="auto"/>
          <w:kern w:val="2"/>
          <w:sz w:val="32"/>
          <w:szCs w:val="32"/>
        </w:rPr>
        <w:t>、甲方要求必须由乙方团队负责人亲自出席处理的事务，团队负责人应积极配合，亲自到场。</w:t>
      </w:r>
    </w:p>
    <w:p w14:paraId="1295C8E0">
      <w:pPr>
        <w:pStyle w:val="2"/>
        <w:spacing w:line="360" w:lineRule="auto"/>
        <w:ind w:left="0"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rPr>
        <w:t>13</w:t>
      </w:r>
      <w:r>
        <w:rPr>
          <w:rFonts w:hint="eastAsia" w:ascii="仿宋_GB2312" w:hAnsi="仿宋_GB2312" w:eastAsia="仿宋_GB2312" w:cs="仿宋_GB2312"/>
          <w:color w:val="auto"/>
          <w:kern w:val="2"/>
          <w:sz w:val="32"/>
          <w:szCs w:val="32"/>
        </w:rPr>
        <w:t>、乙方为甲方提供的法律意见书等书面文件必须由资深律师签字并加盖公章。</w:t>
      </w:r>
    </w:p>
    <w:p w14:paraId="4C45DC76">
      <w:pPr>
        <w:pStyle w:val="2"/>
        <w:spacing w:line="360" w:lineRule="auto"/>
        <w:ind w:left="0"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rPr>
        <w:t>14</w:t>
      </w:r>
      <w:r>
        <w:rPr>
          <w:rFonts w:hint="eastAsia" w:ascii="仿宋_GB2312" w:hAnsi="仿宋_GB2312" w:eastAsia="仿宋_GB2312" w:cs="仿宋_GB2312"/>
          <w:color w:val="auto"/>
          <w:kern w:val="2"/>
          <w:sz w:val="32"/>
          <w:szCs w:val="32"/>
        </w:rPr>
        <w:t>、乙方应当</w:t>
      </w:r>
      <w:r>
        <w:rPr>
          <w:rFonts w:hint="eastAsia" w:ascii="仿宋_GB2312" w:hAnsi="仿宋_GB2312" w:eastAsia="仿宋_GB2312" w:cs="仿宋_GB2312"/>
          <w:color w:val="auto"/>
          <w:kern w:val="2"/>
          <w:sz w:val="32"/>
          <w:szCs w:val="32"/>
          <w:lang w:eastAsia="zh-CN"/>
        </w:rPr>
        <w:t>根据甲方要求的时间</w:t>
      </w:r>
      <w:r>
        <w:rPr>
          <w:rFonts w:hint="eastAsia" w:ascii="仿宋_GB2312" w:hAnsi="仿宋_GB2312" w:eastAsia="仿宋_GB2312" w:cs="仿宋_GB2312"/>
          <w:color w:val="auto"/>
          <w:kern w:val="2"/>
          <w:sz w:val="32"/>
          <w:szCs w:val="32"/>
        </w:rPr>
        <w:t>提交年度法律顾问服务报告。</w:t>
      </w:r>
    </w:p>
    <w:p w14:paraId="4FD014BD">
      <w:pPr>
        <w:spacing w:line="360" w:lineRule="auto"/>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第五条  法律顾问费用</w:t>
      </w:r>
    </w:p>
    <w:p w14:paraId="09009148">
      <w:pPr>
        <w:pStyle w:val="3"/>
        <w:spacing w:beforeLines="0"/>
        <w:ind w:right="0" w:rightChars="0" w:firstLine="697" w:firstLineChars="218"/>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1.本合同常年法律顾问的年度费用为人民币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元整（ 小写：</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元）；本费用为全包价，包括提供法律服务过程中发生的广东省内的交通费、住宿费、餐饮费、市内通讯费等所有费用。</w:t>
      </w:r>
    </w:p>
    <w:p w14:paraId="59445962">
      <w:pPr>
        <w:widowControl/>
        <w:spacing w:line="360" w:lineRule="auto"/>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2.法律顾问费用分两期支付，</w:t>
      </w:r>
      <w:r>
        <w:rPr>
          <w:rFonts w:hint="eastAsia" w:ascii="仿宋_GB2312" w:hAnsi="仿宋_GB2312" w:eastAsia="仿宋_GB2312" w:cs="仿宋_GB2312"/>
          <w:color w:val="auto"/>
          <w:kern w:val="0"/>
          <w:sz w:val="32"/>
          <w:szCs w:val="32"/>
        </w:rPr>
        <w:t>首期款</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%（即</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元），</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尾款</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%（即</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元）。</w:t>
      </w:r>
    </w:p>
    <w:p w14:paraId="2C9A8E85">
      <w:pPr>
        <w:widowControl/>
        <w:spacing w:line="360" w:lineRule="auto"/>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首期款支付时间为合同生效后30日之内乙方向甲方提供正式发票，甲方收到发票之日起20个工作日内支付；</w:t>
      </w:r>
    </w:p>
    <w:p w14:paraId="45D6F6E2">
      <w:pPr>
        <w:widowControl/>
        <w:spacing w:line="360" w:lineRule="auto"/>
        <w:ind w:firstLine="640" w:firstLineChars="200"/>
        <w:jc w:val="lef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w:t>
      </w:r>
    </w:p>
    <w:p w14:paraId="17FA305C">
      <w:pPr>
        <w:widowControl/>
        <w:spacing w:line="360" w:lineRule="auto"/>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尾款经</w:t>
      </w:r>
      <w:r>
        <w:rPr>
          <w:rFonts w:hint="eastAsia" w:ascii="仿宋_GB2312" w:hAnsi="仿宋_GB2312" w:eastAsia="仿宋_GB2312" w:cs="仿宋_GB2312"/>
          <w:color w:val="auto"/>
          <w:sz w:val="32"/>
          <w:szCs w:val="32"/>
          <w:lang w:eastAsia="zh-CN"/>
        </w:rPr>
        <w:t>到期且</w:t>
      </w:r>
      <w:r>
        <w:rPr>
          <w:rFonts w:hint="eastAsia" w:ascii="仿宋_GB2312" w:hAnsi="仿宋_GB2312" w:eastAsia="仿宋_GB2312" w:cs="仿宋_GB2312"/>
          <w:color w:val="auto"/>
          <w:sz w:val="32"/>
          <w:szCs w:val="32"/>
        </w:rPr>
        <w:t>甲方履约评价合格之日起20个工作日内支付；履约评价不合格的，则不予支付。具体评价标准详见附件《常年法律顾问年度考评表》。</w:t>
      </w:r>
    </w:p>
    <w:p w14:paraId="526A236F">
      <w:pPr>
        <w:widowControl/>
        <w:spacing w:line="360" w:lineRule="auto"/>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3.乙方收款账户信息如下：</w:t>
      </w:r>
    </w:p>
    <w:p w14:paraId="7038FF57">
      <w:pPr>
        <w:widowControl/>
        <w:spacing w:line="360" w:lineRule="auto"/>
        <w:ind w:firstLine="640" w:firstLineChars="200"/>
        <w:jc w:val="left"/>
        <w:rPr>
          <w:rFonts w:hint="eastAsia" w:ascii="仿宋_GB2312" w:hAnsi="仿宋_GB2312" w:eastAsia="仿宋_GB2312" w:cs="仿宋_GB2312"/>
          <w:color w:val="auto"/>
          <w:kern w:val="0"/>
          <w:sz w:val="32"/>
          <w:szCs w:val="32"/>
          <w:u w:val="single"/>
        </w:rPr>
      </w:pPr>
      <w:r>
        <w:rPr>
          <w:rFonts w:hint="eastAsia" w:ascii="仿宋_GB2312" w:hAnsi="仿宋_GB2312" w:eastAsia="仿宋_GB2312" w:cs="仿宋_GB2312"/>
          <w:color w:val="auto"/>
          <w:kern w:val="0"/>
          <w:sz w:val="32"/>
          <w:szCs w:val="32"/>
        </w:rPr>
        <w:t>账户名称：</w:t>
      </w:r>
      <w:r>
        <w:rPr>
          <w:rFonts w:hint="eastAsia" w:ascii="仿宋_GB2312" w:hAnsi="仿宋_GB2312" w:eastAsia="仿宋_GB2312" w:cs="仿宋_GB2312"/>
          <w:color w:val="auto"/>
          <w:kern w:val="0"/>
          <w:sz w:val="32"/>
          <w:szCs w:val="32"/>
          <w:u w:val="single"/>
        </w:rPr>
        <w:t xml:space="preserve">                           </w:t>
      </w:r>
    </w:p>
    <w:p w14:paraId="78E8EAB5">
      <w:pPr>
        <w:widowControl/>
        <w:spacing w:line="360" w:lineRule="auto"/>
        <w:ind w:firstLine="640" w:firstLineChars="200"/>
        <w:jc w:val="left"/>
        <w:rPr>
          <w:rFonts w:hint="eastAsia" w:ascii="仿宋_GB2312" w:hAnsi="仿宋_GB2312" w:eastAsia="仿宋_GB2312" w:cs="仿宋_GB2312"/>
          <w:color w:val="auto"/>
          <w:kern w:val="0"/>
          <w:sz w:val="32"/>
          <w:szCs w:val="32"/>
          <w:u w:val="single"/>
        </w:rPr>
      </w:pPr>
      <w:r>
        <w:rPr>
          <w:rFonts w:hint="eastAsia" w:ascii="仿宋_GB2312" w:hAnsi="仿宋_GB2312" w:eastAsia="仿宋_GB2312" w:cs="仿宋_GB2312"/>
          <w:color w:val="auto"/>
          <w:kern w:val="0"/>
          <w:sz w:val="32"/>
          <w:szCs w:val="32"/>
        </w:rPr>
        <w:t>账号：</w:t>
      </w:r>
      <w:r>
        <w:rPr>
          <w:rFonts w:hint="eastAsia" w:ascii="仿宋_GB2312" w:hAnsi="仿宋_GB2312" w:eastAsia="仿宋_GB2312" w:cs="仿宋_GB2312"/>
          <w:color w:val="auto"/>
          <w:kern w:val="0"/>
          <w:sz w:val="32"/>
          <w:szCs w:val="32"/>
          <w:u w:val="single"/>
        </w:rPr>
        <w:t xml:space="preserve">                               </w:t>
      </w:r>
    </w:p>
    <w:p w14:paraId="437311EF">
      <w:pPr>
        <w:widowControl/>
        <w:spacing w:line="360" w:lineRule="auto"/>
        <w:ind w:firstLine="640" w:firstLineChars="200"/>
        <w:jc w:val="left"/>
        <w:rPr>
          <w:rFonts w:hint="eastAsia" w:ascii="仿宋_GB2312" w:hAnsi="仿宋_GB2312" w:eastAsia="仿宋_GB2312" w:cs="仿宋_GB2312"/>
          <w:color w:val="auto"/>
          <w:kern w:val="0"/>
          <w:sz w:val="32"/>
          <w:szCs w:val="32"/>
          <w:u w:val="single"/>
        </w:rPr>
      </w:pPr>
      <w:r>
        <w:rPr>
          <w:rFonts w:hint="eastAsia" w:ascii="仿宋_GB2312" w:hAnsi="仿宋_GB2312" w:eastAsia="仿宋_GB2312" w:cs="仿宋_GB2312"/>
          <w:color w:val="auto"/>
          <w:kern w:val="0"/>
          <w:sz w:val="32"/>
          <w:szCs w:val="32"/>
        </w:rPr>
        <w:t>开户行：</w:t>
      </w:r>
      <w:r>
        <w:rPr>
          <w:rFonts w:hint="eastAsia" w:ascii="仿宋_GB2312" w:hAnsi="仿宋_GB2312" w:eastAsia="仿宋_GB2312" w:cs="仿宋_GB2312"/>
          <w:color w:val="auto"/>
          <w:kern w:val="0"/>
          <w:sz w:val="32"/>
          <w:szCs w:val="32"/>
          <w:u w:val="single"/>
        </w:rPr>
        <w:t xml:space="preserve">                               </w:t>
      </w:r>
    </w:p>
    <w:p w14:paraId="52386E67">
      <w:pPr>
        <w:spacing w:line="360" w:lineRule="auto"/>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六</w:t>
      </w:r>
      <w:r>
        <w:rPr>
          <w:rFonts w:hint="eastAsia" w:ascii="仿宋_GB2312" w:hAnsi="仿宋_GB2312" w:eastAsia="仿宋_GB2312" w:cs="仿宋_GB2312"/>
          <w:b/>
          <w:bCs/>
          <w:color w:val="auto"/>
          <w:sz w:val="32"/>
          <w:szCs w:val="32"/>
        </w:rPr>
        <w:t>条  合同解除</w:t>
      </w:r>
    </w:p>
    <w:p w14:paraId="25BAE6FE">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1.甲、乙双方经协商一致并以书面形式确认，可以解除本合同。</w:t>
      </w:r>
    </w:p>
    <w:p w14:paraId="0DAC9D45">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2.乙方有下列情形之一的，甲方有权解除合同：</w:t>
      </w:r>
    </w:p>
    <w:p w14:paraId="34786D2E">
      <w:pPr>
        <w:pStyle w:val="3"/>
        <w:ind w:firstLine="53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（1）未经甲方同意，擅自更换作为甲方常年法律顾问的律师的；</w:t>
      </w:r>
    </w:p>
    <w:p w14:paraId="587C99BC">
      <w:pPr>
        <w:pStyle w:val="3"/>
        <w:ind w:firstLine="53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（2）因乙方律师工作延误、失职、失误导致甲方蒙受损失的； </w:t>
      </w:r>
    </w:p>
    <w:p w14:paraId="47157A1A">
      <w:pPr>
        <w:pStyle w:val="3"/>
        <w:ind w:firstLine="53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（3）乙方为甲方员工个人提供任何不利于甲方的咨询意见；</w:t>
      </w:r>
    </w:p>
    <w:p w14:paraId="7BB88711">
      <w:pPr>
        <w:pStyle w:val="3"/>
        <w:ind w:firstLine="53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（4）乙方在涉及甲方的对抗性案件或者交易活动中，未经甲方同意，担任与甲方具有利益冲突的另一方当事人的代理人的；</w:t>
      </w:r>
    </w:p>
    <w:p w14:paraId="619354E6">
      <w:pPr>
        <w:pStyle w:val="3"/>
        <w:ind w:firstLine="53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（5）乙方对其获知的甲方资料或者讯息，非由法律规定或者甲方书面同意，擅自向任何第三方披露；</w:t>
      </w:r>
    </w:p>
    <w:p w14:paraId="7406B29C">
      <w:pPr>
        <w:pStyle w:val="3"/>
        <w:ind w:firstLine="53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（6）乙方律师工作懈怠，不能按照甲方要求及时、准确地拟订或审查合同文本，需要现场处理的法律事务，不能按时出席，此种情况达三次的；</w:t>
      </w:r>
    </w:p>
    <w:p w14:paraId="2029D17E">
      <w:pPr>
        <w:pStyle w:val="3"/>
        <w:ind w:firstLine="53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（7）甲方要求乙方团队负责人亲自出席，乙方团队负责人无法亲自到场，该种情况达三次的；</w:t>
      </w:r>
    </w:p>
    <w:p w14:paraId="77D478D4">
      <w:pPr>
        <w:pStyle w:val="3"/>
        <w:ind w:firstLine="53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（8）乙方律师提供的法律服务质量差，提出的法律意见、审查的合同或出具的其他文书有明显错误或者敷衍了事，不能满足甲方需求，此种情况达三次的；</w:t>
      </w:r>
    </w:p>
    <w:p w14:paraId="4BC19A65">
      <w:pPr>
        <w:pStyle w:val="3"/>
        <w:ind w:firstLine="53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（9）乙方违反法律法规、行业规则及合同约定的其他情形。</w:t>
      </w:r>
    </w:p>
    <w:p w14:paraId="4DF96133">
      <w:pPr>
        <w:pStyle w:val="3"/>
        <w:ind w:left="239" w:leftChars="114" w:firstLine="499" w:firstLineChars="15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甲方依据上述情况解除合同，无需承担任何违约及赔偿责任，未支付的服务费用无需支付。</w:t>
      </w:r>
    </w:p>
    <w:p w14:paraId="6122DCF8">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3.甲方有下列情形之一的，乙方有权解除合同：</w:t>
      </w:r>
    </w:p>
    <w:p w14:paraId="5E156C51">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（1）甲方的委托事项违反法律或者违反律师执业规范的；</w:t>
      </w:r>
    </w:p>
    <w:p w14:paraId="03C71A3B">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（2）甲方有捏造事实、伪造证据或者隐瞒重要情节等情形，致使乙方律师不能提供有效的法律服务的；</w:t>
      </w:r>
    </w:p>
    <w:p w14:paraId="47A4EF26">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（3）甲方逾期30日仍不向乙方支付法律顾问费或者工作费用的。</w:t>
      </w:r>
    </w:p>
    <w:p w14:paraId="2769B42D">
      <w:pPr>
        <w:spacing w:line="360" w:lineRule="auto"/>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七</w:t>
      </w:r>
      <w:r>
        <w:rPr>
          <w:rFonts w:hint="eastAsia" w:ascii="仿宋_GB2312" w:hAnsi="仿宋_GB2312" w:eastAsia="仿宋_GB2312" w:cs="仿宋_GB2312"/>
          <w:b/>
          <w:bCs/>
          <w:color w:val="auto"/>
          <w:sz w:val="32"/>
          <w:szCs w:val="32"/>
        </w:rPr>
        <w:t>条  违约责任</w:t>
      </w:r>
    </w:p>
    <w:p w14:paraId="75DDEE06">
      <w:pPr>
        <w:pStyle w:val="3"/>
        <w:spacing w:before="0" w:beforeLines="0"/>
        <w:ind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1、甲方无正当理由不支付法律服务费，或者无故终止合同，乙方已经收取的顾问费及代理费不予退还。</w:t>
      </w:r>
    </w:p>
    <w:p w14:paraId="7604EE2F">
      <w:pPr>
        <w:pStyle w:val="3"/>
        <w:spacing w:before="0" w:beforeLines="0"/>
        <w:ind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2、乙方无正当理由单方终止本合同的，退还所收的顾问费，并承担甲方损失。</w:t>
      </w:r>
    </w:p>
    <w:p w14:paraId="31D10CFE">
      <w:pPr>
        <w:pStyle w:val="3"/>
        <w:spacing w:before="0" w:beforeLines="0"/>
        <w:ind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3、如因乙方工作推诿、延误、失职或者未按本合同约定履行义务的，甲方不予支付服务费，已支付的服务费乙方应退还给甲方，甲方因此遭受损失的，乙方应予以赔偿。</w:t>
      </w:r>
    </w:p>
    <w:p w14:paraId="5DCFF087">
      <w:pPr>
        <w:spacing w:line="360" w:lineRule="auto"/>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八</w:t>
      </w:r>
      <w:r>
        <w:rPr>
          <w:rFonts w:hint="eastAsia" w:ascii="仿宋_GB2312" w:hAnsi="仿宋_GB2312" w:eastAsia="仿宋_GB2312" w:cs="仿宋_GB2312"/>
          <w:b/>
          <w:bCs/>
          <w:color w:val="auto"/>
          <w:sz w:val="32"/>
          <w:szCs w:val="32"/>
        </w:rPr>
        <w:t>条 争议解决</w:t>
      </w:r>
    </w:p>
    <w:p w14:paraId="7ADC5CE2">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甲、乙双方发生争议的，可友好协商解决；协商不成的，任何一方可向甲方住所地人民法院提起诉讼。</w:t>
      </w:r>
    </w:p>
    <w:p w14:paraId="53B7A439">
      <w:pPr>
        <w:spacing w:line="360" w:lineRule="auto"/>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第九条  其他规定</w:t>
      </w:r>
    </w:p>
    <w:p w14:paraId="1D560E43">
      <w:pPr>
        <w:pStyle w:val="3"/>
        <w:spacing w:beforeLines="0"/>
        <w:ind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1.乙方律师及其他工作人员不保管甲方证据材料的原件，因受托工作的需要，甲方应派人携带与受托事项有关材料的原件协助。</w:t>
      </w:r>
    </w:p>
    <w:p w14:paraId="6805F625">
      <w:pPr>
        <w:pStyle w:val="3"/>
        <w:spacing w:beforeLines="0"/>
        <w:ind w:right="0" w:rightChars="0" w:firstLine="53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2.构成合同的文件包括本合同签订后双方新签订的补充协议、报价函及其附录、以及其他合同文件，对甲、乙双方均具有法律约束力。本合同未尽事宜，由甲、乙双方协商解决。</w:t>
      </w:r>
    </w:p>
    <w:p w14:paraId="50E733DF">
      <w:pPr>
        <w:pStyle w:val="3"/>
        <w:spacing w:before="0" w:beforeLines="0"/>
        <w:ind w:right="0" w:rightChars="0" w:firstLine="53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、甲、乙双方因履行本合同而相互发出或者提供的所有通知、文件、资料，均以合同中所列明的地址及联系方式进行送达，一方如果迁址或者变更联系方式的，应当书面通知对方。</w:t>
      </w:r>
    </w:p>
    <w:p w14:paraId="64771CDB">
      <w:pPr>
        <w:pStyle w:val="3"/>
        <w:spacing w:beforeLines="0"/>
        <w:ind w:right="-29" w:rightChars="0" w:firstLine="53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.本合同自双方签字盖章之日起生效。本合同一式肆份，甲、乙双方各执贰份，各份文本具有同等的法律效力。</w:t>
      </w:r>
    </w:p>
    <w:p w14:paraId="36274E21">
      <w:pPr>
        <w:pStyle w:val="3"/>
        <w:spacing w:beforeLines="0"/>
        <w:ind w:right="0" w:rightChars="0"/>
        <w:rPr>
          <w:rFonts w:hint="eastAsia" w:ascii="仿宋_GB2312" w:hAnsi="仿宋_GB2312" w:eastAsia="仿宋_GB2312" w:cs="仿宋_GB2312"/>
          <w:color w:val="auto"/>
          <w:sz w:val="32"/>
          <w:szCs w:val="32"/>
        </w:rPr>
      </w:pPr>
    </w:p>
    <w:p w14:paraId="45BA9CD7">
      <w:pPr>
        <w:pStyle w:val="3"/>
        <w:spacing w:beforeLines="0"/>
        <w:ind w:right="0" w:right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附件：常年法律顾问年度考评表</w:t>
      </w:r>
    </w:p>
    <w:p w14:paraId="2178BBF6">
      <w:pPr>
        <w:spacing w:line="360" w:lineRule="auto"/>
        <w:rPr>
          <w:rFonts w:hint="eastAsia" w:ascii="仿宋_GB2312" w:hAnsi="仿宋_GB2312" w:eastAsia="仿宋_GB2312" w:cs="仿宋_GB2312"/>
          <w:color w:val="auto"/>
          <w:sz w:val="32"/>
          <w:szCs w:val="32"/>
        </w:rPr>
      </w:pPr>
    </w:p>
    <w:p w14:paraId="41AD5897">
      <w:pPr>
        <w:spacing w:line="360" w:lineRule="auto"/>
        <w:rPr>
          <w:rFonts w:hint="eastAsia" w:ascii="仿宋_GB2312" w:hAnsi="仿宋_GB2312" w:eastAsia="仿宋_GB2312" w:cs="仿宋_GB2312"/>
          <w:color w:val="auto"/>
          <w:sz w:val="32"/>
          <w:szCs w:val="32"/>
        </w:rPr>
      </w:pPr>
    </w:p>
    <w:p w14:paraId="24AF64F0">
      <w:pPr>
        <w:spacing w:line="360" w:lineRule="auto"/>
        <w:rPr>
          <w:rFonts w:hint="eastAsia" w:ascii="仿宋_GB2312" w:hAnsi="仿宋_GB2312" w:eastAsia="仿宋_GB2312" w:cs="仿宋_GB2312"/>
          <w:color w:val="auto"/>
          <w:sz w:val="32"/>
          <w:szCs w:val="32"/>
        </w:rPr>
      </w:pPr>
    </w:p>
    <w:p w14:paraId="7118FA12">
      <w:pPr>
        <w:spacing w:line="360" w:lineRule="auto"/>
        <w:rPr>
          <w:rFonts w:hint="eastAsia" w:ascii="仿宋_GB2312" w:hAnsi="仿宋_GB2312" w:eastAsia="仿宋_GB2312" w:cs="仿宋_GB2312"/>
          <w:color w:val="auto"/>
          <w:sz w:val="32"/>
          <w:szCs w:val="32"/>
        </w:rPr>
      </w:pPr>
    </w:p>
    <w:p w14:paraId="5F3FF74A">
      <w:pPr>
        <w:spacing w:line="360" w:lineRule="auto"/>
        <w:rPr>
          <w:rFonts w:hint="eastAsia" w:ascii="仿宋_GB2312" w:hAnsi="仿宋_GB2312" w:eastAsia="仿宋_GB2312" w:cs="仿宋_GB2312"/>
          <w:color w:val="auto"/>
          <w:sz w:val="32"/>
          <w:szCs w:val="32"/>
        </w:rPr>
      </w:pPr>
    </w:p>
    <w:p w14:paraId="6EC2A674">
      <w:pPr>
        <w:spacing w:line="360"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甲方：</w:t>
      </w:r>
    </w:p>
    <w:p w14:paraId="5EDD2A76">
      <w:pPr>
        <w:spacing w:line="360"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法定代表人（或授权代表）：</w:t>
      </w:r>
    </w:p>
    <w:p w14:paraId="798CC834">
      <w:pPr>
        <w:spacing w:line="360" w:lineRule="auto"/>
        <w:rPr>
          <w:rFonts w:hint="eastAsia" w:ascii="仿宋_GB2312" w:hAnsi="仿宋_GB2312" w:eastAsia="仿宋_GB2312" w:cs="仿宋_GB2312"/>
          <w:color w:val="auto"/>
          <w:sz w:val="32"/>
          <w:szCs w:val="32"/>
        </w:rPr>
      </w:pPr>
    </w:p>
    <w:p w14:paraId="757E1F6A">
      <w:pPr>
        <w:spacing w:line="360"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w:t>
      </w:r>
    </w:p>
    <w:p w14:paraId="00AF59EC">
      <w:pPr>
        <w:spacing w:line="360"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负责人</w:t>
      </w:r>
      <w:r>
        <w:rPr>
          <w:rFonts w:hint="eastAsia" w:ascii="仿宋_GB2312" w:hAnsi="仿宋_GB2312" w:eastAsia="仿宋_GB2312" w:cs="仿宋_GB2312"/>
          <w:color w:val="auto"/>
          <w:sz w:val="32"/>
          <w:szCs w:val="32"/>
        </w:rPr>
        <w:t>（或授权代表）：</w:t>
      </w:r>
    </w:p>
    <w:p w14:paraId="6DC35D43">
      <w:pPr>
        <w:spacing w:line="360"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签署日期：     年    月    日</w:t>
      </w:r>
    </w:p>
    <w:p w14:paraId="758A2694"/>
    <w:p w14:paraId="0676B3C6"/>
    <w:p w14:paraId="749EFA3D"/>
    <w:p w14:paraId="6D380B69"/>
    <w:p w14:paraId="7A0DFF49"/>
    <w:p w14:paraId="349C9614"/>
    <w:p w14:paraId="784CCBAF"/>
    <w:p w14:paraId="55CE49B6"/>
    <w:p w14:paraId="0BB099A1"/>
    <w:p w14:paraId="06633109"/>
    <w:p w14:paraId="41F4E9F3"/>
    <w:p w14:paraId="27918999"/>
    <w:p w14:paraId="6D60EA42"/>
    <w:p w14:paraId="3259E8C2"/>
    <w:p w14:paraId="0A2320E3"/>
    <w:p w14:paraId="2080F222"/>
    <w:p w14:paraId="2F3225D9"/>
    <w:p w14:paraId="51D53097"/>
    <w:p w14:paraId="4A3EE0A8"/>
    <w:p w14:paraId="7A0D27BB"/>
    <w:p w14:paraId="5340F664"/>
    <w:p w14:paraId="047186B8"/>
    <w:p w14:paraId="1C612D7B"/>
    <w:p w14:paraId="405C6253"/>
    <w:p w14:paraId="7764856F"/>
    <w:p w14:paraId="6FEB6BA8"/>
    <w:p w14:paraId="2E08610C"/>
    <w:p w14:paraId="384BC520"/>
    <w:p w14:paraId="7DEB5E15"/>
    <w:tbl>
      <w:tblPr>
        <w:tblStyle w:val="4"/>
        <w:tblW w:w="9750" w:type="dxa"/>
        <w:jc w:val="center"/>
        <w:tblLayout w:type="fixed"/>
        <w:tblCellMar>
          <w:top w:w="0" w:type="dxa"/>
          <w:left w:w="0" w:type="dxa"/>
          <w:bottom w:w="0" w:type="dxa"/>
          <w:right w:w="0" w:type="dxa"/>
        </w:tblCellMar>
      </w:tblPr>
      <w:tblGrid>
        <w:gridCol w:w="690"/>
        <w:gridCol w:w="1562"/>
        <w:gridCol w:w="2354"/>
        <w:gridCol w:w="850"/>
        <w:gridCol w:w="834"/>
        <w:gridCol w:w="664"/>
        <w:gridCol w:w="678"/>
        <w:gridCol w:w="2118"/>
      </w:tblGrid>
      <w:tr w14:paraId="19236D7D">
        <w:trPr>
          <w:trHeight w:val="660" w:hRule="atLeast"/>
          <w:jc w:val="center"/>
        </w:trPr>
        <w:tc>
          <w:tcPr>
            <w:tcW w:w="9750" w:type="dxa"/>
            <w:gridSpan w:val="8"/>
            <w:tcBorders>
              <w:top w:val="nil"/>
              <w:left w:val="nil"/>
              <w:bottom w:val="nil"/>
              <w:right w:val="nil"/>
            </w:tcBorders>
            <w:noWrap w:val="0"/>
            <w:tcMar>
              <w:top w:w="15" w:type="dxa"/>
              <w:left w:w="15" w:type="dxa"/>
              <w:right w:w="15" w:type="dxa"/>
            </w:tcMar>
            <w:vAlign w:val="center"/>
          </w:tcPr>
          <w:p w14:paraId="399816B2">
            <w:pPr>
              <w:widowControl/>
              <w:jc w:val="center"/>
              <w:textAlignment w:val="center"/>
              <w:rPr>
                <w:rFonts w:ascii="宋体" w:hAnsi="宋体" w:eastAsia="宋体" w:cs="宋体"/>
                <w:b/>
                <w:color w:val="auto"/>
                <w:sz w:val="36"/>
                <w:szCs w:val="36"/>
              </w:rPr>
            </w:pPr>
            <w:r>
              <w:rPr>
                <w:rFonts w:hint="eastAsia" w:ascii="宋体" w:hAnsi="宋体" w:eastAsia="宋体" w:cs="宋体"/>
                <w:b/>
                <w:color w:val="auto"/>
                <w:kern w:val="0"/>
                <w:sz w:val="36"/>
                <w:szCs w:val="36"/>
              </w:rPr>
              <w:t>常年法律顾问年度考评表</w:t>
            </w:r>
          </w:p>
        </w:tc>
      </w:tr>
      <w:tr w14:paraId="456F4840">
        <w:tblPrEx>
          <w:tblCellMar>
            <w:top w:w="0" w:type="dxa"/>
            <w:left w:w="0" w:type="dxa"/>
            <w:bottom w:w="0" w:type="dxa"/>
            <w:right w:w="0" w:type="dxa"/>
          </w:tblCellMar>
        </w:tblPrEx>
        <w:trPr>
          <w:trHeight w:val="521" w:hRule="atLeast"/>
          <w:jc w:val="center"/>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F68D83">
            <w:pPr>
              <w:widowControl/>
              <w:ind w:left="0" w:leftChars="0" w:right="0" w:rightChars="0" w:firstLine="0" w:firstLineChars="0"/>
              <w:jc w:val="center"/>
              <w:textAlignment w:val="center"/>
              <w:rPr>
                <w:rFonts w:ascii="宋体" w:hAnsi="宋体" w:eastAsia="宋体" w:cs="宋体"/>
                <w:b/>
                <w:bCs/>
                <w:color w:val="auto"/>
                <w:sz w:val="24"/>
              </w:rPr>
            </w:pPr>
            <w:r>
              <w:rPr>
                <w:rFonts w:hint="eastAsia" w:ascii="宋体" w:hAnsi="宋体" w:eastAsia="宋体" w:cs="宋体"/>
                <w:b/>
                <w:bCs/>
                <w:color w:val="auto"/>
                <w:kern w:val="0"/>
                <w:sz w:val="24"/>
              </w:rPr>
              <w:t>考评</w:t>
            </w:r>
            <w:r>
              <w:rPr>
                <w:rFonts w:hint="eastAsia" w:ascii="宋体" w:hAnsi="宋体" w:eastAsia="宋体" w:cs="宋体"/>
                <w:b/>
                <w:bCs/>
                <w:color w:val="auto"/>
                <w:kern w:val="0"/>
                <w:sz w:val="24"/>
              </w:rPr>
              <w:br w:type="textWrapping"/>
            </w:r>
            <w:r>
              <w:rPr>
                <w:rFonts w:hint="eastAsia" w:ascii="宋体" w:hAnsi="宋体" w:eastAsia="宋体" w:cs="宋体"/>
                <w:b/>
                <w:bCs/>
                <w:color w:val="auto"/>
                <w:kern w:val="0"/>
                <w:sz w:val="24"/>
              </w:rPr>
              <w:t>单位</w:t>
            </w:r>
          </w:p>
        </w:tc>
        <w:tc>
          <w:tcPr>
            <w:tcW w:w="3916"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509C6EA1">
            <w:pPr>
              <w:jc w:val="center"/>
              <w:rPr>
                <w:rFonts w:ascii="宋体" w:hAnsi="宋体" w:eastAsia="宋体" w:cs="宋体"/>
                <w:color w:val="auto"/>
                <w:sz w:val="22"/>
                <w:szCs w:val="22"/>
              </w:rPr>
            </w:pPr>
          </w:p>
        </w:tc>
        <w:tc>
          <w:tcPr>
            <w:tcW w:w="850"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14:paraId="3E322855">
            <w:pPr>
              <w:jc w:val="center"/>
              <w:rPr>
                <w:rFonts w:ascii="宋体" w:hAnsi="宋体" w:eastAsia="宋体" w:cs="宋体"/>
                <w:b/>
                <w:bCs/>
                <w:color w:val="auto"/>
                <w:sz w:val="22"/>
                <w:szCs w:val="22"/>
              </w:rPr>
            </w:pPr>
            <w:r>
              <w:rPr>
                <w:rFonts w:hint="eastAsia" w:ascii="宋体" w:hAnsi="宋体" w:eastAsia="宋体" w:cs="宋体"/>
                <w:b/>
                <w:bCs/>
                <w:color w:val="auto"/>
                <w:sz w:val="22"/>
                <w:szCs w:val="22"/>
              </w:rPr>
              <w:t>法律</w:t>
            </w:r>
          </w:p>
          <w:p w14:paraId="71E60B9A">
            <w:pPr>
              <w:jc w:val="center"/>
              <w:rPr>
                <w:rFonts w:ascii="宋体" w:hAnsi="宋体" w:eastAsia="宋体" w:cs="宋体"/>
                <w:b/>
                <w:bCs/>
                <w:color w:val="auto"/>
                <w:sz w:val="22"/>
                <w:szCs w:val="22"/>
              </w:rPr>
            </w:pPr>
            <w:r>
              <w:rPr>
                <w:rFonts w:hint="eastAsia" w:ascii="宋体" w:hAnsi="宋体" w:eastAsia="宋体" w:cs="宋体"/>
                <w:b/>
                <w:bCs/>
                <w:color w:val="auto"/>
                <w:sz w:val="22"/>
                <w:szCs w:val="22"/>
              </w:rPr>
              <w:t>顾问</w:t>
            </w:r>
          </w:p>
        </w:tc>
        <w:tc>
          <w:tcPr>
            <w:tcW w:w="4294" w:type="dxa"/>
            <w:gridSpan w:val="4"/>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17B095E6">
            <w:pPr>
              <w:jc w:val="center"/>
              <w:rPr>
                <w:rFonts w:ascii="宋体" w:hAnsi="宋体" w:eastAsia="宋体" w:cs="宋体"/>
                <w:color w:val="auto"/>
                <w:sz w:val="22"/>
                <w:szCs w:val="22"/>
              </w:rPr>
            </w:pPr>
          </w:p>
        </w:tc>
      </w:tr>
      <w:tr w14:paraId="21B1FC82">
        <w:tblPrEx>
          <w:tblCellMar>
            <w:top w:w="0" w:type="dxa"/>
            <w:left w:w="0" w:type="dxa"/>
            <w:bottom w:w="0" w:type="dxa"/>
            <w:right w:w="0" w:type="dxa"/>
          </w:tblCellMar>
        </w:tblPrEx>
        <w:trPr>
          <w:trHeight w:val="660" w:hRule="atLeast"/>
          <w:jc w:val="center"/>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7869AF">
            <w:pPr>
              <w:widowControl/>
              <w:ind w:left="0" w:leftChars="0" w:right="0" w:rightChars="0" w:firstLine="0" w:firstLineChars="0"/>
              <w:jc w:val="center"/>
              <w:textAlignment w:val="center"/>
              <w:rPr>
                <w:rFonts w:ascii="宋体" w:hAnsi="宋体" w:eastAsia="宋体" w:cs="宋体"/>
                <w:b/>
                <w:bCs/>
                <w:color w:val="auto"/>
                <w:sz w:val="24"/>
              </w:rPr>
            </w:pPr>
            <w:r>
              <w:rPr>
                <w:rFonts w:hint="eastAsia" w:ascii="宋体" w:hAnsi="宋体" w:eastAsia="宋体" w:cs="宋体"/>
                <w:b/>
                <w:bCs/>
                <w:color w:val="auto"/>
                <w:kern w:val="0"/>
                <w:sz w:val="24"/>
              </w:rPr>
              <w:t>考评</w:t>
            </w:r>
            <w:r>
              <w:rPr>
                <w:rFonts w:hint="eastAsia" w:ascii="宋体" w:hAnsi="宋体" w:eastAsia="宋体" w:cs="宋体"/>
                <w:b/>
                <w:bCs/>
                <w:color w:val="auto"/>
                <w:kern w:val="0"/>
                <w:sz w:val="24"/>
              </w:rPr>
              <w:br w:type="textWrapping"/>
            </w:r>
            <w:r>
              <w:rPr>
                <w:rFonts w:hint="eastAsia" w:ascii="宋体" w:hAnsi="宋体" w:eastAsia="宋体" w:cs="宋体"/>
                <w:b/>
                <w:bCs/>
                <w:color w:val="auto"/>
                <w:kern w:val="0"/>
                <w:sz w:val="24"/>
              </w:rPr>
              <w:t>部门</w:t>
            </w:r>
          </w:p>
        </w:tc>
        <w:tc>
          <w:tcPr>
            <w:tcW w:w="3916"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56E8FC81">
            <w:pPr>
              <w:jc w:val="center"/>
              <w:rPr>
                <w:rFonts w:ascii="宋体" w:hAnsi="宋体" w:eastAsia="宋体" w:cs="宋体"/>
                <w:color w:val="auto"/>
                <w:sz w:val="22"/>
                <w:szCs w:val="22"/>
              </w:rPr>
            </w:pPr>
          </w:p>
        </w:tc>
        <w:tc>
          <w:tcPr>
            <w:tcW w:w="850"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14:paraId="215618D2">
            <w:pPr>
              <w:jc w:val="center"/>
              <w:rPr>
                <w:rFonts w:ascii="宋体" w:hAnsi="宋体" w:eastAsia="宋体" w:cs="宋体"/>
                <w:b/>
                <w:bCs/>
                <w:color w:val="auto"/>
                <w:sz w:val="22"/>
                <w:szCs w:val="22"/>
              </w:rPr>
            </w:pPr>
            <w:r>
              <w:rPr>
                <w:rFonts w:hint="eastAsia" w:ascii="宋体" w:hAnsi="宋体" w:eastAsia="宋体" w:cs="宋体"/>
                <w:b/>
                <w:bCs/>
                <w:color w:val="auto"/>
                <w:sz w:val="22"/>
                <w:szCs w:val="22"/>
              </w:rPr>
              <w:t>考评</w:t>
            </w:r>
          </w:p>
          <w:p w14:paraId="6D6548F9">
            <w:pPr>
              <w:jc w:val="center"/>
              <w:rPr>
                <w:rFonts w:ascii="宋体" w:hAnsi="宋体" w:eastAsia="宋体" w:cs="宋体"/>
                <w:b/>
                <w:bCs/>
                <w:color w:val="auto"/>
                <w:sz w:val="22"/>
                <w:szCs w:val="22"/>
              </w:rPr>
            </w:pPr>
            <w:r>
              <w:rPr>
                <w:rFonts w:hint="eastAsia" w:ascii="宋体" w:hAnsi="宋体" w:eastAsia="宋体" w:cs="宋体"/>
                <w:b/>
                <w:bCs/>
                <w:color w:val="auto"/>
                <w:sz w:val="22"/>
                <w:szCs w:val="22"/>
              </w:rPr>
              <w:t>年度</w:t>
            </w:r>
          </w:p>
        </w:tc>
        <w:tc>
          <w:tcPr>
            <w:tcW w:w="4294" w:type="dxa"/>
            <w:gridSpan w:val="4"/>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7620F4C4">
            <w:pPr>
              <w:jc w:val="center"/>
              <w:rPr>
                <w:rFonts w:ascii="宋体" w:hAnsi="宋体" w:eastAsia="宋体" w:cs="宋体"/>
                <w:color w:val="auto"/>
                <w:sz w:val="22"/>
                <w:szCs w:val="22"/>
              </w:rPr>
            </w:pPr>
          </w:p>
        </w:tc>
      </w:tr>
      <w:tr w14:paraId="2993C233">
        <w:tblPrEx>
          <w:tblCellMar>
            <w:top w:w="0" w:type="dxa"/>
            <w:left w:w="0" w:type="dxa"/>
            <w:bottom w:w="0" w:type="dxa"/>
            <w:right w:w="0" w:type="dxa"/>
          </w:tblCellMar>
        </w:tblPrEx>
        <w:trPr>
          <w:trHeight w:val="455" w:hRule="atLeast"/>
          <w:jc w:val="center"/>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2E400C">
            <w:pPr>
              <w:widowControl/>
              <w:jc w:val="center"/>
              <w:textAlignment w:val="center"/>
              <w:rPr>
                <w:rFonts w:ascii="宋体" w:hAnsi="宋体" w:eastAsia="宋体" w:cs="宋体"/>
                <w:b/>
                <w:color w:val="auto"/>
                <w:sz w:val="24"/>
              </w:rPr>
            </w:pPr>
            <w:r>
              <w:rPr>
                <w:rFonts w:hint="eastAsia" w:ascii="宋体" w:hAnsi="宋体" w:eastAsia="宋体" w:cs="宋体"/>
                <w:b/>
                <w:color w:val="auto"/>
                <w:kern w:val="0"/>
                <w:sz w:val="24"/>
              </w:rPr>
              <w:t>序号</w:t>
            </w:r>
          </w:p>
        </w:tc>
        <w:tc>
          <w:tcPr>
            <w:tcW w:w="1562"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14:paraId="2ECAC165">
            <w:pPr>
              <w:widowControl/>
              <w:jc w:val="center"/>
              <w:textAlignment w:val="center"/>
              <w:rPr>
                <w:rFonts w:ascii="宋体" w:hAnsi="宋体" w:eastAsia="宋体" w:cs="宋体"/>
                <w:b/>
                <w:color w:val="auto"/>
                <w:sz w:val="22"/>
                <w:szCs w:val="22"/>
              </w:rPr>
            </w:pPr>
            <w:r>
              <w:rPr>
                <w:rFonts w:hint="eastAsia" w:ascii="宋体" w:hAnsi="宋体" w:eastAsia="宋体" w:cs="宋体"/>
                <w:b/>
                <w:color w:val="auto"/>
                <w:kern w:val="0"/>
                <w:sz w:val="22"/>
                <w:szCs w:val="22"/>
              </w:rPr>
              <w:t>考评内容</w:t>
            </w:r>
          </w:p>
        </w:tc>
        <w:tc>
          <w:tcPr>
            <w:tcW w:w="40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1557F1">
            <w:pPr>
              <w:widowControl/>
              <w:jc w:val="center"/>
              <w:textAlignment w:val="center"/>
              <w:rPr>
                <w:rFonts w:ascii="宋体" w:hAnsi="宋体" w:eastAsia="宋体" w:cs="宋体"/>
                <w:b/>
                <w:color w:val="auto"/>
                <w:sz w:val="22"/>
                <w:szCs w:val="22"/>
              </w:rPr>
            </w:pPr>
            <w:r>
              <w:rPr>
                <w:rFonts w:hint="eastAsia" w:ascii="宋体" w:hAnsi="宋体" w:eastAsia="宋体" w:cs="宋体"/>
                <w:b/>
                <w:color w:val="auto"/>
                <w:kern w:val="0"/>
                <w:sz w:val="22"/>
                <w:szCs w:val="22"/>
              </w:rPr>
              <w:t>考评要点</w:t>
            </w:r>
          </w:p>
        </w:tc>
        <w:tc>
          <w:tcPr>
            <w:tcW w:w="66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25D54F9">
            <w:pPr>
              <w:widowControl/>
              <w:jc w:val="center"/>
              <w:textAlignment w:val="center"/>
              <w:rPr>
                <w:rFonts w:ascii="宋体" w:hAnsi="宋体" w:eastAsia="宋体" w:cs="宋体"/>
                <w:b/>
                <w:color w:val="auto"/>
                <w:sz w:val="22"/>
                <w:szCs w:val="22"/>
              </w:rPr>
            </w:pPr>
            <w:r>
              <w:rPr>
                <w:rFonts w:hint="eastAsia" w:ascii="宋体" w:hAnsi="宋体" w:eastAsia="宋体" w:cs="宋体"/>
                <w:b/>
                <w:color w:val="auto"/>
                <w:kern w:val="0"/>
                <w:sz w:val="22"/>
                <w:szCs w:val="22"/>
              </w:rPr>
              <w:t>标准分值</w:t>
            </w:r>
          </w:p>
        </w:tc>
        <w:tc>
          <w:tcPr>
            <w:tcW w:w="6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D425F8">
            <w:pPr>
              <w:widowControl/>
              <w:jc w:val="center"/>
              <w:textAlignment w:val="center"/>
              <w:rPr>
                <w:rFonts w:ascii="宋体" w:hAnsi="宋体" w:eastAsia="宋体" w:cs="宋体"/>
                <w:b/>
                <w:color w:val="auto"/>
                <w:sz w:val="22"/>
                <w:szCs w:val="22"/>
              </w:rPr>
            </w:pPr>
            <w:r>
              <w:rPr>
                <w:rFonts w:hint="eastAsia" w:ascii="宋体" w:hAnsi="宋体" w:eastAsia="宋体" w:cs="宋体"/>
                <w:b/>
                <w:color w:val="auto"/>
                <w:kern w:val="0"/>
                <w:sz w:val="22"/>
                <w:szCs w:val="22"/>
              </w:rPr>
              <w:t>考评得分</w:t>
            </w:r>
          </w:p>
        </w:tc>
        <w:tc>
          <w:tcPr>
            <w:tcW w:w="2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EE4FA8">
            <w:pPr>
              <w:widowControl/>
              <w:jc w:val="center"/>
              <w:textAlignment w:val="center"/>
              <w:rPr>
                <w:rFonts w:ascii="宋体" w:hAnsi="宋体" w:eastAsia="宋体" w:cs="宋体"/>
                <w:b/>
                <w:color w:val="auto"/>
                <w:sz w:val="22"/>
                <w:szCs w:val="22"/>
              </w:rPr>
            </w:pPr>
            <w:r>
              <w:rPr>
                <w:rFonts w:hint="eastAsia" w:ascii="宋体" w:hAnsi="宋体" w:eastAsia="宋体" w:cs="宋体"/>
                <w:b/>
                <w:color w:val="auto"/>
                <w:kern w:val="0"/>
                <w:sz w:val="22"/>
                <w:szCs w:val="22"/>
              </w:rPr>
              <w:t>建议或意见</w:t>
            </w:r>
          </w:p>
        </w:tc>
      </w:tr>
      <w:tr w14:paraId="59A097C0">
        <w:tblPrEx>
          <w:tblCellMar>
            <w:top w:w="0" w:type="dxa"/>
            <w:left w:w="0" w:type="dxa"/>
            <w:bottom w:w="0" w:type="dxa"/>
            <w:right w:w="0" w:type="dxa"/>
          </w:tblCellMar>
        </w:tblPrEx>
        <w:trPr>
          <w:trHeight w:val="850" w:hRule="atLeast"/>
          <w:jc w:val="center"/>
        </w:trPr>
        <w:tc>
          <w:tcPr>
            <w:tcW w:w="69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2D32F0E5">
            <w:pPr>
              <w:jc w:val="center"/>
              <w:rPr>
                <w:rFonts w:hint="eastAsia" w:ascii="宋体" w:hAnsi="宋体" w:eastAsia="宋体" w:cs="宋体"/>
                <w:color w:val="auto"/>
                <w:sz w:val="24"/>
              </w:rPr>
            </w:pPr>
            <w:r>
              <w:rPr>
                <w:rFonts w:hint="eastAsia" w:ascii="宋体" w:hAnsi="宋体" w:eastAsia="宋体" w:cs="宋体"/>
                <w:color w:val="auto"/>
                <w:sz w:val="24"/>
              </w:rPr>
              <w:t>1</w:t>
            </w:r>
          </w:p>
          <w:p w14:paraId="7BD63008">
            <w:pPr>
              <w:jc w:val="center"/>
              <w:rPr>
                <w:rFonts w:ascii="宋体" w:hAnsi="宋体" w:eastAsia="宋体" w:cs="宋体"/>
                <w:color w:val="auto"/>
                <w:sz w:val="24"/>
              </w:rPr>
            </w:pPr>
          </w:p>
          <w:p w14:paraId="14FA675B">
            <w:pPr>
              <w:jc w:val="center"/>
              <w:rPr>
                <w:rFonts w:ascii="宋体" w:hAnsi="宋体" w:eastAsia="宋体" w:cs="宋体"/>
                <w:color w:val="auto"/>
                <w:sz w:val="24"/>
              </w:rPr>
            </w:pPr>
          </w:p>
          <w:p w14:paraId="714E7295">
            <w:pPr>
              <w:jc w:val="center"/>
              <w:rPr>
                <w:rFonts w:ascii="宋体" w:hAnsi="宋体" w:eastAsia="宋体" w:cs="宋体"/>
                <w:color w:val="auto"/>
                <w:sz w:val="24"/>
              </w:rPr>
            </w:pPr>
          </w:p>
        </w:tc>
        <w:tc>
          <w:tcPr>
            <w:tcW w:w="156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6FDD2E9E">
            <w:pPr>
              <w:widowControl/>
              <w:jc w:val="left"/>
              <w:textAlignment w:val="center"/>
              <w:rPr>
                <w:rFonts w:hint="default" w:ascii="宋体" w:hAnsi="宋体" w:eastAsia="宋体" w:cs="宋体"/>
                <w:color w:val="auto"/>
                <w:kern w:val="0"/>
                <w:sz w:val="22"/>
                <w:szCs w:val="22"/>
                <w:lang w:val="en-US"/>
              </w:rPr>
            </w:pPr>
            <w:r>
              <w:rPr>
                <w:rFonts w:hint="eastAsia" w:ascii="宋体" w:hAnsi="宋体" w:eastAsia="宋体" w:cs="宋体"/>
                <w:color w:val="auto"/>
                <w:kern w:val="0"/>
                <w:sz w:val="22"/>
                <w:szCs w:val="22"/>
                <w:lang w:val="en-US" w:eastAsia="zh-CN"/>
              </w:rPr>
              <w:t>专业能力</w:t>
            </w:r>
          </w:p>
          <w:p w14:paraId="200C7C57">
            <w:pPr>
              <w:widowControl/>
              <w:jc w:val="left"/>
              <w:textAlignment w:val="center"/>
              <w:rPr>
                <w:rFonts w:ascii="宋体" w:hAnsi="宋体" w:eastAsia="宋体" w:cs="宋体"/>
                <w:color w:val="auto"/>
                <w:sz w:val="22"/>
                <w:szCs w:val="22"/>
              </w:rPr>
            </w:pPr>
          </w:p>
          <w:p w14:paraId="3E9F4E27">
            <w:pPr>
              <w:widowControl/>
              <w:jc w:val="left"/>
              <w:textAlignment w:val="center"/>
              <w:rPr>
                <w:rFonts w:ascii="宋体" w:hAnsi="宋体" w:eastAsia="宋体" w:cs="宋体"/>
                <w:color w:val="auto"/>
                <w:sz w:val="22"/>
                <w:szCs w:val="22"/>
              </w:rPr>
            </w:pPr>
          </w:p>
          <w:p w14:paraId="0615CC6A">
            <w:pPr>
              <w:widowControl/>
              <w:jc w:val="left"/>
              <w:textAlignment w:val="center"/>
              <w:rPr>
                <w:rFonts w:ascii="宋体" w:hAnsi="宋体" w:eastAsia="宋体" w:cs="宋体"/>
                <w:color w:val="auto"/>
                <w:sz w:val="22"/>
                <w:szCs w:val="22"/>
              </w:rPr>
            </w:pPr>
          </w:p>
          <w:p w14:paraId="5F6806AF">
            <w:pPr>
              <w:widowControl/>
              <w:jc w:val="left"/>
              <w:textAlignment w:val="center"/>
              <w:rPr>
                <w:rFonts w:ascii="宋体" w:hAnsi="宋体" w:eastAsia="宋体" w:cs="宋体"/>
                <w:color w:val="auto"/>
                <w:sz w:val="22"/>
                <w:szCs w:val="22"/>
              </w:rPr>
            </w:pPr>
          </w:p>
        </w:tc>
        <w:tc>
          <w:tcPr>
            <w:tcW w:w="40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C0F546">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val="en-US" w:eastAsia="zh-CN"/>
              </w:rPr>
              <w:t>及时、</w:t>
            </w:r>
            <w:r>
              <w:rPr>
                <w:rFonts w:hint="eastAsia" w:ascii="宋体" w:hAnsi="宋体" w:eastAsia="宋体" w:cs="宋体"/>
                <w:color w:val="auto"/>
                <w:kern w:val="0"/>
                <w:sz w:val="22"/>
                <w:szCs w:val="22"/>
              </w:rPr>
              <w:t>准确地拟订或审查合同</w:t>
            </w: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lang w:val="en-US" w:eastAsia="zh-CN"/>
              </w:rPr>
              <w:t>函件等</w:t>
            </w:r>
            <w:r>
              <w:rPr>
                <w:rFonts w:hint="eastAsia" w:ascii="宋体" w:hAnsi="宋体" w:eastAsia="宋体" w:cs="宋体"/>
                <w:color w:val="auto"/>
                <w:kern w:val="0"/>
                <w:sz w:val="22"/>
                <w:szCs w:val="22"/>
              </w:rPr>
              <w:t>，有效规避相关风险</w:t>
            </w: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lang w:val="en-US" w:eastAsia="zh-CN"/>
              </w:rPr>
              <w:t>维护公司利益。</w:t>
            </w: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922798">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kern w:val="0"/>
                <w:sz w:val="22"/>
                <w:szCs w:val="22"/>
                <w:lang w:val="en-US" w:eastAsia="zh-CN"/>
              </w:rPr>
              <w:t>10</w:t>
            </w:r>
          </w:p>
        </w:tc>
        <w:tc>
          <w:tcPr>
            <w:tcW w:w="6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0690DA">
            <w:pPr>
              <w:rPr>
                <w:rFonts w:ascii="宋体" w:hAnsi="宋体" w:eastAsia="宋体" w:cs="宋体"/>
                <w:color w:val="auto"/>
                <w:sz w:val="22"/>
                <w:szCs w:val="22"/>
              </w:rPr>
            </w:pPr>
          </w:p>
        </w:tc>
        <w:tc>
          <w:tcPr>
            <w:tcW w:w="2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C42DC2">
            <w:pPr>
              <w:rPr>
                <w:rFonts w:ascii="宋体" w:hAnsi="宋体" w:eastAsia="宋体" w:cs="宋体"/>
                <w:color w:val="auto"/>
                <w:sz w:val="22"/>
                <w:szCs w:val="22"/>
              </w:rPr>
            </w:pPr>
          </w:p>
        </w:tc>
      </w:tr>
      <w:tr w14:paraId="2A028E3C">
        <w:tblPrEx>
          <w:tblCellMar>
            <w:top w:w="0" w:type="dxa"/>
            <w:left w:w="0" w:type="dxa"/>
            <w:bottom w:w="0" w:type="dxa"/>
            <w:right w:w="0" w:type="dxa"/>
          </w:tblCellMar>
        </w:tblPrEx>
        <w:trPr>
          <w:trHeight w:val="715" w:hRule="atLeast"/>
          <w:jc w:val="center"/>
        </w:trPr>
        <w:tc>
          <w:tcPr>
            <w:tcW w:w="690" w:type="dxa"/>
            <w:vMerge w:val="continue"/>
            <w:tcBorders>
              <w:left w:val="single" w:color="000000" w:sz="4" w:space="0"/>
              <w:right w:val="single" w:color="000000" w:sz="4" w:space="0"/>
            </w:tcBorders>
            <w:noWrap w:val="0"/>
            <w:tcMar>
              <w:top w:w="15" w:type="dxa"/>
              <w:left w:w="15" w:type="dxa"/>
              <w:right w:w="15" w:type="dxa"/>
            </w:tcMar>
            <w:vAlign w:val="center"/>
          </w:tcPr>
          <w:p w14:paraId="3C16693F">
            <w:pPr>
              <w:jc w:val="center"/>
              <w:rPr>
                <w:rFonts w:ascii="宋体" w:hAnsi="宋体" w:eastAsia="宋体" w:cs="宋体"/>
                <w:color w:val="auto"/>
                <w:sz w:val="24"/>
              </w:rPr>
            </w:pPr>
          </w:p>
        </w:tc>
        <w:tc>
          <w:tcPr>
            <w:tcW w:w="1562" w:type="dxa"/>
            <w:vMerge w:val="continue"/>
            <w:tcBorders>
              <w:left w:val="single" w:color="000000" w:sz="4" w:space="0"/>
              <w:right w:val="single" w:color="000000" w:sz="4" w:space="0"/>
            </w:tcBorders>
            <w:noWrap w:val="0"/>
            <w:tcMar>
              <w:top w:w="15" w:type="dxa"/>
              <w:left w:w="15" w:type="dxa"/>
              <w:right w:w="15" w:type="dxa"/>
            </w:tcMar>
            <w:vAlign w:val="center"/>
          </w:tcPr>
          <w:p w14:paraId="6800044F">
            <w:pPr>
              <w:widowControl/>
              <w:jc w:val="left"/>
              <w:textAlignment w:val="center"/>
              <w:rPr>
                <w:rFonts w:ascii="宋体" w:hAnsi="宋体" w:eastAsia="宋体" w:cs="宋体"/>
                <w:color w:val="auto"/>
                <w:sz w:val="22"/>
                <w:szCs w:val="22"/>
              </w:rPr>
            </w:pPr>
          </w:p>
        </w:tc>
        <w:tc>
          <w:tcPr>
            <w:tcW w:w="40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A2032D">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val="en-US" w:eastAsia="zh-CN"/>
              </w:rPr>
              <w:t>在参与</w:t>
            </w:r>
            <w:r>
              <w:rPr>
                <w:rFonts w:hint="eastAsia" w:ascii="宋体" w:hAnsi="宋体" w:eastAsia="宋体" w:cs="宋体"/>
                <w:color w:val="auto"/>
                <w:kern w:val="0"/>
                <w:sz w:val="22"/>
                <w:szCs w:val="22"/>
              </w:rPr>
              <w:t>公司重大决策和经济活动过程中，提供</w:t>
            </w:r>
            <w:r>
              <w:rPr>
                <w:rFonts w:hint="eastAsia" w:ascii="宋体" w:hAnsi="宋体" w:eastAsia="宋体" w:cs="宋体"/>
                <w:color w:val="auto"/>
                <w:kern w:val="0"/>
                <w:sz w:val="22"/>
                <w:szCs w:val="22"/>
                <w:lang w:val="en-US" w:eastAsia="zh-CN"/>
              </w:rPr>
              <w:t>全面、</w:t>
            </w:r>
            <w:r>
              <w:rPr>
                <w:rFonts w:hint="eastAsia" w:ascii="宋体" w:hAnsi="宋体" w:eastAsia="宋体" w:cs="宋体"/>
                <w:color w:val="auto"/>
                <w:kern w:val="0"/>
                <w:sz w:val="22"/>
                <w:szCs w:val="22"/>
              </w:rPr>
              <w:t>准确</w:t>
            </w: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rPr>
              <w:t>有效</w:t>
            </w: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lang w:val="en-US" w:eastAsia="zh-CN"/>
              </w:rPr>
              <w:t>可行</w:t>
            </w:r>
            <w:r>
              <w:rPr>
                <w:rFonts w:hint="eastAsia" w:ascii="宋体" w:hAnsi="宋体" w:eastAsia="宋体" w:cs="宋体"/>
                <w:color w:val="auto"/>
                <w:kern w:val="0"/>
                <w:sz w:val="22"/>
                <w:szCs w:val="22"/>
              </w:rPr>
              <w:t>的法律意见。</w:t>
            </w: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5F7D9F">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10</w:t>
            </w:r>
          </w:p>
        </w:tc>
        <w:tc>
          <w:tcPr>
            <w:tcW w:w="6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FF32ED">
            <w:pPr>
              <w:rPr>
                <w:rFonts w:ascii="宋体" w:hAnsi="宋体" w:eastAsia="宋体" w:cs="宋体"/>
                <w:color w:val="auto"/>
                <w:sz w:val="22"/>
                <w:szCs w:val="22"/>
              </w:rPr>
            </w:pPr>
          </w:p>
        </w:tc>
        <w:tc>
          <w:tcPr>
            <w:tcW w:w="2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02D15F">
            <w:pPr>
              <w:rPr>
                <w:rFonts w:ascii="宋体" w:hAnsi="宋体" w:eastAsia="宋体" w:cs="宋体"/>
                <w:color w:val="auto"/>
                <w:sz w:val="22"/>
                <w:szCs w:val="22"/>
              </w:rPr>
            </w:pPr>
          </w:p>
        </w:tc>
      </w:tr>
      <w:tr w14:paraId="0195689F">
        <w:tblPrEx>
          <w:tblCellMar>
            <w:top w:w="0" w:type="dxa"/>
            <w:left w:w="0" w:type="dxa"/>
            <w:bottom w:w="0" w:type="dxa"/>
            <w:right w:w="0" w:type="dxa"/>
          </w:tblCellMar>
        </w:tblPrEx>
        <w:trPr>
          <w:trHeight w:val="660" w:hRule="atLeast"/>
          <w:jc w:val="center"/>
        </w:trPr>
        <w:tc>
          <w:tcPr>
            <w:tcW w:w="690" w:type="dxa"/>
            <w:vMerge w:val="continue"/>
            <w:tcBorders>
              <w:left w:val="single" w:color="000000" w:sz="4" w:space="0"/>
              <w:right w:val="single" w:color="000000" w:sz="4" w:space="0"/>
            </w:tcBorders>
            <w:noWrap w:val="0"/>
            <w:tcMar>
              <w:top w:w="15" w:type="dxa"/>
              <w:left w:w="15" w:type="dxa"/>
              <w:right w:w="15" w:type="dxa"/>
            </w:tcMar>
            <w:vAlign w:val="center"/>
          </w:tcPr>
          <w:p w14:paraId="2D798D24">
            <w:pPr>
              <w:jc w:val="center"/>
              <w:rPr>
                <w:rFonts w:ascii="宋体" w:hAnsi="宋体" w:eastAsia="宋体" w:cs="宋体"/>
                <w:color w:val="auto"/>
                <w:sz w:val="24"/>
              </w:rPr>
            </w:pPr>
          </w:p>
        </w:tc>
        <w:tc>
          <w:tcPr>
            <w:tcW w:w="1562" w:type="dxa"/>
            <w:vMerge w:val="continue"/>
            <w:tcBorders>
              <w:left w:val="single" w:color="000000" w:sz="4" w:space="0"/>
              <w:right w:val="single" w:color="000000" w:sz="4" w:space="0"/>
            </w:tcBorders>
            <w:noWrap w:val="0"/>
            <w:tcMar>
              <w:top w:w="15" w:type="dxa"/>
              <w:left w:w="15" w:type="dxa"/>
              <w:right w:w="15" w:type="dxa"/>
            </w:tcMar>
            <w:vAlign w:val="center"/>
          </w:tcPr>
          <w:p w14:paraId="00CBC524">
            <w:pPr>
              <w:widowControl/>
              <w:jc w:val="left"/>
              <w:textAlignment w:val="center"/>
              <w:rPr>
                <w:rFonts w:ascii="宋体" w:hAnsi="宋体" w:eastAsia="宋体" w:cs="宋体"/>
                <w:color w:val="auto"/>
                <w:sz w:val="22"/>
                <w:szCs w:val="22"/>
              </w:rPr>
            </w:pPr>
          </w:p>
        </w:tc>
        <w:tc>
          <w:tcPr>
            <w:tcW w:w="40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6D5CF5">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val="en-US" w:eastAsia="zh-CN"/>
              </w:rPr>
              <w:t>在公司涉诉时提出的意见或诉讼方案是否全面、准确。</w:t>
            </w: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7E2673">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kern w:val="0"/>
                <w:sz w:val="22"/>
                <w:szCs w:val="22"/>
                <w:lang w:val="en-US" w:eastAsia="zh-CN"/>
              </w:rPr>
              <w:t>10</w:t>
            </w:r>
          </w:p>
        </w:tc>
        <w:tc>
          <w:tcPr>
            <w:tcW w:w="6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570CB6">
            <w:pPr>
              <w:rPr>
                <w:rFonts w:ascii="宋体" w:hAnsi="宋体" w:eastAsia="宋体" w:cs="宋体"/>
                <w:color w:val="auto"/>
                <w:sz w:val="22"/>
                <w:szCs w:val="22"/>
              </w:rPr>
            </w:pPr>
          </w:p>
        </w:tc>
        <w:tc>
          <w:tcPr>
            <w:tcW w:w="2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FC9787">
            <w:pPr>
              <w:rPr>
                <w:rFonts w:ascii="宋体" w:hAnsi="宋体" w:eastAsia="宋体" w:cs="宋体"/>
                <w:color w:val="auto"/>
                <w:sz w:val="22"/>
                <w:szCs w:val="22"/>
              </w:rPr>
            </w:pPr>
          </w:p>
        </w:tc>
      </w:tr>
      <w:tr w14:paraId="6DC10808">
        <w:tblPrEx>
          <w:tblCellMar>
            <w:top w:w="0" w:type="dxa"/>
            <w:left w:w="0" w:type="dxa"/>
            <w:bottom w:w="0" w:type="dxa"/>
            <w:right w:w="0" w:type="dxa"/>
          </w:tblCellMar>
        </w:tblPrEx>
        <w:trPr>
          <w:trHeight w:val="780" w:hRule="atLeast"/>
          <w:jc w:val="center"/>
        </w:trPr>
        <w:tc>
          <w:tcPr>
            <w:tcW w:w="690" w:type="dxa"/>
            <w:vMerge w:val="continue"/>
            <w:tcBorders>
              <w:left w:val="single" w:color="000000" w:sz="4" w:space="0"/>
              <w:right w:val="single" w:color="000000" w:sz="4" w:space="0"/>
            </w:tcBorders>
            <w:noWrap w:val="0"/>
            <w:tcMar>
              <w:top w:w="15" w:type="dxa"/>
              <w:left w:w="15" w:type="dxa"/>
              <w:right w:w="15" w:type="dxa"/>
            </w:tcMar>
            <w:vAlign w:val="center"/>
          </w:tcPr>
          <w:p w14:paraId="0F7066E1">
            <w:pPr>
              <w:jc w:val="center"/>
              <w:rPr>
                <w:rFonts w:ascii="宋体" w:hAnsi="宋体" w:eastAsia="宋体" w:cs="宋体"/>
                <w:color w:val="auto"/>
                <w:sz w:val="24"/>
              </w:rPr>
            </w:pPr>
          </w:p>
        </w:tc>
        <w:tc>
          <w:tcPr>
            <w:tcW w:w="1562" w:type="dxa"/>
            <w:vMerge w:val="continue"/>
            <w:tcBorders>
              <w:left w:val="single" w:color="000000" w:sz="4" w:space="0"/>
              <w:right w:val="single" w:color="000000" w:sz="4" w:space="0"/>
            </w:tcBorders>
            <w:noWrap w:val="0"/>
            <w:tcMar>
              <w:top w:w="15" w:type="dxa"/>
              <w:left w:w="15" w:type="dxa"/>
              <w:right w:w="15" w:type="dxa"/>
            </w:tcMar>
            <w:vAlign w:val="center"/>
          </w:tcPr>
          <w:p w14:paraId="1DB191CD">
            <w:pPr>
              <w:widowControl/>
              <w:jc w:val="left"/>
              <w:textAlignment w:val="center"/>
              <w:rPr>
                <w:rFonts w:ascii="宋体" w:hAnsi="宋体" w:eastAsia="宋体" w:cs="宋体"/>
                <w:color w:val="auto"/>
                <w:sz w:val="22"/>
                <w:szCs w:val="22"/>
              </w:rPr>
            </w:pPr>
          </w:p>
        </w:tc>
        <w:tc>
          <w:tcPr>
            <w:tcW w:w="40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67AB87">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val="en-US" w:eastAsia="zh-CN"/>
              </w:rPr>
              <w:t>有效地协助企业解决问题，化解相关风险。</w:t>
            </w: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D92AB1">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10</w:t>
            </w:r>
          </w:p>
        </w:tc>
        <w:tc>
          <w:tcPr>
            <w:tcW w:w="6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8AEB67">
            <w:pPr>
              <w:rPr>
                <w:rFonts w:ascii="宋体" w:hAnsi="宋体" w:eastAsia="宋体" w:cs="宋体"/>
                <w:color w:val="auto"/>
                <w:sz w:val="22"/>
                <w:szCs w:val="22"/>
              </w:rPr>
            </w:pPr>
          </w:p>
        </w:tc>
        <w:tc>
          <w:tcPr>
            <w:tcW w:w="2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7CDBC3">
            <w:pPr>
              <w:rPr>
                <w:rFonts w:ascii="宋体" w:hAnsi="宋体" w:eastAsia="宋体" w:cs="宋体"/>
                <w:color w:val="auto"/>
                <w:sz w:val="22"/>
                <w:szCs w:val="22"/>
              </w:rPr>
            </w:pPr>
          </w:p>
        </w:tc>
      </w:tr>
      <w:tr w14:paraId="0E4510BF">
        <w:tblPrEx>
          <w:tblCellMar>
            <w:top w:w="0" w:type="dxa"/>
            <w:left w:w="0" w:type="dxa"/>
            <w:bottom w:w="0" w:type="dxa"/>
            <w:right w:w="0" w:type="dxa"/>
          </w:tblCellMar>
        </w:tblPrEx>
        <w:trPr>
          <w:trHeight w:val="650" w:hRule="atLeast"/>
          <w:jc w:val="center"/>
        </w:trPr>
        <w:tc>
          <w:tcPr>
            <w:tcW w:w="69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51612D47">
            <w:pPr>
              <w:jc w:val="center"/>
              <w:rPr>
                <w:rFonts w:ascii="宋体" w:hAnsi="宋体" w:eastAsia="宋体" w:cs="宋体"/>
                <w:color w:val="auto"/>
                <w:sz w:val="24"/>
              </w:rPr>
            </w:pPr>
          </w:p>
        </w:tc>
        <w:tc>
          <w:tcPr>
            <w:tcW w:w="1562"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72C80A10">
            <w:pPr>
              <w:widowControl/>
              <w:jc w:val="left"/>
              <w:textAlignment w:val="center"/>
              <w:rPr>
                <w:rFonts w:ascii="宋体" w:hAnsi="宋体" w:eastAsia="宋体" w:cs="宋体"/>
                <w:color w:val="auto"/>
                <w:sz w:val="22"/>
                <w:szCs w:val="22"/>
              </w:rPr>
            </w:pPr>
          </w:p>
        </w:tc>
        <w:tc>
          <w:tcPr>
            <w:tcW w:w="40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B248D2">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val="en-US" w:eastAsia="zh-CN"/>
              </w:rPr>
              <w:t>专业知识和能力与企业当前需求的匹配程度。</w:t>
            </w: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760C51">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10</w:t>
            </w:r>
          </w:p>
        </w:tc>
        <w:tc>
          <w:tcPr>
            <w:tcW w:w="6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0B2390">
            <w:pPr>
              <w:rPr>
                <w:rFonts w:ascii="宋体" w:hAnsi="宋体" w:eastAsia="宋体" w:cs="宋体"/>
                <w:color w:val="auto"/>
                <w:sz w:val="22"/>
                <w:szCs w:val="22"/>
              </w:rPr>
            </w:pPr>
          </w:p>
        </w:tc>
        <w:tc>
          <w:tcPr>
            <w:tcW w:w="2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7A6C7E">
            <w:pPr>
              <w:rPr>
                <w:rFonts w:ascii="宋体" w:hAnsi="宋体" w:eastAsia="宋体" w:cs="宋体"/>
                <w:color w:val="auto"/>
                <w:sz w:val="22"/>
                <w:szCs w:val="22"/>
              </w:rPr>
            </w:pPr>
          </w:p>
        </w:tc>
      </w:tr>
      <w:tr w14:paraId="3BC05A26">
        <w:tblPrEx>
          <w:tblCellMar>
            <w:top w:w="0" w:type="dxa"/>
            <w:left w:w="0" w:type="dxa"/>
            <w:bottom w:w="0" w:type="dxa"/>
            <w:right w:w="0" w:type="dxa"/>
          </w:tblCellMar>
        </w:tblPrEx>
        <w:trPr>
          <w:trHeight w:val="750" w:hRule="atLeast"/>
          <w:jc w:val="center"/>
        </w:trPr>
        <w:tc>
          <w:tcPr>
            <w:tcW w:w="69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4BF3C19">
            <w:pPr>
              <w:jc w:val="center"/>
              <w:rPr>
                <w:rFonts w:ascii="宋体" w:hAnsi="宋体" w:eastAsia="宋体" w:cs="宋体"/>
                <w:color w:val="auto"/>
                <w:sz w:val="24"/>
              </w:rPr>
            </w:pPr>
            <w:r>
              <w:rPr>
                <w:rFonts w:hint="eastAsia" w:ascii="宋体" w:hAnsi="宋体" w:eastAsia="宋体" w:cs="宋体"/>
                <w:color w:val="auto"/>
                <w:sz w:val="24"/>
                <w:lang w:val="en-US" w:eastAsia="zh-CN"/>
              </w:rPr>
              <w:t>2</w:t>
            </w:r>
          </w:p>
        </w:tc>
        <w:tc>
          <w:tcPr>
            <w:tcW w:w="156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3124E182">
            <w:pPr>
              <w:widowControl/>
              <w:jc w:val="left"/>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服务</w:t>
            </w:r>
            <w:r>
              <w:rPr>
                <w:rFonts w:hint="eastAsia" w:ascii="宋体" w:hAnsi="宋体" w:eastAsia="宋体" w:cs="宋体"/>
                <w:color w:val="auto"/>
                <w:kern w:val="0"/>
                <w:sz w:val="22"/>
                <w:szCs w:val="22"/>
                <w:lang w:val="en-US" w:eastAsia="zh-CN"/>
              </w:rPr>
              <w:t>意识</w:t>
            </w:r>
            <w:r>
              <w:rPr>
                <w:rFonts w:hint="eastAsia" w:ascii="宋体" w:hAnsi="宋体" w:eastAsia="宋体" w:cs="宋体"/>
                <w:color w:val="auto"/>
                <w:kern w:val="0"/>
                <w:sz w:val="22"/>
                <w:szCs w:val="22"/>
              </w:rPr>
              <w:t>及响应</w:t>
            </w:r>
            <w:r>
              <w:rPr>
                <w:rFonts w:hint="eastAsia" w:ascii="宋体" w:hAnsi="宋体" w:eastAsia="宋体" w:cs="宋体"/>
                <w:color w:val="auto"/>
                <w:kern w:val="0"/>
                <w:sz w:val="22"/>
                <w:szCs w:val="22"/>
                <w:lang w:val="en-US" w:eastAsia="zh-CN"/>
              </w:rPr>
              <w:t>程度</w:t>
            </w:r>
          </w:p>
          <w:p w14:paraId="37D225E2">
            <w:pPr>
              <w:widowControl/>
              <w:jc w:val="left"/>
              <w:textAlignment w:val="center"/>
              <w:rPr>
                <w:rFonts w:ascii="宋体" w:hAnsi="宋体" w:eastAsia="宋体" w:cs="宋体"/>
                <w:color w:val="auto"/>
                <w:sz w:val="22"/>
                <w:szCs w:val="22"/>
              </w:rPr>
            </w:pPr>
          </w:p>
        </w:tc>
        <w:tc>
          <w:tcPr>
            <w:tcW w:w="40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9AB482">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val="en-US" w:eastAsia="zh-CN"/>
              </w:rPr>
              <w:t>具有积极的服务心态及良好的沟通能力。</w:t>
            </w: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6FF975">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kern w:val="0"/>
                <w:sz w:val="22"/>
                <w:szCs w:val="22"/>
                <w:lang w:val="en-US" w:eastAsia="zh-CN"/>
              </w:rPr>
              <w:t>10</w:t>
            </w:r>
          </w:p>
        </w:tc>
        <w:tc>
          <w:tcPr>
            <w:tcW w:w="6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773602">
            <w:pPr>
              <w:rPr>
                <w:rFonts w:ascii="宋体" w:hAnsi="宋体" w:eastAsia="宋体" w:cs="宋体"/>
                <w:color w:val="auto"/>
                <w:sz w:val="22"/>
                <w:szCs w:val="22"/>
              </w:rPr>
            </w:pPr>
          </w:p>
        </w:tc>
        <w:tc>
          <w:tcPr>
            <w:tcW w:w="2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A9950F">
            <w:pPr>
              <w:rPr>
                <w:rFonts w:ascii="宋体" w:hAnsi="宋体" w:eastAsia="宋体" w:cs="宋体"/>
                <w:color w:val="auto"/>
                <w:sz w:val="22"/>
                <w:szCs w:val="22"/>
              </w:rPr>
            </w:pPr>
          </w:p>
        </w:tc>
      </w:tr>
      <w:tr w14:paraId="30843E58">
        <w:tblPrEx>
          <w:tblCellMar>
            <w:top w:w="0" w:type="dxa"/>
            <w:left w:w="0" w:type="dxa"/>
            <w:bottom w:w="0" w:type="dxa"/>
            <w:right w:w="0" w:type="dxa"/>
          </w:tblCellMar>
        </w:tblPrEx>
        <w:trPr>
          <w:trHeight w:val="716" w:hRule="atLeast"/>
          <w:jc w:val="center"/>
        </w:trPr>
        <w:tc>
          <w:tcPr>
            <w:tcW w:w="690" w:type="dxa"/>
            <w:vMerge w:val="continue"/>
            <w:tcBorders>
              <w:left w:val="single" w:color="000000" w:sz="4" w:space="0"/>
              <w:right w:val="single" w:color="000000" w:sz="4" w:space="0"/>
            </w:tcBorders>
            <w:noWrap w:val="0"/>
            <w:tcMar>
              <w:top w:w="15" w:type="dxa"/>
              <w:left w:w="15" w:type="dxa"/>
              <w:right w:w="15" w:type="dxa"/>
            </w:tcMar>
            <w:vAlign w:val="center"/>
          </w:tcPr>
          <w:p w14:paraId="373DDEBE">
            <w:pPr>
              <w:jc w:val="center"/>
              <w:rPr>
                <w:rFonts w:ascii="宋体" w:hAnsi="宋体" w:eastAsia="宋体" w:cs="宋体"/>
                <w:color w:val="auto"/>
                <w:sz w:val="24"/>
              </w:rPr>
            </w:pPr>
          </w:p>
        </w:tc>
        <w:tc>
          <w:tcPr>
            <w:tcW w:w="1562" w:type="dxa"/>
            <w:vMerge w:val="continue"/>
            <w:tcBorders>
              <w:left w:val="single" w:color="000000" w:sz="4" w:space="0"/>
              <w:right w:val="single" w:color="000000" w:sz="4" w:space="0"/>
            </w:tcBorders>
            <w:noWrap w:val="0"/>
            <w:tcMar>
              <w:top w:w="15" w:type="dxa"/>
              <w:left w:w="15" w:type="dxa"/>
              <w:right w:w="15" w:type="dxa"/>
            </w:tcMar>
            <w:vAlign w:val="center"/>
          </w:tcPr>
          <w:p w14:paraId="609D846D">
            <w:pPr>
              <w:widowControl/>
              <w:jc w:val="left"/>
              <w:textAlignment w:val="center"/>
              <w:rPr>
                <w:rFonts w:ascii="宋体" w:hAnsi="宋体" w:eastAsia="宋体" w:cs="宋体"/>
                <w:color w:val="auto"/>
                <w:sz w:val="22"/>
                <w:szCs w:val="22"/>
              </w:rPr>
            </w:pPr>
          </w:p>
        </w:tc>
        <w:tc>
          <w:tcPr>
            <w:tcW w:w="40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7BE52C">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val="en-US" w:eastAsia="zh-CN"/>
              </w:rPr>
              <w:t>反馈意见主动、及时。</w:t>
            </w: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879226">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kern w:val="0"/>
                <w:sz w:val="22"/>
                <w:szCs w:val="22"/>
                <w:lang w:val="en-US" w:eastAsia="zh-CN"/>
              </w:rPr>
              <w:t>10</w:t>
            </w:r>
          </w:p>
        </w:tc>
        <w:tc>
          <w:tcPr>
            <w:tcW w:w="6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39E023">
            <w:pPr>
              <w:rPr>
                <w:rFonts w:ascii="宋体" w:hAnsi="宋体" w:eastAsia="宋体" w:cs="宋体"/>
                <w:color w:val="auto"/>
                <w:sz w:val="22"/>
                <w:szCs w:val="22"/>
              </w:rPr>
            </w:pPr>
          </w:p>
        </w:tc>
        <w:tc>
          <w:tcPr>
            <w:tcW w:w="2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BE2078">
            <w:pPr>
              <w:rPr>
                <w:rFonts w:ascii="宋体" w:hAnsi="宋体" w:eastAsia="宋体" w:cs="宋体"/>
                <w:color w:val="auto"/>
                <w:sz w:val="22"/>
                <w:szCs w:val="22"/>
              </w:rPr>
            </w:pPr>
          </w:p>
        </w:tc>
      </w:tr>
      <w:tr w14:paraId="3DB0AF32">
        <w:tblPrEx>
          <w:tblCellMar>
            <w:top w:w="0" w:type="dxa"/>
            <w:left w:w="0" w:type="dxa"/>
            <w:bottom w:w="0" w:type="dxa"/>
            <w:right w:w="0" w:type="dxa"/>
          </w:tblCellMar>
        </w:tblPrEx>
        <w:trPr>
          <w:trHeight w:val="716" w:hRule="atLeast"/>
          <w:jc w:val="center"/>
        </w:trPr>
        <w:tc>
          <w:tcPr>
            <w:tcW w:w="690" w:type="dxa"/>
            <w:vMerge w:val="continue"/>
            <w:tcBorders>
              <w:left w:val="single" w:color="000000" w:sz="4" w:space="0"/>
              <w:right w:val="single" w:color="000000" w:sz="4" w:space="0"/>
            </w:tcBorders>
            <w:noWrap w:val="0"/>
            <w:tcMar>
              <w:top w:w="15" w:type="dxa"/>
              <w:left w:w="15" w:type="dxa"/>
              <w:right w:w="15" w:type="dxa"/>
            </w:tcMar>
            <w:vAlign w:val="center"/>
          </w:tcPr>
          <w:p w14:paraId="04922FB4">
            <w:pPr>
              <w:jc w:val="center"/>
              <w:rPr>
                <w:rFonts w:hint="eastAsia" w:ascii="宋体" w:hAnsi="宋体" w:eastAsia="宋体" w:cs="宋体"/>
                <w:color w:val="auto"/>
                <w:sz w:val="24"/>
              </w:rPr>
            </w:pPr>
          </w:p>
        </w:tc>
        <w:tc>
          <w:tcPr>
            <w:tcW w:w="1562" w:type="dxa"/>
            <w:vMerge w:val="continue"/>
            <w:tcBorders>
              <w:left w:val="single" w:color="000000" w:sz="4" w:space="0"/>
              <w:right w:val="single" w:color="000000" w:sz="4" w:space="0"/>
            </w:tcBorders>
            <w:noWrap w:val="0"/>
            <w:tcMar>
              <w:top w:w="15" w:type="dxa"/>
              <w:left w:w="15" w:type="dxa"/>
              <w:right w:w="15" w:type="dxa"/>
            </w:tcMar>
            <w:vAlign w:val="center"/>
          </w:tcPr>
          <w:p w14:paraId="1A811C4E">
            <w:pPr>
              <w:widowControl/>
              <w:jc w:val="left"/>
              <w:textAlignment w:val="center"/>
              <w:rPr>
                <w:rFonts w:hint="eastAsia" w:ascii="宋体" w:hAnsi="宋体" w:eastAsia="宋体" w:cs="宋体"/>
                <w:color w:val="auto"/>
                <w:kern w:val="0"/>
                <w:sz w:val="22"/>
                <w:szCs w:val="22"/>
              </w:rPr>
            </w:pPr>
          </w:p>
        </w:tc>
        <w:tc>
          <w:tcPr>
            <w:tcW w:w="40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A6BD94">
            <w:pPr>
              <w:widowControl/>
              <w:jc w:val="left"/>
              <w:textAlignment w:val="center"/>
              <w:rPr>
                <w:rFonts w:hint="default"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可以按时现场参与；紧急情况下可以随传随到。</w:t>
            </w: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A76645">
            <w:pPr>
              <w:widowControl/>
              <w:jc w:val="center"/>
              <w:textAlignment w:val="center"/>
              <w:rPr>
                <w:rFonts w:hint="default"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10</w:t>
            </w:r>
          </w:p>
        </w:tc>
        <w:tc>
          <w:tcPr>
            <w:tcW w:w="6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DC621D">
            <w:pPr>
              <w:rPr>
                <w:rFonts w:ascii="宋体" w:hAnsi="宋体" w:eastAsia="宋体" w:cs="宋体"/>
                <w:color w:val="auto"/>
                <w:sz w:val="22"/>
                <w:szCs w:val="22"/>
              </w:rPr>
            </w:pPr>
          </w:p>
        </w:tc>
        <w:tc>
          <w:tcPr>
            <w:tcW w:w="2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32A8F7">
            <w:pPr>
              <w:rPr>
                <w:rFonts w:ascii="宋体" w:hAnsi="宋体" w:eastAsia="宋体" w:cs="宋体"/>
                <w:color w:val="auto"/>
                <w:sz w:val="22"/>
                <w:szCs w:val="22"/>
              </w:rPr>
            </w:pPr>
          </w:p>
        </w:tc>
      </w:tr>
      <w:tr w14:paraId="3C1DFE14">
        <w:tblPrEx>
          <w:tblCellMar>
            <w:top w:w="0" w:type="dxa"/>
            <w:left w:w="0" w:type="dxa"/>
            <w:bottom w:w="0" w:type="dxa"/>
            <w:right w:w="0" w:type="dxa"/>
          </w:tblCellMar>
        </w:tblPrEx>
        <w:trPr>
          <w:trHeight w:val="716" w:hRule="atLeast"/>
          <w:jc w:val="center"/>
        </w:trPr>
        <w:tc>
          <w:tcPr>
            <w:tcW w:w="69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57BFE244">
            <w:pPr>
              <w:jc w:val="center"/>
              <w:rPr>
                <w:rFonts w:hint="eastAsia" w:ascii="宋体" w:hAnsi="宋体" w:eastAsia="宋体" w:cs="宋体"/>
                <w:color w:val="auto"/>
                <w:sz w:val="24"/>
              </w:rPr>
            </w:pPr>
          </w:p>
        </w:tc>
        <w:tc>
          <w:tcPr>
            <w:tcW w:w="1562"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4E2E7DFF">
            <w:pPr>
              <w:widowControl/>
              <w:jc w:val="left"/>
              <w:textAlignment w:val="center"/>
              <w:rPr>
                <w:rFonts w:hint="eastAsia" w:ascii="宋体" w:hAnsi="宋体" w:eastAsia="宋体" w:cs="宋体"/>
                <w:color w:val="auto"/>
                <w:kern w:val="0"/>
                <w:sz w:val="22"/>
                <w:szCs w:val="22"/>
              </w:rPr>
            </w:pPr>
          </w:p>
        </w:tc>
        <w:tc>
          <w:tcPr>
            <w:tcW w:w="40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70FDEF">
            <w:pPr>
              <w:widowControl/>
              <w:jc w:val="left"/>
              <w:textAlignment w:val="center"/>
              <w:rPr>
                <w:rFonts w:hint="default" w:ascii="宋体" w:hAnsi="宋体" w:eastAsia="新宋体" w:cs="宋体"/>
                <w:color w:val="auto"/>
                <w:kern w:val="0"/>
                <w:sz w:val="22"/>
                <w:szCs w:val="22"/>
                <w:lang w:val="en-US" w:eastAsia="zh-CN"/>
              </w:rPr>
            </w:pPr>
            <w:r>
              <w:rPr>
                <w:rFonts w:hint="eastAsia" w:ascii="宋体" w:hAnsi="宋体" w:eastAsia="宋体" w:cs="宋体"/>
                <w:color w:val="auto"/>
                <w:kern w:val="0"/>
                <w:sz w:val="22"/>
                <w:szCs w:val="22"/>
              </w:rPr>
              <w:t>主动了解</w:t>
            </w:r>
            <w:r>
              <w:rPr>
                <w:rFonts w:hint="eastAsia" w:ascii="宋体" w:hAnsi="宋体" w:eastAsia="宋体" w:cs="宋体"/>
                <w:color w:val="auto"/>
                <w:kern w:val="0"/>
                <w:sz w:val="22"/>
                <w:szCs w:val="22"/>
                <w:lang w:val="en-US" w:eastAsia="zh-CN"/>
              </w:rPr>
              <w:t>企业的</w:t>
            </w:r>
            <w:r>
              <w:rPr>
                <w:rFonts w:hint="eastAsia" w:ascii="宋体" w:hAnsi="宋体" w:eastAsia="宋体" w:cs="宋体"/>
                <w:color w:val="auto"/>
                <w:kern w:val="0"/>
                <w:sz w:val="22"/>
                <w:szCs w:val="22"/>
              </w:rPr>
              <w:t>日常业务情况和行业方向，</w:t>
            </w:r>
            <w:r>
              <w:rPr>
                <w:rFonts w:hint="eastAsia" w:ascii="宋体" w:hAnsi="宋体" w:eastAsia="宋体" w:cs="宋体"/>
                <w:color w:val="auto"/>
                <w:kern w:val="0"/>
                <w:sz w:val="22"/>
                <w:szCs w:val="22"/>
                <w:lang w:val="en-US" w:eastAsia="zh-CN"/>
              </w:rPr>
              <w:t>为企业提供有效的法律讯息和相关培训。</w:t>
            </w: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61B67C">
            <w:pPr>
              <w:widowControl/>
              <w:jc w:val="center"/>
              <w:textAlignment w:val="center"/>
              <w:rPr>
                <w:rFonts w:hint="default"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10</w:t>
            </w:r>
          </w:p>
        </w:tc>
        <w:tc>
          <w:tcPr>
            <w:tcW w:w="6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B525FB">
            <w:pPr>
              <w:rPr>
                <w:rFonts w:ascii="宋体" w:hAnsi="宋体" w:eastAsia="宋体" w:cs="宋体"/>
                <w:color w:val="auto"/>
                <w:sz w:val="22"/>
                <w:szCs w:val="22"/>
              </w:rPr>
            </w:pPr>
          </w:p>
        </w:tc>
        <w:tc>
          <w:tcPr>
            <w:tcW w:w="2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02521C">
            <w:pPr>
              <w:rPr>
                <w:rFonts w:ascii="宋体" w:hAnsi="宋体" w:eastAsia="宋体" w:cs="宋体"/>
                <w:color w:val="auto"/>
                <w:sz w:val="22"/>
                <w:szCs w:val="22"/>
              </w:rPr>
            </w:pPr>
          </w:p>
        </w:tc>
      </w:tr>
      <w:tr w14:paraId="1C6DF30A">
        <w:tblPrEx>
          <w:tblCellMar>
            <w:top w:w="0" w:type="dxa"/>
            <w:left w:w="0" w:type="dxa"/>
            <w:bottom w:w="0" w:type="dxa"/>
            <w:right w:w="0" w:type="dxa"/>
          </w:tblCellMar>
        </w:tblPrEx>
        <w:trPr>
          <w:trHeight w:val="1146" w:hRule="atLeast"/>
          <w:jc w:val="center"/>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616D8F">
            <w:pPr>
              <w:jc w:val="cente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3</w:t>
            </w:r>
          </w:p>
        </w:tc>
        <w:tc>
          <w:tcPr>
            <w:tcW w:w="1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8B3A15">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关于提报的年度工作量真实性</w:t>
            </w:r>
          </w:p>
        </w:tc>
        <w:tc>
          <w:tcPr>
            <w:tcW w:w="403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00D4DA">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法律顾问服务单位</w:t>
            </w:r>
            <w:r>
              <w:rPr>
                <w:rFonts w:hint="eastAsia" w:ascii="宋体" w:hAnsi="宋体" w:eastAsia="宋体" w:cs="宋体"/>
                <w:color w:val="auto"/>
                <w:kern w:val="0"/>
                <w:sz w:val="22"/>
                <w:szCs w:val="22"/>
                <w:lang w:val="en-US" w:eastAsia="zh-CN"/>
              </w:rPr>
              <w:t>提供</w:t>
            </w:r>
            <w:r>
              <w:rPr>
                <w:rFonts w:hint="eastAsia" w:ascii="宋体" w:hAnsi="宋体" w:eastAsia="宋体" w:cs="宋体"/>
                <w:color w:val="auto"/>
                <w:kern w:val="0"/>
                <w:sz w:val="22"/>
                <w:szCs w:val="22"/>
              </w:rPr>
              <w:t>的年度工作量是否真实准确，是否存在多报、误报的情况。</w:t>
            </w:r>
          </w:p>
        </w:tc>
        <w:tc>
          <w:tcPr>
            <w:tcW w:w="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901840">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kern w:val="0"/>
                <w:sz w:val="22"/>
                <w:szCs w:val="22"/>
                <w:lang w:val="en-US" w:eastAsia="zh-CN"/>
              </w:rPr>
              <w:t>10</w:t>
            </w:r>
          </w:p>
        </w:tc>
        <w:tc>
          <w:tcPr>
            <w:tcW w:w="6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3449F8">
            <w:pPr>
              <w:rPr>
                <w:rFonts w:ascii="宋体" w:hAnsi="宋体" w:eastAsia="宋体" w:cs="宋体"/>
                <w:color w:val="auto"/>
                <w:sz w:val="22"/>
                <w:szCs w:val="22"/>
              </w:rPr>
            </w:pPr>
          </w:p>
        </w:tc>
        <w:tc>
          <w:tcPr>
            <w:tcW w:w="2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0F0146">
            <w:pPr>
              <w:rPr>
                <w:rFonts w:ascii="宋体" w:hAnsi="宋体" w:eastAsia="宋体" w:cs="宋体"/>
                <w:color w:val="auto"/>
                <w:sz w:val="22"/>
                <w:szCs w:val="22"/>
              </w:rPr>
            </w:pPr>
          </w:p>
        </w:tc>
      </w:tr>
      <w:tr w14:paraId="5C9D697A">
        <w:tblPrEx>
          <w:tblCellMar>
            <w:top w:w="0" w:type="dxa"/>
            <w:left w:w="0" w:type="dxa"/>
            <w:bottom w:w="0" w:type="dxa"/>
            <w:right w:w="0" w:type="dxa"/>
          </w:tblCellMar>
        </w:tblPrEx>
        <w:trPr>
          <w:trHeight w:val="629" w:hRule="atLeast"/>
          <w:jc w:val="center"/>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6A37F5">
            <w:pPr>
              <w:widowControl/>
              <w:ind w:left="0" w:leftChars="0" w:right="0" w:rightChars="0" w:firstLine="0" w:firstLineChars="0"/>
              <w:jc w:val="center"/>
              <w:textAlignment w:val="center"/>
              <w:rPr>
                <w:rFonts w:ascii="宋体" w:hAnsi="宋体" w:eastAsia="宋体" w:cs="宋体"/>
                <w:color w:val="auto"/>
                <w:sz w:val="24"/>
              </w:rPr>
            </w:pPr>
            <w:r>
              <w:rPr>
                <w:rFonts w:hint="eastAsia" w:ascii="宋体" w:hAnsi="宋体" w:eastAsia="宋体" w:cs="宋体"/>
                <w:color w:val="auto"/>
                <w:kern w:val="0"/>
                <w:sz w:val="24"/>
              </w:rPr>
              <w:t>考评</w:t>
            </w:r>
            <w:r>
              <w:rPr>
                <w:rFonts w:hint="eastAsia" w:ascii="宋体" w:hAnsi="宋体" w:eastAsia="宋体" w:cs="宋体"/>
                <w:color w:val="auto"/>
                <w:kern w:val="0"/>
                <w:sz w:val="24"/>
              </w:rPr>
              <w:br w:type="textWrapping"/>
            </w:r>
            <w:r>
              <w:rPr>
                <w:rFonts w:hint="eastAsia" w:ascii="宋体" w:hAnsi="宋体" w:eastAsia="宋体" w:cs="宋体"/>
                <w:color w:val="auto"/>
                <w:kern w:val="0"/>
                <w:sz w:val="24"/>
              </w:rPr>
              <w:t>结果</w:t>
            </w:r>
          </w:p>
        </w:tc>
        <w:tc>
          <w:tcPr>
            <w:tcW w:w="9060"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FEF4EF">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 xml:space="preserve">  </w:t>
            </w:r>
            <w:r>
              <w:rPr>
                <w:rStyle w:val="6"/>
                <w:rFonts w:eastAsia="宋体"/>
                <w:color w:val="auto"/>
              </w:rPr>
              <w:t></w:t>
            </w:r>
            <w:r>
              <w:rPr>
                <w:rStyle w:val="7"/>
                <w:rFonts w:hint="default"/>
                <w:color w:val="auto"/>
              </w:rPr>
              <w:t>优（90分以上）；</w:t>
            </w:r>
            <w:r>
              <w:rPr>
                <w:rStyle w:val="6"/>
                <w:rFonts w:eastAsia="宋体"/>
                <w:color w:val="auto"/>
              </w:rPr>
              <w:t></w:t>
            </w:r>
            <w:r>
              <w:rPr>
                <w:rStyle w:val="7"/>
                <w:rFonts w:hint="default"/>
                <w:color w:val="auto"/>
              </w:rPr>
              <w:t>良（75-90分）；</w:t>
            </w:r>
            <w:r>
              <w:rPr>
                <w:rStyle w:val="6"/>
                <w:rFonts w:eastAsia="宋体"/>
                <w:color w:val="auto"/>
              </w:rPr>
              <w:t></w:t>
            </w:r>
            <w:r>
              <w:rPr>
                <w:rStyle w:val="7"/>
                <w:rFonts w:hint="default"/>
                <w:color w:val="auto"/>
              </w:rPr>
              <w:t>合格（60-75分）；</w:t>
            </w:r>
            <w:r>
              <w:rPr>
                <w:rStyle w:val="6"/>
                <w:rFonts w:eastAsia="宋体"/>
                <w:color w:val="auto"/>
              </w:rPr>
              <w:t></w:t>
            </w:r>
            <w:r>
              <w:rPr>
                <w:rStyle w:val="7"/>
                <w:rFonts w:hint="default"/>
                <w:color w:val="auto"/>
              </w:rPr>
              <w:t>不合格（60分以下）</w:t>
            </w:r>
          </w:p>
        </w:tc>
      </w:tr>
      <w:tr w14:paraId="2087A002">
        <w:tblPrEx>
          <w:tblCellMar>
            <w:top w:w="0" w:type="dxa"/>
            <w:left w:w="0" w:type="dxa"/>
            <w:bottom w:w="0" w:type="dxa"/>
            <w:right w:w="0" w:type="dxa"/>
          </w:tblCellMar>
        </w:tblPrEx>
        <w:trPr>
          <w:trHeight w:val="470" w:hRule="atLeast"/>
          <w:jc w:val="center"/>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0632CF">
            <w:pPr>
              <w:widowControl/>
              <w:ind w:left="0" w:leftChars="0" w:right="0" w:rightChars="0" w:firstLine="0" w:firstLineChars="0"/>
              <w:jc w:val="center"/>
              <w:textAlignment w:val="center"/>
              <w:rPr>
                <w:rFonts w:ascii="宋体" w:hAnsi="宋体" w:eastAsia="宋体" w:cs="宋体"/>
                <w:color w:val="auto"/>
                <w:sz w:val="24"/>
              </w:rPr>
            </w:pPr>
            <w:r>
              <w:rPr>
                <w:rFonts w:hint="eastAsia" w:ascii="宋体" w:hAnsi="宋体" w:eastAsia="宋体" w:cs="宋体"/>
                <w:color w:val="auto"/>
                <w:kern w:val="0"/>
                <w:sz w:val="24"/>
              </w:rPr>
              <w:t>续聘</w:t>
            </w:r>
          </w:p>
        </w:tc>
        <w:tc>
          <w:tcPr>
            <w:tcW w:w="9060"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E1065C">
            <w:pPr>
              <w:widowControl/>
              <w:jc w:val="center"/>
              <w:textAlignment w:val="center"/>
              <w:rPr>
                <w:rFonts w:ascii="Wingdings" w:hAnsi="Wingdings" w:eastAsia="宋体" w:cs="Wingdings"/>
                <w:color w:val="auto"/>
                <w:sz w:val="22"/>
                <w:szCs w:val="22"/>
              </w:rPr>
            </w:pPr>
            <w:r>
              <w:rPr>
                <w:rFonts w:ascii="Wingdings" w:hAnsi="Wingdings" w:eastAsia="宋体" w:cs="Wingdings"/>
                <w:color w:val="auto"/>
                <w:kern w:val="0"/>
                <w:sz w:val="22"/>
                <w:szCs w:val="22"/>
              </w:rPr>
              <w:t></w:t>
            </w:r>
            <w:r>
              <w:rPr>
                <w:rStyle w:val="7"/>
                <w:rFonts w:hint="default"/>
                <w:color w:val="auto"/>
              </w:rPr>
              <w:t xml:space="preserve">同意续聘        </w:t>
            </w:r>
            <w:r>
              <w:rPr>
                <w:rStyle w:val="6"/>
                <w:rFonts w:eastAsia="宋体"/>
                <w:color w:val="auto"/>
              </w:rPr>
              <w:t></w:t>
            </w:r>
            <w:r>
              <w:rPr>
                <w:rStyle w:val="7"/>
                <w:rFonts w:hint="default"/>
                <w:color w:val="auto"/>
              </w:rPr>
              <w:t>不同意续聘</w:t>
            </w:r>
          </w:p>
        </w:tc>
      </w:tr>
      <w:tr w14:paraId="1AAAC40B">
        <w:tblPrEx>
          <w:tblCellMar>
            <w:top w:w="0" w:type="dxa"/>
            <w:left w:w="0" w:type="dxa"/>
            <w:bottom w:w="0" w:type="dxa"/>
            <w:right w:w="0" w:type="dxa"/>
          </w:tblCellMar>
        </w:tblPrEx>
        <w:trPr>
          <w:trHeight w:val="495" w:hRule="atLeast"/>
          <w:jc w:val="center"/>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832B0F">
            <w:pPr>
              <w:widowControl/>
              <w:ind w:left="0" w:leftChars="0" w:right="0" w:rightChars="0" w:firstLine="0" w:firstLineChars="0"/>
              <w:jc w:val="center"/>
              <w:textAlignment w:val="center"/>
              <w:rPr>
                <w:rFonts w:ascii="宋体" w:hAnsi="宋体" w:eastAsia="宋体" w:cs="宋体"/>
                <w:color w:val="auto"/>
                <w:sz w:val="24"/>
              </w:rPr>
            </w:pPr>
            <w:r>
              <w:rPr>
                <w:rFonts w:hint="eastAsia" w:ascii="宋体" w:hAnsi="宋体" w:eastAsia="宋体" w:cs="宋体"/>
                <w:color w:val="auto"/>
                <w:kern w:val="0"/>
                <w:sz w:val="24"/>
              </w:rPr>
              <w:t>其他</w:t>
            </w:r>
            <w:r>
              <w:rPr>
                <w:rFonts w:hint="eastAsia" w:ascii="宋体" w:hAnsi="宋体" w:eastAsia="宋体" w:cs="宋体"/>
                <w:color w:val="auto"/>
                <w:kern w:val="0"/>
                <w:sz w:val="24"/>
              </w:rPr>
              <w:br w:type="textWrapping"/>
            </w:r>
            <w:r>
              <w:rPr>
                <w:rFonts w:hint="eastAsia" w:ascii="宋体" w:hAnsi="宋体" w:eastAsia="宋体" w:cs="宋体"/>
                <w:color w:val="auto"/>
                <w:kern w:val="0"/>
                <w:sz w:val="24"/>
              </w:rPr>
              <w:t>建议</w:t>
            </w:r>
          </w:p>
        </w:tc>
        <w:tc>
          <w:tcPr>
            <w:tcW w:w="9060"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0EF7DB">
            <w:pPr>
              <w:jc w:val="center"/>
              <w:rPr>
                <w:rFonts w:ascii="宋体" w:hAnsi="宋体" w:eastAsia="宋体" w:cs="宋体"/>
                <w:color w:val="auto"/>
                <w:sz w:val="22"/>
                <w:szCs w:val="22"/>
              </w:rPr>
            </w:pPr>
          </w:p>
        </w:tc>
      </w:tr>
    </w:tbl>
    <w:p w14:paraId="25FAD18A"/>
    <w:sectPr>
      <w:pgSz w:w="11906" w:h="16838"/>
      <w:pgMar w:top="2041" w:right="1474" w:bottom="1984" w:left="1587" w:header="851" w:footer="147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B81D68"/>
    <w:rsid w:val="16B81D68"/>
    <w:rsid w:val="25E44CFA"/>
    <w:rsid w:val="2EAE0938"/>
    <w:rsid w:val="3E083824"/>
    <w:rsid w:val="68C84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List 3"/>
    <w:basedOn w:val="1"/>
    <w:qFormat/>
    <w:uiPriority w:val="0"/>
    <w:pPr>
      <w:widowControl/>
      <w:ind w:left="1260" w:hanging="420"/>
      <w:jc w:val="left"/>
    </w:pPr>
    <w:rPr>
      <w:kern w:val="0"/>
      <w:sz w:val="20"/>
    </w:rPr>
  </w:style>
  <w:style w:type="paragraph" w:styleId="3">
    <w:name w:val="Body Text Indent 3"/>
    <w:basedOn w:val="1"/>
    <w:qFormat/>
    <w:uiPriority w:val="0"/>
    <w:pPr>
      <w:spacing w:beforeLines="50" w:line="360" w:lineRule="auto"/>
      <w:ind w:right="-31" w:rightChars="-15" w:firstLine="540"/>
    </w:pPr>
    <w:rPr>
      <w:rFonts w:ascii="宋体" w:hAnsi="宋体"/>
      <w:sz w:val="28"/>
    </w:rPr>
  </w:style>
  <w:style w:type="character" w:customStyle="1" w:styleId="6">
    <w:name w:val="font01"/>
    <w:basedOn w:val="5"/>
    <w:qFormat/>
    <w:uiPriority w:val="0"/>
    <w:rPr>
      <w:rFonts w:ascii="Wingdings" w:hAnsi="Wingdings" w:cs="Wingdings"/>
      <w:color w:val="000000"/>
      <w:sz w:val="22"/>
      <w:szCs w:val="22"/>
      <w:u w:val="none"/>
    </w:rPr>
  </w:style>
  <w:style w:type="character" w:customStyle="1" w:styleId="7">
    <w:name w:val="font1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2025-03-10T01:51:00Z</dcterms:created>
  <dc:creator>chenjw</dc:creator>
  <cp:lastModifiedBy>chenjw</cp:lastModifiedBy>
  <dcterms:modified xsi:type="dcterms:W3CDTF">2025-03-10T01:57:45Z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7BD48EAC1BF2423190BF5767166B0CAE_13</vt:lpwstr>
  </property>
  <property fmtid="{D5CDD505-2E9C-101B-9397-08002B2CF9AE}" pid="4" name="KSOTemplateDocerSaveRecord">
    <vt:lpwstr>eyJoZGlkIjoiNDU4NDE5MTM2NjJiNzU5NjMzNTgyMGJlN2RiMGE2YWIiLCJ1c2VySWQiOiIyNzg0NzczMDcifQ==</vt:lpwstr>
  </property>
</Properties>
</file>