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lang w:eastAsia="zh-CN"/>
        </w:rPr>
      </w:pPr>
      <w:r>
        <w:rPr>
          <w:rFonts w:hint="eastAsia"/>
          <w:b/>
          <w:sz w:val="32"/>
          <w:lang w:eastAsia="zh-CN"/>
        </w:rPr>
        <w:t>综合评分表</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 xml:space="preserve">招标名称：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开标时间：</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 xml:space="preserve">开标地点：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招</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w:t>
      </w:r>
    </w:p>
    <w:p>
      <w:pPr>
        <w:pStyle w:val="6"/>
        <w:rPr>
          <w:rFonts w:hint="eastAsia"/>
        </w:rPr>
      </w:pPr>
    </w:p>
    <w:p>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rPr>
        <w:t>《商务标、技术标、价格标权重表和综合得分汇总》</w:t>
      </w:r>
    </w:p>
    <w:tbl>
      <w:tblPr>
        <w:tblStyle w:val="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58"/>
        <w:gridCol w:w="2159"/>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052" w:type="dxa"/>
            <w:shd w:val="clear" w:color="auto" w:fill="DEEAF6" w:themeFill="accent1" w:themeFillTint="33"/>
            <w:vAlign w:val="center"/>
          </w:tcPr>
          <w:p>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rPr>
              <w:t>权重名称</w:t>
            </w:r>
          </w:p>
        </w:tc>
        <w:tc>
          <w:tcPr>
            <w:tcW w:w="2158" w:type="dxa"/>
            <w:shd w:val="clear" w:color="auto" w:fill="DEEAF6" w:themeFill="accent1" w:themeFillTint="33"/>
            <w:vAlign w:val="center"/>
          </w:tcPr>
          <w:p>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rPr>
              <w:t>价格权重</w:t>
            </w:r>
          </w:p>
        </w:tc>
        <w:tc>
          <w:tcPr>
            <w:tcW w:w="2159" w:type="dxa"/>
            <w:shd w:val="clear" w:color="auto" w:fill="DEEAF6" w:themeFill="accent1" w:themeFillTint="33"/>
            <w:vAlign w:val="center"/>
          </w:tcPr>
          <w:p>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lang w:val="en-US" w:eastAsia="zh-CN"/>
              </w:rPr>
              <w:t>商务</w:t>
            </w:r>
            <w:r>
              <w:rPr>
                <w:rFonts w:hint="eastAsia" w:ascii="仿宋" w:hAnsi="仿宋" w:eastAsia="仿宋" w:cs="仿宋"/>
                <w:b/>
                <w:szCs w:val="21"/>
              </w:rPr>
              <w:t>权重</w:t>
            </w:r>
          </w:p>
        </w:tc>
        <w:tc>
          <w:tcPr>
            <w:tcW w:w="2159" w:type="dxa"/>
            <w:shd w:val="clear" w:color="auto" w:fill="DEEAF6" w:themeFill="accent1" w:themeFillTint="33"/>
            <w:vAlign w:val="center"/>
          </w:tcPr>
          <w:p>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lang w:val="en-US" w:eastAsia="zh-CN"/>
              </w:rPr>
              <w:t>技术</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52" w:type="dxa"/>
            <w:shd w:val="clear" w:color="auto" w:fill="auto"/>
            <w:vAlign w:val="center"/>
          </w:tcPr>
          <w:p>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rPr>
              <w:t>权重</w:t>
            </w:r>
          </w:p>
        </w:tc>
        <w:tc>
          <w:tcPr>
            <w:tcW w:w="2158" w:type="dxa"/>
            <w:shd w:val="clear" w:color="auto" w:fill="auto"/>
            <w:vAlign w:val="center"/>
          </w:tcPr>
          <w:p>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lang w:val="en-US" w:eastAsia="zh-CN"/>
              </w:rPr>
              <w:t>3</w:t>
            </w:r>
            <w:r>
              <w:rPr>
                <w:rFonts w:hint="default" w:ascii="仿宋" w:hAnsi="仿宋" w:eastAsia="仿宋" w:cs="仿宋"/>
                <w:szCs w:val="21"/>
                <w:lang w:eastAsia="zh-CN"/>
              </w:rPr>
              <w:t>5</w:t>
            </w:r>
            <w:r>
              <w:rPr>
                <w:rFonts w:hint="eastAsia" w:ascii="仿宋" w:hAnsi="仿宋" w:eastAsia="仿宋" w:cs="仿宋"/>
                <w:szCs w:val="21"/>
              </w:rPr>
              <w:t>%</w:t>
            </w:r>
          </w:p>
        </w:tc>
        <w:tc>
          <w:tcPr>
            <w:tcW w:w="2159" w:type="dxa"/>
            <w:shd w:val="clear" w:color="auto" w:fill="auto"/>
            <w:vAlign w:val="center"/>
          </w:tcPr>
          <w:p>
            <w:pPr>
              <w:adjustRightInd w:val="0"/>
              <w:snapToGrid w:val="0"/>
              <w:ind w:firstLine="0" w:firstLineChars="0"/>
              <w:jc w:val="center"/>
              <w:rPr>
                <w:rFonts w:hint="eastAsia" w:ascii="仿宋" w:hAnsi="仿宋" w:eastAsia="仿宋" w:cs="仿宋"/>
                <w:szCs w:val="21"/>
              </w:rPr>
            </w:pPr>
            <w:r>
              <w:rPr>
                <w:rFonts w:hint="default" w:ascii="仿宋" w:hAnsi="仿宋" w:eastAsia="仿宋" w:cs="仿宋"/>
                <w:szCs w:val="21"/>
              </w:rPr>
              <w:t>20</w:t>
            </w:r>
            <w:r>
              <w:rPr>
                <w:rFonts w:hint="eastAsia" w:ascii="仿宋" w:hAnsi="仿宋" w:eastAsia="仿宋" w:cs="仿宋"/>
                <w:szCs w:val="21"/>
              </w:rPr>
              <w:t>%</w:t>
            </w:r>
          </w:p>
        </w:tc>
        <w:tc>
          <w:tcPr>
            <w:tcW w:w="2159" w:type="dxa"/>
            <w:shd w:val="clear" w:color="auto" w:fill="auto"/>
            <w:vAlign w:val="center"/>
          </w:tcPr>
          <w:p>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lang w:val="en-US" w:eastAsia="zh-CN"/>
              </w:rPr>
              <w:t>4</w:t>
            </w:r>
            <w:r>
              <w:rPr>
                <w:rFonts w:hint="default" w:ascii="仿宋" w:hAnsi="仿宋" w:eastAsia="仿宋" w:cs="仿宋"/>
                <w:szCs w:val="21"/>
                <w:lang w:eastAsia="zh-CN"/>
              </w:rPr>
              <w:t>5</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52" w:type="dxa"/>
            <w:shd w:val="clear" w:color="auto" w:fill="auto"/>
            <w:vAlign w:val="center"/>
          </w:tcPr>
          <w:p>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rPr>
              <w:t>投标人综合得分</w:t>
            </w:r>
          </w:p>
        </w:tc>
        <w:tc>
          <w:tcPr>
            <w:tcW w:w="6476" w:type="dxa"/>
            <w:gridSpan w:val="3"/>
            <w:shd w:val="clear" w:color="auto" w:fill="auto"/>
            <w:vAlign w:val="center"/>
          </w:tcPr>
          <w:p>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rPr>
              <w:t>价格标得分</w:t>
            </w:r>
            <w:r>
              <w:rPr>
                <w:rFonts w:hint="eastAsia" w:ascii="仿宋" w:hAnsi="仿宋" w:eastAsia="仿宋" w:cs="仿宋"/>
                <w:szCs w:val="21"/>
                <w:lang w:val="en-US" w:eastAsia="zh-CN"/>
              </w:rPr>
              <w:t>+</w:t>
            </w:r>
            <w:r>
              <w:rPr>
                <w:rFonts w:hint="eastAsia" w:ascii="仿宋" w:hAnsi="仿宋" w:eastAsia="仿宋" w:cs="仿宋"/>
                <w:szCs w:val="21"/>
              </w:rPr>
              <w:t>商务得分+技术得分=100</w:t>
            </w:r>
          </w:p>
        </w:tc>
      </w:tr>
    </w:tbl>
    <w:p>
      <w:pPr>
        <w:pStyle w:val="5"/>
        <w:rPr>
          <w:rFonts w:hint="eastAsia"/>
          <w:lang w:eastAsia="zh-CN"/>
        </w:rPr>
      </w:pPr>
    </w:p>
    <w:tbl>
      <w:tblPr>
        <w:tblStyle w:val="7"/>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287"/>
        <w:gridCol w:w="1123"/>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11" w:type="pct"/>
            <w:vAlign w:val="center"/>
          </w:tcPr>
          <w:p>
            <w:pPr>
              <w:spacing w:line="276" w:lineRule="auto"/>
              <w:jc w:val="center"/>
              <w:rPr>
                <w:rFonts w:ascii="宋体" w:hAnsi="宋体" w:cs="宋体"/>
                <w:b/>
                <w:sz w:val="22"/>
              </w:rPr>
            </w:pPr>
            <w:r>
              <w:rPr>
                <w:rFonts w:hint="eastAsia" w:ascii="宋体" w:hAnsi="宋体" w:cs="宋体"/>
                <w:b/>
                <w:sz w:val="22"/>
              </w:rPr>
              <w:t>序号</w:t>
            </w:r>
          </w:p>
        </w:tc>
        <w:tc>
          <w:tcPr>
            <w:tcW w:w="643" w:type="pct"/>
            <w:vAlign w:val="center"/>
          </w:tcPr>
          <w:p>
            <w:pPr>
              <w:spacing w:line="276" w:lineRule="auto"/>
              <w:jc w:val="center"/>
              <w:rPr>
                <w:rFonts w:ascii="宋体" w:hAnsi="宋体" w:cs="宋体"/>
                <w:b/>
                <w:sz w:val="22"/>
              </w:rPr>
            </w:pPr>
            <w:r>
              <w:rPr>
                <w:rFonts w:hint="eastAsia" w:ascii="宋体" w:hAnsi="宋体" w:cs="宋体"/>
                <w:b/>
                <w:sz w:val="22"/>
              </w:rPr>
              <w:t>评分内容</w:t>
            </w:r>
          </w:p>
        </w:tc>
        <w:tc>
          <w:tcPr>
            <w:tcW w:w="561" w:type="pct"/>
            <w:vAlign w:val="center"/>
          </w:tcPr>
          <w:p>
            <w:pPr>
              <w:spacing w:line="276" w:lineRule="auto"/>
              <w:jc w:val="center"/>
              <w:rPr>
                <w:rFonts w:ascii="宋体" w:hAnsi="宋体" w:cs="宋体"/>
                <w:b/>
                <w:sz w:val="22"/>
              </w:rPr>
            </w:pPr>
            <w:r>
              <w:rPr>
                <w:rFonts w:hint="eastAsia" w:ascii="宋体" w:hAnsi="宋体" w:cs="宋体"/>
                <w:b/>
                <w:sz w:val="22"/>
              </w:rPr>
              <w:t>分值</w:t>
            </w:r>
          </w:p>
        </w:tc>
        <w:tc>
          <w:tcPr>
            <w:tcW w:w="3483" w:type="pct"/>
            <w:vAlign w:val="center"/>
          </w:tcPr>
          <w:p>
            <w:pPr>
              <w:spacing w:line="276" w:lineRule="auto"/>
              <w:jc w:val="center"/>
              <w:rPr>
                <w:rFonts w:ascii="宋体" w:hAnsi="宋体" w:cs="宋体"/>
                <w:b/>
                <w:sz w:val="22"/>
              </w:rPr>
            </w:pPr>
            <w:r>
              <w:rPr>
                <w:rFonts w:hint="eastAsia" w:ascii="宋体" w:hAnsi="宋体" w:cs="宋体"/>
                <w:b/>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000" w:type="pct"/>
            <w:gridSpan w:val="4"/>
            <w:vAlign w:val="center"/>
          </w:tcPr>
          <w:p>
            <w:pPr>
              <w:spacing w:line="276" w:lineRule="auto"/>
              <w:jc w:val="center"/>
              <w:rPr>
                <w:rFonts w:ascii="宋体" w:hAnsi="宋体" w:cs="宋体"/>
                <w:b/>
                <w:sz w:val="22"/>
              </w:rPr>
            </w:pPr>
            <w:r>
              <w:rPr>
                <w:rFonts w:hint="eastAsia" w:ascii="宋体" w:hAnsi="宋体" w:cs="宋体"/>
                <w:b/>
                <w:sz w:val="22"/>
              </w:rPr>
              <w:t>价格评分（</w:t>
            </w:r>
            <w:r>
              <w:rPr>
                <w:rFonts w:hint="default" w:ascii="宋体" w:hAnsi="宋体" w:cs="宋体"/>
                <w:b/>
                <w:sz w:val="22"/>
              </w:rPr>
              <w:t>35</w:t>
            </w:r>
            <w:r>
              <w:rPr>
                <w:rFonts w:hint="eastAsia" w:ascii="宋体" w:hAnsi="宋体" w:cs="宋体"/>
                <w:b/>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311" w:type="pct"/>
            <w:vAlign w:val="center"/>
          </w:tcPr>
          <w:p>
            <w:pPr>
              <w:spacing w:line="276" w:lineRule="auto"/>
              <w:jc w:val="center"/>
              <w:rPr>
                <w:rFonts w:ascii="宋体" w:hAnsi="宋体" w:cs="宋体"/>
                <w:sz w:val="22"/>
              </w:rPr>
            </w:pPr>
            <w:r>
              <w:rPr>
                <w:rFonts w:hint="eastAsia" w:ascii="宋体" w:hAnsi="宋体" w:cs="宋体"/>
                <w:sz w:val="22"/>
              </w:rPr>
              <w:t>1</w:t>
            </w:r>
          </w:p>
        </w:tc>
        <w:tc>
          <w:tcPr>
            <w:tcW w:w="643" w:type="pct"/>
            <w:vAlign w:val="center"/>
          </w:tcPr>
          <w:p>
            <w:pPr>
              <w:spacing w:line="276" w:lineRule="auto"/>
              <w:jc w:val="center"/>
              <w:rPr>
                <w:rFonts w:ascii="宋体" w:hAnsi="宋体" w:cs="宋体"/>
                <w:sz w:val="22"/>
              </w:rPr>
            </w:pPr>
            <w:r>
              <w:rPr>
                <w:rFonts w:hint="eastAsia" w:ascii="宋体" w:hAnsi="宋体" w:cs="宋体"/>
                <w:sz w:val="22"/>
              </w:rPr>
              <w:t>价格部分</w:t>
            </w:r>
          </w:p>
        </w:tc>
        <w:tc>
          <w:tcPr>
            <w:tcW w:w="561" w:type="pct"/>
            <w:vAlign w:val="center"/>
          </w:tcPr>
          <w:p>
            <w:pPr>
              <w:spacing w:line="276" w:lineRule="auto"/>
              <w:jc w:val="center"/>
              <w:rPr>
                <w:rFonts w:ascii="宋体" w:hAnsi="宋体" w:cs="宋体"/>
                <w:sz w:val="22"/>
              </w:rPr>
            </w:pPr>
            <w:r>
              <w:rPr>
                <w:rFonts w:hint="default" w:ascii="宋体" w:hAnsi="宋体" w:cs="宋体"/>
                <w:sz w:val="22"/>
              </w:rPr>
              <w:t>30</w:t>
            </w:r>
            <w:r>
              <w:rPr>
                <w:rFonts w:hint="eastAsia" w:ascii="宋体" w:hAnsi="宋体" w:cs="宋体"/>
                <w:sz w:val="22"/>
              </w:rPr>
              <w:t>分</w:t>
            </w:r>
          </w:p>
        </w:tc>
        <w:tc>
          <w:tcPr>
            <w:tcW w:w="3483" w:type="pct"/>
            <w:vAlign w:val="center"/>
          </w:tcPr>
          <w:p>
            <w:pPr>
              <w:spacing w:line="276" w:lineRule="auto"/>
              <w:rPr>
                <w:rFonts w:ascii="宋体" w:hAnsi="宋体" w:cs="宋体"/>
                <w:sz w:val="22"/>
              </w:rPr>
            </w:pPr>
            <w:r>
              <w:rPr>
                <w:rFonts w:hint="eastAsia" w:ascii="宋体" w:hAnsi="宋体" w:cs="宋体"/>
                <w:sz w:val="22"/>
              </w:rPr>
              <w:t>价格分计算方法：满足招标文件要求且投标价格最低的投标报价为评标基准价，其价格分为满分。其他投标人的价格分统一按照下列公式计算：投标报价得分=(评标基准价／投标报价)×价格权重（</w:t>
            </w:r>
            <w:r>
              <w:rPr>
                <w:rFonts w:hint="default" w:ascii="宋体" w:hAnsi="宋体" w:cs="宋体"/>
                <w:sz w:val="22"/>
              </w:rPr>
              <w:t>3</w:t>
            </w:r>
            <w:r>
              <w:rPr>
                <w:rFonts w:hint="eastAsia" w:ascii="宋体" w:hAnsi="宋体" w:cs="宋体"/>
                <w:sz w:val="22"/>
                <w:lang w:val="en-US" w:eastAsia="zh-CN"/>
              </w:rPr>
              <w:t>0</w:t>
            </w:r>
            <w:r>
              <w:rPr>
                <w:rFonts w:hint="eastAsia" w:ascii="宋体" w:hAnsi="宋体" w:cs="宋体"/>
                <w:sz w:val="22"/>
              </w:rPr>
              <w:t>%）×100。</w:t>
            </w:r>
            <w:r>
              <w:rPr>
                <w:rFonts w:hint="eastAsia" w:ascii="宋体" w:hAnsi="宋体" w:cs="宋体"/>
                <w:sz w:val="22"/>
                <w:lang w:val="en-US" w:eastAsia="zh-CN"/>
              </w:rPr>
              <w:t xml:space="preserve">  </w:t>
            </w:r>
            <w:r>
              <w:rPr>
                <w:rFonts w:hint="eastAsia" w:ascii="宋体" w:hAnsi="宋体" w:cs="宋体"/>
                <w:color w:val="auto"/>
                <w:szCs w:val="21"/>
                <w:highlight w:val="none"/>
                <w:lang w:eastAsia="zh-CN"/>
              </w:rPr>
              <w:t>本项满分为</w:t>
            </w:r>
            <w:r>
              <w:rPr>
                <w:rFonts w:hint="default" w:ascii="宋体" w:hAnsi="宋体" w:cs="宋体"/>
                <w:color w:val="auto"/>
                <w:szCs w:val="21"/>
                <w:highlight w:val="none"/>
                <w:lang w:eastAsia="zh-CN"/>
              </w:rPr>
              <w:t>30</w:t>
            </w:r>
            <w:r>
              <w:rPr>
                <w:rFonts w:hint="eastAsia" w:ascii="宋体" w:hAnsi="宋体" w:cs="宋体"/>
                <w:color w:val="auto"/>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311" w:type="pct"/>
            <w:vAlign w:val="center"/>
          </w:tcPr>
          <w:p>
            <w:pPr>
              <w:spacing w:line="276" w:lineRule="auto"/>
              <w:jc w:val="center"/>
              <w:rPr>
                <w:rFonts w:hint="default" w:ascii="宋体" w:hAnsi="宋体" w:cs="宋体"/>
                <w:sz w:val="22"/>
              </w:rPr>
            </w:pPr>
            <w:r>
              <w:rPr>
                <w:rFonts w:hint="default" w:ascii="宋体" w:hAnsi="宋体" w:cs="宋体"/>
                <w:sz w:val="22"/>
              </w:rPr>
              <w:t>2</w:t>
            </w:r>
          </w:p>
        </w:tc>
        <w:tc>
          <w:tcPr>
            <w:tcW w:w="643" w:type="pct"/>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宋体"/>
                <w:kern w:val="2"/>
                <w:sz w:val="22"/>
                <w:szCs w:val="22"/>
                <w:lang w:val="en-US" w:eastAsia="zh-Hans" w:bidi="ar-SA"/>
              </w:rPr>
            </w:pPr>
            <w:r>
              <w:rPr>
                <w:rFonts w:hint="eastAsia" w:ascii="宋体" w:hAnsi="宋体" w:cs="宋体"/>
                <w:sz w:val="22"/>
                <w:lang w:val="en-US" w:eastAsia="zh-Hans"/>
              </w:rPr>
              <w:t>配件免费更换报价</w:t>
            </w:r>
          </w:p>
        </w:tc>
        <w:tc>
          <w:tcPr>
            <w:tcW w:w="561" w:type="pct"/>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default" w:ascii="宋体" w:hAnsi="宋体" w:eastAsia="宋体" w:cs="宋体"/>
                <w:kern w:val="2"/>
                <w:sz w:val="22"/>
                <w:szCs w:val="22"/>
                <w:lang w:val="en-US" w:eastAsia="zh-Hans" w:bidi="ar-SA"/>
              </w:rPr>
            </w:pPr>
            <w:r>
              <w:rPr>
                <w:rFonts w:hint="default" w:ascii="宋体" w:hAnsi="宋体" w:cs="宋体"/>
                <w:sz w:val="22"/>
                <w:lang w:eastAsia="zh-Hans"/>
              </w:rPr>
              <w:t>5</w:t>
            </w:r>
            <w:r>
              <w:rPr>
                <w:rFonts w:hint="eastAsia" w:ascii="宋体" w:hAnsi="宋体" w:cs="宋体"/>
                <w:sz w:val="22"/>
                <w:lang w:val="en-US" w:eastAsia="zh-Hans"/>
              </w:rPr>
              <w:t>分</w:t>
            </w:r>
          </w:p>
        </w:tc>
        <w:tc>
          <w:tcPr>
            <w:tcW w:w="3483" w:type="pct"/>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kern w:val="2"/>
                <w:sz w:val="22"/>
                <w:szCs w:val="22"/>
                <w:lang w:val="en-US" w:eastAsia="zh-CN" w:bidi="ar-SA"/>
              </w:rPr>
            </w:pPr>
            <w:r>
              <w:rPr>
                <w:rFonts w:hint="eastAsia" w:ascii="宋体" w:hAnsi="宋体" w:cs="宋体"/>
                <w:sz w:val="22"/>
              </w:rPr>
              <w:t>价格分计算方法：</w:t>
            </w:r>
            <w:r>
              <w:rPr>
                <w:rFonts w:hint="eastAsia" w:ascii="宋体" w:hAnsi="宋体" w:cs="宋体"/>
                <w:sz w:val="22"/>
                <w:lang w:eastAsia="zh-CN"/>
              </w:rPr>
              <w:t>单次配件免费更换价格不少于</w:t>
            </w:r>
            <w:r>
              <w:rPr>
                <w:rFonts w:hint="default" w:ascii="宋体" w:hAnsi="宋体" w:cs="宋体"/>
                <w:sz w:val="22"/>
                <w:lang w:eastAsia="zh-CN"/>
              </w:rPr>
              <w:t>2</w:t>
            </w:r>
            <w:r>
              <w:rPr>
                <w:rFonts w:hint="eastAsia" w:ascii="宋体" w:hAnsi="宋体" w:cs="宋体"/>
                <w:sz w:val="22"/>
                <w:lang w:val="en-US" w:eastAsia="zh-CN"/>
              </w:rPr>
              <w:t>00元，</w:t>
            </w:r>
            <w:r>
              <w:rPr>
                <w:rFonts w:hint="eastAsia" w:ascii="宋体" w:hAnsi="宋体" w:cs="宋体"/>
                <w:sz w:val="22"/>
                <w:lang w:eastAsia="zh-CN"/>
              </w:rPr>
              <w:t>当次配件免费更换价格</w:t>
            </w:r>
            <w:r>
              <w:rPr>
                <w:rFonts w:hint="eastAsia" w:ascii="宋体" w:hAnsi="宋体" w:cs="宋体"/>
                <w:sz w:val="22"/>
              </w:rPr>
              <w:t>最</w:t>
            </w:r>
            <w:r>
              <w:rPr>
                <w:rFonts w:hint="eastAsia" w:ascii="宋体" w:hAnsi="宋体" w:cs="宋体"/>
                <w:sz w:val="22"/>
                <w:lang w:eastAsia="zh-CN"/>
              </w:rPr>
              <w:t>高</w:t>
            </w:r>
            <w:r>
              <w:rPr>
                <w:rFonts w:hint="eastAsia" w:ascii="宋体" w:hAnsi="宋体" w:cs="宋体"/>
                <w:sz w:val="22"/>
              </w:rPr>
              <w:t>的投标报价为评标基准价，其价格分为满分。其他投标人的价格分统一按照下列公式计算：投标报价得分=(投标报价／评标基准价)×价格权重（</w:t>
            </w:r>
            <w:r>
              <w:rPr>
                <w:rFonts w:hint="eastAsia" w:ascii="宋体" w:hAnsi="宋体" w:cs="宋体"/>
                <w:sz w:val="22"/>
                <w:lang w:val="en-US" w:eastAsia="zh-CN"/>
              </w:rPr>
              <w:t>5</w:t>
            </w:r>
            <w:r>
              <w:rPr>
                <w:rFonts w:hint="eastAsia" w:ascii="宋体" w:hAnsi="宋体" w:cs="宋体"/>
                <w:sz w:val="22"/>
              </w:rPr>
              <w:t>%）×100。</w:t>
            </w:r>
            <w:r>
              <w:rPr>
                <w:rFonts w:hint="eastAsia" w:ascii="宋体" w:hAnsi="宋体" w:cs="宋体"/>
                <w:sz w:val="22"/>
                <w:lang w:val="en-US" w:eastAsia="zh-CN"/>
              </w:rPr>
              <w:t xml:space="preserve">  </w:t>
            </w:r>
            <w:r>
              <w:rPr>
                <w:rFonts w:hint="eastAsia" w:ascii="宋体" w:hAnsi="宋体" w:cs="宋体"/>
                <w:color w:val="auto"/>
                <w:szCs w:val="21"/>
                <w:highlight w:val="none"/>
                <w:lang w:eastAsia="zh-CN"/>
              </w:rPr>
              <w:t>本项满分为</w:t>
            </w:r>
            <w:r>
              <w:rPr>
                <w:rFonts w:hint="default" w:ascii="宋体" w:hAnsi="宋体" w:cs="宋体"/>
                <w:color w:val="auto"/>
                <w:szCs w:val="21"/>
                <w:highlight w:val="none"/>
                <w:lang w:eastAsia="zh-CN"/>
              </w:rPr>
              <w:t>5</w:t>
            </w:r>
            <w:r>
              <w:rPr>
                <w:rFonts w:hint="eastAsia" w:ascii="宋体" w:hAnsi="宋体" w:cs="宋体"/>
                <w:color w:val="auto"/>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00" w:type="pct"/>
            <w:gridSpan w:val="4"/>
            <w:vAlign w:val="center"/>
          </w:tcPr>
          <w:p>
            <w:pPr>
              <w:spacing w:line="276" w:lineRule="auto"/>
              <w:jc w:val="center"/>
              <w:rPr>
                <w:rFonts w:ascii="宋体" w:hAnsi="宋体" w:cs="宋体"/>
                <w:b/>
                <w:sz w:val="22"/>
              </w:rPr>
            </w:pPr>
            <w:r>
              <w:rPr>
                <w:rFonts w:hint="eastAsia" w:ascii="宋体" w:hAnsi="宋体" w:cs="宋体"/>
                <w:b/>
                <w:sz w:val="22"/>
              </w:rPr>
              <w:t>商务评分（</w:t>
            </w:r>
            <w:r>
              <w:rPr>
                <w:rFonts w:hint="default" w:ascii="宋体" w:hAnsi="宋体" w:cs="宋体"/>
                <w:b/>
                <w:sz w:val="22"/>
              </w:rPr>
              <w:t>20</w:t>
            </w:r>
            <w:r>
              <w:rPr>
                <w:rFonts w:hint="eastAsia" w:ascii="宋体" w:hAnsi="宋体" w:cs="宋体"/>
                <w:b/>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 w:type="pct"/>
            <w:vAlign w:val="center"/>
          </w:tcPr>
          <w:p>
            <w:pPr>
              <w:spacing w:before="156" w:beforeLines="50" w:line="276" w:lineRule="auto"/>
              <w:jc w:val="center"/>
              <w:rPr>
                <w:rFonts w:hint="eastAsia" w:ascii="宋体" w:hAnsi="宋体" w:eastAsia="宋体" w:cs="宋体"/>
                <w:sz w:val="22"/>
                <w:lang w:val="en-US" w:eastAsia="zh-CN"/>
              </w:rPr>
            </w:pPr>
            <w:r>
              <w:rPr>
                <w:rFonts w:hint="eastAsia" w:ascii="宋体" w:hAnsi="宋体" w:cs="宋体"/>
                <w:sz w:val="22"/>
                <w:lang w:val="en-US" w:eastAsia="zh-CN"/>
              </w:rPr>
              <w:t>1</w:t>
            </w:r>
          </w:p>
        </w:tc>
        <w:tc>
          <w:tcPr>
            <w:tcW w:w="643" w:type="pct"/>
            <w:vAlign w:val="center"/>
          </w:tcPr>
          <w:p>
            <w:pPr>
              <w:widowControl/>
              <w:jc w:val="left"/>
              <w:rPr>
                <w:rFonts w:hint="eastAsia" w:ascii="宋体" w:hAnsi="宋体" w:cs="宋体"/>
                <w:color w:val="auto"/>
                <w:sz w:val="22"/>
              </w:rPr>
            </w:pPr>
            <w:r>
              <w:rPr>
                <w:rFonts w:hint="eastAsia" w:ascii="宋体" w:hAnsi="宋体" w:eastAsia="宋体" w:cs="宋体"/>
                <w:color w:val="auto"/>
                <w:szCs w:val="21"/>
              </w:rPr>
              <w:t>投标人企业资质情况</w:t>
            </w:r>
          </w:p>
        </w:tc>
        <w:tc>
          <w:tcPr>
            <w:tcW w:w="561" w:type="pct"/>
            <w:vAlign w:val="center"/>
          </w:tcPr>
          <w:p>
            <w:pPr>
              <w:widowControl/>
              <w:spacing w:after="78"/>
              <w:jc w:val="center"/>
              <w:rPr>
                <w:rFonts w:hint="eastAsia" w:ascii="宋体" w:hAnsi="宋体" w:cs="宋体"/>
                <w:color w:val="auto"/>
                <w:sz w:val="22"/>
              </w:rPr>
            </w:pPr>
            <w:r>
              <w:rPr>
                <w:rFonts w:hint="eastAsia" w:ascii="宋体" w:hAnsi="宋体" w:cs="宋体"/>
                <w:color w:val="auto"/>
                <w:szCs w:val="21"/>
                <w:lang w:val="en-US" w:eastAsia="zh-CN"/>
              </w:rPr>
              <w:t>5分</w:t>
            </w:r>
          </w:p>
        </w:tc>
        <w:tc>
          <w:tcPr>
            <w:tcW w:w="3483" w:type="pct"/>
            <w:vAlign w:val="center"/>
          </w:tcPr>
          <w:p>
            <w:pPr>
              <w:widowControl/>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rPr>
              <w:t>一）评分内容</w:t>
            </w:r>
            <w:r>
              <w:rPr>
                <w:rFonts w:hint="eastAsia" w:ascii="宋体" w:hAnsi="宋体" w:cs="宋体"/>
                <w:color w:val="auto"/>
                <w:sz w:val="22"/>
                <w:szCs w:val="22"/>
                <w:highlight w:val="none"/>
                <w:lang w:eastAsia="zh-CN"/>
              </w:rPr>
              <w:t>：</w:t>
            </w:r>
          </w:p>
          <w:p>
            <w:pPr>
              <w:numPr>
                <w:ilvl w:val="0"/>
                <w:numId w:val="0"/>
              </w:numPr>
              <w:spacing w:line="276" w:lineRule="auto"/>
              <w:jc w:val="both"/>
              <w:rPr>
                <w:rFonts w:hint="default" w:ascii="宋体" w:hAnsi="宋体" w:eastAsia="宋体" w:cs="宋体"/>
                <w:sz w:val="22"/>
                <w:szCs w:val="22"/>
                <w:lang w:val="en-US" w:eastAsia="zh-CN"/>
              </w:rPr>
            </w:pPr>
            <w:r>
              <w:rPr>
                <w:rFonts w:hint="default" w:ascii="宋体" w:hAnsi="宋体" w:cs="宋体"/>
                <w:color w:val="auto"/>
                <w:sz w:val="22"/>
                <w:szCs w:val="22"/>
                <w:highlight w:val="none"/>
                <w:lang w:eastAsia="zh-CN"/>
              </w:rPr>
              <w:t>1</w:t>
            </w:r>
            <w:r>
              <w:rPr>
                <w:rFonts w:hint="eastAsia" w:ascii="宋体" w:hAnsi="宋体" w:cs="宋体"/>
                <w:color w:val="auto"/>
                <w:sz w:val="22"/>
                <w:szCs w:val="22"/>
                <w:highlight w:val="none"/>
                <w:lang w:eastAsia="zh-Hans"/>
              </w:rPr>
              <w:t>、</w:t>
            </w:r>
            <w:r>
              <w:rPr>
                <w:rFonts w:hint="eastAsia" w:ascii="宋体" w:hAnsi="宋体" w:eastAsia="宋体" w:cs="宋体"/>
                <w:sz w:val="22"/>
                <w:szCs w:val="22"/>
                <w:lang w:val="en-US" w:eastAsia="zh-CN"/>
              </w:rPr>
              <w:t>具有消防设施工程专业承包一级得5分，二级得3分，其他不得分。本项满分为5分。</w:t>
            </w:r>
          </w:p>
          <w:p>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（二）评分依据：</w:t>
            </w:r>
          </w:p>
          <w:p>
            <w:pPr>
              <w:numPr>
                <w:ilvl w:val="0"/>
                <w:numId w:val="0"/>
              </w:numPr>
              <w:spacing w:line="276" w:lineRule="auto"/>
              <w:jc w:val="both"/>
              <w:rPr>
                <w:color w:val="auto"/>
              </w:rPr>
            </w:pPr>
            <w:r>
              <w:rPr>
                <w:rFonts w:hint="eastAsia" w:ascii="宋体" w:hAnsi="宋体" w:eastAsia="宋体" w:cs="宋体"/>
                <w:sz w:val="22"/>
                <w:szCs w:val="22"/>
                <w:lang w:val="en-US" w:eastAsia="zh-CN"/>
              </w:rPr>
              <w:t>提供有效期内的证书复印件并加盖公章，原件备查。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311" w:type="pct"/>
            <w:vAlign w:val="center"/>
          </w:tcPr>
          <w:p>
            <w:pPr>
              <w:spacing w:before="156" w:beforeLines="50" w:line="276" w:lineRule="auto"/>
              <w:jc w:val="center"/>
              <w:rPr>
                <w:rFonts w:hint="eastAsia" w:ascii="宋体" w:hAnsi="宋体" w:cs="宋体"/>
                <w:sz w:val="22"/>
                <w:lang w:val="en-US" w:eastAsia="zh-CN"/>
              </w:rPr>
            </w:pPr>
            <w:r>
              <w:rPr>
                <w:rFonts w:hint="eastAsia" w:ascii="宋体" w:hAnsi="宋体" w:cs="宋体"/>
                <w:sz w:val="22"/>
                <w:lang w:val="en-US" w:eastAsia="zh-CN"/>
              </w:rPr>
              <w:t>3</w:t>
            </w:r>
          </w:p>
        </w:tc>
        <w:tc>
          <w:tcPr>
            <w:tcW w:w="643" w:type="pct"/>
            <w:vAlign w:val="center"/>
          </w:tcPr>
          <w:p>
            <w:pPr>
              <w:spacing w:before="156" w:beforeLines="50" w:line="276" w:lineRule="auto"/>
              <w:jc w:val="center"/>
              <w:rPr>
                <w:rFonts w:hint="eastAsia" w:ascii="宋体" w:hAnsi="宋体" w:cs="宋体"/>
                <w:sz w:val="22"/>
              </w:rPr>
            </w:pPr>
            <w:r>
              <w:rPr>
                <w:rFonts w:hint="eastAsia" w:ascii="宋体" w:hAnsi="宋体" w:cs="宋体"/>
                <w:sz w:val="22"/>
              </w:rPr>
              <w:t>业绩</w:t>
            </w:r>
          </w:p>
        </w:tc>
        <w:tc>
          <w:tcPr>
            <w:tcW w:w="561" w:type="pct"/>
            <w:vAlign w:val="center"/>
          </w:tcPr>
          <w:p>
            <w:pPr>
              <w:spacing w:before="156" w:beforeLines="50" w:line="276" w:lineRule="auto"/>
              <w:jc w:val="center"/>
              <w:rPr>
                <w:rFonts w:hint="eastAsia" w:ascii="宋体" w:hAnsi="宋体" w:cs="宋体"/>
                <w:sz w:val="22"/>
                <w:lang w:val="en-US" w:eastAsia="zh-CN"/>
              </w:rPr>
            </w:pPr>
            <w:r>
              <w:rPr>
                <w:rFonts w:hint="default" w:ascii="宋体" w:hAnsi="宋体" w:cs="宋体"/>
                <w:sz w:val="22"/>
              </w:rPr>
              <w:t>15</w:t>
            </w:r>
            <w:r>
              <w:rPr>
                <w:rFonts w:hint="eastAsia" w:ascii="宋体" w:hAnsi="宋体" w:cs="宋体"/>
                <w:sz w:val="22"/>
              </w:rPr>
              <w:t>分</w:t>
            </w:r>
          </w:p>
        </w:tc>
        <w:tc>
          <w:tcPr>
            <w:tcW w:w="3483" w:type="pct"/>
            <w:vAlign w:val="center"/>
          </w:tcPr>
          <w:p>
            <w:pPr>
              <w:numPr>
                <w:ilvl w:val="0"/>
                <w:numId w:val="0"/>
              </w:numPr>
              <w:spacing w:line="276" w:lineRule="auto"/>
              <w:jc w:val="both"/>
              <w:rPr>
                <w:rFonts w:hint="default" w:ascii="宋体" w:hAnsi="宋体" w:eastAsia="宋体" w:cs="宋体"/>
                <w:sz w:val="22"/>
                <w:szCs w:val="22"/>
                <w:lang w:val="en-US" w:eastAsia="zh-CN"/>
              </w:rPr>
            </w:pPr>
            <w:r>
              <w:rPr>
                <w:rFonts w:hint="eastAsia" w:ascii="宋体" w:hAnsi="宋体" w:eastAsia="宋体" w:cs="宋体"/>
                <w:b/>
                <w:bCs/>
                <w:sz w:val="22"/>
                <w:szCs w:val="22"/>
                <w:lang w:eastAsia="zh-CN"/>
              </w:rPr>
              <w:t>（</w:t>
            </w:r>
            <w:r>
              <w:rPr>
                <w:rFonts w:hint="eastAsia" w:ascii="宋体" w:hAnsi="宋体" w:eastAsia="宋体" w:cs="宋体"/>
                <w:sz w:val="22"/>
                <w:szCs w:val="22"/>
                <w:lang w:val="en-US" w:eastAsia="zh-CN"/>
              </w:rPr>
              <w:t>一）评审标准</w:t>
            </w:r>
          </w:p>
          <w:p>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投标人近3年（本项目投标截止日止倒算）内</w:t>
            </w:r>
            <w:bookmarkStart w:id="0" w:name="_GoBack"/>
            <w:bookmarkEnd w:id="0"/>
            <w:r>
              <w:rPr>
                <w:rFonts w:hint="eastAsia" w:ascii="宋体" w:hAnsi="宋体" w:eastAsia="宋体" w:cs="宋体"/>
                <w:sz w:val="22"/>
                <w:szCs w:val="22"/>
                <w:lang w:val="en-US" w:eastAsia="zh-Hans"/>
              </w:rPr>
              <w:t>消防设备设施</w:t>
            </w:r>
            <w:r>
              <w:rPr>
                <w:rFonts w:hint="eastAsia" w:ascii="宋体" w:hAnsi="宋体" w:eastAsia="宋体" w:cs="宋体"/>
                <w:sz w:val="22"/>
                <w:szCs w:val="22"/>
                <w:lang w:val="en-US" w:eastAsia="zh-CN"/>
              </w:rPr>
              <w:t>维保服务合同</w:t>
            </w:r>
            <w:r>
              <w:rPr>
                <w:rFonts w:hint="eastAsia" w:ascii="宋体" w:hAnsi="宋体" w:eastAsia="宋体" w:cs="宋体"/>
                <w:sz w:val="22"/>
                <w:szCs w:val="22"/>
                <w:lang w:val="en-US" w:eastAsia="zh-Hans"/>
              </w:rPr>
              <w:t>，</w:t>
            </w:r>
            <w:r>
              <w:rPr>
                <w:rFonts w:hint="eastAsia" w:ascii="宋体" w:hAnsi="宋体" w:eastAsia="宋体" w:cs="宋体"/>
                <w:sz w:val="22"/>
                <w:szCs w:val="22"/>
                <w:lang w:val="en-US" w:eastAsia="zh-CN"/>
              </w:rPr>
              <w:t>每提供一份得</w:t>
            </w:r>
            <w:r>
              <w:rPr>
                <w:rFonts w:hint="default" w:ascii="宋体" w:hAnsi="宋体" w:cs="宋体"/>
                <w:sz w:val="22"/>
                <w:szCs w:val="22"/>
                <w:lang w:eastAsia="zh-CN"/>
              </w:rPr>
              <w:t>3</w:t>
            </w:r>
            <w:r>
              <w:rPr>
                <w:rFonts w:hint="eastAsia" w:ascii="宋体" w:hAnsi="宋体" w:eastAsia="宋体" w:cs="宋体"/>
                <w:sz w:val="22"/>
                <w:szCs w:val="22"/>
                <w:lang w:val="en-US" w:eastAsia="zh-CN"/>
              </w:rPr>
              <w:t>分；以上总计最高</w:t>
            </w:r>
            <w:r>
              <w:rPr>
                <w:rFonts w:hint="default" w:ascii="宋体" w:hAnsi="宋体" w:cs="宋体"/>
                <w:sz w:val="22"/>
                <w:szCs w:val="22"/>
                <w:lang w:eastAsia="zh-CN"/>
              </w:rPr>
              <w:t>15</w:t>
            </w:r>
            <w:r>
              <w:rPr>
                <w:rFonts w:hint="eastAsia" w:ascii="宋体" w:hAnsi="宋体" w:eastAsia="宋体" w:cs="宋体"/>
                <w:sz w:val="22"/>
                <w:szCs w:val="22"/>
                <w:lang w:val="en-US" w:eastAsia="zh-CN"/>
              </w:rPr>
              <w:t>分。</w:t>
            </w:r>
          </w:p>
          <w:p>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证明材料：</w:t>
            </w:r>
          </w:p>
          <w:p>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提供合同关键信息页信息包括但不限于，服务内容、甲乙双方盖章页（商务价格信息可隐藏）、发票（可隐藏具体金额）、提供服务评价扫描件。</w:t>
            </w:r>
          </w:p>
          <w:p>
            <w:pPr>
              <w:numPr>
                <w:ilvl w:val="0"/>
                <w:numId w:val="0"/>
              </w:numPr>
              <w:spacing w:line="276" w:lineRule="auto"/>
              <w:jc w:val="both"/>
              <w:rPr>
                <w:rFonts w:hint="eastAsia" w:ascii="宋体" w:hAnsi="宋体" w:eastAsia="宋体" w:cs="宋体"/>
                <w:sz w:val="22"/>
                <w:szCs w:val="22"/>
              </w:rPr>
            </w:pPr>
            <w:r>
              <w:rPr>
                <w:rFonts w:hint="eastAsia" w:ascii="宋体" w:hAnsi="宋体" w:eastAsia="宋体" w:cs="宋体"/>
                <w:sz w:val="22"/>
                <w:szCs w:val="22"/>
                <w:lang w:val="en-US" w:eastAsia="zh-CN"/>
              </w:rPr>
              <w:t>备注：上述同一个项目续签合同的不重复计分；如涉及到需要判断是否为同一项目续签的情形，例如项目名称相同、出具评价证明单位相同的，投标人应另外提供能判别为不属同一项目续签的相关证明材料（如中标通知书或能反映不属同一项目续签的合同关键页），如不能判断，评标小组有权对投标人作出不利判断。项目名称相同，出具服务评价证明单位相同，但是经过重新组织招标、招标编号不同的，不属于同一项目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00" w:type="pct"/>
            <w:gridSpan w:val="4"/>
            <w:vAlign w:val="center"/>
          </w:tcPr>
          <w:p>
            <w:pPr>
              <w:spacing w:line="276" w:lineRule="auto"/>
              <w:ind w:firstLine="455" w:firstLineChars="206"/>
              <w:jc w:val="center"/>
              <w:rPr>
                <w:rFonts w:ascii="宋体" w:hAnsi="宋体"/>
                <w:sz w:val="22"/>
              </w:rPr>
            </w:pPr>
            <w:r>
              <w:rPr>
                <w:rFonts w:hint="eastAsia" w:ascii="宋体" w:hAnsi="宋体" w:cs="宋体"/>
                <w:b/>
                <w:sz w:val="22"/>
              </w:rPr>
              <w:t>技术评分（</w:t>
            </w:r>
            <w:r>
              <w:rPr>
                <w:rFonts w:hint="eastAsia" w:ascii="宋体" w:hAnsi="宋体" w:cs="宋体"/>
                <w:b/>
                <w:sz w:val="22"/>
                <w:lang w:val="en-US" w:eastAsia="zh-CN"/>
              </w:rPr>
              <w:t>4</w:t>
            </w:r>
            <w:r>
              <w:rPr>
                <w:rFonts w:hint="default" w:ascii="宋体" w:hAnsi="宋体" w:cs="宋体"/>
                <w:b/>
                <w:sz w:val="22"/>
                <w:lang w:eastAsia="zh-CN"/>
              </w:rPr>
              <w:t>5</w:t>
            </w:r>
            <w:r>
              <w:rPr>
                <w:rFonts w:hint="eastAsia" w:ascii="宋体" w:hAnsi="宋体" w:cs="宋体"/>
                <w:b/>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311" w:type="pct"/>
            <w:vAlign w:val="center"/>
          </w:tcPr>
          <w:p>
            <w:pPr>
              <w:spacing w:before="156" w:beforeLines="50" w:line="276" w:lineRule="auto"/>
              <w:jc w:val="center"/>
              <w:rPr>
                <w:rFonts w:hint="eastAsia" w:ascii="宋体" w:hAnsi="宋体" w:eastAsia="宋体" w:cs="宋体"/>
                <w:sz w:val="22"/>
                <w:lang w:val="en-US" w:eastAsia="zh-CN"/>
              </w:rPr>
            </w:pPr>
            <w:r>
              <w:rPr>
                <w:rFonts w:hint="eastAsia" w:ascii="宋体" w:hAnsi="宋体" w:cs="宋体"/>
                <w:sz w:val="22"/>
                <w:lang w:val="en-US" w:eastAsia="zh-CN"/>
              </w:rPr>
              <w:t>1</w:t>
            </w:r>
          </w:p>
        </w:tc>
        <w:tc>
          <w:tcPr>
            <w:tcW w:w="643" w:type="pct"/>
            <w:vMerge w:val="restart"/>
            <w:vAlign w:val="center"/>
          </w:tcPr>
          <w:p>
            <w:pPr>
              <w:wordWrap w:val="0"/>
              <w:jc w:val="cente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ascii="宋体" w:hAnsi="宋体" w:eastAsia="宋体" w:cs="宋体"/>
                <w:sz w:val="22"/>
                <w:szCs w:val="22"/>
              </w:rPr>
            </w:pPr>
            <w:r>
              <w:rPr>
                <w:rFonts w:hint="eastAsia" w:ascii="宋体" w:hAnsi="宋体" w:eastAsia="宋体" w:cs="宋体"/>
                <w:sz w:val="22"/>
                <w:szCs w:val="22"/>
              </w:rPr>
              <w:t>项目</w:t>
            </w:r>
          </w:p>
          <w:p>
            <w:pPr>
              <w:jc w:val="center"/>
              <w:rPr>
                <w:rFonts w:hint="eastAsia" w:ascii="宋体" w:hAnsi="宋体" w:eastAsia="宋体" w:cs="宋体"/>
                <w:sz w:val="22"/>
                <w:szCs w:val="22"/>
              </w:rPr>
            </w:pPr>
            <w:r>
              <w:rPr>
                <w:rFonts w:hint="eastAsia" w:ascii="宋体" w:hAnsi="宋体" w:eastAsia="宋体" w:cs="宋体"/>
                <w:sz w:val="22"/>
                <w:szCs w:val="22"/>
              </w:rPr>
              <w:t>实施</w:t>
            </w:r>
          </w:p>
          <w:p>
            <w:pPr>
              <w:bidi w:val="0"/>
              <w:jc w:val="center"/>
              <w:rPr>
                <w:rFonts w:hint="default" w:eastAsia="宋体"/>
                <w:lang w:val="en-US" w:eastAsia="zh-CN"/>
              </w:rPr>
            </w:pPr>
            <w:r>
              <w:rPr>
                <w:rFonts w:hint="eastAsia" w:ascii="宋体" w:hAnsi="宋体" w:eastAsia="宋体" w:cs="宋体"/>
                <w:sz w:val="22"/>
                <w:szCs w:val="22"/>
              </w:rPr>
              <w:t>方案</w:t>
            </w:r>
            <w:r>
              <w:rPr>
                <w:rFonts w:hint="eastAsia" w:ascii="宋体" w:hAnsi="宋体" w:cs="宋体"/>
                <w:sz w:val="22"/>
                <w:szCs w:val="22"/>
                <w:lang w:val="en-US" w:eastAsia="zh-CN"/>
              </w:rPr>
              <w:t xml:space="preserve">   </w:t>
            </w:r>
          </w:p>
        </w:tc>
        <w:tc>
          <w:tcPr>
            <w:tcW w:w="561" w:type="pct"/>
            <w:vAlign w:val="center"/>
          </w:tcPr>
          <w:p>
            <w:pPr>
              <w:spacing w:before="156" w:beforeLines="50" w:line="276" w:lineRule="auto"/>
              <w:jc w:val="center"/>
              <w:rPr>
                <w:rFonts w:hint="default" w:ascii="宋体" w:hAnsi="宋体" w:eastAsia="宋体" w:cs="宋体"/>
                <w:kern w:val="2"/>
                <w:sz w:val="22"/>
                <w:szCs w:val="22"/>
                <w:lang w:val="en-US" w:eastAsia="zh-CN" w:bidi="ar-SA"/>
              </w:rPr>
            </w:pPr>
            <w:r>
              <w:rPr>
                <w:rFonts w:hint="eastAsia" w:ascii="宋体" w:hAnsi="宋体" w:eastAsia="宋体" w:cs="宋体"/>
                <w:sz w:val="22"/>
                <w:szCs w:val="22"/>
              </w:rPr>
              <w:t>项目组人员配备情况</w:t>
            </w:r>
            <w:r>
              <w:rPr>
                <w:rFonts w:hint="eastAsia" w:ascii="宋体" w:hAnsi="宋体" w:cs="宋体"/>
                <w:sz w:val="22"/>
                <w:szCs w:val="22"/>
                <w:lang w:val="en-US" w:eastAsia="zh-CN"/>
              </w:rPr>
              <w:t>10分</w:t>
            </w:r>
          </w:p>
        </w:tc>
        <w:tc>
          <w:tcPr>
            <w:tcW w:w="3483" w:type="pct"/>
            <w:vAlign w:val="center"/>
          </w:tcPr>
          <w:p>
            <w:pPr>
              <w:numPr>
                <w:ilvl w:val="0"/>
                <w:numId w:val="0"/>
              </w:numPr>
              <w:spacing w:line="276" w:lineRule="auto"/>
              <w:jc w:val="both"/>
              <w:rPr>
                <w:rFonts w:hint="eastAsia" w:ascii="宋体" w:hAnsi="宋体" w:eastAsia="宋体" w:cs="宋体"/>
                <w:sz w:val="22"/>
                <w:szCs w:val="22"/>
                <w:lang w:val="en-US" w:eastAsia="zh-CN"/>
              </w:rPr>
            </w:pPr>
            <w:r>
              <w:rPr>
                <w:rFonts w:hint="eastAsia"/>
                <w:lang w:eastAsia="zh-CN"/>
              </w:rPr>
              <w:t>（</w:t>
            </w:r>
            <w:r>
              <w:rPr>
                <w:rFonts w:hint="eastAsia" w:ascii="宋体" w:hAnsi="宋体" w:eastAsia="宋体" w:cs="宋体"/>
                <w:sz w:val="22"/>
                <w:szCs w:val="22"/>
                <w:lang w:val="en-US" w:eastAsia="zh-CN"/>
              </w:rPr>
              <w:t>一）评分内容：</w:t>
            </w:r>
          </w:p>
          <w:p>
            <w:pPr>
              <w:numPr>
                <w:ilvl w:val="0"/>
                <w:numId w:val="0"/>
              </w:numPr>
              <w:spacing w:line="276" w:lineRule="auto"/>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对项目拟配备人员情况评比，本项满分10分。</w:t>
            </w:r>
          </w:p>
          <w:p>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（二）评分依据：</w:t>
            </w:r>
          </w:p>
          <w:p>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1、维护保养人员应取得中级建（构）筑物消防员证书，得5分，维护保养人员应取得高级建（构）筑物消防员证书，得7分，不符合得0分。需提供相关证书及证明材料描扫件，没有内容不得分。</w:t>
            </w:r>
          </w:p>
          <w:p>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2、提供公司派遣团队员工团体意外保险得3分（提供投保信息扫描件为准，原件备查）。</w:t>
            </w:r>
          </w:p>
          <w:p>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证明材料：</w:t>
            </w:r>
          </w:p>
          <w:p>
            <w:pPr>
              <w:numPr>
                <w:ilvl w:val="0"/>
                <w:numId w:val="0"/>
              </w:numPr>
              <w:spacing w:line="276" w:lineRule="auto"/>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1、提供上述拟安排的项目负责人和团队成员至本项目投标截止之日止近三个月的社保缴纳清单扫描件；</w:t>
            </w:r>
          </w:p>
          <w:p>
            <w:pPr>
              <w:numPr>
                <w:ilvl w:val="0"/>
                <w:numId w:val="0"/>
              </w:numPr>
              <w:spacing w:line="276" w:lineRule="auto"/>
              <w:jc w:val="both"/>
              <w:rPr>
                <w:rFonts w:hint="eastAsia" w:eastAsia="宋体"/>
                <w:lang w:val="en-US" w:eastAsia="zh-Hans"/>
              </w:rPr>
            </w:pPr>
            <w:r>
              <w:rPr>
                <w:rFonts w:hint="eastAsia" w:ascii="宋体" w:hAnsi="宋体" w:eastAsia="宋体" w:cs="宋体"/>
                <w:sz w:val="22"/>
                <w:szCs w:val="22"/>
                <w:lang w:val="en-US" w:eastAsia="zh-CN"/>
              </w:rPr>
              <w:t>2、需提供相关证书描扫件，未提供不得分，投标人对其真实性负责</w:t>
            </w:r>
            <w:r>
              <w:rPr>
                <w:rFonts w:hint="eastAsia" w:ascii="宋体" w:hAnsi="宋体" w:eastAsia="宋体" w:cs="宋体"/>
                <w:sz w:val="22"/>
                <w:szCs w:val="22"/>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311" w:type="pct"/>
            <w:vAlign w:val="center"/>
          </w:tcPr>
          <w:p>
            <w:pPr>
              <w:spacing w:before="156" w:beforeLines="50" w:line="276" w:lineRule="auto"/>
              <w:jc w:val="center"/>
              <w:rPr>
                <w:rFonts w:hint="eastAsia" w:ascii="宋体" w:hAnsi="宋体" w:eastAsia="宋体" w:cs="宋体"/>
                <w:sz w:val="22"/>
                <w:lang w:val="en-US" w:eastAsia="zh-CN"/>
              </w:rPr>
            </w:pPr>
            <w:r>
              <w:rPr>
                <w:rFonts w:hint="eastAsia" w:ascii="宋体" w:hAnsi="宋体" w:cs="宋体"/>
                <w:sz w:val="22"/>
                <w:lang w:val="en-US" w:eastAsia="zh-CN"/>
              </w:rPr>
              <w:t>2</w:t>
            </w:r>
          </w:p>
        </w:tc>
        <w:tc>
          <w:tcPr>
            <w:tcW w:w="643" w:type="pct"/>
            <w:vMerge w:val="continue"/>
            <w:vAlign w:val="center"/>
          </w:tcPr>
          <w:p>
            <w:pPr>
              <w:wordWrap w:val="0"/>
              <w:jc w:val="center"/>
              <w:rPr>
                <w:rFonts w:hint="eastAsia"/>
                <w:szCs w:val="21"/>
                <w:lang w:val="en-US" w:eastAsia="zh-CN"/>
              </w:rPr>
            </w:pPr>
          </w:p>
        </w:tc>
        <w:tc>
          <w:tcPr>
            <w:tcW w:w="561" w:type="pct"/>
            <w:vAlign w:val="center"/>
          </w:tcPr>
          <w:p>
            <w:pPr>
              <w:wordWrap w:val="0"/>
              <w:jc w:val="center"/>
              <w:rPr>
                <w:rFonts w:hint="default"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应对突发事件预案</w:t>
            </w:r>
            <w:r>
              <w:rPr>
                <w:rFonts w:hint="eastAsia" w:ascii="宋体" w:hAnsi="宋体" w:cs="宋体"/>
                <w:sz w:val="22"/>
                <w:szCs w:val="22"/>
                <w:lang w:val="en-US" w:eastAsia="zh-CN"/>
              </w:rPr>
              <w:t xml:space="preserve"> </w:t>
            </w:r>
            <w:r>
              <w:rPr>
                <w:rFonts w:hint="default" w:ascii="宋体" w:hAnsi="宋体" w:cs="宋体"/>
                <w:sz w:val="22"/>
                <w:szCs w:val="22"/>
                <w:lang w:eastAsia="zh-CN"/>
              </w:rPr>
              <w:t>15</w:t>
            </w:r>
            <w:r>
              <w:rPr>
                <w:rFonts w:hint="eastAsia" w:ascii="宋体" w:hAnsi="宋体" w:cs="宋体"/>
                <w:sz w:val="22"/>
                <w:szCs w:val="22"/>
                <w:lang w:val="en-US" w:eastAsia="zh-CN"/>
              </w:rPr>
              <w:t>分</w:t>
            </w:r>
          </w:p>
        </w:tc>
        <w:tc>
          <w:tcPr>
            <w:tcW w:w="3483" w:type="pct"/>
            <w:vAlign w:val="center"/>
          </w:tcPr>
          <w:p>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cs="宋体"/>
                <w:sz w:val="22"/>
                <w:szCs w:val="22"/>
                <w:lang w:eastAsia="zh-CN"/>
              </w:rPr>
              <w:t>（</w:t>
            </w:r>
            <w:r>
              <w:rPr>
                <w:rFonts w:hint="eastAsia" w:ascii="宋体" w:hAnsi="宋体" w:eastAsia="宋体" w:cs="宋体"/>
                <w:sz w:val="22"/>
                <w:szCs w:val="22"/>
                <w:lang w:val="en-US" w:eastAsia="zh-CN"/>
              </w:rPr>
              <w:t>一）评分内容：对本项目应对突发事件预案评比，本项满分</w:t>
            </w:r>
            <w:r>
              <w:rPr>
                <w:rFonts w:hint="default" w:ascii="宋体" w:hAnsi="宋体" w:cs="宋体"/>
                <w:sz w:val="22"/>
                <w:szCs w:val="22"/>
                <w:lang w:eastAsia="zh-CN"/>
              </w:rPr>
              <w:t>1</w:t>
            </w:r>
            <w:r>
              <w:rPr>
                <w:rFonts w:hint="eastAsia" w:ascii="宋体" w:hAnsi="宋体" w:eastAsia="宋体" w:cs="宋体"/>
                <w:sz w:val="22"/>
                <w:szCs w:val="22"/>
                <w:lang w:val="en-US" w:eastAsia="zh-CN"/>
              </w:rPr>
              <w:t>5分。</w:t>
            </w:r>
          </w:p>
          <w:p>
            <w:pPr>
              <w:numPr>
                <w:ilvl w:val="0"/>
                <w:numId w:val="0"/>
              </w:numPr>
              <w:spacing w:line="276" w:lineRule="auto"/>
              <w:jc w:val="both"/>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（二）评分依据：主要包括对消防防范、火警处置及其他突发性事件有相对完善的组织机构和应急预案。 本项由评标</w:t>
            </w:r>
            <w:r>
              <w:rPr>
                <w:rFonts w:hint="eastAsia" w:ascii="宋体" w:hAnsi="宋体" w:cs="宋体"/>
                <w:sz w:val="22"/>
                <w:szCs w:val="22"/>
                <w:lang w:val="en-US" w:eastAsia="zh-Hans"/>
              </w:rPr>
              <w:t>小组</w:t>
            </w:r>
            <w:r>
              <w:rPr>
                <w:rFonts w:hint="eastAsia" w:ascii="宋体" w:hAnsi="宋体" w:eastAsia="宋体" w:cs="宋体"/>
                <w:sz w:val="22"/>
                <w:szCs w:val="22"/>
                <w:lang w:val="en-US" w:eastAsia="zh-CN"/>
              </w:rPr>
              <w:t>根据各投标文件内容进行对比打分，分优秀</w:t>
            </w:r>
            <w:r>
              <w:rPr>
                <w:rFonts w:hint="default" w:ascii="宋体" w:hAnsi="宋体" w:cs="宋体"/>
                <w:sz w:val="22"/>
                <w:szCs w:val="22"/>
                <w:lang w:eastAsia="zh-CN"/>
              </w:rPr>
              <w:t>10</w:t>
            </w:r>
            <w:r>
              <w:rPr>
                <w:rFonts w:hint="eastAsia" w:ascii="宋体" w:hAnsi="宋体" w:eastAsia="宋体" w:cs="宋体"/>
                <w:sz w:val="22"/>
                <w:szCs w:val="22"/>
                <w:lang w:val="en-US" w:eastAsia="zh-CN"/>
              </w:rPr>
              <w:t>（含）-</w:t>
            </w:r>
            <w:r>
              <w:rPr>
                <w:rFonts w:hint="default" w:ascii="宋体" w:hAnsi="宋体" w:cs="宋体"/>
                <w:sz w:val="22"/>
                <w:szCs w:val="22"/>
                <w:lang w:eastAsia="zh-CN"/>
              </w:rPr>
              <w:t>1</w:t>
            </w:r>
            <w:r>
              <w:rPr>
                <w:rFonts w:hint="eastAsia" w:ascii="宋体" w:hAnsi="宋体" w:eastAsia="宋体" w:cs="宋体"/>
                <w:sz w:val="22"/>
                <w:szCs w:val="22"/>
                <w:lang w:val="en-US" w:eastAsia="zh-CN"/>
              </w:rPr>
              <w:t xml:space="preserve">5分 、良好 </w:t>
            </w:r>
            <w:r>
              <w:rPr>
                <w:rFonts w:hint="default" w:ascii="宋体" w:hAnsi="宋体" w:cs="宋体"/>
                <w:sz w:val="22"/>
                <w:szCs w:val="22"/>
                <w:lang w:eastAsia="zh-CN"/>
              </w:rPr>
              <w:t>5</w:t>
            </w:r>
            <w:r>
              <w:rPr>
                <w:rFonts w:hint="eastAsia" w:ascii="宋体" w:hAnsi="宋体" w:eastAsia="宋体" w:cs="宋体"/>
                <w:sz w:val="22"/>
                <w:szCs w:val="22"/>
                <w:lang w:val="en-US" w:eastAsia="zh-CN"/>
              </w:rPr>
              <w:t>（含）-</w:t>
            </w:r>
            <w:r>
              <w:rPr>
                <w:rFonts w:hint="default" w:ascii="宋体" w:hAnsi="宋体" w:cs="宋体"/>
                <w:sz w:val="22"/>
                <w:szCs w:val="22"/>
                <w:lang w:eastAsia="zh-CN"/>
              </w:rPr>
              <w:t>9</w:t>
            </w:r>
            <w:r>
              <w:rPr>
                <w:rFonts w:hint="eastAsia" w:ascii="宋体" w:hAnsi="宋体" w:eastAsia="宋体" w:cs="宋体"/>
                <w:sz w:val="22"/>
                <w:szCs w:val="22"/>
                <w:lang w:val="en-US" w:eastAsia="zh-CN"/>
              </w:rPr>
              <w:t>分和一般</w:t>
            </w:r>
            <w:r>
              <w:rPr>
                <w:rFonts w:hint="default" w:ascii="宋体" w:hAnsi="宋体" w:cs="宋体"/>
                <w:sz w:val="22"/>
                <w:szCs w:val="22"/>
                <w:lang w:eastAsia="zh-CN"/>
              </w:rPr>
              <w:t>1-4</w:t>
            </w:r>
            <w:r>
              <w:rPr>
                <w:rFonts w:hint="eastAsia" w:ascii="宋体" w:hAnsi="宋体" w:eastAsia="宋体" w:cs="宋体"/>
                <w:sz w:val="22"/>
                <w:szCs w:val="22"/>
                <w:lang w:val="en-US" w:eastAsia="zh-CN"/>
              </w:rPr>
              <w:t>分 ，没有内容不得分。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311" w:type="pct"/>
            <w:vAlign w:val="center"/>
          </w:tcPr>
          <w:p>
            <w:pPr>
              <w:spacing w:before="156" w:beforeLines="50" w:line="276" w:lineRule="auto"/>
              <w:jc w:val="center"/>
              <w:rPr>
                <w:rFonts w:hint="default" w:ascii="宋体" w:hAnsi="宋体" w:cs="宋体"/>
                <w:sz w:val="22"/>
                <w:lang w:val="en-US" w:eastAsia="zh-CN"/>
              </w:rPr>
            </w:pPr>
            <w:r>
              <w:rPr>
                <w:rFonts w:hint="eastAsia" w:ascii="宋体" w:hAnsi="宋体" w:cs="宋体"/>
                <w:sz w:val="22"/>
                <w:lang w:val="en-US" w:eastAsia="zh-CN"/>
              </w:rPr>
              <w:t>3</w:t>
            </w:r>
          </w:p>
        </w:tc>
        <w:tc>
          <w:tcPr>
            <w:tcW w:w="643" w:type="pct"/>
            <w:vMerge w:val="continue"/>
            <w:vAlign w:val="center"/>
          </w:tcPr>
          <w:p>
            <w:pPr>
              <w:wordWrap w:val="0"/>
              <w:jc w:val="center"/>
              <w:rPr>
                <w:rFonts w:hint="eastAsia"/>
                <w:szCs w:val="21"/>
                <w:lang w:val="en-US" w:eastAsia="zh-CN"/>
              </w:rPr>
            </w:pPr>
          </w:p>
        </w:tc>
        <w:tc>
          <w:tcPr>
            <w:tcW w:w="561" w:type="pct"/>
            <w:vAlign w:val="center"/>
          </w:tcPr>
          <w:p>
            <w:pPr>
              <w:wordWrap w:val="0"/>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建筑消防设施维保报告    5分</w:t>
            </w:r>
          </w:p>
        </w:tc>
        <w:tc>
          <w:tcPr>
            <w:tcW w:w="3483" w:type="pct"/>
            <w:vAlign w:val="center"/>
          </w:tcPr>
          <w:p>
            <w:pPr>
              <w:pStyle w:val="4"/>
              <w:numPr>
                <w:ilvl w:val="0"/>
                <w:numId w:val="1"/>
              </w:numPr>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评分内容：提供建筑消防维保报告模板一份（可提供真实业绩项目，如相关内容涉及商业秘密，响应单位可自行隐去关键内容），本项满分5分。</w:t>
            </w:r>
          </w:p>
          <w:p>
            <w:pPr>
              <w:pStyle w:val="4"/>
              <w:numPr>
                <w:ilvl w:val="0"/>
                <w:numId w:val="0"/>
              </w:numPr>
              <w:ind w:leftChars="0"/>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（二）评分依据：主要包括对项目消防设施基本情况、维保内容、维保情况、并对维保情况提出建议等内容。本项由评标</w:t>
            </w:r>
            <w:r>
              <w:rPr>
                <w:rFonts w:hint="eastAsia" w:ascii="宋体" w:hAnsi="宋体" w:cs="宋体"/>
                <w:kern w:val="2"/>
                <w:sz w:val="22"/>
                <w:szCs w:val="22"/>
                <w:lang w:val="en-US" w:eastAsia="zh-Hans" w:bidi="ar-SA"/>
              </w:rPr>
              <w:t>小组</w:t>
            </w:r>
            <w:r>
              <w:rPr>
                <w:rFonts w:hint="eastAsia" w:ascii="宋体" w:hAnsi="宋体" w:eastAsia="宋体" w:cs="宋体"/>
                <w:kern w:val="2"/>
                <w:sz w:val="22"/>
                <w:szCs w:val="22"/>
                <w:lang w:val="en-US" w:eastAsia="zh-CN" w:bidi="ar-SA"/>
              </w:rPr>
              <w:t>会根据各投标文件内容进行对比打分，分优秀4（含）-5分 、良好 2（含）-3分和一般1分 ，没有内容不得分。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311" w:type="pct"/>
            <w:vAlign w:val="center"/>
          </w:tcPr>
          <w:p>
            <w:pPr>
              <w:spacing w:before="156" w:beforeLines="50" w:line="276" w:lineRule="auto"/>
              <w:jc w:val="center"/>
              <w:rPr>
                <w:rFonts w:hint="eastAsia" w:ascii="宋体" w:hAnsi="宋体" w:eastAsia="宋体" w:cs="宋体"/>
                <w:sz w:val="22"/>
                <w:lang w:val="en-US" w:eastAsia="zh-CN"/>
              </w:rPr>
            </w:pPr>
            <w:r>
              <w:rPr>
                <w:rFonts w:hint="eastAsia" w:ascii="宋体" w:hAnsi="宋体" w:cs="宋体"/>
                <w:sz w:val="22"/>
                <w:lang w:val="en-US" w:eastAsia="zh-CN"/>
              </w:rPr>
              <w:t>4</w:t>
            </w:r>
          </w:p>
        </w:tc>
        <w:tc>
          <w:tcPr>
            <w:tcW w:w="643" w:type="pct"/>
            <w:vMerge w:val="continue"/>
            <w:vAlign w:val="center"/>
          </w:tcPr>
          <w:p>
            <w:pPr>
              <w:wordWrap w:val="0"/>
              <w:jc w:val="center"/>
              <w:rPr>
                <w:rFonts w:hint="eastAsia"/>
                <w:szCs w:val="21"/>
                <w:lang w:val="en-US" w:eastAsia="zh-CN"/>
              </w:rPr>
            </w:pPr>
          </w:p>
        </w:tc>
        <w:tc>
          <w:tcPr>
            <w:tcW w:w="561" w:type="pct"/>
            <w:vAlign w:val="center"/>
          </w:tcPr>
          <w:p>
            <w:pPr>
              <w:spacing w:line="276" w:lineRule="auto"/>
              <w:jc w:val="center"/>
              <w:rPr>
                <w:rFonts w:hint="default" w:ascii="宋体" w:hAnsi="宋体" w:eastAsia="宋体" w:cs="宋体"/>
                <w:kern w:val="2"/>
                <w:sz w:val="22"/>
                <w:szCs w:val="22"/>
                <w:lang w:val="en-US" w:eastAsia="zh-CN" w:bidi="ar-SA"/>
              </w:rPr>
            </w:pPr>
            <w:r>
              <w:rPr>
                <w:rFonts w:hint="eastAsia" w:ascii="宋体" w:hAnsi="宋体" w:eastAsia="宋体" w:cs="宋体"/>
                <w:sz w:val="22"/>
                <w:szCs w:val="22"/>
              </w:rPr>
              <w:t>消防技术服务方案</w:t>
            </w:r>
            <w:r>
              <w:rPr>
                <w:rFonts w:hint="eastAsia" w:ascii="宋体" w:hAnsi="宋体" w:cs="宋体"/>
                <w:sz w:val="22"/>
                <w:szCs w:val="22"/>
                <w:lang w:val="en-US" w:eastAsia="zh-CN"/>
              </w:rPr>
              <w:t xml:space="preserve">   </w:t>
            </w:r>
            <w:r>
              <w:rPr>
                <w:rFonts w:hint="default" w:ascii="宋体" w:hAnsi="宋体" w:cs="宋体"/>
                <w:sz w:val="22"/>
                <w:szCs w:val="22"/>
                <w:lang w:eastAsia="zh-CN"/>
              </w:rPr>
              <w:t>10</w:t>
            </w:r>
            <w:r>
              <w:rPr>
                <w:rFonts w:hint="eastAsia" w:ascii="宋体" w:hAnsi="宋体" w:cs="宋体"/>
                <w:sz w:val="22"/>
                <w:szCs w:val="22"/>
                <w:lang w:val="en-US" w:eastAsia="zh-CN"/>
              </w:rPr>
              <w:t>分</w:t>
            </w:r>
          </w:p>
        </w:tc>
        <w:tc>
          <w:tcPr>
            <w:tcW w:w="3483" w:type="pct"/>
            <w:vAlign w:val="center"/>
          </w:tcPr>
          <w:p>
            <w:pPr>
              <w:pStyle w:val="4"/>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（一）评分内容：对本项目消防技术服务方案进行评比，本项满分</w:t>
            </w:r>
            <w:r>
              <w:rPr>
                <w:rFonts w:hint="default" w:ascii="宋体" w:hAnsi="宋体" w:cs="宋体"/>
                <w:kern w:val="2"/>
                <w:sz w:val="22"/>
                <w:szCs w:val="22"/>
                <w:lang w:eastAsia="zh-CN" w:bidi="ar-SA"/>
              </w:rPr>
              <w:t>10</w:t>
            </w:r>
            <w:r>
              <w:rPr>
                <w:rFonts w:hint="eastAsia" w:ascii="宋体" w:hAnsi="宋体" w:eastAsia="宋体" w:cs="宋体"/>
                <w:kern w:val="2"/>
                <w:sz w:val="22"/>
                <w:szCs w:val="22"/>
                <w:lang w:val="en-US" w:eastAsia="zh-CN" w:bidi="ar-SA"/>
              </w:rPr>
              <w:t>分。</w:t>
            </w:r>
          </w:p>
          <w:p>
            <w:pPr>
              <w:pStyle w:val="4"/>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（二）评分依据：对本项目对投标人内部管理措施设置的合理性、管理模式的先进性以及各项管理规章制度的规范性等进行综合评议，优的得</w:t>
            </w:r>
            <w:r>
              <w:rPr>
                <w:rFonts w:hint="default" w:ascii="宋体" w:hAnsi="宋体" w:cs="宋体"/>
                <w:kern w:val="2"/>
                <w:sz w:val="22"/>
                <w:szCs w:val="22"/>
                <w:lang w:eastAsia="zh-CN" w:bidi="ar-SA"/>
              </w:rPr>
              <w:t>8</w:t>
            </w:r>
            <w:r>
              <w:rPr>
                <w:rFonts w:hint="eastAsia" w:ascii="宋体" w:hAnsi="宋体" w:eastAsia="宋体" w:cs="宋体"/>
                <w:kern w:val="2"/>
                <w:sz w:val="22"/>
                <w:szCs w:val="22"/>
                <w:lang w:val="en-US" w:eastAsia="zh-CN" w:bidi="ar-SA"/>
              </w:rPr>
              <w:t>-</w:t>
            </w:r>
            <w:r>
              <w:rPr>
                <w:rFonts w:hint="default" w:ascii="宋体" w:hAnsi="宋体" w:cs="宋体"/>
                <w:kern w:val="2"/>
                <w:sz w:val="22"/>
                <w:szCs w:val="22"/>
                <w:lang w:eastAsia="zh-CN" w:bidi="ar-SA"/>
              </w:rPr>
              <w:t>10</w:t>
            </w:r>
            <w:r>
              <w:rPr>
                <w:rFonts w:hint="eastAsia" w:ascii="宋体" w:hAnsi="宋体" w:eastAsia="宋体" w:cs="宋体"/>
                <w:kern w:val="2"/>
                <w:sz w:val="22"/>
                <w:szCs w:val="22"/>
                <w:lang w:val="en-US" w:eastAsia="zh-CN" w:bidi="ar-SA"/>
              </w:rPr>
              <w:t>分；良的得</w:t>
            </w:r>
            <w:r>
              <w:rPr>
                <w:rFonts w:hint="default" w:ascii="宋体" w:hAnsi="宋体" w:cs="宋体"/>
                <w:kern w:val="2"/>
                <w:sz w:val="22"/>
                <w:szCs w:val="22"/>
                <w:lang w:eastAsia="zh-CN" w:bidi="ar-SA"/>
              </w:rPr>
              <w:t>4</w:t>
            </w:r>
            <w:r>
              <w:rPr>
                <w:rFonts w:hint="eastAsia" w:ascii="宋体" w:hAnsi="宋体" w:eastAsia="宋体" w:cs="宋体"/>
                <w:kern w:val="2"/>
                <w:sz w:val="22"/>
                <w:szCs w:val="22"/>
                <w:lang w:val="en-US" w:eastAsia="zh-CN" w:bidi="ar-SA"/>
              </w:rPr>
              <w:t>-</w:t>
            </w:r>
            <w:r>
              <w:rPr>
                <w:rFonts w:hint="default" w:ascii="宋体" w:hAnsi="宋体" w:cs="宋体"/>
                <w:kern w:val="2"/>
                <w:sz w:val="22"/>
                <w:szCs w:val="22"/>
                <w:lang w:eastAsia="zh-CN" w:bidi="ar-SA"/>
              </w:rPr>
              <w:t>7</w:t>
            </w:r>
            <w:r>
              <w:rPr>
                <w:rFonts w:hint="eastAsia" w:ascii="宋体" w:hAnsi="宋体" w:eastAsia="宋体" w:cs="宋体"/>
                <w:kern w:val="2"/>
                <w:sz w:val="22"/>
                <w:szCs w:val="22"/>
                <w:lang w:val="en-US" w:eastAsia="zh-CN" w:bidi="ar-SA"/>
              </w:rPr>
              <w:t>分；一般的得</w:t>
            </w:r>
            <w:r>
              <w:rPr>
                <w:rFonts w:hint="default" w:ascii="宋体" w:hAnsi="宋体" w:cs="宋体"/>
                <w:kern w:val="2"/>
                <w:sz w:val="22"/>
                <w:szCs w:val="22"/>
                <w:lang w:eastAsia="zh-CN" w:bidi="ar-SA"/>
              </w:rPr>
              <w:t>1</w:t>
            </w:r>
            <w:r>
              <w:rPr>
                <w:rFonts w:hint="eastAsia" w:ascii="宋体" w:hAnsi="宋体" w:eastAsia="宋体" w:cs="宋体"/>
                <w:kern w:val="2"/>
                <w:sz w:val="22"/>
                <w:szCs w:val="22"/>
                <w:lang w:val="en-US" w:eastAsia="zh-CN" w:bidi="ar-SA"/>
              </w:rPr>
              <w:t>-</w:t>
            </w:r>
            <w:r>
              <w:rPr>
                <w:rFonts w:hint="default" w:ascii="宋体" w:hAnsi="宋体" w:cs="宋体"/>
                <w:kern w:val="2"/>
                <w:sz w:val="22"/>
                <w:szCs w:val="22"/>
                <w:lang w:eastAsia="zh-CN" w:bidi="ar-SA"/>
              </w:rPr>
              <w:t>3</w:t>
            </w:r>
            <w:r>
              <w:rPr>
                <w:rFonts w:hint="eastAsia" w:ascii="宋体" w:hAnsi="宋体" w:eastAsia="宋体" w:cs="宋体"/>
                <w:kern w:val="2"/>
                <w:sz w:val="22"/>
                <w:szCs w:val="22"/>
                <w:lang w:val="en-US" w:eastAsia="zh-CN" w:bidi="ar-SA"/>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11" w:type="pct"/>
            <w:vAlign w:val="center"/>
          </w:tcPr>
          <w:p>
            <w:pPr>
              <w:widowControl/>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szCs w:val="21"/>
                <w:lang w:val="en-US" w:eastAsia="zh-CN"/>
              </w:rPr>
              <w:t>6</w:t>
            </w:r>
          </w:p>
        </w:tc>
        <w:tc>
          <w:tcPr>
            <w:tcW w:w="643" w:type="pct"/>
            <w:vAlign w:val="center"/>
          </w:tcPr>
          <w:p>
            <w:pPr>
              <w:widowControl/>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lang w:eastAsia="zh-CN"/>
              </w:rPr>
              <w:t>响应文件规范性</w:t>
            </w:r>
          </w:p>
        </w:tc>
        <w:tc>
          <w:tcPr>
            <w:tcW w:w="561" w:type="pct"/>
            <w:vAlign w:val="center"/>
          </w:tcPr>
          <w:p>
            <w:pPr>
              <w:widowControl/>
              <w:spacing w:after="78"/>
              <w:jc w:val="center"/>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szCs w:val="21"/>
                <w:lang w:val="en-US" w:eastAsia="zh-CN"/>
              </w:rPr>
              <w:t>5</w:t>
            </w:r>
            <w:r>
              <w:rPr>
                <w:rFonts w:hint="eastAsia" w:ascii="宋体" w:hAnsi="宋体" w:cs="宋体"/>
                <w:sz w:val="22"/>
                <w:lang w:val="en-US" w:eastAsia="zh-CN"/>
              </w:rPr>
              <w:t>分</w:t>
            </w:r>
          </w:p>
        </w:tc>
        <w:tc>
          <w:tcPr>
            <w:tcW w:w="3483" w:type="pct"/>
            <w:vAlign w:val="center"/>
          </w:tcPr>
          <w:p>
            <w:pPr>
              <w:pStyle w:val="4"/>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（一）评分内容:对响应文件质量进行评分。</w:t>
            </w:r>
          </w:p>
          <w:p>
            <w:pPr>
              <w:pStyle w:val="4"/>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（二）评分依据：</w:t>
            </w:r>
          </w:p>
          <w:p>
            <w:pPr>
              <w:pStyle w:val="4"/>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1、投标文件有缺漏项但未导致实质性偏离的扣1分；</w:t>
            </w:r>
          </w:p>
          <w:p>
            <w:pPr>
              <w:pStyle w:val="4"/>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2、投标文件资料不清晰的扣1分；</w:t>
            </w:r>
          </w:p>
          <w:p>
            <w:pPr>
              <w:pStyle w:val="4"/>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3、投标文件编排混乱的扣1分；</w:t>
            </w:r>
          </w:p>
          <w:p>
            <w:pPr>
              <w:pStyle w:val="4"/>
              <w:ind w:left="0" w:leftChars="0" w:firstLine="0" w:firstLineChars="0"/>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宋体"/>
                <w:kern w:val="2"/>
                <w:sz w:val="22"/>
                <w:szCs w:val="22"/>
                <w:lang w:val="en-US" w:eastAsia="zh-CN" w:bidi="ar-SA"/>
              </w:rPr>
              <w:t>无上述情况本项得5分。</w:t>
            </w:r>
          </w:p>
        </w:tc>
      </w:tr>
    </w:tbl>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备注：</w:t>
      </w:r>
    </w:p>
    <w:p>
      <w:pPr>
        <w:pStyle w:val="5"/>
        <w:numPr>
          <w:ilvl w:val="0"/>
          <w:numId w:val="2"/>
        </w:num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本表评审依据要求的各项证明文件须编入投标文件。</w:t>
      </w:r>
    </w:p>
    <w:p>
      <w:pPr>
        <w:numPr>
          <w:ilvl w:val="0"/>
          <w:numId w:val="2"/>
        </w:num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表中要求提供相关证明文件的内容，投标文件中须明确加以说明并提供，未按要求提供相关文件或说明不清楚或评审小组无法凭所提供的材料判断是否得分的情况，一律作不得分处理。</w:t>
      </w:r>
    </w:p>
    <w:p>
      <w:pPr>
        <w:rPr>
          <w:rFonts w:hint="eastAsi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52378"/>
    <w:multiLevelType w:val="singleLevel"/>
    <w:tmpl w:val="97B52378"/>
    <w:lvl w:ilvl="0" w:tentative="0">
      <w:start w:val="1"/>
      <w:numFmt w:val="decimal"/>
      <w:suff w:val="nothing"/>
      <w:lvlText w:val="%1、"/>
      <w:lvlJc w:val="left"/>
    </w:lvl>
  </w:abstractNum>
  <w:abstractNum w:abstractNumId="1">
    <w:nsid w:val="B736254E"/>
    <w:multiLevelType w:val="singleLevel"/>
    <w:tmpl w:val="B73625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1ZDhjNmY5NTVjNTFlMjQ1MDc2NDU2ZGE2ZTcyZTgifQ=="/>
  </w:docVars>
  <w:rsids>
    <w:rsidRoot w:val="00B80BD1"/>
    <w:rsid w:val="001D4ABD"/>
    <w:rsid w:val="00400DE8"/>
    <w:rsid w:val="00773861"/>
    <w:rsid w:val="009959FE"/>
    <w:rsid w:val="00B80BD1"/>
    <w:rsid w:val="023A252E"/>
    <w:rsid w:val="09C34DD3"/>
    <w:rsid w:val="0A540ADE"/>
    <w:rsid w:val="0AF21B25"/>
    <w:rsid w:val="108F23BB"/>
    <w:rsid w:val="1200623C"/>
    <w:rsid w:val="152E225E"/>
    <w:rsid w:val="17EE43EC"/>
    <w:rsid w:val="17FFFB24"/>
    <w:rsid w:val="1EFF0B55"/>
    <w:rsid w:val="25093121"/>
    <w:rsid w:val="29437F8A"/>
    <w:rsid w:val="2B595843"/>
    <w:rsid w:val="2C5F0DBB"/>
    <w:rsid w:val="307861BD"/>
    <w:rsid w:val="33FE013C"/>
    <w:rsid w:val="3BE313D4"/>
    <w:rsid w:val="3BFB8C78"/>
    <w:rsid w:val="3E196E1B"/>
    <w:rsid w:val="3F406FEE"/>
    <w:rsid w:val="3FE936DE"/>
    <w:rsid w:val="453D4EFB"/>
    <w:rsid w:val="49592251"/>
    <w:rsid w:val="4A3263F8"/>
    <w:rsid w:val="4D215EA9"/>
    <w:rsid w:val="4E334B73"/>
    <w:rsid w:val="50EA6413"/>
    <w:rsid w:val="54AF7EBA"/>
    <w:rsid w:val="565F3782"/>
    <w:rsid w:val="56C02A96"/>
    <w:rsid w:val="56DA5E2D"/>
    <w:rsid w:val="59091DA7"/>
    <w:rsid w:val="5BEF34D6"/>
    <w:rsid w:val="5BEF91DD"/>
    <w:rsid w:val="5DBF835F"/>
    <w:rsid w:val="5E157430"/>
    <w:rsid w:val="5EFA26D4"/>
    <w:rsid w:val="614953F2"/>
    <w:rsid w:val="626340A8"/>
    <w:rsid w:val="62DA61DD"/>
    <w:rsid w:val="676E5BDD"/>
    <w:rsid w:val="67E404B4"/>
    <w:rsid w:val="67FD341E"/>
    <w:rsid w:val="68CD6753"/>
    <w:rsid w:val="69EC12EB"/>
    <w:rsid w:val="73851FDD"/>
    <w:rsid w:val="76D821C0"/>
    <w:rsid w:val="77BA09E4"/>
    <w:rsid w:val="782818CF"/>
    <w:rsid w:val="789C633C"/>
    <w:rsid w:val="79DF76B8"/>
    <w:rsid w:val="7A6AC8B6"/>
    <w:rsid w:val="7ADE6784"/>
    <w:rsid w:val="7B0F0C87"/>
    <w:rsid w:val="7CA7F19C"/>
    <w:rsid w:val="7CFF75FE"/>
    <w:rsid w:val="7EFE565A"/>
    <w:rsid w:val="7FC250AB"/>
    <w:rsid w:val="7FDEDCA2"/>
    <w:rsid w:val="7FDF22A0"/>
    <w:rsid w:val="ADD9EB43"/>
    <w:rsid w:val="B1FFD883"/>
    <w:rsid w:val="BBFF893F"/>
    <w:rsid w:val="D5DD2482"/>
    <w:rsid w:val="DFFF4908"/>
    <w:rsid w:val="F7FFE5F4"/>
    <w:rsid w:val="FF2BA04B"/>
    <w:rsid w:val="FFCFA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40" w:after="240"/>
      <w:outlineLvl w:val="1"/>
    </w:pPr>
    <w:rPr>
      <w:rFonts w:ascii="Arial" w:hAnsi="Arial" w:eastAsia="黑体"/>
      <w:b/>
      <w:bCs/>
      <w:sz w:val="32"/>
      <w:szCs w:val="32"/>
    </w:rPr>
  </w:style>
  <w:style w:type="paragraph" w:styleId="3">
    <w:name w:val="heading 4"/>
    <w:basedOn w:val="1"/>
    <w:next w:val="1"/>
    <w:link w:val="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link w:val="11"/>
    <w:unhideWhenUsed/>
    <w:qFormat/>
    <w:uiPriority w:val="0"/>
    <w:pPr>
      <w:spacing w:after="120"/>
    </w:pPr>
  </w:style>
  <w:style w:type="paragraph" w:styleId="6">
    <w:name w:val="toc 2"/>
    <w:basedOn w:val="1"/>
    <w:next w:val="1"/>
    <w:qFormat/>
    <w:uiPriority w:val="0"/>
    <w:pPr>
      <w:spacing w:line="600" w:lineRule="exact"/>
      <w:ind w:firstLine="880" w:firstLineChars="200"/>
    </w:pPr>
    <w:rPr>
      <w:rFonts w:eastAsia="仿宋_GB2312"/>
      <w:sz w:val="32"/>
    </w:rPr>
  </w:style>
  <w:style w:type="character" w:customStyle="1" w:styleId="9">
    <w:name w:val="标题 4 字符"/>
    <w:basedOn w:val="8"/>
    <w:link w:val="3"/>
    <w:semiHidden/>
    <w:qFormat/>
    <w:uiPriority w:val="9"/>
    <w:rPr>
      <w:rFonts w:asciiTheme="majorHAnsi" w:hAnsiTheme="majorHAnsi" w:eastAsiaTheme="majorEastAsia" w:cstheme="majorBidi"/>
      <w:b/>
      <w:bCs/>
      <w:sz w:val="28"/>
      <w:szCs w:val="28"/>
    </w:rPr>
  </w:style>
  <w:style w:type="character" w:customStyle="1" w:styleId="10">
    <w:name w:val="正文文本 字符"/>
    <w:basedOn w:val="8"/>
    <w:semiHidden/>
    <w:qFormat/>
    <w:uiPriority w:val="99"/>
    <w:rPr>
      <w:rFonts w:ascii="Calibri" w:hAnsi="Calibri" w:eastAsia="宋体" w:cs="Times New Roman"/>
    </w:rPr>
  </w:style>
  <w:style w:type="character" w:customStyle="1" w:styleId="11">
    <w:name w:val="正文文本 字符3"/>
    <w:basedOn w:val="8"/>
    <w:link w:val="5"/>
    <w:qFormat/>
    <w:uiPriority w:val="0"/>
    <w:rPr>
      <w:rFonts w:ascii="Calibri" w:hAnsi="Calibri" w:eastAsia="宋体" w:cs="Times New Roman"/>
    </w:rPr>
  </w:style>
  <w:style w:type="paragraph" w:styleId="12">
    <w:name w:val="List Paragraph"/>
    <w:basedOn w:val="1"/>
    <w:qFormat/>
    <w:uiPriority w:val="34"/>
    <w:pPr>
      <w:ind w:firstLine="420" w:firstLineChars="200"/>
    </w:pPr>
  </w:style>
  <w:style w:type="table" w:customStyle="1" w:styleId="13">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1837</Words>
  <Characters>1888</Characters>
  <Lines>13</Lines>
  <Paragraphs>3</Paragraphs>
  <TotalTime>0</TotalTime>
  <ScaleCrop>false</ScaleCrop>
  <LinksUpToDate>false</LinksUpToDate>
  <CharactersWithSpaces>1914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2021-08-09T17:21:00Z</dcterms:created>
  <dc:creator>Administrator</dc:creator>
  <cp:lastModifiedBy>千里之行</cp:lastModifiedBy>
  <dcterms:modified xsi:type="dcterms:W3CDTF">2025-02-13T03:20:32Z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A0972707CA8F4C5ABA2F1949F895700C</vt:lpwstr>
  </property>
</Properties>
</file>