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CAD68B">
      <w:pPr>
        <w:pStyle w:val="2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附件4</w:t>
      </w:r>
    </w:p>
    <w:p w14:paraId="4089C8CA">
      <w:pPr>
        <w:spacing w:after="156" w:afterLines="50" w:line="420" w:lineRule="exact"/>
        <w:ind w:firstLine="3253" w:firstLineChars="900"/>
        <w:outlineLvl w:val="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履约评价报告书</w:t>
      </w:r>
    </w:p>
    <w:tbl>
      <w:tblPr>
        <w:tblStyle w:val="3"/>
        <w:tblW w:w="9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442"/>
        <w:gridCol w:w="2119"/>
        <w:gridCol w:w="1221"/>
        <w:gridCol w:w="1440"/>
        <w:gridCol w:w="1080"/>
        <w:gridCol w:w="2520"/>
      </w:tblGrid>
      <w:tr w14:paraId="5F7B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6408C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评价部门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4141B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1AD3E5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评价日期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CFDA8A">
            <w:pPr>
              <w:rPr>
                <w:rFonts w:ascii="宋体" w:hAnsi="宋体"/>
                <w:szCs w:val="21"/>
              </w:rPr>
            </w:pPr>
          </w:p>
        </w:tc>
      </w:tr>
      <w:tr w14:paraId="466B6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B8BA2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被评价单位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2D788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B733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类    别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C69E63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□货物   □服务  </w:t>
            </w:r>
          </w:p>
        </w:tc>
      </w:tr>
      <w:tr w14:paraId="38A2F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D8E5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合同名称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A53B0C7">
            <w:pPr>
              <w:rPr>
                <w:rFonts w:ascii="宋体" w:hAnsi="宋体"/>
                <w:szCs w:val="21"/>
              </w:rPr>
            </w:pPr>
          </w:p>
        </w:tc>
      </w:tr>
      <w:tr w14:paraId="1451A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46C1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合同号</w:t>
            </w:r>
          </w:p>
        </w:tc>
        <w:tc>
          <w:tcPr>
            <w:tcW w:w="3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72A8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E887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合同价</w:t>
            </w:r>
          </w:p>
        </w:tc>
        <w:tc>
          <w:tcPr>
            <w:tcW w:w="3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CE04D8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（万元）</w:t>
            </w:r>
          </w:p>
        </w:tc>
      </w:tr>
      <w:tr w14:paraId="774D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933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9B42C5B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履约评价分项内容及得分情况</w:t>
            </w:r>
          </w:p>
        </w:tc>
      </w:tr>
      <w:tr w14:paraId="20BC9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251FF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B17E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  项  内  容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B6CDD3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得  分</w:t>
            </w:r>
          </w:p>
        </w:tc>
      </w:tr>
      <w:tr w14:paraId="38057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11AF1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0432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BA6DB85">
            <w:pPr>
              <w:rPr>
                <w:rFonts w:ascii="宋体" w:hAnsi="宋体"/>
                <w:szCs w:val="21"/>
              </w:rPr>
            </w:pPr>
          </w:p>
        </w:tc>
      </w:tr>
      <w:tr w14:paraId="2E8E3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03E5A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61897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0F359DF">
            <w:pPr>
              <w:rPr>
                <w:rFonts w:ascii="宋体" w:hAnsi="宋体"/>
                <w:szCs w:val="21"/>
              </w:rPr>
            </w:pPr>
          </w:p>
        </w:tc>
      </w:tr>
      <w:tr w14:paraId="77072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75095A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DB468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056A1B9">
            <w:pPr>
              <w:rPr>
                <w:rFonts w:ascii="宋体" w:hAnsi="宋体"/>
                <w:szCs w:val="21"/>
              </w:rPr>
            </w:pPr>
          </w:p>
        </w:tc>
      </w:tr>
      <w:tr w14:paraId="5AE65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5F5FFD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654D5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A5669AB">
            <w:pPr>
              <w:rPr>
                <w:rFonts w:ascii="宋体" w:hAnsi="宋体"/>
                <w:szCs w:val="21"/>
              </w:rPr>
            </w:pPr>
          </w:p>
        </w:tc>
      </w:tr>
      <w:tr w14:paraId="29010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6A5FF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ABB0E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0B9ED18">
            <w:pPr>
              <w:rPr>
                <w:rFonts w:ascii="宋体" w:hAnsi="宋体"/>
                <w:szCs w:val="21"/>
              </w:rPr>
            </w:pPr>
          </w:p>
        </w:tc>
      </w:tr>
      <w:tr w14:paraId="7500B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44324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03176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C5EE5A4">
            <w:pPr>
              <w:rPr>
                <w:rFonts w:ascii="宋体" w:hAnsi="宋体"/>
                <w:szCs w:val="21"/>
              </w:rPr>
            </w:pPr>
          </w:p>
        </w:tc>
      </w:tr>
      <w:tr w14:paraId="001BD0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7413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7FF1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存在以下情况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B42E17A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扣分</w:t>
            </w:r>
          </w:p>
        </w:tc>
      </w:tr>
      <w:tr w14:paraId="15768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13D6B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FEA98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合同相对方未按合同约定履行被投诉、检举的，经集团公司纪检监察部门及投资采购部核实投诉、检举情况属实的，不得套用优秀、良好等级。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D23E232">
            <w:pPr>
              <w:rPr>
                <w:rFonts w:ascii="宋体" w:hAnsi="宋体"/>
                <w:szCs w:val="21"/>
              </w:rPr>
            </w:pPr>
          </w:p>
        </w:tc>
      </w:tr>
      <w:tr w14:paraId="6DF59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126C8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63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0CDD1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合同相对方使用不正当行为影响评价结果的，或存在其他违规、违纪行为的，经集团公司纪检监察部门及投资采购部核实投诉、检举情况属实的，其评价结果将降至不合格等级。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713576A">
            <w:pPr>
              <w:rPr>
                <w:rFonts w:ascii="宋体" w:hAnsi="宋体"/>
                <w:szCs w:val="21"/>
              </w:rPr>
            </w:pPr>
          </w:p>
        </w:tc>
      </w:tr>
      <w:tr w14:paraId="32E95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1111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7541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最终得分</w:t>
            </w:r>
          </w:p>
        </w:tc>
        <w:tc>
          <w:tcPr>
            <w:tcW w:w="88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13BC59">
            <w:pPr>
              <w:rPr>
                <w:rFonts w:ascii="宋体" w:hAnsi="宋体"/>
                <w:szCs w:val="21"/>
              </w:rPr>
            </w:pPr>
          </w:p>
        </w:tc>
      </w:tr>
      <w:tr w14:paraId="690CE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55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9990B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评价等级</w:t>
            </w:r>
          </w:p>
        </w:tc>
        <w:tc>
          <w:tcPr>
            <w:tcW w:w="8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4A669F">
            <w:pPr>
              <w:rPr>
                <w:rFonts w:hint="eastAsia"/>
              </w:rPr>
            </w:pPr>
            <w:r>
              <w:rPr>
                <w:rFonts w:hint="eastAsia"/>
              </w:rPr>
              <w:t>□ 良好（75≤总分＜90分）   □ 合格（60≤总分＜75分）   □ 不合格（总分＜60分）</w:t>
            </w:r>
          </w:p>
          <w:p w14:paraId="3FB4B8E6">
            <w:pPr>
              <w:pStyle w:val="5"/>
              <w:rPr>
                <w:color w:val="auto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</w:rPr>
              <w:t>□ 优秀（100≤总分≤90分）</w:t>
            </w:r>
          </w:p>
        </w:tc>
      </w:tr>
      <w:tr w14:paraId="5F64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8" w:hRule="atLeast"/>
          <w:jc w:val="center"/>
        </w:trPr>
        <w:tc>
          <w:tcPr>
            <w:tcW w:w="3672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9B43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评价小组成员签字</w:t>
            </w:r>
          </w:p>
        </w:tc>
        <w:tc>
          <w:tcPr>
            <w:tcW w:w="6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bottom"/>
          </w:tcPr>
          <w:p w14:paraId="389AC45B">
            <w:pPr>
              <w:rPr>
                <w:rFonts w:ascii="宋体" w:hAnsi="宋体"/>
                <w:szCs w:val="21"/>
              </w:rPr>
            </w:pPr>
          </w:p>
        </w:tc>
      </w:tr>
    </w:tbl>
    <w:p w14:paraId="5AC4D742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 w14:paraId="2399DF68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 w14:paraId="3DD09B59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</w:p>
    <w:p w14:paraId="022017D4">
      <w:pPr>
        <w:spacing w:line="560" w:lineRule="exact"/>
        <w:ind w:firstLine="3200" w:firstLineChars="10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服务类合同履约评价表</w:t>
      </w:r>
    </w:p>
    <w:p w14:paraId="1A57C3F1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327"/>
        <w:gridCol w:w="1132"/>
        <w:gridCol w:w="1036"/>
        <w:gridCol w:w="1228"/>
        <w:gridCol w:w="1223"/>
        <w:gridCol w:w="7"/>
      </w:tblGrid>
      <w:tr w14:paraId="7B74D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7" w:type="dxa"/>
            <w:noWrap w:val="0"/>
            <w:vAlign w:val="top"/>
          </w:tcPr>
          <w:p w14:paraId="798EB41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评价日期</w:t>
            </w:r>
          </w:p>
          <w:p w14:paraId="5FAB1BD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2764F0E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6F3432E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被评价单位：</w:t>
            </w:r>
          </w:p>
        </w:tc>
        <w:tc>
          <w:tcPr>
            <w:tcW w:w="3494" w:type="dxa"/>
            <w:gridSpan w:val="4"/>
            <w:noWrap w:val="0"/>
            <w:vAlign w:val="top"/>
          </w:tcPr>
          <w:p w14:paraId="2421969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C7DB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107" w:type="dxa"/>
            <w:noWrap w:val="0"/>
            <w:vAlign w:val="top"/>
          </w:tcPr>
          <w:p w14:paraId="5C8E6E3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主办部门：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</w:t>
            </w:r>
          </w:p>
        </w:tc>
        <w:tc>
          <w:tcPr>
            <w:tcW w:w="3327" w:type="dxa"/>
            <w:noWrap w:val="0"/>
            <w:vAlign w:val="top"/>
          </w:tcPr>
          <w:p w14:paraId="3E64FBD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5215F64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评价人：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    </w:t>
            </w:r>
          </w:p>
        </w:tc>
        <w:tc>
          <w:tcPr>
            <w:tcW w:w="3494" w:type="dxa"/>
            <w:gridSpan w:val="4"/>
            <w:noWrap w:val="0"/>
            <w:vAlign w:val="top"/>
          </w:tcPr>
          <w:p w14:paraId="1183306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F45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1107" w:type="dxa"/>
            <w:noWrap w:val="0"/>
            <w:vAlign w:val="top"/>
          </w:tcPr>
          <w:p w14:paraId="05FE151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合同名称</w:t>
            </w:r>
          </w:p>
        </w:tc>
        <w:tc>
          <w:tcPr>
            <w:tcW w:w="3327" w:type="dxa"/>
            <w:noWrap w:val="0"/>
            <w:vAlign w:val="top"/>
          </w:tcPr>
          <w:p w14:paraId="4B15196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32" w:type="dxa"/>
            <w:noWrap w:val="0"/>
            <w:vAlign w:val="top"/>
          </w:tcPr>
          <w:p w14:paraId="3ED25DD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合同编号</w:t>
            </w:r>
          </w:p>
        </w:tc>
        <w:tc>
          <w:tcPr>
            <w:tcW w:w="3494" w:type="dxa"/>
            <w:gridSpan w:val="4"/>
            <w:noWrap w:val="0"/>
            <w:vAlign w:val="top"/>
          </w:tcPr>
          <w:p w14:paraId="2136510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8A12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noWrap w:val="0"/>
            <w:vAlign w:val="top"/>
          </w:tcPr>
          <w:p w14:paraId="1E67F282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分项内容</w:t>
            </w:r>
          </w:p>
        </w:tc>
        <w:tc>
          <w:tcPr>
            <w:tcW w:w="3327" w:type="dxa"/>
            <w:noWrap w:val="0"/>
            <w:vAlign w:val="top"/>
          </w:tcPr>
          <w:p w14:paraId="4F075263">
            <w:pPr>
              <w:spacing w:line="560" w:lineRule="exact"/>
              <w:ind w:firstLine="420" w:firstLineChars="2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一般情形评价指标</w:t>
            </w:r>
          </w:p>
        </w:tc>
        <w:tc>
          <w:tcPr>
            <w:tcW w:w="1132" w:type="dxa"/>
            <w:noWrap w:val="0"/>
            <w:vAlign w:val="top"/>
          </w:tcPr>
          <w:p w14:paraId="26BC0CB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分值</w:t>
            </w:r>
          </w:p>
        </w:tc>
        <w:tc>
          <w:tcPr>
            <w:tcW w:w="1036" w:type="dxa"/>
            <w:noWrap w:val="0"/>
            <w:vAlign w:val="top"/>
          </w:tcPr>
          <w:p w14:paraId="2F1DEC0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</w:t>
            </w:r>
          </w:p>
        </w:tc>
        <w:tc>
          <w:tcPr>
            <w:tcW w:w="1228" w:type="dxa"/>
            <w:noWrap w:val="0"/>
            <w:vAlign w:val="top"/>
          </w:tcPr>
          <w:p w14:paraId="6C217CBF">
            <w:pPr>
              <w:spacing w:line="56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  <w:tc>
          <w:tcPr>
            <w:tcW w:w="1230" w:type="dxa"/>
            <w:gridSpan w:val="2"/>
            <w:noWrap w:val="0"/>
            <w:vAlign w:val="top"/>
          </w:tcPr>
          <w:p w14:paraId="25A072EC">
            <w:pPr>
              <w:spacing w:line="560" w:lineRule="exact"/>
              <w:ind w:firstLine="420" w:firstLineChars="200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 w14:paraId="54271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restart"/>
            <w:noWrap w:val="0"/>
            <w:vAlign w:val="top"/>
          </w:tcPr>
          <w:p w14:paraId="07ADD1F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服务水平</w:t>
            </w:r>
          </w:p>
        </w:tc>
        <w:tc>
          <w:tcPr>
            <w:tcW w:w="3327" w:type="dxa"/>
            <w:noWrap w:val="0"/>
            <w:vAlign w:val="top"/>
          </w:tcPr>
          <w:p w14:paraId="7D36B1E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服务方案表达是否清晰，是否存在歧义。</w:t>
            </w:r>
          </w:p>
        </w:tc>
        <w:tc>
          <w:tcPr>
            <w:tcW w:w="1132" w:type="dxa"/>
            <w:noWrap w:val="0"/>
            <w:vAlign w:val="top"/>
          </w:tcPr>
          <w:p w14:paraId="3D516D34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</w:p>
        </w:tc>
        <w:tc>
          <w:tcPr>
            <w:tcW w:w="1036" w:type="dxa"/>
            <w:noWrap w:val="0"/>
            <w:vAlign w:val="top"/>
          </w:tcPr>
          <w:p w14:paraId="3537210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40E973C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restart"/>
            <w:noWrap w:val="0"/>
            <w:vAlign w:val="top"/>
          </w:tcPr>
          <w:p w14:paraId="11768B8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扣分说明：合同相对方存在评价内容情形的，直接扣除对应分值分数，反之得到对应分值分数。</w:t>
            </w:r>
          </w:p>
        </w:tc>
      </w:tr>
      <w:tr w14:paraId="5E07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431827B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57DE5B9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服务方案能否准确反映公司提出的要求。</w:t>
            </w:r>
          </w:p>
        </w:tc>
        <w:tc>
          <w:tcPr>
            <w:tcW w:w="1132" w:type="dxa"/>
            <w:noWrap w:val="0"/>
            <w:vAlign w:val="top"/>
          </w:tcPr>
          <w:p w14:paraId="640C1FEC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036" w:type="dxa"/>
            <w:noWrap w:val="0"/>
            <w:vAlign w:val="top"/>
          </w:tcPr>
          <w:p w14:paraId="1303C45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2694360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4475161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C30D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6EFA470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5E7F3B7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服务方案是否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具有</w:t>
            </w:r>
            <w:r>
              <w:rPr>
                <w:rFonts w:hint="eastAsia" w:ascii="仿宋_GB2312" w:eastAsia="仿宋_GB2312"/>
                <w:szCs w:val="21"/>
              </w:rPr>
              <w:t>深入的分析，是否全面涵盖项目内容且有充分理由及法律依据。</w:t>
            </w:r>
          </w:p>
        </w:tc>
        <w:tc>
          <w:tcPr>
            <w:tcW w:w="1132" w:type="dxa"/>
            <w:noWrap w:val="0"/>
            <w:vAlign w:val="top"/>
          </w:tcPr>
          <w:p w14:paraId="40C5C2EA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</w:t>
            </w:r>
          </w:p>
        </w:tc>
        <w:tc>
          <w:tcPr>
            <w:tcW w:w="1036" w:type="dxa"/>
            <w:noWrap w:val="0"/>
            <w:vAlign w:val="top"/>
          </w:tcPr>
          <w:p w14:paraId="1D2AA1F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05A82E9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0836F8E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ABDD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Merge w:val="continue"/>
            <w:noWrap w:val="0"/>
            <w:vAlign w:val="top"/>
          </w:tcPr>
          <w:p w14:paraId="3BE545B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2BE5556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服务方案是否囊括风险点且具有前瞻性。</w:t>
            </w:r>
          </w:p>
        </w:tc>
        <w:tc>
          <w:tcPr>
            <w:tcW w:w="1132" w:type="dxa"/>
            <w:noWrap w:val="0"/>
            <w:vAlign w:val="top"/>
          </w:tcPr>
          <w:p w14:paraId="03F2B7E1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7</w:t>
            </w:r>
          </w:p>
        </w:tc>
        <w:tc>
          <w:tcPr>
            <w:tcW w:w="1036" w:type="dxa"/>
            <w:noWrap w:val="0"/>
            <w:vAlign w:val="top"/>
          </w:tcPr>
          <w:p w14:paraId="14CEC8F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5083DA1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3BDFAC4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541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07" w:type="dxa"/>
            <w:vMerge w:val="continue"/>
            <w:noWrap w:val="0"/>
            <w:vAlign w:val="top"/>
          </w:tcPr>
          <w:p w14:paraId="3642469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23D4A1B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出具服务方案是否存在延误情形</w:t>
            </w:r>
          </w:p>
        </w:tc>
        <w:tc>
          <w:tcPr>
            <w:tcW w:w="1132" w:type="dxa"/>
            <w:noWrap w:val="0"/>
            <w:vAlign w:val="top"/>
          </w:tcPr>
          <w:p w14:paraId="55A5D6B6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36" w:type="dxa"/>
            <w:noWrap w:val="0"/>
            <w:vAlign w:val="top"/>
          </w:tcPr>
          <w:p w14:paraId="1D20CBC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2D68603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6D64E3D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53C8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72D83B2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20A1F5A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（存在其中一项即扣除26分）</w:t>
            </w:r>
            <w:r>
              <w:rPr>
                <w:rFonts w:eastAsia="仿宋_GB2312" w:cs="Calibri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t>服务方案反复修改次数超过3次才能完成；</w:t>
            </w:r>
            <w:r>
              <w:rPr>
                <w:rFonts w:eastAsia="仿宋_GB2312" w:cs="Calibri"/>
                <w:szCs w:val="21"/>
              </w:rPr>
              <w:t>②</w:t>
            </w:r>
            <w:r>
              <w:rPr>
                <w:rFonts w:hint="eastAsia" w:ascii="仿宋_GB2312" w:eastAsia="仿宋_GB2312"/>
                <w:szCs w:val="21"/>
              </w:rPr>
              <w:t>多次反复沟通协调后出具的服务方案仍未能完全满足项目要求的</w:t>
            </w:r>
            <w:r>
              <w:rPr>
                <w:rFonts w:hint="eastAsia" w:eastAsia="仿宋_GB2312" w:cs="Calibri"/>
                <w:szCs w:val="21"/>
              </w:rPr>
              <w:t>；</w:t>
            </w:r>
            <w:r>
              <w:rPr>
                <w:rFonts w:eastAsia="Gulim" w:cs="Calibri"/>
                <w:szCs w:val="21"/>
              </w:rPr>
              <w:t>③</w:t>
            </w:r>
            <w:r>
              <w:rPr>
                <w:rFonts w:hint="eastAsia" w:ascii="仿宋_GB2312" w:eastAsia="仿宋_GB2312"/>
                <w:szCs w:val="21"/>
              </w:rPr>
              <w:t>未推荐或未提供保障公司最大利益的方案；</w:t>
            </w:r>
            <w:r>
              <w:rPr>
                <w:rFonts w:eastAsia="Gulim" w:cs="Calibri"/>
                <w:szCs w:val="21"/>
              </w:rPr>
              <w:t>④</w:t>
            </w:r>
            <w:r>
              <w:rPr>
                <w:rFonts w:hint="eastAsia" w:ascii="仿宋_GB2312" w:eastAsia="仿宋_GB2312"/>
                <w:szCs w:val="21"/>
              </w:rPr>
              <w:t>存在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其他不</w:t>
            </w:r>
            <w:r>
              <w:rPr>
                <w:rFonts w:hint="eastAsia" w:ascii="仿宋_GB2312" w:eastAsia="仿宋_GB2312"/>
                <w:szCs w:val="21"/>
              </w:rPr>
              <w:t>符合合同要求未及时整改的，但未造成不良影响的。</w:t>
            </w:r>
          </w:p>
        </w:tc>
        <w:tc>
          <w:tcPr>
            <w:tcW w:w="1132" w:type="dxa"/>
            <w:noWrap w:val="0"/>
            <w:vAlign w:val="top"/>
          </w:tcPr>
          <w:p w14:paraId="2F49A3B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36" w:type="dxa"/>
            <w:noWrap w:val="0"/>
            <w:vAlign w:val="top"/>
          </w:tcPr>
          <w:p w14:paraId="4289231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6010459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7D0C9A0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E9FE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107" w:type="dxa"/>
            <w:vMerge w:val="restart"/>
            <w:noWrap w:val="0"/>
            <w:vAlign w:val="top"/>
          </w:tcPr>
          <w:p w14:paraId="5CCAD64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响应程度及服务态度</w:t>
            </w:r>
          </w:p>
        </w:tc>
        <w:tc>
          <w:tcPr>
            <w:tcW w:w="3327" w:type="dxa"/>
            <w:noWrap w:val="0"/>
            <w:vAlign w:val="top"/>
          </w:tcPr>
          <w:p w14:paraId="606446C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响应程度差，积极性不强，经多次催促才配合项目进程。</w:t>
            </w:r>
          </w:p>
        </w:tc>
        <w:tc>
          <w:tcPr>
            <w:tcW w:w="1132" w:type="dxa"/>
            <w:noWrap w:val="0"/>
            <w:vAlign w:val="top"/>
          </w:tcPr>
          <w:p w14:paraId="431E328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26</w:t>
            </w:r>
          </w:p>
        </w:tc>
        <w:tc>
          <w:tcPr>
            <w:tcW w:w="1036" w:type="dxa"/>
            <w:noWrap w:val="0"/>
            <w:vAlign w:val="top"/>
          </w:tcPr>
          <w:p w14:paraId="2A8BCD6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1D9C531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1FAA64B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639E0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107" w:type="dxa"/>
            <w:vMerge w:val="continue"/>
            <w:noWrap w:val="0"/>
            <w:vAlign w:val="top"/>
          </w:tcPr>
          <w:p w14:paraId="0D9D5D0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1E8BAE1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服务团队是否稳定，是否经常变更。</w:t>
            </w:r>
          </w:p>
        </w:tc>
        <w:tc>
          <w:tcPr>
            <w:tcW w:w="1132" w:type="dxa"/>
            <w:noWrap w:val="0"/>
            <w:vAlign w:val="top"/>
          </w:tcPr>
          <w:p w14:paraId="4FE57093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36" w:type="dxa"/>
            <w:noWrap w:val="0"/>
            <w:vAlign w:val="top"/>
          </w:tcPr>
          <w:p w14:paraId="0049D97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2A8B3B7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1086A2E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9C9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3A50275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479576C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服务团队人员资质是否符合项目要求。 </w:t>
            </w:r>
          </w:p>
        </w:tc>
        <w:tc>
          <w:tcPr>
            <w:tcW w:w="1132" w:type="dxa"/>
            <w:noWrap w:val="0"/>
            <w:vAlign w:val="top"/>
          </w:tcPr>
          <w:p w14:paraId="620D088D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</w:p>
        </w:tc>
        <w:tc>
          <w:tcPr>
            <w:tcW w:w="1036" w:type="dxa"/>
            <w:noWrap w:val="0"/>
            <w:vAlign w:val="top"/>
          </w:tcPr>
          <w:p w14:paraId="7A0DFE6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410F0E6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4DBD063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5E82F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7" w:type="dxa"/>
            <w:vMerge w:val="continue"/>
            <w:noWrap w:val="0"/>
            <w:vAlign w:val="top"/>
          </w:tcPr>
          <w:p w14:paraId="58931BF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327" w:type="dxa"/>
            <w:noWrap w:val="0"/>
            <w:vAlign w:val="top"/>
          </w:tcPr>
          <w:p w14:paraId="09C0543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服务团队人员不符合项目要求时，是否及时更换符合项目要求的其他人员。</w:t>
            </w:r>
          </w:p>
        </w:tc>
        <w:tc>
          <w:tcPr>
            <w:tcW w:w="1132" w:type="dxa"/>
            <w:noWrap w:val="0"/>
            <w:vAlign w:val="top"/>
          </w:tcPr>
          <w:p w14:paraId="70006464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</w:p>
        </w:tc>
        <w:tc>
          <w:tcPr>
            <w:tcW w:w="1036" w:type="dxa"/>
            <w:noWrap w:val="0"/>
            <w:vAlign w:val="top"/>
          </w:tcPr>
          <w:p w14:paraId="044C580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483938D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vMerge w:val="continue"/>
            <w:noWrap w:val="0"/>
            <w:vAlign w:val="top"/>
          </w:tcPr>
          <w:p w14:paraId="03A43B6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5550F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 w14:paraId="6617DAC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1132" w:type="dxa"/>
            <w:noWrap w:val="0"/>
            <w:vAlign w:val="top"/>
          </w:tcPr>
          <w:p w14:paraId="157573E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100</w:t>
            </w:r>
          </w:p>
        </w:tc>
        <w:tc>
          <w:tcPr>
            <w:tcW w:w="1036" w:type="dxa"/>
            <w:noWrap w:val="0"/>
            <w:vAlign w:val="top"/>
          </w:tcPr>
          <w:p w14:paraId="781222F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noWrap w:val="0"/>
            <w:vAlign w:val="top"/>
          </w:tcPr>
          <w:p w14:paraId="0A09849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30" w:type="dxa"/>
            <w:gridSpan w:val="2"/>
            <w:noWrap w:val="0"/>
            <w:vAlign w:val="top"/>
          </w:tcPr>
          <w:p w14:paraId="174F790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251B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 w14:paraId="6035174F">
            <w:pPr>
              <w:spacing w:line="56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不合格情形评价指标</w:t>
            </w:r>
          </w:p>
          <w:p w14:paraId="7187CBC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（出现以下任一情形应当扣除41分，同时不再对一般情形评价指标进行评价。出现以下两项及以上即扣除100分。）</w:t>
            </w:r>
          </w:p>
        </w:tc>
        <w:tc>
          <w:tcPr>
            <w:tcW w:w="1132" w:type="dxa"/>
            <w:noWrap w:val="0"/>
            <w:vAlign w:val="top"/>
          </w:tcPr>
          <w:p w14:paraId="46188F7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扣分</w:t>
            </w:r>
          </w:p>
        </w:tc>
        <w:tc>
          <w:tcPr>
            <w:tcW w:w="1036" w:type="dxa"/>
            <w:noWrap w:val="0"/>
            <w:vAlign w:val="top"/>
          </w:tcPr>
          <w:p w14:paraId="2DCC5E8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请在需要扣分栏目打</w:t>
            </w:r>
            <w:r>
              <w:rPr>
                <w:rFonts w:ascii="Arial" w:hAnsi="Arial" w:eastAsia="仿宋_GB2312" w:cs="Arial"/>
                <w:szCs w:val="21"/>
              </w:rPr>
              <w:t>√</w:t>
            </w:r>
          </w:p>
        </w:tc>
        <w:tc>
          <w:tcPr>
            <w:tcW w:w="1228" w:type="dxa"/>
            <w:noWrap w:val="0"/>
            <w:vAlign w:val="top"/>
          </w:tcPr>
          <w:p w14:paraId="0613F1F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得分</w:t>
            </w:r>
          </w:p>
        </w:tc>
        <w:tc>
          <w:tcPr>
            <w:tcW w:w="1230" w:type="dxa"/>
            <w:gridSpan w:val="2"/>
            <w:noWrap w:val="0"/>
            <w:vAlign w:val="top"/>
          </w:tcPr>
          <w:p w14:paraId="0DF134F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   备注</w:t>
            </w:r>
          </w:p>
        </w:tc>
      </w:tr>
      <w:tr w14:paraId="3C2BB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499" w:hRule="atLeast"/>
        </w:trPr>
        <w:tc>
          <w:tcPr>
            <w:tcW w:w="4434" w:type="dxa"/>
            <w:gridSpan w:val="2"/>
            <w:noWrap w:val="0"/>
            <w:vAlign w:val="top"/>
          </w:tcPr>
          <w:p w14:paraId="7B2DC24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服务方案依据的法律条文适用错误（本款适用法律、审计、评估、税务等需要引用法律条文的服务方案）</w:t>
            </w:r>
          </w:p>
        </w:tc>
        <w:tc>
          <w:tcPr>
            <w:tcW w:w="1132" w:type="dxa"/>
            <w:vMerge w:val="restart"/>
            <w:noWrap w:val="0"/>
            <w:vAlign w:val="top"/>
          </w:tcPr>
          <w:p w14:paraId="250A9D8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417BCD5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restart"/>
            <w:noWrap w:val="0"/>
            <w:vAlign w:val="top"/>
          </w:tcPr>
          <w:p w14:paraId="48EF8FA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restart"/>
            <w:noWrap w:val="0"/>
            <w:vAlign w:val="top"/>
          </w:tcPr>
          <w:p w14:paraId="60466A4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F9A2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6500B4B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服务团队人数未达到合同约定人数。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4F0E089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2F910F0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1E0A5BB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23D10B6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372C52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57778C6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未按合同约定配合参加工作超过3次。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22E4108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22F48A3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173C84E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773D9772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CA31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5AE0153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服务方案反复修改6次或以上仍出现错漏。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4014748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5697722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58DB212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10C3B5B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71CF7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</w:trPr>
        <w:tc>
          <w:tcPr>
            <w:tcW w:w="4434" w:type="dxa"/>
            <w:gridSpan w:val="2"/>
            <w:noWrap w:val="0"/>
            <w:vAlign w:val="top"/>
          </w:tcPr>
          <w:p w14:paraId="310B83E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未能按照约定期限出具服务方案。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6C37723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413B5C6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719621A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444DB2E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C2E5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7" w:hRule="atLeast"/>
        </w:trPr>
        <w:tc>
          <w:tcPr>
            <w:tcW w:w="4434" w:type="dxa"/>
            <w:gridSpan w:val="2"/>
            <w:noWrap w:val="0"/>
            <w:vAlign w:val="top"/>
          </w:tcPr>
          <w:p w14:paraId="6488F20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未经公司同意，泄露服务过程中获得公司信息、资料。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1F8EC004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30D3F2D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226C0AC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5910BFA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19483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1100" w:hRule="atLeast"/>
        </w:trPr>
        <w:tc>
          <w:tcPr>
            <w:tcW w:w="4434" w:type="dxa"/>
            <w:gridSpan w:val="2"/>
            <w:noWrap w:val="0"/>
            <w:vAlign w:val="top"/>
          </w:tcPr>
          <w:p w14:paraId="713F0A27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弄虚作假，串通损害公司利益或存在欺骗等不诚信行为；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14F39F93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0E5CFD66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restart"/>
            <w:noWrap w:val="0"/>
            <w:vAlign w:val="top"/>
          </w:tcPr>
          <w:p w14:paraId="306428B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7E911D6B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4D5F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537" w:hRule="atLeast"/>
        </w:trPr>
        <w:tc>
          <w:tcPr>
            <w:tcW w:w="4434" w:type="dxa"/>
            <w:gridSpan w:val="2"/>
            <w:noWrap w:val="0"/>
            <w:vAlign w:val="top"/>
          </w:tcPr>
          <w:p w14:paraId="478D49A0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在合同履行中受到政府有关部门严重行政处罚的；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23E5C845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1610DA7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1C6CBE3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551CC63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0A0E09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619" w:hRule="atLeast"/>
        </w:trPr>
        <w:tc>
          <w:tcPr>
            <w:tcW w:w="4434" w:type="dxa"/>
            <w:gridSpan w:val="2"/>
            <w:noWrap w:val="0"/>
            <w:vAlign w:val="top"/>
          </w:tcPr>
          <w:p w14:paraId="21BB9B4E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bookmarkStart w:id="0" w:name="_GoBack"/>
            <w:r>
              <w:rPr>
                <w:rFonts w:hint="eastAsia" w:ascii="仿宋_GB2312" w:eastAsia="仿宋_GB2312"/>
                <w:szCs w:val="21"/>
                <w:lang w:eastAsia="zh-CN"/>
              </w:rPr>
              <w:t>其他</w:t>
            </w:r>
            <w:bookmarkEnd w:id="0"/>
            <w:r>
              <w:rPr>
                <w:rFonts w:hint="eastAsia" w:ascii="仿宋_GB2312" w:eastAsia="仿宋_GB2312"/>
                <w:szCs w:val="21"/>
              </w:rPr>
              <w:t>违反合同约定或违反法律法规、职业道德行为。</w:t>
            </w:r>
          </w:p>
        </w:tc>
        <w:tc>
          <w:tcPr>
            <w:tcW w:w="1132" w:type="dxa"/>
            <w:vMerge w:val="continue"/>
            <w:noWrap w:val="0"/>
            <w:vAlign w:val="top"/>
          </w:tcPr>
          <w:p w14:paraId="4B97ADF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4E6A20AD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8" w:type="dxa"/>
            <w:vMerge w:val="continue"/>
            <w:noWrap w:val="0"/>
            <w:vAlign w:val="top"/>
          </w:tcPr>
          <w:p w14:paraId="47C4EB49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223" w:type="dxa"/>
            <w:vMerge w:val="continue"/>
            <w:noWrap w:val="0"/>
            <w:vAlign w:val="top"/>
          </w:tcPr>
          <w:p w14:paraId="60067B0C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  <w:tr w14:paraId="5283A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34" w:type="dxa"/>
            <w:gridSpan w:val="2"/>
            <w:noWrap w:val="0"/>
            <w:vAlign w:val="top"/>
          </w:tcPr>
          <w:p w14:paraId="54C79721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总分100分</w:t>
            </w:r>
          </w:p>
        </w:tc>
        <w:tc>
          <w:tcPr>
            <w:tcW w:w="1132" w:type="dxa"/>
            <w:noWrap w:val="0"/>
            <w:vAlign w:val="top"/>
          </w:tcPr>
          <w:p w14:paraId="26D2414F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036" w:type="dxa"/>
            <w:noWrap w:val="0"/>
            <w:vAlign w:val="top"/>
          </w:tcPr>
          <w:p w14:paraId="6FC62B48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2458" w:type="dxa"/>
            <w:gridSpan w:val="3"/>
            <w:noWrap w:val="0"/>
            <w:vAlign w:val="top"/>
          </w:tcPr>
          <w:p w14:paraId="2B0D78AA">
            <w:pPr>
              <w:spacing w:line="560" w:lineRule="exact"/>
              <w:jc w:val="left"/>
              <w:rPr>
                <w:rFonts w:hint="eastAsia" w:ascii="仿宋_GB2312" w:eastAsia="仿宋_GB2312"/>
                <w:szCs w:val="21"/>
              </w:rPr>
            </w:pPr>
          </w:p>
        </w:tc>
      </w:tr>
    </w:tbl>
    <w:p w14:paraId="38EE38B1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</w:p>
    <w:p w14:paraId="7D32C5DE">
      <w:pPr>
        <w:pStyle w:val="5"/>
        <w:rPr>
          <w:rFonts w:hint="eastAsia" w:ascii="仿宋_GB2312" w:eastAsia="仿宋_GB2312"/>
          <w:color w:val="auto"/>
          <w:sz w:val="32"/>
          <w:szCs w:val="32"/>
        </w:rPr>
      </w:pPr>
    </w:p>
    <w:p w14:paraId="1A806BFC">
      <w:pPr>
        <w:pStyle w:val="5"/>
        <w:rPr>
          <w:rFonts w:hint="eastAsia" w:ascii="仿宋_GB2312" w:eastAsia="仿宋_GB2312"/>
          <w:color w:val="auto"/>
          <w:sz w:val="32"/>
          <w:szCs w:val="32"/>
        </w:rPr>
      </w:pPr>
    </w:p>
    <w:p w14:paraId="6D2A589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altName w:val="Trebuchet MS"/>
    <w:panose1 w:val="020B0600000101010101"/>
    <w:charset w:val="00"/>
    <w:family w:val="swiss"/>
    <w:pitch w:val="default"/>
    <w:sig w:usb0="00000000" w:usb1="00000000" w:usb2="00000030" w:usb3="00000000" w:csb0="0008009F" w:csb1="00000000"/>
  </w:font>
  <w:font w:name="Liberation Sans">
    <w:altName w:val="Segoe Print"/>
    <w:panose1 w:val="020B0604020202020204"/>
    <w:charset w:val="00"/>
    <w:family w:val="auto"/>
    <w:pitch w:val="default"/>
    <w:sig w:usb0="00000000" w:usb1="00000000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5A732141"/>
    <w:rsid w:val="9FDD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210"/>
      <w:jc w:val="left"/>
    </w:pPr>
    <w:rPr>
      <w:rFonts w:ascii="Calibri" w:hAnsi="Calibri"/>
      <w:smallCaps/>
      <w:sz w:val="20"/>
      <w:szCs w:val="20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1004</Words>
  <Characters>1023</Characters>
  <Lines>0</Lines>
  <Paragraphs>0</Paragraphs>
  <TotalTime>0</TotalTime>
  <ScaleCrop>false</ScaleCrop>
  <LinksUpToDate>false</LinksUpToDate>
  <CharactersWithSpaces>1086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张琦</cp:lastModifiedBy>
  <dcterms:modified xsi:type="dcterms:W3CDTF">2025-01-21T07:20:04Z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9F549251353F97EB110B8A672FB5F470</vt:lpwstr>
  </property>
  <property fmtid="{D5CDD505-2E9C-101B-9397-08002B2CF9AE}" pid="4" name="KSOTemplateDocerSaveRecord">
    <vt:lpwstr>eyJoZGlkIjoiZjYxZTUyYjc1MzQwNWRmNjlmMWQyYmQ2NmM1M2U4MmMiLCJ1c2VySWQiOiIyNjEzMjU1OTEifQ==</vt:lpwstr>
  </property>
</Properties>
</file>