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7E219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lang w:val="en-US" w:eastAsia="zh-CN"/>
        </w:rPr>
        <w:t>智慧家园项目物业管理用房装修工程</w:t>
      </w:r>
      <w:r>
        <w:rPr>
          <w:rFonts w:hint="eastAsia" w:ascii="方正小标宋简体" w:hAnsi="方正小标宋简体" w:eastAsia="方正小标宋简体" w:cs="方正小标宋简体"/>
          <w:b w:val="0"/>
          <w:bCs w:val="0"/>
          <w:color w:val="auto"/>
          <w:sz w:val="44"/>
          <w:szCs w:val="44"/>
          <w:highlight w:val="none"/>
        </w:rPr>
        <w:t>项目</w:t>
      </w:r>
    </w:p>
    <w:p w14:paraId="435AF4B9">
      <w:pPr>
        <w:pStyle w:val="4"/>
        <w:keepNext w:val="0"/>
        <w:keepLines w:val="0"/>
        <w:pageBreakBefore w:val="0"/>
        <w:numPr>
          <w:ilvl w:val="255"/>
          <w:numId w:val="0"/>
        </w:numPr>
        <w:tabs>
          <w:tab w:val="left" w:pos="63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sz w:val="44"/>
          <w:szCs w:val="44"/>
          <w:lang w:val="en-US" w:eastAsia="zh-CN"/>
        </w:rPr>
        <w:t>造价咨询</w:t>
      </w:r>
      <w:r>
        <w:rPr>
          <w:rFonts w:hint="eastAsia" w:ascii="方正小标宋简体" w:hAnsi="方正小标宋简体" w:eastAsia="方正小标宋简体" w:cs="方正小标宋简体"/>
          <w:b w:val="0"/>
          <w:bCs/>
          <w:sz w:val="44"/>
          <w:szCs w:val="44"/>
          <w:lang w:val="en-US" w:eastAsia="zh-CN"/>
        </w:rPr>
        <w:t>遴选评定细则</w:t>
      </w:r>
    </w:p>
    <w:p w14:paraId="198A0FA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 w:eastAsia="仿宋_GB2312" w:cs="仿宋"/>
          <w:b/>
          <w:sz w:val="30"/>
          <w:szCs w:val="30"/>
        </w:rPr>
      </w:pPr>
    </w:p>
    <w:p w14:paraId="0627B80F">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本项目遴选</w:t>
      </w:r>
      <w:r>
        <w:rPr>
          <w:rFonts w:hint="eastAsia" w:ascii="仿宋_GB2312" w:hAnsi="仿宋_GB2312" w:eastAsia="仿宋_GB2312" w:cs="仿宋_GB2312"/>
          <w:sz w:val="32"/>
          <w:szCs w:val="32"/>
          <w:lang w:val="en-US" w:eastAsia="zh-CN"/>
        </w:rPr>
        <w:t>方式及</w:t>
      </w:r>
      <w:r>
        <w:rPr>
          <w:rFonts w:hint="eastAsia" w:ascii="仿宋_GB2312" w:hAnsi="仿宋_GB2312" w:eastAsia="仿宋_GB2312" w:cs="仿宋_GB2312"/>
          <w:sz w:val="32"/>
          <w:szCs w:val="32"/>
        </w:rPr>
        <w:t>评定细则</w:t>
      </w:r>
      <w:r>
        <w:rPr>
          <w:rFonts w:hint="eastAsia" w:ascii="仿宋_GB2312" w:hAnsi="仿宋_GB2312" w:eastAsia="仿宋_GB2312" w:cs="仿宋_GB2312"/>
          <w:sz w:val="32"/>
          <w:szCs w:val="32"/>
          <w:lang w:val="en-US" w:eastAsia="zh-CN"/>
        </w:rPr>
        <w:t>如下：</w:t>
      </w:r>
    </w:p>
    <w:p w14:paraId="3E855EE1">
      <w:pPr>
        <w:adjustRightInd w:val="0"/>
        <w:snapToGrid w:val="0"/>
        <w:spacing w:line="560" w:lineRule="exact"/>
        <w:ind w:firstLine="640" w:firstLineChars="200"/>
        <w:jc w:val="lef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color w:val="000000"/>
          <w:sz w:val="32"/>
          <w:szCs w:val="32"/>
          <w:lang w:val="en-US" w:eastAsia="zh-CN"/>
        </w:rPr>
        <w:t>一、遴选方式：建议采用综合评审（</w:t>
      </w:r>
      <w:r>
        <w:rPr>
          <w:rFonts w:hint="eastAsia" w:ascii="仿宋_GB2312" w:hAnsi="仿宋_GB2312" w:eastAsia="仿宋_GB2312" w:cs="仿宋_GB2312"/>
          <w:b w:val="0"/>
          <w:bCs w:val="0"/>
          <w:color w:val="000000"/>
          <w:sz w:val="32"/>
          <w:szCs w:val="32"/>
        </w:rPr>
        <w:t>择优票决法</w:t>
      </w:r>
      <w:r>
        <w:rPr>
          <w:rFonts w:hint="eastAsia" w:ascii="仿宋_GB2312" w:hAnsi="仿宋_GB2312" w:eastAsia="仿宋_GB2312" w:cs="仿宋_GB2312"/>
          <w:b w:val="0"/>
          <w:bCs w:val="0"/>
          <w:color w:val="000000"/>
          <w:sz w:val="32"/>
          <w:szCs w:val="32"/>
          <w:lang w:val="en-US" w:eastAsia="zh-CN"/>
        </w:rPr>
        <w:t>）方式确定维修单位，在</w:t>
      </w:r>
      <w:r>
        <w:rPr>
          <w:rFonts w:hint="eastAsia" w:ascii="仿宋_GB2312" w:hAnsi="仿宋_GB2312" w:eastAsia="仿宋_GB2312" w:cs="仿宋_GB2312"/>
          <w:b w:val="0"/>
          <w:bCs w:val="0"/>
          <w:sz w:val="32"/>
          <w:szCs w:val="32"/>
          <w:lang w:val="en-US" w:eastAsia="zh-CN"/>
        </w:rPr>
        <w:t>官网</w:t>
      </w:r>
      <w:r>
        <w:rPr>
          <w:rFonts w:hint="eastAsia" w:ascii="仿宋_GB2312" w:hAnsi="仿宋_GB2312" w:eastAsia="仿宋_GB2312" w:cs="仿宋_GB2312"/>
          <w:b w:val="0"/>
          <w:bCs w:val="0"/>
          <w:sz w:val="32"/>
          <w:szCs w:val="32"/>
        </w:rPr>
        <w:t>发布遴选公告，</w:t>
      </w:r>
      <w:r>
        <w:rPr>
          <w:rFonts w:hint="eastAsia" w:ascii="仿宋_GB2312" w:hAnsi="仿宋_GB2312" w:eastAsia="仿宋_GB2312" w:cs="仿宋_GB2312"/>
          <w:b w:val="0"/>
          <w:bCs w:val="0"/>
          <w:sz w:val="32"/>
          <w:szCs w:val="32"/>
          <w:lang w:eastAsia="zh-CN"/>
        </w:rPr>
        <w:t>截标后由项目小组组织关联部门组成评审和监督小组，召开开标评审会，对响应单位的资质、业绩、报价等情况进行综合对比后，采用直接票决法选择成交候选单位，经中选公示、合同审批后，选定合同单位。</w:t>
      </w:r>
    </w:p>
    <w:p w14:paraId="69FEE032">
      <w:pPr>
        <w:adjustRightInd/>
        <w:snapToGrid/>
        <w:spacing w:line="560" w:lineRule="exact"/>
        <w:ind w:firstLine="640" w:firstLineChars="200"/>
        <w:jc w:val="left"/>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二、评定细则：</w:t>
      </w:r>
    </w:p>
    <w:p w14:paraId="2D81DE2D">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A.2022年起至今近有3项同类工程业绩的为优；</w:t>
      </w:r>
    </w:p>
    <w:p w14:paraId="63C2EDF8">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B.统计所有进入综合评审环节的投标供应商的报价下浮率，计算得出平均下浮率，横向对比其中最接近平均下浮率的为优；</w:t>
      </w:r>
    </w:p>
    <w:p w14:paraId="2A7FD770">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C.2022年至今，在经营活动中没有重大违法记录；供应商未被列入失信被执行人、重大税收违法案件当事人名单、企业经营异常名录、联合惩戒清单或严重违法失信企业名单（提供“信用中国”的查询结果）。</w:t>
      </w:r>
    </w:p>
    <w:p w14:paraId="355AE717">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D.评审小组根据响应服务方案，横向对比后，选取一名响应单位评优。重点考察包括对本项目及工作内容的理解、拟派遣团队及业绩、响应速度、工作安排及相关服务承诺等。</w:t>
      </w:r>
    </w:p>
    <w:p w14:paraId="04DE2245">
      <w:pPr>
        <w:keepNext w:val="0"/>
        <w:keepLines w:val="0"/>
        <w:pageBreakBefore w:val="0"/>
        <w:widowControl/>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备注：重点考察包括对本项目及工作内容的理解、拟派遣团队及业绩、响应速度、工作安排及相关服务承诺等。</w:t>
      </w:r>
    </w:p>
    <w:p w14:paraId="43FC5448">
      <w:pPr>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评审小组根据上述择优项按“优”项数多少选取第一名响应单位作为成交候选承包商。</w:t>
      </w:r>
      <w:r>
        <w:rPr>
          <w:rFonts w:hint="eastAsia" w:ascii="仿宋_GB2312" w:hAnsi="仿宋_GB2312" w:eastAsia="仿宋_GB2312" w:cs="仿宋_GB2312"/>
          <w:b w:val="0"/>
          <w:bCs w:val="0"/>
          <w:sz w:val="32"/>
          <w:szCs w:val="32"/>
        </w:rPr>
        <w:t>如得优数量一致，则根据评审人对本项目的理解，投票确定候选</w:t>
      </w:r>
      <w:r>
        <w:rPr>
          <w:rFonts w:hint="eastAsia" w:ascii="仿宋_GB2312" w:hAnsi="仿宋_GB2312" w:eastAsia="仿宋_GB2312" w:cs="仿宋_GB2312"/>
          <w:b w:val="0"/>
          <w:bCs w:val="0"/>
          <w:sz w:val="32"/>
          <w:szCs w:val="32"/>
          <w:lang w:val="en-US" w:eastAsia="zh-CN"/>
        </w:rPr>
        <w:t>造价咨询</w:t>
      </w:r>
      <w:r>
        <w:rPr>
          <w:rFonts w:hint="eastAsia" w:ascii="仿宋_GB2312" w:hAnsi="仿宋_GB2312" w:eastAsia="仿宋_GB2312" w:cs="仿宋_GB2312"/>
          <w:b w:val="0"/>
          <w:bCs w:val="0"/>
          <w:sz w:val="32"/>
          <w:szCs w:val="32"/>
        </w:rPr>
        <w:t>单位。</w:t>
      </w:r>
    </w:p>
    <w:p w14:paraId="6551B310">
      <w:pPr>
        <w:pStyle w:val="2"/>
        <w:rPr>
          <w:rFonts w:hint="eastAsia"/>
          <w:lang w:val="en-US" w:eastAsia="zh-CN"/>
        </w:rPr>
      </w:pPr>
    </w:p>
    <w:p w14:paraId="57F055D6">
      <w:pPr>
        <w:pStyle w:val="3"/>
        <w:rPr>
          <w:rFonts w:hint="eastAsia"/>
        </w:rPr>
      </w:pPr>
    </w:p>
    <w:p w14:paraId="35E1EE91">
      <w:pPr>
        <w:keepNext w:val="0"/>
        <w:keepLines w:val="0"/>
        <w:pageBreakBefore w:val="0"/>
        <w:widowControl w:val="0"/>
        <w:tabs>
          <w:tab w:val="left" w:pos="420"/>
        </w:tabs>
        <w:kinsoku/>
        <w:wordWrap/>
        <w:overflowPunct/>
        <w:topLinePunct w:val="0"/>
        <w:autoSpaceDE/>
        <w:autoSpaceDN/>
        <w:bidi w:val="0"/>
        <w:adjustRightInd w:val="0"/>
        <w:snapToGrid w:val="0"/>
        <w:spacing w:line="560" w:lineRule="exact"/>
        <w:ind w:left="0" w:leftChars="0" w:firstLine="640" w:firstLineChars="200"/>
        <w:jc w:val="center"/>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bookmarkStart w:id="0" w:name="_GoBack"/>
      <w:r>
        <w:rPr>
          <w:rFonts w:hint="eastAsia" w:ascii="仿宋_GB2312" w:hAnsi="仿宋_GB2312" w:eastAsia="仿宋_GB2312" w:cs="仿宋_GB2312"/>
          <w:sz w:val="32"/>
          <w:szCs w:val="32"/>
          <w:lang w:val="en-US" w:eastAsia="zh-CN"/>
        </w:rPr>
        <w:t>深圳市龙岗区城市建设投资集团有限公司</w:t>
      </w:r>
    </w:p>
    <w:p w14:paraId="5AD5BA2E">
      <w:pPr>
        <w:keepNext w:val="0"/>
        <w:keepLines w:val="0"/>
        <w:pageBreakBefore w:val="0"/>
        <w:widowControl w:val="0"/>
        <w:tabs>
          <w:tab w:val="left" w:pos="420"/>
        </w:tabs>
        <w:kinsoku/>
        <w:wordWrap/>
        <w:overflowPunct/>
        <w:topLinePunct w:val="0"/>
        <w:autoSpaceDE/>
        <w:autoSpaceDN/>
        <w:bidi w:val="0"/>
        <w:adjustRightInd w:val="0"/>
        <w:snapToGrid w:val="0"/>
        <w:spacing w:line="560" w:lineRule="exact"/>
        <w:ind w:left="0" w:leftChars="0"/>
        <w:jc w:val="center"/>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2025年1月20日</w:t>
      </w:r>
    </w:p>
    <w:bookmarkEnd w:id="0"/>
    <w:p w14:paraId="70C312E1"/>
    <w:p w14:paraId="2536EE60">
      <w:pPr>
        <w:pStyle w:val="2"/>
      </w:pPr>
    </w:p>
    <w:p w14:paraId="7F890E17">
      <w:r>
        <w:br w:type="page"/>
      </w:r>
    </w:p>
    <w:p w14:paraId="1CE7437F">
      <w:pPr>
        <w:pStyle w:val="12"/>
        <w:widowControl/>
        <w:spacing w:line="560" w:lineRule="exact"/>
        <w:rPr>
          <w:rFonts w:hint="default" w:ascii="仿宋" w:hAnsi="仿宋" w:eastAsia="仿宋"/>
          <w:sz w:val="30"/>
          <w:szCs w:val="30"/>
        </w:rPr>
      </w:pPr>
      <w:r>
        <w:rPr>
          <w:rFonts w:ascii="仿宋" w:hAnsi="仿宋" w:eastAsia="仿宋"/>
          <w:b/>
          <w:sz w:val="30"/>
          <w:szCs w:val="30"/>
        </w:rPr>
        <w:t>投标文件一览表</w:t>
      </w:r>
    </w:p>
    <w:p w14:paraId="629FE8DB">
      <w:pPr>
        <w:pStyle w:val="2"/>
      </w:pPr>
    </w:p>
    <w:p w14:paraId="4CF13732"/>
    <w:tbl>
      <w:tblPr>
        <w:tblStyle w:val="9"/>
        <w:tblpPr w:leftFromText="180" w:rightFromText="180" w:vertAnchor="page" w:horzAnchor="page" w:tblpX="1777" w:tblpY="2651"/>
        <w:tblOverlap w:val="never"/>
        <w:tblW w:w="9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2815"/>
        <w:gridCol w:w="5461"/>
      </w:tblGrid>
      <w:tr w14:paraId="3ECFD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55" w:type="dxa"/>
            <w:vAlign w:val="center"/>
          </w:tcPr>
          <w:p w14:paraId="35956BAD">
            <w:pPr>
              <w:pStyle w:val="13"/>
              <w:keepNext w:val="0"/>
              <w:keepLines w:val="0"/>
              <w:pageBreakBefore w:val="0"/>
              <w:widowControl w:val="0"/>
              <w:kinsoku/>
              <w:wordWrap/>
              <w:overflowPunct/>
              <w:topLinePunct w:val="0"/>
              <w:autoSpaceDE/>
              <w:autoSpaceDN/>
              <w:bidi w:val="0"/>
              <w:spacing w:line="240" w:lineRule="exact"/>
              <w:ind w:firstLine="0" w:firstLineChars="0"/>
              <w:jc w:val="center"/>
              <w:textAlignment w:val="auto"/>
              <w:rPr>
                <w:rFonts w:ascii="宋体" w:hAnsi="宋体"/>
                <w:b/>
                <w:bCs/>
                <w:sz w:val="24"/>
                <w:szCs w:val="24"/>
              </w:rPr>
            </w:pPr>
            <w:r>
              <w:rPr>
                <w:rFonts w:hint="eastAsia" w:ascii="宋体" w:hAnsi="宋体"/>
                <w:b/>
                <w:bCs/>
                <w:sz w:val="24"/>
                <w:szCs w:val="24"/>
              </w:rPr>
              <w:t>序号</w:t>
            </w:r>
          </w:p>
        </w:tc>
        <w:tc>
          <w:tcPr>
            <w:tcW w:w="2815" w:type="dxa"/>
            <w:vAlign w:val="center"/>
          </w:tcPr>
          <w:p w14:paraId="18689A9C">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b/>
                <w:bCs/>
                <w:sz w:val="24"/>
                <w:szCs w:val="24"/>
              </w:rPr>
            </w:pPr>
            <w:r>
              <w:rPr>
                <w:rFonts w:hint="eastAsia" w:ascii="宋体" w:hAnsi="宋体"/>
                <w:b/>
                <w:bCs/>
                <w:sz w:val="24"/>
                <w:szCs w:val="24"/>
              </w:rPr>
              <w:t>文件名称</w:t>
            </w:r>
          </w:p>
        </w:tc>
        <w:tc>
          <w:tcPr>
            <w:tcW w:w="5461" w:type="dxa"/>
            <w:vAlign w:val="center"/>
          </w:tcPr>
          <w:p w14:paraId="65B707F9">
            <w:pPr>
              <w:pStyle w:val="2"/>
              <w:keepNext w:val="0"/>
              <w:keepLines w:val="0"/>
              <w:pageBreakBefore w:val="0"/>
              <w:widowControl w:val="0"/>
              <w:kinsoku/>
              <w:wordWrap/>
              <w:overflowPunct/>
              <w:topLinePunct w:val="0"/>
              <w:autoSpaceDE/>
              <w:autoSpaceDN/>
              <w:bidi w:val="0"/>
              <w:spacing w:line="240" w:lineRule="exact"/>
              <w:jc w:val="center"/>
              <w:textAlignment w:val="auto"/>
              <w:rPr>
                <w:rFonts w:hAnsi="宋体"/>
                <w:b/>
                <w:bCs/>
                <w:sz w:val="24"/>
                <w:szCs w:val="24"/>
              </w:rPr>
            </w:pPr>
            <w:r>
              <w:rPr>
                <w:rFonts w:hint="eastAsia" w:hAnsi="宋体"/>
                <w:b/>
                <w:bCs/>
                <w:sz w:val="24"/>
                <w:szCs w:val="24"/>
              </w:rPr>
              <w:t>要求说明</w:t>
            </w:r>
          </w:p>
        </w:tc>
      </w:tr>
      <w:tr w14:paraId="592D7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55" w:type="dxa"/>
            <w:vAlign w:val="center"/>
          </w:tcPr>
          <w:p w14:paraId="2703C4CA">
            <w:pPr>
              <w:pStyle w:val="13"/>
              <w:spacing w:line="360" w:lineRule="exact"/>
              <w:ind w:firstLine="0" w:firstLineChars="0"/>
              <w:jc w:val="center"/>
              <w:rPr>
                <w:rFonts w:ascii="宋体" w:hAnsi="宋体"/>
                <w:szCs w:val="21"/>
              </w:rPr>
            </w:pPr>
            <w:r>
              <w:rPr>
                <w:rFonts w:hint="eastAsia" w:ascii="宋体" w:hAnsi="宋体"/>
                <w:szCs w:val="21"/>
              </w:rPr>
              <w:t>1</w:t>
            </w:r>
          </w:p>
        </w:tc>
        <w:tc>
          <w:tcPr>
            <w:tcW w:w="2815" w:type="dxa"/>
            <w:vAlign w:val="center"/>
          </w:tcPr>
          <w:p w14:paraId="51FCC335">
            <w:pPr>
              <w:adjustRightInd w:val="0"/>
              <w:snapToGrid w:val="0"/>
              <w:spacing w:line="580" w:lineRule="exact"/>
              <w:jc w:val="left"/>
              <w:rPr>
                <w:rFonts w:ascii="宋体" w:hAnsi="宋体"/>
                <w:szCs w:val="21"/>
              </w:rPr>
            </w:pPr>
            <w:r>
              <w:rPr>
                <w:rFonts w:hint="eastAsia" w:ascii="宋体" w:hAnsi="宋体"/>
                <w:szCs w:val="21"/>
              </w:rPr>
              <w:t>基本情况资料</w:t>
            </w:r>
          </w:p>
        </w:tc>
        <w:tc>
          <w:tcPr>
            <w:tcW w:w="5461" w:type="dxa"/>
            <w:vAlign w:val="center"/>
          </w:tcPr>
          <w:p w14:paraId="63D61F31">
            <w:pPr>
              <w:pStyle w:val="2"/>
              <w:rPr>
                <w:rFonts w:hAnsi="宋体"/>
              </w:rPr>
            </w:pPr>
            <w:r>
              <w:rPr>
                <w:rFonts w:hint="eastAsia" w:hAnsi="宋体"/>
              </w:rPr>
              <w:t>提供营业执照复印件、资质证书复印件、法定代表人证明书及身份证复印件、法定代表人授权委托书及身份证复印件。</w:t>
            </w:r>
          </w:p>
        </w:tc>
      </w:tr>
      <w:tr w14:paraId="53AD3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55" w:type="dxa"/>
            <w:vAlign w:val="center"/>
          </w:tcPr>
          <w:p w14:paraId="6C4382E5">
            <w:pPr>
              <w:pStyle w:val="13"/>
              <w:spacing w:line="360" w:lineRule="exact"/>
              <w:ind w:firstLine="0" w:firstLineChars="0"/>
              <w:jc w:val="center"/>
              <w:rPr>
                <w:rFonts w:ascii="宋体" w:hAnsi="宋体"/>
                <w:szCs w:val="21"/>
              </w:rPr>
            </w:pPr>
            <w:r>
              <w:rPr>
                <w:rFonts w:hint="eastAsia" w:ascii="宋体" w:hAnsi="宋体"/>
                <w:szCs w:val="21"/>
              </w:rPr>
              <w:t>2</w:t>
            </w:r>
          </w:p>
        </w:tc>
        <w:tc>
          <w:tcPr>
            <w:tcW w:w="2815" w:type="dxa"/>
            <w:vAlign w:val="center"/>
          </w:tcPr>
          <w:p w14:paraId="4210E044">
            <w:pPr>
              <w:adjustRightInd w:val="0"/>
              <w:snapToGrid w:val="0"/>
              <w:spacing w:line="580" w:lineRule="exact"/>
              <w:jc w:val="left"/>
              <w:rPr>
                <w:rFonts w:ascii="宋体" w:hAnsi="宋体"/>
                <w:szCs w:val="21"/>
              </w:rPr>
            </w:pPr>
            <w:r>
              <w:rPr>
                <w:rFonts w:hint="eastAsia" w:ascii="宋体" w:hAnsi="宋体"/>
                <w:szCs w:val="21"/>
              </w:rPr>
              <w:t>承诺函</w:t>
            </w:r>
          </w:p>
        </w:tc>
        <w:tc>
          <w:tcPr>
            <w:tcW w:w="5461" w:type="dxa"/>
            <w:vAlign w:val="center"/>
          </w:tcPr>
          <w:p w14:paraId="396A40FC">
            <w:pPr>
              <w:pStyle w:val="13"/>
              <w:spacing w:line="360" w:lineRule="exact"/>
              <w:ind w:firstLine="0" w:firstLineChars="0"/>
              <w:jc w:val="left"/>
              <w:rPr>
                <w:rFonts w:ascii="宋体" w:hAnsi="宋体"/>
                <w:szCs w:val="21"/>
              </w:rPr>
            </w:pPr>
            <w:r>
              <w:rPr>
                <w:rFonts w:hint="eastAsia" w:ascii="宋体" w:hAnsi="宋体"/>
                <w:szCs w:val="21"/>
              </w:rPr>
              <w:t>格式后附。</w:t>
            </w:r>
          </w:p>
        </w:tc>
      </w:tr>
      <w:tr w14:paraId="6212A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55" w:type="dxa"/>
            <w:vAlign w:val="center"/>
          </w:tcPr>
          <w:p w14:paraId="6D46AA2E">
            <w:pPr>
              <w:pStyle w:val="13"/>
              <w:spacing w:line="360" w:lineRule="exact"/>
              <w:ind w:firstLine="0" w:firstLineChars="0"/>
              <w:jc w:val="center"/>
              <w:rPr>
                <w:rFonts w:hint="eastAsia" w:ascii="宋体" w:hAnsi="宋体" w:eastAsia="宋体"/>
                <w:szCs w:val="21"/>
                <w:lang w:eastAsia="zh-CN"/>
              </w:rPr>
            </w:pPr>
            <w:r>
              <w:rPr>
                <w:rFonts w:hint="eastAsia" w:ascii="宋体" w:hAnsi="宋体"/>
                <w:szCs w:val="21"/>
                <w:lang w:val="en-US" w:eastAsia="zh-CN"/>
              </w:rPr>
              <w:t>3</w:t>
            </w:r>
          </w:p>
        </w:tc>
        <w:tc>
          <w:tcPr>
            <w:tcW w:w="2815" w:type="dxa"/>
            <w:vAlign w:val="center"/>
          </w:tcPr>
          <w:p w14:paraId="4D7D882F">
            <w:pPr>
              <w:pStyle w:val="13"/>
              <w:spacing w:line="360" w:lineRule="exact"/>
              <w:ind w:firstLine="0" w:firstLineChars="0"/>
              <w:jc w:val="left"/>
              <w:rPr>
                <w:rFonts w:ascii="宋体" w:hAnsi="宋体" w:cs="宋体"/>
                <w:kern w:val="0"/>
                <w:szCs w:val="21"/>
              </w:rPr>
            </w:pPr>
            <w:r>
              <w:rPr>
                <w:rFonts w:hint="eastAsia" w:ascii="宋体" w:hAnsi="宋体" w:cs="宋体"/>
                <w:kern w:val="0"/>
                <w:szCs w:val="21"/>
              </w:rPr>
              <w:t>龙岗区进一步规范政商交往行为告知书</w:t>
            </w:r>
          </w:p>
        </w:tc>
        <w:tc>
          <w:tcPr>
            <w:tcW w:w="5461" w:type="dxa"/>
            <w:vAlign w:val="center"/>
          </w:tcPr>
          <w:p w14:paraId="4696C3C9">
            <w:pPr>
              <w:pStyle w:val="13"/>
              <w:spacing w:line="360" w:lineRule="exact"/>
              <w:ind w:firstLine="0" w:firstLineChars="0"/>
              <w:jc w:val="left"/>
              <w:rPr>
                <w:rFonts w:ascii="宋体" w:hAnsi="宋体"/>
                <w:szCs w:val="21"/>
              </w:rPr>
            </w:pPr>
            <w:r>
              <w:rPr>
                <w:rFonts w:hint="eastAsia" w:ascii="宋体" w:hAnsi="宋体"/>
                <w:szCs w:val="21"/>
              </w:rPr>
              <w:t>提供法定代表人或者法定代表人授权人签字版。</w:t>
            </w:r>
          </w:p>
        </w:tc>
      </w:tr>
      <w:tr w14:paraId="1F3B4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55" w:type="dxa"/>
            <w:vAlign w:val="center"/>
          </w:tcPr>
          <w:p w14:paraId="21BD4544">
            <w:pPr>
              <w:pStyle w:val="13"/>
              <w:spacing w:line="360" w:lineRule="exact"/>
              <w:ind w:firstLine="0" w:firstLineChars="0"/>
              <w:jc w:val="center"/>
              <w:rPr>
                <w:rFonts w:hint="eastAsia" w:ascii="宋体" w:hAnsi="宋体" w:eastAsia="宋体"/>
                <w:szCs w:val="21"/>
                <w:lang w:eastAsia="zh-CN"/>
              </w:rPr>
            </w:pPr>
            <w:r>
              <w:rPr>
                <w:rFonts w:hint="eastAsia" w:ascii="宋体" w:hAnsi="宋体"/>
                <w:szCs w:val="21"/>
                <w:lang w:val="en-US" w:eastAsia="zh-CN"/>
              </w:rPr>
              <w:t>4</w:t>
            </w:r>
          </w:p>
        </w:tc>
        <w:tc>
          <w:tcPr>
            <w:tcW w:w="2815" w:type="dxa"/>
            <w:vAlign w:val="center"/>
          </w:tcPr>
          <w:p w14:paraId="45E79659">
            <w:pPr>
              <w:adjustRightInd w:val="0"/>
              <w:snapToGrid w:val="0"/>
              <w:spacing w:line="580" w:lineRule="exact"/>
              <w:jc w:val="left"/>
              <w:rPr>
                <w:rFonts w:ascii="宋体" w:hAnsi="宋体"/>
                <w:szCs w:val="21"/>
              </w:rPr>
            </w:pPr>
            <w:r>
              <w:rPr>
                <w:rFonts w:hint="eastAsia" w:ascii="宋体" w:hAnsi="宋体"/>
                <w:szCs w:val="21"/>
              </w:rPr>
              <w:t>投标单位业绩</w:t>
            </w:r>
          </w:p>
        </w:tc>
        <w:tc>
          <w:tcPr>
            <w:tcW w:w="5461" w:type="dxa"/>
            <w:vAlign w:val="center"/>
          </w:tcPr>
          <w:p w14:paraId="7318EF1F">
            <w:pPr>
              <w:pStyle w:val="13"/>
              <w:spacing w:line="360" w:lineRule="exact"/>
              <w:ind w:firstLine="0" w:firstLineChars="0"/>
              <w:jc w:val="left"/>
              <w:rPr>
                <w:rFonts w:ascii="宋体" w:hAnsi="宋体"/>
                <w:szCs w:val="21"/>
              </w:rPr>
            </w:pPr>
            <w:r>
              <w:rPr>
                <w:rFonts w:hint="eastAsia" w:ascii="宋体" w:hAnsi="宋体"/>
                <w:szCs w:val="21"/>
              </w:rPr>
              <w:t>202</w:t>
            </w:r>
            <w:r>
              <w:rPr>
                <w:rFonts w:hint="eastAsia" w:ascii="宋体" w:hAnsi="宋体"/>
                <w:szCs w:val="21"/>
                <w:lang w:val="en-US" w:eastAsia="zh-CN"/>
              </w:rPr>
              <w:t>2</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w:t>
            </w:r>
            <w:r>
              <w:rPr>
                <w:rFonts w:hint="eastAsia" w:ascii="宋体" w:hAnsi="宋体"/>
                <w:szCs w:val="21"/>
                <w:lang w:val="en-US" w:eastAsia="zh-CN"/>
              </w:rPr>
              <w:t>起</w:t>
            </w:r>
            <w:r>
              <w:rPr>
                <w:rFonts w:hint="eastAsia" w:ascii="宋体" w:hAnsi="宋体"/>
                <w:szCs w:val="21"/>
              </w:rPr>
              <w:t>有3项业绩（不超过3项，若超过</w:t>
            </w:r>
            <w:r>
              <w:rPr>
                <w:rFonts w:ascii="宋体" w:hAnsi="宋体"/>
                <w:szCs w:val="21"/>
              </w:rPr>
              <w:t>3</w:t>
            </w:r>
            <w:r>
              <w:rPr>
                <w:rFonts w:hint="eastAsia" w:ascii="宋体" w:hAnsi="宋体"/>
                <w:szCs w:val="21"/>
              </w:rPr>
              <w:t>项，招标人仅对前</w:t>
            </w:r>
            <w:r>
              <w:rPr>
                <w:rFonts w:ascii="宋体" w:hAnsi="宋体"/>
                <w:szCs w:val="21"/>
              </w:rPr>
              <w:t>3</w:t>
            </w:r>
            <w:r>
              <w:rPr>
                <w:rFonts w:hint="eastAsia" w:ascii="宋体" w:hAnsi="宋体"/>
                <w:szCs w:val="21"/>
              </w:rPr>
              <w:t>项业绩进行复核及统计）提供合同关键扫描页，以合同签订时间为准，未体现合同签订时间的为无效业绩。</w:t>
            </w:r>
          </w:p>
        </w:tc>
      </w:tr>
      <w:tr w14:paraId="59E19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55" w:type="dxa"/>
            <w:vAlign w:val="center"/>
          </w:tcPr>
          <w:p w14:paraId="1875FD05">
            <w:pPr>
              <w:pStyle w:val="13"/>
              <w:spacing w:line="360" w:lineRule="exact"/>
              <w:ind w:firstLine="0" w:firstLineChars="0"/>
              <w:jc w:val="center"/>
              <w:rPr>
                <w:rFonts w:hint="eastAsia" w:ascii="宋体" w:hAnsi="宋体" w:eastAsia="宋体"/>
                <w:szCs w:val="21"/>
                <w:lang w:eastAsia="zh-CN"/>
              </w:rPr>
            </w:pPr>
            <w:r>
              <w:rPr>
                <w:rFonts w:hint="eastAsia" w:ascii="宋体" w:hAnsi="宋体"/>
                <w:szCs w:val="21"/>
                <w:lang w:val="en-US" w:eastAsia="zh-CN"/>
              </w:rPr>
              <w:t>5</w:t>
            </w:r>
          </w:p>
        </w:tc>
        <w:tc>
          <w:tcPr>
            <w:tcW w:w="2815" w:type="dxa"/>
            <w:vAlign w:val="center"/>
          </w:tcPr>
          <w:p w14:paraId="0F55765F">
            <w:pPr>
              <w:adjustRightInd w:val="0"/>
              <w:snapToGrid w:val="0"/>
              <w:spacing w:line="580" w:lineRule="exact"/>
              <w:jc w:val="left"/>
              <w:rPr>
                <w:rFonts w:ascii="宋体" w:hAnsi="宋体"/>
                <w:szCs w:val="21"/>
              </w:rPr>
            </w:pPr>
            <w:r>
              <w:rPr>
                <w:rFonts w:hint="eastAsia" w:ascii="宋体" w:hAnsi="宋体"/>
                <w:szCs w:val="21"/>
              </w:rPr>
              <w:t>服务方案</w:t>
            </w:r>
          </w:p>
        </w:tc>
        <w:tc>
          <w:tcPr>
            <w:tcW w:w="5461" w:type="dxa"/>
            <w:vAlign w:val="center"/>
          </w:tcPr>
          <w:p w14:paraId="24EF6254">
            <w:pPr>
              <w:pStyle w:val="2"/>
              <w:rPr>
                <w:rFonts w:hAnsi="宋体"/>
              </w:rPr>
            </w:pPr>
            <w:r>
              <w:rPr>
                <w:rFonts w:hint="eastAsia" w:hAnsi="宋体"/>
              </w:rPr>
              <w:t>重点考察包括对本项目及工作内容的理解、拟派遣团队及业绩、响应速度、工作安排及相关服务承诺等</w:t>
            </w:r>
          </w:p>
        </w:tc>
      </w:tr>
      <w:tr w14:paraId="191F3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55" w:type="dxa"/>
            <w:vAlign w:val="center"/>
          </w:tcPr>
          <w:p w14:paraId="55DF4976">
            <w:pPr>
              <w:pStyle w:val="13"/>
              <w:spacing w:line="360" w:lineRule="exact"/>
              <w:ind w:firstLine="0" w:firstLineChars="0"/>
              <w:jc w:val="center"/>
              <w:rPr>
                <w:rFonts w:hint="eastAsia" w:ascii="宋体" w:hAnsi="宋体" w:eastAsia="宋体"/>
                <w:szCs w:val="21"/>
                <w:lang w:eastAsia="zh-CN"/>
              </w:rPr>
            </w:pPr>
            <w:r>
              <w:rPr>
                <w:rFonts w:hint="eastAsia" w:ascii="宋体" w:hAnsi="宋体"/>
                <w:szCs w:val="21"/>
                <w:lang w:val="en-US" w:eastAsia="zh-CN"/>
              </w:rPr>
              <w:t>6</w:t>
            </w:r>
          </w:p>
        </w:tc>
        <w:tc>
          <w:tcPr>
            <w:tcW w:w="2815" w:type="dxa"/>
            <w:vAlign w:val="center"/>
          </w:tcPr>
          <w:p w14:paraId="6F8160A1">
            <w:pPr>
              <w:pStyle w:val="13"/>
              <w:spacing w:line="360" w:lineRule="exact"/>
              <w:ind w:firstLine="0" w:firstLineChars="0"/>
              <w:jc w:val="left"/>
              <w:rPr>
                <w:rFonts w:hint="default" w:ascii="宋体" w:hAnsi="宋体" w:eastAsia="宋体" w:cs="宋体"/>
                <w:kern w:val="0"/>
                <w:szCs w:val="21"/>
                <w:lang w:val="en-US" w:eastAsia="zh-CN"/>
              </w:rPr>
            </w:pPr>
            <w:r>
              <w:rPr>
                <w:rFonts w:hint="eastAsia" w:ascii="宋体" w:hAnsi="宋体" w:cs="宋体"/>
                <w:kern w:val="0"/>
                <w:szCs w:val="21"/>
                <w:lang w:val="en-US" w:eastAsia="zh-CN"/>
              </w:rPr>
              <w:t>“信用中国”查询报告</w:t>
            </w:r>
          </w:p>
        </w:tc>
        <w:tc>
          <w:tcPr>
            <w:tcW w:w="5461" w:type="dxa"/>
            <w:vAlign w:val="center"/>
          </w:tcPr>
          <w:p w14:paraId="12DAA35C">
            <w:pPr>
              <w:pStyle w:val="13"/>
              <w:spacing w:line="360" w:lineRule="exact"/>
              <w:ind w:firstLine="0" w:firstLineChars="0"/>
              <w:jc w:val="left"/>
              <w:rPr>
                <w:rFonts w:hint="default" w:ascii="宋体" w:hAnsi="宋体" w:eastAsia="宋体"/>
                <w:szCs w:val="21"/>
                <w:lang w:val="en-US" w:eastAsia="zh-CN"/>
              </w:rPr>
            </w:pPr>
            <w:r>
              <w:rPr>
                <w:rFonts w:hint="eastAsia" w:ascii="宋体" w:hAnsi="宋体"/>
                <w:szCs w:val="21"/>
                <w:lang w:val="en-US" w:eastAsia="zh-CN"/>
              </w:rPr>
              <w:t>提供“信用中国”完整查询报告。</w:t>
            </w:r>
          </w:p>
        </w:tc>
      </w:tr>
      <w:tr w14:paraId="3EBCE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55" w:type="dxa"/>
            <w:vAlign w:val="center"/>
          </w:tcPr>
          <w:p w14:paraId="05D3C5AC">
            <w:pPr>
              <w:pStyle w:val="13"/>
              <w:spacing w:line="360" w:lineRule="exact"/>
              <w:ind w:firstLine="0" w:firstLineChars="0"/>
              <w:jc w:val="center"/>
              <w:rPr>
                <w:rFonts w:hint="default" w:ascii="宋体" w:hAnsi="宋体"/>
                <w:szCs w:val="21"/>
                <w:lang w:val="en-US" w:eastAsia="zh-CN"/>
              </w:rPr>
            </w:pPr>
            <w:r>
              <w:rPr>
                <w:rFonts w:hint="eastAsia" w:ascii="宋体" w:hAnsi="宋体"/>
                <w:szCs w:val="21"/>
                <w:lang w:val="en-US" w:eastAsia="zh-CN"/>
              </w:rPr>
              <w:t>7</w:t>
            </w:r>
          </w:p>
        </w:tc>
        <w:tc>
          <w:tcPr>
            <w:tcW w:w="2815" w:type="dxa"/>
            <w:vAlign w:val="center"/>
          </w:tcPr>
          <w:p w14:paraId="14DCBB74">
            <w:pPr>
              <w:pStyle w:val="13"/>
              <w:spacing w:line="360" w:lineRule="exact"/>
              <w:ind w:firstLine="0" w:firstLineChars="0"/>
              <w:jc w:val="left"/>
              <w:rPr>
                <w:rFonts w:hint="eastAsia" w:ascii="宋体" w:hAnsi="宋体" w:eastAsia="宋体" w:cs="宋体"/>
                <w:kern w:val="0"/>
                <w:sz w:val="21"/>
                <w:szCs w:val="21"/>
                <w:lang w:val="en-US" w:eastAsia="zh-CN" w:bidi="ar-SA"/>
              </w:rPr>
            </w:pPr>
            <w:r>
              <w:rPr>
                <w:rFonts w:hint="eastAsia" w:ascii="宋体" w:hAnsi="宋体" w:cs="宋体"/>
                <w:kern w:val="0"/>
                <w:szCs w:val="21"/>
              </w:rPr>
              <w:t>报价人认为需要加以说明的其他内容</w:t>
            </w:r>
          </w:p>
        </w:tc>
        <w:tc>
          <w:tcPr>
            <w:tcW w:w="5461" w:type="dxa"/>
            <w:vAlign w:val="center"/>
          </w:tcPr>
          <w:p w14:paraId="63E5C508">
            <w:pPr>
              <w:pStyle w:val="13"/>
              <w:spacing w:line="360" w:lineRule="exact"/>
              <w:ind w:firstLine="0" w:firstLineChars="0"/>
              <w:jc w:val="left"/>
              <w:rPr>
                <w:rFonts w:hint="eastAsia" w:ascii="宋体" w:hAnsi="宋体" w:eastAsia="宋体" w:cs="Times New Roman"/>
                <w:kern w:val="2"/>
                <w:sz w:val="21"/>
                <w:szCs w:val="21"/>
                <w:lang w:val="en-US" w:eastAsia="zh-CN" w:bidi="ar-SA"/>
              </w:rPr>
            </w:pPr>
            <w:r>
              <w:rPr>
                <w:rFonts w:hint="eastAsia" w:ascii="宋体" w:hAnsi="宋体"/>
                <w:szCs w:val="21"/>
              </w:rPr>
              <w:t>如有。</w:t>
            </w:r>
          </w:p>
        </w:tc>
      </w:tr>
    </w:tbl>
    <w:p w14:paraId="0BB02541"/>
    <w:p w14:paraId="3E5F4DDB">
      <w:pPr>
        <w:pStyle w:val="2"/>
      </w:pPr>
    </w:p>
    <w:p w14:paraId="721D801C">
      <w:pPr>
        <w:pStyle w:val="3"/>
      </w:pPr>
    </w:p>
    <w:p w14:paraId="038924C5"/>
    <w:p w14:paraId="64152A8D">
      <w:pPr>
        <w:pStyle w:val="2"/>
      </w:pPr>
    </w:p>
    <w:p w14:paraId="5283A0EC">
      <w:pPr>
        <w:pStyle w:val="3"/>
      </w:pPr>
    </w:p>
    <w:p w14:paraId="24D47A94"/>
    <w:p w14:paraId="51DF3801">
      <w:pPr>
        <w:pStyle w:val="2"/>
      </w:pPr>
    </w:p>
    <w:p w14:paraId="5F61EDEB">
      <w:pPr>
        <w:rPr>
          <w:rFonts w:hint="eastAsia" w:hAnsi="宋体"/>
          <w:b/>
          <w:sz w:val="32"/>
          <w:szCs w:val="32"/>
        </w:rPr>
      </w:pPr>
      <w:r>
        <w:rPr>
          <w:rFonts w:hint="eastAsia" w:hAnsi="宋体"/>
          <w:b/>
          <w:sz w:val="32"/>
          <w:szCs w:val="32"/>
        </w:rPr>
        <w:br w:type="page"/>
      </w:r>
    </w:p>
    <w:p w14:paraId="24D098F2">
      <w:pPr>
        <w:pStyle w:val="2"/>
        <w:keepNext w:val="0"/>
        <w:keepLines w:val="0"/>
        <w:pageBreakBefore w:val="0"/>
        <w:widowControl w:val="0"/>
        <w:kinsoku/>
        <w:wordWrap/>
        <w:overflowPunct/>
        <w:topLinePunct w:val="0"/>
        <w:autoSpaceDE/>
        <w:autoSpaceDN/>
        <w:bidi w:val="0"/>
        <w:spacing w:line="500" w:lineRule="exact"/>
        <w:jc w:val="center"/>
        <w:textAlignment w:val="auto"/>
        <w:rPr>
          <w:rFonts w:hAnsi="宋体"/>
          <w:b/>
          <w:bCs/>
          <w:sz w:val="32"/>
          <w:szCs w:val="32"/>
        </w:rPr>
      </w:pPr>
      <w:r>
        <w:rPr>
          <w:rFonts w:hint="eastAsia" w:hAnsi="宋体"/>
          <w:b/>
          <w:sz w:val="32"/>
          <w:szCs w:val="32"/>
        </w:rPr>
        <w:t>承诺函</w:t>
      </w:r>
    </w:p>
    <w:p w14:paraId="3CD56246">
      <w:pPr>
        <w:pStyle w:val="2"/>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Theme="minorEastAsia" w:hAnsiTheme="minorEastAsia" w:eastAsiaTheme="minorEastAsia" w:cstheme="minorEastAsia"/>
          <w:bCs/>
          <w:kern w:val="0"/>
          <w:sz w:val="21"/>
          <w:szCs w:val="21"/>
          <w:u w:val="single"/>
          <w:lang w:val="en-US" w:eastAsia="zh-CN"/>
        </w:rPr>
      </w:pPr>
      <w:r>
        <w:rPr>
          <w:rFonts w:hint="eastAsia" w:asciiTheme="minorEastAsia" w:hAnsiTheme="minorEastAsia" w:eastAsiaTheme="minorEastAsia" w:cstheme="minorEastAsia"/>
          <w:bCs/>
          <w:kern w:val="0"/>
          <w:sz w:val="21"/>
          <w:szCs w:val="21"/>
        </w:rPr>
        <w:t>致委托人</w:t>
      </w:r>
      <w:r>
        <w:rPr>
          <w:rFonts w:hint="eastAsia" w:asciiTheme="minorEastAsia" w:hAnsiTheme="minorEastAsia" w:eastAsiaTheme="minorEastAsia" w:cstheme="minorEastAsia"/>
          <w:bCs/>
          <w:kern w:val="0"/>
          <w:sz w:val="21"/>
          <w:szCs w:val="21"/>
          <w:lang w:eastAsia="zh-CN"/>
        </w:rPr>
        <w:t>：</w:t>
      </w:r>
      <w:r>
        <w:rPr>
          <w:rFonts w:hint="eastAsia" w:asciiTheme="minorEastAsia" w:hAnsiTheme="minorEastAsia" w:eastAsiaTheme="minorEastAsia" w:cstheme="minorEastAsia"/>
          <w:bCs/>
          <w:kern w:val="0"/>
          <w:sz w:val="21"/>
          <w:szCs w:val="21"/>
        </w:rPr>
        <w:t xml:space="preserve"> </w:t>
      </w:r>
      <w:r>
        <w:rPr>
          <w:rFonts w:hint="eastAsia" w:asciiTheme="minorEastAsia" w:hAnsiTheme="minorEastAsia" w:eastAsiaTheme="minorEastAsia" w:cstheme="minorEastAsia"/>
          <w:bCs/>
          <w:kern w:val="0"/>
          <w:sz w:val="21"/>
          <w:szCs w:val="21"/>
          <w:u w:val="single"/>
          <w:lang w:val="en-US" w:eastAsia="zh-CN"/>
        </w:rPr>
        <w:t xml:space="preserve">                     </w:t>
      </w:r>
    </w:p>
    <w:p w14:paraId="423ADEB2">
      <w:pPr>
        <w:pStyle w:val="2"/>
        <w:keepNext w:val="0"/>
        <w:keepLines w:val="0"/>
        <w:pageBreakBefore w:val="0"/>
        <w:widowControl w:val="0"/>
        <w:kinsoku/>
        <w:wordWrap/>
        <w:overflowPunct/>
        <w:topLinePunct w:val="0"/>
        <w:autoSpaceDE/>
        <w:autoSpaceDN/>
        <w:bidi w:val="0"/>
        <w:spacing w:line="500" w:lineRule="exact"/>
        <w:ind w:firstLine="37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为了确保本工程</w:t>
      </w:r>
      <w:r>
        <w:rPr>
          <w:rFonts w:hint="eastAsia" w:asciiTheme="minorEastAsia" w:hAnsiTheme="minorEastAsia" w:eastAsiaTheme="minorEastAsia" w:cstheme="minorEastAsia"/>
          <w:sz w:val="21"/>
          <w:szCs w:val="21"/>
          <w:lang w:eastAsia="zh-CN"/>
        </w:rPr>
        <w:t>造价咨询</w:t>
      </w:r>
      <w:r>
        <w:rPr>
          <w:rFonts w:hint="eastAsia" w:asciiTheme="minorEastAsia" w:hAnsiTheme="minorEastAsia" w:eastAsiaTheme="minorEastAsia" w:cstheme="minorEastAsia"/>
          <w:sz w:val="21"/>
          <w:szCs w:val="21"/>
        </w:rPr>
        <w:t>相关工作顺利进行，我方将严格执行建设工程招标投标管理的法律法规，并完全接受</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rPr>
        <w:t>的招标文件所有内容，为此作出如下承诺：</w:t>
      </w:r>
    </w:p>
    <w:p w14:paraId="7C47C647">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eastAsia="宋体"/>
          <w:lang w:val="en-US" w:eastAsia="zh-CN"/>
        </w:rPr>
      </w:pPr>
      <w:r>
        <w:rPr>
          <w:rFonts w:hint="eastAsia" w:asciiTheme="minorEastAsia" w:hAnsiTheme="minorEastAsia" w:eastAsiaTheme="minorEastAsia" w:cstheme="minorEastAsia"/>
          <w:sz w:val="21"/>
          <w:szCs w:val="21"/>
        </w:rPr>
        <w:t>1、根据企业自身情况，理性报价，不会以低于成本的报价竞标。所报下浮率为</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，报价金额</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rPr>
        <w:t xml:space="preserve">  元</w:t>
      </w:r>
      <w:r>
        <w:rPr>
          <w:rFonts w:hint="eastAsia" w:asciiTheme="minorEastAsia" w:hAnsiTheme="minorEastAsia" w:eastAsiaTheme="minorEastAsia" w:cstheme="minorEastAsia"/>
          <w:sz w:val="21"/>
          <w:szCs w:val="21"/>
        </w:rPr>
        <w:t>。按招标文件要求承包本项目</w:t>
      </w:r>
      <w:r>
        <w:rPr>
          <w:rFonts w:hint="eastAsia" w:asciiTheme="minorEastAsia" w:hAnsiTheme="minorEastAsia" w:eastAsiaTheme="minorEastAsia" w:cstheme="minorEastAsia"/>
          <w:b/>
          <w:kern w:val="2"/>
          <w:sz w:val="21"/>
          <w:szCs w:val="21"/>
          <w:u w:val="single"/>
          <w:lang w:val="en-US" w:eastAsia="zh-CN" w:bidi="ar-SA"/>
        </w:rPr>
        <w:t>工程造价咨询工作</w:t>
      </w:r>
      <w:r>
        <w:rPr>
          <w:rFonts w:hint="eastAsia" w:asciiTheme="minorEastAsia" w:hAnsiTheme="minorEastAsia" w:eastAsiaTheme="minorEastAsia" w:cstheme="minorEastAsia"/>
          <w:sz w:val="21"/>
          <w:szCs w:val="21"/>
        </w:rPr>
        <w:t>。否则，我方愿意承担任何风险。（投标人填写）</w:t>
      </w:r>
    </w:p>
    <w:p w14:paraId="14481027">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我方同意所递交的投标文件在投标须知规定的投标有效期内有效，在此期间内我方的投标有可能中标，我方将受此约束。如果在投标有效期内撤回投标或放弃中标资格，给贵方造成的损失，贵方有权要求我方进行赔偿。</w:t>
      </w:r>
    </w:p>
    <w:p w14:paraId="2869BCCC">
      <w:pPr>
        <w:pStyle w:val="2"/>
        <w:keepNext w:val="0"/>
        <w:keepLines w:val="0"/>
        <w:pageBreakBefore w:val="0"/>
        <w:widowControl w:val="0"/>
        <w:kinsoku/>
        <w:wordWrap/>
        <w:overflowPunct/>
        <w:topLinePunct w:val="0"/>
        <w:autoSpaceDE/>
        <w:autoSpaceDN/>
        <w:bidi w:val="0"/>
        <w:spacing w:line="500" w:lineRule="exact"/>
        <w:ind w:firstLine="37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我方完全理解和接受招标文件的规定，并承诺一旦我方的投标出现该条列举的严重违规或涉嫌串通投标的情形而被评标委员会废标的，将自觉接受贵方暂停或者取消今后我方参加贵方其他任何项目投标资格的处理。</w:t>
      </w:r>
    </w:p>
    <w:p w14:paraId="0FE8C28C">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4、一旦我方中标，将保证在收到委托函后 30 日内，与贵方按招标文件、委托函中的内容签订合同文件，否则，视为我方自愿放弃中标资格。</w:t>
      </w:r>
    </w:p>
    <w:p w14:paraId="3AFC741F">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5、除非另外达成协议并生效，贵方的委托函和本投标文件将成为约束双方的合同文件的组成部分。</w:t>
      </w:r>
    </w:p>
    <w:p w14:paraId="1A3766F4">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6、按规定完成本项目工程</w:t>
      </w:r>
      <w:r>
        <w:rPr>
          <w:rFonts w:hint="eastAsia" w:asciiTheme="minorEastAsia" w:hAnsiTheme="minorEastAsia" w:eastAsiaTheme="minorEastAsia" w:cstheme="minorEastAsia"/>
          <w:sz w:val="21"/>
          <w:szCs w:val="21"/>
          <w:lang w:eastAsia="zh-CN"/>
        </w:rPr>
        <w:t>造价咨询</w:t>
      </w:r>
      <w:r>
        <w:rPr>
          <w:rFonts w:hint="eastAsia" w:asciiTheme="minorEastAsia" w:hAnsiTheme="minorEastAsia" w:eastAsiaTheme="minorEastAsia" w:cstheme="minorEastAsia"/>
          <w:sz w:val="21"/>
          <w:szCs w:val="21"/>
        </w:rPr>
        <w:t>工作，</w:t>
      </w:r>
      <w:r>
        <w:rPr>
          <w:rFonts w:hint="eastAsia" w:asciiTheme="minorEastAsia" w:hAnsiTheme="minorEastAsia" w:eastAsiaTheme="minorEastAsia" w:cstheme="minorEastAsia"/>
          <w:sz w:val="21"/>
          <w:szCs w:val="21"/>
          <w:lang w:eastAsia="zh-CN"/>
        </w:rPr>
        <w:t>成果文件达到相关</w:t>
      </w:r>
      <w:r>
        <w:rPr>
          <w:rFonts w:hint="eastAsia" w:asciiTheme="minorEastAsia" w:hAnsiTheme="minorEastAsia" w:eastAsiaTheme="minorEastAsia" w:cstheme="minorEastAsia"/>
          <w:sz w:val="21"/>
          <w:szCs w:val="21"/>
        </w:rPr>
        <w:t>标准的要求。</w:t>
      </w:r>
    </w:p>
    <w:p w14:paraId="66E527F2">
      <w:pPr>
        <w:pStyle w:val="2"/>
        <w:keepNext w:val="0"/>
        <w:keepLines w:val="0"/>
        <w:pageBreakBefore w:val="0"/>
        <w:widowControl w:val="0"/>
        <w:kinsoku/>
        <w:wordWrap/>
        <w:overflowPunct/>
        <w:topLinePunct w:val="0"/>
        <w:autoSpaceDE/>
        <w:autoSpaceDN/>
        <w:bidi w:val="0"/>
        <w:spacing w:line="500" w:lineRule="exact"/>
        <w:ind w:firstLine="37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7、如果违反本承诺书中任何条款，我方愿意接受：</w:t>
      </w:r>
    </w:p>
    <w:p w14:paraId="05E99713">
      <w:pPr>
        <w:pStyle w:val="2"/>
        <w:keepNext w:val="0"/>
        <w:keepLines w:val="0"/>
        <w:pageBreakBefore w:val="0"/>
        <w:widowControl w:val="0"/>
        <w:kinsoku/>
        <w:wordWrap/>
        <w:overflowPunct/>
        <w:topLinePunct w:val="0"/>
        <w:autoSpaceDE/>
        <w:autoSpaceDN/>
        <w:bidi w:val="0"/>
        <w:spacing w:line="500" w:lineRule="exact"/>
        <w:ind w:firstLine="37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（1）视作我方单方面违约，并按照合同规定向贵方支付违约金或解除合同；</w:t>
      </w:r>
    </w:p>
    <w:p w14:paraId="25F9B777">
      <w:pPr>
        <w:pStyle w:val="2"/>
        <w:keepNext w:val="0"/>
        <w:keepLines w:val="0"/>
        <w:pageBreakBefore w:val="0"/>
        <w:widowControl w:val="0"/>
        <w:kinsoku/>
        <w:wordWrap/>
        <w:overflowPunct/>
        <w:topLinePunct w:val="0"/>
        <w:autoSpaceDE/>
        <w:autoSpaceDN/>
        <w:bidi w:val="0"/>
        <w:spacing w:line="500" w:lineRule="exact"/>
        <w:ind w:firstLine="37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（2）履约评价评定为合格及以下；</w:t>
      </w:r>
    </w:p>
    <w:p w14:paraId="59062FF2">
      <w:pPr>
        <w:pStyle w:val="2"/>
        <w:keepNext w:val="0"/>
        <w:keepLines w:val="0"/>
        <w:pageBreakBefore w:val="0"/>
        <w:widowControl w:val="0"/>
        <w:kinsoku/>
        <w:wordWrap/>
        <w:overflowPunct/>
        <w:topLinePunct w:val="0"/>
        <w:autoSpaceDE/>
        <w:autoSpaceDN/>
        <w:bidi w:val="0"/>
        <w:spacing w:line="500" w:lineRule="exact"/>
        <w:ind w:firstLine="37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（3）招标人今后可拒绝我方参与投标；</w:t>
      </w:r>
    </w:p>
    <w:p w14:paraId="4901A70A">
      <w:pPr>
        <w:pStyle w:val="2"/>
        <w:keepNext w:val="0"/>
        <w:keepLines w:val="0"/>
        <w:pageBreakBefore w:val="0"/>
        <w:widowControl w:val="0"/>
        <w:kinsoku/>
        <w:wordWrap/>
        <w:overflowPunct/>
        <w:topLinePunct w:val="0"/>
        <w:autoSpaceDE/>
        <w:autoSpaceDN/>
        <w:bidi w:val="0"/>
        <w:spacing w:line="500" w:lineRule="exact"/>
        <w:ind w:firstLine="37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（4）建设行政主管部门或相关主管部门的不良行为记录、行政处罚。</w:t>
      </w:r>
    </w:p>
    <w:p w14:paraId="27E24FAC">
      <w:pPr>
        <w:keepNext w:val="0"/>
        <w:keepLines w:val="0"/>
        <w:pageBreakBefore w:val="0"/>
        <w:widowControl w:val="0"/>
        <w:kinsoku/>
        <w:wordWrap/>
        <w:overflowPunct/>
        <w:topLinePunct w:val="0"/>
        <w:autoSpaceDE/>
        <w:autoSpaceDN/>
        <w:bidi w:val="0"/>
        <w:adjustRightInd w:val="0"/>
        <w:snapToGrid w:val="0"/>
        <w:spacing w:line="500" w:lineRule="exact"/>
        <w:ind w:firstLine="3150" w:firstLineChars="1500"/>
        <w:textAlignment w:val="auto"/>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承诺单位（盖章）：</w:t>
      </w:r>
    </w:p>
    <w:p w14:paraId="26C1F007">
      <w:pPr>
        <w:keepNext w:val="0"/>
        <w:keepLines w:val="0"/>
        <w:pageBreakBefore w:val="0"/>
        <w:widowControl w:val="0"/>
        <w:kinsoku/>
        <w:wordWrap/>
        <w:overflowPunct/>
        <w:topLinePunct w:val="0"/>
        <w:autoSpaceDE/>
        <w:autoSpaceDN/>
        <w:bidi w:val="0"/>
        <w:adjustRightInd w:val="0"/>
        <w:snapToGrid w:val="0"/>
        <w:spacing w:line="500" w:lineRule="exact"/>
        <w:ind w:firstLine="3150" w:firstLineChars="1500"/>
        <w:textAlignment w:val="auto"/>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法定代表人或授权委托人（签字或盖私章）：</w:t>
      </w:r>
    </w:p>
    <w:p w14:paraId="55E0BD96">
      <w:pPr>
        <w:keepNext w:val="0"/>
        <w:keepLines w:val="0"/>
        <w:pageBreakBefore w:val="0"/>
        <w:widowControl w:val="0"/>
        <w:kinsoku/>
        <w:wordWrap/>
        <w:overflowPunct/>
        <w:topLinePunct w:val="0"/>
        <w:autoSpaceDE/>
        <w:autoSpaceDN/>
        <w:bidi w:val="0"/>
        <w:adjustRightInd w:val="0"/>
        <w:snapToGrid w:val="0"/>
        <w:spacing w:line="500" w:lineRule="exact"/>
        <w:ind w:firstLine="3150" w:firstLineChars="1500"/>
        <w:textAlignment w:val="auto"/>
        <w:rPr>
          <w:rFonts w:hint="eastAsia" w:cs="Courier New" w:asciiTheme="minorEastAsia" w:hAnsiTheme="minorEastAsia" w:eastAsiaTheme="minorEastAsia"/>
          <w:bCs/>
          <w:kern w:val="0"/>
          <w:sz w:val="21"/>
          <w:szCs w:val="21"/>
        </w:rPr>
      </w:pPr>
      <w:r>
        <w:rPr>
          <w:rFonts w:hint="eastAsia" w:asciiTheme="minorEastAsia" w:hAnsiTheme="minorEastAsia" w:eastAsiaTheme="minorEastAsia" w:cstheme="minorEastAsia"/>
          <w:bCs/>
          <w:kern w:val="0"/>
          <w:sz w:val="21"/>
          <w:szCs w:val="21"/>
        </w:rPr>
        <w:t>签署日期：    年    月    日</w:t>
      </w:r>
    </w:p>
    <w:p w14:paraId="623B376F">
      <w:pPr>
        <w:rPr>
          <w:rStyle w:val="15"/>
          <w:rFonts w:hint="eastAsia" w:hAnsi="宋体" w:cs="宋体"/>
          <w:b/>
          <w:bCs/>
          <w:sz w:val="32"/>
          <w:szCs w:val="32"/>
        </w:rPr>
      </w:pPr>
      <w:r>
        <w:rPr>
          <w:rStyle w:val="15"/>
          <w:rFonts w:hint="eastAsia" w:hAnsi="宋体" w:cs="宋体"/>
          <w:b/>
          <w:bCs/>
          <w:sz w:val="32"/>
          <w:szCs w:val="32"/>
        </w:rPr>
        <w:br w:type="page"/>
      </w:r>
    </w:p>
    <w:p w14:paraId="612A8E12">
      <w:pPr>
        <w:pStyle w:val="2"/>
        <w:spacing w:line="520" w:lineRule="exact"/>
        <w:ind w:firstLine="1281" w:firstLineChars="400"/>
        <w:rPr>
          <w:rStyle w:val="16"/>
          <w:rFonts w:hAnsi="宋体" w:cs="宋体"/>
          <w:sz w:val="24"/>
          <w:szCs w:val="24"/>
        </w:rPr>
      </w:pPr>
      <w:r>
        <w:rPr>
          <w:rStyle w:val="15"/>
          <w:rFonts w:hint="eastAsia" w:hAnsi="宋体" w:cs="宋体"/>
          <w:b/>
          <w:bCs/>
          <w:sz w:val="32"/>
          <w:szCs w:val="32"/>
        </w:rPr>
        <w:t>龙岗区进一步规范政商交往行为告知书</w:t>
      </w:r>
      <w:r>
        <w:rPr>
          <w:rFonts w:hint="eastAsia" w:hAnsi="宋体" w:cs="宋体"/>
          <w:color w:val="000000"/>
          <w:sz w:val="24"/>
          <w:szCs w:val="24"/>
        </w:rPr>
        <w:br w:type="textWrapping"/>
      </w:r>
      <w:r>
        <w:rPr>
          <w:rFonts w:hint="eastAsia" w:hAnsi="宋体" w:cs="宋体"/>
          <w:color w:val="000000"/>
          <w:sz w:val="24"/>
          <w:szCs w:val="24"/>
        </w:rPr>
        <w:t xml:space="preserve">    </w:t>
      </w:r>
      <w:r>
        <w:rPr>
          <w:rStyle w:val="16"/>
          <w:rFonts w:hint="eastAsia" w:hAnsi="宋体" w:cs="宋体"/>
          <w:sz w:val="24"/>
          <w:szCs w:val="24"/>
        </w:rPr>
        <w:t>为深入构建</w:t>
      </w:r>
      <w:r>
        <w:rPr>
          <w:rStyle w:val="16"/>
          <w:rFonts w:hint="eastAsia" w:hAnsi="宋体" w:eastAsia="仿宋_GB2312" w:cs="宋体"/>
          <w:sz w:val="24"/>
          <w:szCs w:val="24"/>
          <w:lang w:eastAsia="zh-CN"/>
        </w:rPr>
        <w:t>“</w:t>
      </w:r>
      <w:r>
        <w:rPr>
          <w:rStyle w:val="16"/>
          <w:rFonts w:hint="eastAsia" w:hAnsi="宋体" w:cs="宋体"/>
          <w:sz w:val="24"/>
          <w:szCs w:val="24"/>
        </w:rPr>
        <w:t>亲</w:t>
      </w:r>
      <w:r>
        <w:rPr>
          <w:rStyle w:val="16"/>
          <w:rFonts w:hint="eastAsia" w:hAnsi="宋体" w:eastAsia="仿宋_GB2312" w:cs="宋体"/>
          <w:sz w:val="24"/>
          <w:szCs w:val="24"/>
          <w:lang w:eastAsia="zh-CN"/>
        </w:rPr>
        <w:t>”“</w:t>
      </w:r>
      <w:r>
        <w:rPr>
          <w:rStyle w:val="16"/>
          <w:rFonts w:hint="eastAsia" w:hAnsi="宋体" w:cs="宋体"/>
          <w:sz w:val="24"/>
          <w:szCs w:val="24"/>
        </w:rPr>
        <w:t>清</w:t>
      </w:r>
      <w:r>
        <w:rPr>
          <w:rStyle w:val="16"/>
          <w:rFonts w:hint="eastAsia" w:hAnsi="宋体" w:eastAsia="仿宋_GB2312" w:cs="宋体"/>
          <w:sz w:val="24"/>
          <w:szCs w:val="24"/>
          <w:lang w:eastAsia="zh-CN"/>
        </w:rPr>
        <w:t>”</w:t>
      </w:r>
      <w:r>
        <w:rPr>
          <w:rStyle w:val="16"/>
          <w:rFonts w:hint="eastAsia" w:hAnsi="宋体" w:cs="宋体"/>
          <w:sz w:val="24"/>
          <w:szCs w:val="24"/>
        </w:rPr>
        <w:t>新型政商关系，努力打造尊商、亲商、助商、安商良好营商环境，龙岗</w:t>
      </w:r>
      <w:r>
        <w:rPr>
          <w:rStyle w:val="16"/>
          <w:rFonts w:hint="eastAsia" w:hAnsi="宋体" w:eastAsia="仿宋_GB2312" w:cs="宋体"/>
          <w:sz w:val="24"/>
          <w:szCs w:val="24"/>
          <w:lang w:eastAsia="zh-CN"/>
        </w:rPr>
        <w:t>区委、区政府</w:t>
      </w:r>
      <w:r>
        <w:rPr>
          <w:rStyle w:val="16"/>
          <w:rFonts w:hint="eastAsia" w:hAnsi="宋体" w:cs="宋体"/>
          <w:sz w:val="24"/>
          <w:szCs w:val="24"/>
        </w:rPr>
        <w:t>制定了《龙岗区公职人员政商交往“十个不准”》，严明公职人员在政商交往中的纪律要求。请参与龙岗建设的广大企业及其从业人员，严格监督我区公职人员落实“十个不准”，并在与我区公职人员交往中切实做到“十个不得”。</w:t>
      </w:r>
      <w:r>
        <w:rPr>
          <w:rStyle w:val="16"/>
          <w:rFonts w:hint="eastAsia" w:hAnsi="宋体" w:cs="宋体"/>
          <w:sz w:val="24"/>
          <w:szCs w:val="24"/>
        </w:rPr>
        <w:br w:type="textWrapping"/>
      </w:r>
      <w:r>
        <w:rPr>
          <w:rStyle w:val="16"/>
          <w:rFonts w:hint="eastAsia" w:hAnsi="宋体" w:cs="宋体"/>
          <w:sz w:val="24"/>
          <w:szCs w:val="24"/>
        </w:rPr>
        <w:t xml:space="preserve">    一、 不得向公职人员赠送礼品、礼金、消费卡等财物。</w:t>
      </w:r>
    </w:p>
    <w:p w14:paraId="674DBB99">
      <w:pPr>
        <w:pStyle w:val="2"/>
        <w:numPr>
          <w:ilvl w:val="0"/>
          <w:numId w:val="1"/>
        </w:numPr>
        <w:spacing w:line="520" w:lineRule="exact"/>
        <w:ind w:firstLine="480" w:firstLineChars="200"/>
        <w:rPr>
          <w:rStyle w:val="16"/>
          <w:rFonts w:hAnsi="宋体" w:cs="宋体"/>
          <w:sz w:val="24"/>
          <w:szCs w:val="24"/>
        </w:rPr>
      </w:pPr>
      <w:r>
        <w:rPr>
          <w:rStyle w:val="16"/>
          <w:rFonts w:hint="eastAsia" w:hAnsi="宋体" w:cs="宋体"/>
          <w:sz w:val="24"/>
          <w:szCs w:val="24"/>
        </w:rPr>
        <w:t>不得违规向公职人员提供宴请、旅游、娱乐等安排。</w:t>
      </w:r>
    </w:p>
    <w:p w14:paraId="4F1257AD">
      <w:pPr>
        <w:pStyle w:val="2"/>
        <w:numPr>
          <w:ilvl w:val="0"/>
          <w:numId w:val="1"/>
        </w:numPr>
        <w:spacing w:line="520" w:lineRule="exact"/>
        <w:ind w:firstLine="480" w:firstLineChars="200"/>
        <w:rPr>
          <w:rStyle w:val="16"/>
          <w:rFonts w:hAnsi="宋体" w:cs="宋体"/>
          <w:sz w:val="24"/>
          <w:szCs w:val="24"/>
        </w:rPr>
      </w:pPr>
      <w:r>
        <w:rPr>
          <w:rStyle w:val="16"/>
          <w:rFonts w:hint="eastAsia" w:hAnsi="宋体" w:cs="宋体"/>
          <w:sz w:val="24"/>
          <w:szCs w:val="24"/>
        </w:rPr>
        <w:t>不得通过打麻将等形式向公职人员输送利益。</w:t>
      </w:r>
      <w:r>
        <w:rPr>
          <w:rStyle w:val="16"/>
          <w:rFonts w:hint="eastAsia" w:hAnsi="宋体" w:cs="宋体"/>
          <w:sz w:val="24"/>
          <w:szCs w:val="24"/>
        </w:rPr>
        <w:br w:type="textWrapping"/>
      </w:r>
      <w:r>
        <w:rPr>
          <w:rStyle w:val="16"/>
          <w:rFonts w:hint="eastAsia" w:hAnsi="宋体" w:cs="宋体"/>
          <w:sz w:val="24"/>
          <w:szCs w:val="24"/>
        </w:rPr>
        <w:t xml:space="preserve">    四、 不得为公职人员报销应由其个人支付的费用。</w:t>
      </w:r>
      <w:r>
        <w:rPr>
          <w:rStyle w:val="16"/>
          <w:rFonts w:hint="eastAsia" w:hAnsi="宋体" w:cs="宋体"/>
          <w:sz w:val="24"/>
          <w:szCs w:val="24"/>
        </w:rPr>
        <w:br w:type="textWrapping"/>
      </w:r>
      <w:r>
        <w:rPr>
          <w:rStyle w:val="16"/>
          <w:rFonts w:hint="eastAsia" w:hAnsi="宋体" w:cs="宋体"/>
          <w:sz w:val="24"/>
          <w:szCs w:val="24"/>
        </w:rPr>
        <w:t xml:space="preserve">    五、 不得违规向公职人员及其亲友借贷款。</w:t>
      </w:r>
      <w:r>
        <w:rPr>
          <w:rStyle w:val="16"/>
          <w:rFonts w:hint="eastAsia" w:hAnsi="宋体" w:cs="宋体"/>
          <w:sz w:val="24"/>
          <w:szCs w:val="24"/>
        </w:rPr>
        <w:br w:type="textWrapping"/>
      </w:r>
      <w:r>
        <w:rPr>
          <w:rStyle w:val="16"/>
          <w:rFonts w:hint="eastAsia" w:hAnsi="宋体" w:cs="宋体"/>
          <w:sz w:val="24"/>
          <w:szCs w:val="24"/>
        </w:rPr>
        <w:t xml:space="preserve">    六、 不得违规将车辆、住房等借给公职人员使用。</w:t>
      </w:r>
      <w:r>
        <w:rPr>
          <w:rStyle w:val="16"/>
          <w:rFonts w:hint="eastAsia" w:hAnsi="宋体" w:cs="宋体"/>
          <w:sz w:val="24"/>
          <w:szCs w:val="24"/>
        </w:rPr>
        <w:br w:type="textWrapping"/>
      </w:r>
      <w:r>
        <w:rPr>
          <w:rStyle w:val="16"/>
          <w:rFonts w:hint="eastAsia" w:hAnsi="宋体" w:cs="宋体"/>
          <w:sz w:val="24"/>
          <w:szCs w:val="24"/>
        </w:rPr>
        <w:t xml:space="preserve">    七、 不得在招投标中与公职人员搞暗箱操作、围标串标。</w:t>
      </w:r>
      <w:r>
        <w:rPr>
          <w:rStyle w:val="16"/>
          <w:rFonts w:hint="eastAsia" w:hAnsi="宋体" w:cs="宋体"/>
          <w:sz w:val="24"/>
          <w:szCs w:val="24"/>
        </w:rPr>
        <w:br w:type="textWrapping"/>
      </w:r>
      <w:r>
        <w:rPr>
          <w:rStyle w:val="16"/>
          <w:rFonts w:hint="eastAsia" w:hAnsi="宋体" w:cs="宋体"/>
          <w:sz w:val="24"/>
          <w:szCs w:val="24"/>
        </w:rPr>
        <w:t xml:space="preserve">    八、 不得为利益相关人和公职人员牵线搭桥或者代为传递信息、 传递财物。</w:t>
      </w:r>
      <w:r>
        <w:rPr>
          <w:rStyle w:val="16"/>
          <w:rFonts w:hint="eastAsia" w:hAnsi="宋体" w:cs="宋体"/>
          <w:sz w:val="24"/>
          <w:szCs w:val="24"/>
        </w:rPr>
        <w:br w:type="textWrapping"/>
      </w:r>
      <w:r>
        <w:rPr>
          <w:rStyle w:val="16"/>
          <w:rFonts w:hint="eastAsia" w:hAnsi="宋体" w:cs="宋体"/>
          <w:sz w:val="24"/>
          <w:szCs w:val="24"/>
        </w:rPr>
        <w:t xml:space="preserve">    九、 不得让公职人员在企业违规兼职取酬。</w:t>
      </w:r>
      <w:r>
        <w:rPr>
          <w:rStyle w:val="16"/>
          <w:rFonts w:hint="eastAsia" w:hAnsi="宋体" w:cs="宋体"/>
          <w:sz w:val="24"/>
          <w:szCs w:val="24"/>
        </w:rPr>
        <w:br w:type="textWrapping"/>
      </w:r>
      <w:r>
        <w:rPr>
          <w:rStyle w:val="16"/>
          <w:rFonts w:hint="eastAsia" w:hAnsi="宋体" w:cs="宋体"/>
          <w:sz w:val="24"/>
          <w:szCs w:val="24"/>
        </w:rPr>
        <w:t xml:space="preserve">    十、 不得为公职人员亲友违规承揽业务提供便利。</w:t>
      </w:r>
    </w:p>
    <w:p w14:paraId="567D61E2">
      <w:pPr>
        <w:pStyle w:val="2"/>
        <w:spacing w:line="520" w:lineRule="exact"/>
        <w:ind w:firstLine="480" w:firstLineChars="200"/>
        <w:jc w:val="left"/>
        <w:rPr>
          <w:rStyle w:val="16"/>
          <w:rFonts w:hint="eastAsia" w:hAnsi="宋体" w:cs="宋体"/>
          <w:sz w:val="24"/>
          <w:szCs w:val="24"/>
        </w:rPr>
      </w:pPr>
      <w:r>
        <w:rPr>
          <w:rStyle w:val="16"/>
          <w:rFonts w:hint="eastAsia" w:hAnsi="宋体" w:cs="宋体"/>
          <w:sz w:val="24"/>
          <w:szCs w:val="24"/>
        </w:rPr>
        <w:t>上述“十个不得”，请您严格遵守。同时，在政商交往中，如有发现我区公职人员存在违反“十个不准”的问题，请及时通过网络举报平台或者12388举报电话等方式，向纪检监察机关反映举报，我们将一律严格保密、一律优先处置、一律严肃查处。</w:t>
      </w:r>
      <w:r>
        <w:rPr>
          <w:rStyle w:val="16"/>
          <w:rFonts w:hint="eastAsia" w:hAnsi="宋体" w:cs="宋体"/>
          <w:sz w:val="24"/>
          <w:szCs w:val="24"/>
        </w:rPr>
        <w:br w:type="textWrapping"/>
      </w:r>
      <w:r>
        <w:rPr>
          <w:rStyle w:val="16"/>
          <w:rFonts w:hint="eastAsia" w:hAnsi="宋体" w:cs="宋体"/>
          <w:sz w:val="24"/>
          <w:szCs w:val="24"/>
        </w:rPr>
        <w:t xml:space="preserve">    </w:t>
      </w:r>
    </w:p>
    <w:p w14:paraId="133E681A">
      <w:pPr>
        <w:pStyle w:val="3"/>
      </w:pPr>
    </w:p>
    <w:p w14:paraId="1B7B60FE">
      <w:pPr>
        <w:pStyle w:val="2"/>
        <w:spacing w:line="520" w:lineRule="exact"/>
        <w:ind w:firstLine="480" w:firstLineChars="200"/>
        <w:jc w:val="left"/>
        <w:rPr>
          <w:rStyle w:val="16"/>
          <w:rFonts w:hAnsi="宋体" w:cs="宋体"/>
          <w:sz w:val="24"/>
          <w:szCs w:val="24"/>
        </w:rPr>
      </w:pPr>
      <w:r>
        <w:rPr>
          <w:rStyle w:val="16"/>
          <w:rFonts w:hint="eastAsia" w:hAnsi="宋体" w:cs="宋体"/>
          <w:sz w:val="24"/>
          <w:szCs w:val="24"/>
        </w:rPr>
        <w:t>本人已知晓上述告知内容， 并愿意遵照执行（签名） ：</w:t>
      </w:r>
      <w:r>
        <w:rPr>
          <w:rStyle w:val="16"/>
          <w:rFonts w:hint="eastAsia" w:hAnsi="宋体" w:cs="宋体"/>
          <w:sz w:val="24"/>
          <w:szCs w:val="24"/>
        </w:rPr>
        <w:br w:type="textWrapping"/>
      </w:r>
      <w:r>
        <w:rPr>
          <w:rStyle w:val="16"/>
          <w:rFonts w:hint="eastAsia" w:hAnsi="宋体" w:cs="宋体"/>
          <w:sz w:val="24"/>
          <w:szCs w:val="24"/>
        </w:rPr>
        <w:t xml:space="preserve">                                          </w:t>
      </w:r>
    </w:p>
    <w:p w14:paraId="1EA96C7D">
      <w:pPr>
        <w:pStyle w:val="2"/>
        <w:spacing w:line="520" w:lineRule="exact"/>
        <w:ind w:firstLine="5280" w:firstLineChars="2200"/>
        <w:jc w:val="left"/>
        <w:rPr>
          <w:rStyle w:val="16"/>
          <w:rFonts w:hAnsi="宋体" w:cs="宋体"/>
          <w:sz w:val="24"/>
          <w:szCs w:val="24"/>
        </w:rPr>
      </w:pPr>
      <w:r>
        <w:rPr>
          <w:rStyle w:val="16"/>
          <w:rFonts w:hint="eastAsia" w:hAnsi="宋体" w:cs="宋体"/>
          <w:sz w:val="24"/>
          <w:szCs w:val="24"/>
        </w:rPr>
        <w:t xml:space="preserve">      年    月   日</w:t>
      </w:r>
    </w:p>
    <w:p w14:paraId="018FAEA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FZXBSJW--GB1-0">
    <w:altName w:val="Times New Roman"/>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E01E8C"/>
    <w:multiLevelType w:val="singleLevel"/>
    <w:tmpl w:val="EAE01E8C"/>
    <w:lvl w:ilvl="0" w:tentative="0">
      <w:start w:val="2"/>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4OTk5ZjI3NmI3YTQ1MjdmNmE0ZGFjZjhhY2FkZGEifQ=="/>
  </w:docVars>
  <w:rsids>
    <w:rsidRoot w:val="6DE529E1"/>
    <w:rsid w:val="0205540C"/>
    <w:rsid w:val="03A304B8"/>
    <w:rsid w:val="068B6629"/>
    <w:rsid w:val="07AE02AA"/>
    <w:rsid w:val="08447969"/>
    <w:rsid w:val="0A112087"/>
    <w:rsid w:val="0AE91AA3"/>
    <w:rsid w:val="0C8830A2"/>
    <w:rsid w:val="0E4A3F73"/>
    <w:rsid w:val="0FEE6E0B"/>
    <w:rsid w:val="0FFE5FA3"/>
    <w:rsid w:val="13D304F0"/>
    <w:rsid w:val="17C53ACA"/>
    <w:rsid w:val="17D64623"/>
    <w:rsid w:val="1BFB035C"/>
    <w:rsid w:val="20516C7E"/>
    <w:rsid w:val="217F2A10"/>
    <w:rsid w:val="25F208DB"/>
    <w:rsid w:val="29827270"/>
    <w:rsid w:val="2D5F3C07"/>
    <w:rsid w:val="36DE7C55"/>
    <w:rsid w:val="37213E3B"/>
    <w:rsid w:val="374238E4"/>
    <w:rsid w:val="39F979AF"/>
    <w:rsid w:val="3A525CE1"/>
    <w:rsid w:val="40A74254"/>
    <w:rsid w:val="41C54681"/>
    <w:rsid w:val="44B37E48"/>
    <w:rsid w:val="4C933E0B"/>
    <w:rsid w:val="4D7F4D84"/>
    <w:rsid w:val="53E640E7"/>
    <w:rsid w:val="5D2D5D83"/>
    <w:rsid w:val="5DB67C63"/>
    <w:rsid w:val="5E332443"/>
    <w:rsid w:val="651F28E8"/>
    <w:rsid w:val="69427C8C"/>
    <w:rsid w:val="69CD4733"/>
    <w:rsid w:val="6A1C1A80"/>
    <w:rsid w:val="6C6C179C"/>
    <w:rsid w:val="6DE529E1"/>
    <w:rsid w:val="749277ED"/>
    <w:rsid w:val="75DC4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szCs w:val="21"/>
    </w:rPr>
  </w:style>
  <w:style w:type="paragraph" w:styleId="3">
    <w:name w:val="index 8"/>
    <w:basedOn w:val="1"/>
    <w:next w:val="1"/>
    <w:qFormat/>
    <w:uiPriority w:val="0"/>
    <w:pPr>
      <w:ind w:left="1400" w:leftChars="1400"/>
    </w:pPr>
  </w:style>
  <w:style w:type="paragraph" w:styleId="4">
    <w:name w:val="Body Text"/>
    <w:basedOn w:val="1"/>
    <w:next w:val="1"/>
    <w:qFormat/>
    <w:uiPriority w:val="1"/>
    <w:rPr>
      <w:rFonts w:ascii="仿宋_GB2312" w:hAnsi="仿宋_GB2312" w:eastAsia="仿宋_GB2312" w:cs="仿宋_GB2312"/>
      <w:sz w:val="32"/>
      <w:szCs w:val="32"/>
      <w:lang w:val="zh-CN" w:bidi="zh-CN"/>
    </w:rPr>
  </w:style>
  <w:style w:type="paragraph" w:styleId="5">
    <w:name w:val="Body Text Indent"/>
    <w:basedOn w:val="1"/>
    <w:unhideWhenUsed/>
    <w:qFormat/>
    <w:uiPriority w:val="99"/>
    <w:pPr>
      <w:spacing w:after="120"/>
      <w:ind w:left="420" w:leftChars="2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2"/>
    <w:basedOn w:val="1"/>
    <w:next w:val="1"/>
    <w:unhideWhenUsed/>
    <w:qFormat/>
    <w:uiPriority w:val="39"/>
    <w:pPr>
      <w:spacing w:line="600" w:lineRule="exact"/>
      <w:ind w:firstLine="880" w:firstLineChars="200"/>
    </w:pPr>
  </w:style>
  <w:style w:type="character" w:styleId="11">
    <w:name w:val="page number"/>
    <w:basedOn w:val="10"/>
    <w:qFormat/>
    <w:uiPriority w:val="0"/>
  </w:style>
  <w:style w:type="paragraph" w:customStyle="1" w:styleId="12">
    <w:name w:val="p3"/>
    <w:basedOn w:val="1"/>
    <w:qFormat/>
    <w:uiPriority w:val="0"/>
    <w:pPr>
      <w:spacing w:line="30" w:lineRule="atLeast"/>
      <w:jc w:val="center"/>
    </w:pPr>
    <w:rPr>
      <w:rFonts w:hint="eastAsia" w:ascii="宋体" w:hAnsi="宋体" w:cs="宋体"/>
      <w:kern w:val="0"/>
      <w:sz w:val="36"/>
      <w:szCs w:val="36"/>
    </w:rPr>
  </w:style>
  <w:style w:type="paragraph" w:styleId="13">
    <w:name w:val="List Paragraph"/>
    <w:basedOn w:val="1"/>
    <w:qFormat/>
    <w:uiPriority w:val="34"/>
    <w:pPr>
      <w:ind w:firstLine="420" w:firstLineChars="200"/>
    </w:pPr>
  </w:style>
  <w:style w:type="paragraph" w:customStyle="1" w:styleId="14">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character" w:customStyle="1" w:styleId="15">
    <w:name w:val="fontstyle21"/>
    <w:basedOn w:val="10"/>
    <w:qFormat/>
    <w:uiPriority w:val="0"/>
    <w:rPr>
      <w:rFonts w:ascii="FZXBSJW--GB1-0" w:hAnsi="FZXBSJW--GB1-0" w:eastAsia="FZXBSJW--GB1-0" w:cs="FZXBSJW--GB1-0"/>
      <w:color w:val="000000"/>
      <w:sz w:val="44"/>
      <w:szCs w:val="44"/>
    </w:rPr>
  </w:style>
  <w:style w:type="character" w:customStyle="1" w:styleId="16">
    <w:name w:val="fontstyle31"/>
    <w:basedOn w:val="10"/>
    <w:qFormat/>
    <w:uiPriority w:val="0"/>
    <w:rPr>
      <w:rFonts w:ascii="仿宋_GB2312" w:hAns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2056</Words>
  <Characters>2080</Characters>
  <Lines>0</Lines>
  <Paragraphs>0</Paragraphs>
  <TotalTime>6</TotalTime>
  <ScaleCrop>false</ScaleCrop>
  <LinksUpToDate>false</LinksUpToDate>
  <CharactersWithSpaces>2317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2020-05-26T01:49:00Z</dcterms:created>
  <dc:creator>廖蜀黍</dc:creator>
  <cp:lastModifiedBy>张琦</cp:lastModifiedBy>
  <dcterms:modified xsi:type="dcterms:W3CDTF">2025-01-21T06:35:49Z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F403241E56694CC283612CB3AE4DF34F_12</vt:lpwstr>
  </property>
  <property fmtid="{D5CDD505-2E9C-101B-9397-08002B2CF9AE}" pid="4" name="KSOTemplateDocerSaveRecord">
    <vt:lpwstr>eyJoZGlkIjoiZjYxZTUyYjc1MzQwNWRmNjlmMWQyYmQ2NmM1M2U4MmMiLCJ1c2VySWQiOiIyNjEzMjU1OTEifQ==</vt:lpwstr>
  </property>
</Properties>
</file>