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A746F">
      <w:pPr>
        <w:spacing w:line="360" w:lineRule="auto"/>
        <w:rPr>
          <w:szCs w:val="21"/>
        </w:rPr>
      </w:pPr>
    </w:p>
    <w:p w14:paraId="7C3F4158">
      <w:pPr>
        <w:spacing w:line="360" w:lineRule="auto"/>
        <w:jc w:val="center"/>
        <w:rPr>
          <w:b/>
          <w:sz w:val="36"/>
          <w:szCs w:val="36"/>
        </w:rPr>
      </w:pPr>
      <w:r>
        <w:rPr>
          <w:rFonts w:hint="eastAsia"/>
          <w:b/>
          <w:sz w:val="36"/>
          <w:szCs w:val="36"/>
        </w:rPr>
        <w:t>北京中医药大学深圳医院（龙岗）</w:t>
      </w:r>
    </w:p>
    <w:p w14:paraId="6F428545">
      <w:pPr>
        <w:spacing w:line="360" w:lineRule="auto"/>
        <w:jc w:val="center"/>
        <w:rPr>
          <w:sz w:val="36"/>
          <w:szCs w:val="36"/>
        </w:rPr>
      </w:pPr>
      <w:r>
        <w:rPr>
          <w:b/>
          <w:sz w:val="36"/>
          <w:szCs w:val="36"/>
        </w:rPr>
        <w:t>2025年度消防维保服务</w:t>
      </w:r>
      <w:r>
        <w:rPr>
          <w:rFonts w:hint="eastAsia"/>
          <w:b/>
          <w:sz w:val="36"/>
          <w:szCs w:val="36"/>
        </w:rPr>
        <w:t>院内采购文件</w:t>
      </w:r>
    </w:p>
    <w:p w14:paraId="02F5E95E">
      <w:pPr>
        <w:spacing w:line="360" w:lineRule="auto"/>
        <w:rPr>
          <w:szCs w:val="21"/>
        </w:rPr>
      </w:pPr>
    </w:p>
    <w:p w14:paraId="08E4B6CD">
      <w:pPr>
        <w:spacing w:line="300" w:lineRule="auto"/>
        <w:jc w:val="center"/>
        <w:rPr>
          <w:rFonts w:ascii="黑体" w:hAnsi="Arial" w:eastAsia="黑体" w:cs="Arial"/>
          <w:color w:val="000000"/>
          <w:sz w:val="52"/>
          <w:szCs w:val="52"/>
        </w:rPr>
      </w:pPr>
      <w:r>
        <w:rPr>
          <w:rFonts w:hint="eastAsia"/>
          <w:color w:val="FF0000"/>
          <w:sz w:val="44"/>
          <w:szCs w:val="44"/>
        </w:rPr>
        <w:t xml:space="preserve"> </w:t>
      </w:r>
      <w:r>
        <w:rPr>
          <w:rFonts w:hint="eastAsia" w:ascii="黑体" w:hAnsi="Arial" w:eastAsia="黑体" w:cs="Arial"/>
          <w:color w:val="000000"/>
          <w:sz w:val="52"/>
          <w:szCs w:val="52"/>
        </w:rPr>
        <w:t>【服务类】</w:t>
      </w:r>
    </w:p>
    <w:p w14:paraId="091439CF">
      <w:pPr>
        <w:spacing w:line="360" w:lineRule="auto"/>
        <w:rPr>
          <w:color w:val="FF0000"/>
          <w:sz w:val="44"/>
          <w:szCs w:val="44"/>
        </w:rPr>
      </w:pPr>
    </w:p>
    <w:p w14:paraId="79242B4E">
      <w:pPr>
        <w:spacing w:line="360" w:lineRule="auto"/>
        <w:rPr>
          <w:color w:val="FF0000"/>
          <w:sz w:val="44"/>
          <w:szCs w:val="44"/>
        </w:rPr>
      </w:pPr>
    </w:p>
    <w:p w14:paraId="060A4D2B">
      <w:pPr>
        <w:spacing w:line="360" w:lineRule="auto"/>
        <w:ind w:firstLine="960" w:firstLineChars="300"/>
        <w:rPr>
          <w:sz w:val="32"/>
          <w:szCs w:val="32"/>
        </w:rPr>
      </w:pPr>
      <w:r>
        <w:rPr>
          <w:rFonts w:hint="eastAsia"/>
          <w:sz w:val="32"/>
          <w:szCs w:val="32"/>
        </w:rPr>
        <w:t xml:space="preserve">采购编号： </w:t>
      </w:r>
      <w:r>
        <w:rPr>
          <w:rFonts w:hint="eastAsia"/>
          <w:sz w:val="32"/>
          <w:szCs w:val="32"/>
          <w:u w:val="single"/>
        </w:rPr>
        <w:t xml:space="preserve">       </w:t>
      </w:r>
      <w:r>
        <w:rPr>
          <w:sz w:val="32"/>
          <w:szCs w:val="32"/>
          <w:u w:val="single"/>
        </w:rPr>
        <w:t xml:space="preserve">XM20241938 </w:t>
      </w:r>
      <w:r>
        <w:rPr>
          <w:rFonts w:hint="eastAsia"/>
          <w:sz w:val="32"/>
          <w:szCs w:val="32"/>
          <w:u w:val="single"/>
        </w:rPr>
        <w:t xml:space="preserve">        </w:t>
      </w:r>
      <w:r>
        <w:rPr>
          <w:rFonts w:hint="eastAsia"/>
          <w:sz w:val="32"/>
          <w:szCs w:val="32"/>
        </w:rPr>
        <w:t xml:space="preserve">  </w:t>
      </w:r>
    </w:p>
    <w:p w14:paraId="1CDDA47B">
      <w:pPr>
        <w:spacing w:line="400" w:lineRule="exact"/>
        <w:ind w:firstLine="960" w:firstLineChars="300"/>
        <w:rPr>
          <w:sz w:val="32"/>
          <w:szCs w:val="32"/>
        </w:rPr>
      </w:pPr>
    </w:p>
    <w:p w14:paraId="3C89A287">
      <w:pPr>
        <w:ind w:firstLine="960" w:firstLineChars="300"/>
        <w:jc w:val="left"/>
        <w:rPr>
          <w:sz w:val="24"/>
          <w:u w:val="single"/>
        </w:rPr>
      </w:pPr>
      <w:r>
        <w:rPr>
          <w:rFonts w:hint="eastAsia"/>
          <w:sz w:val="32"/>
          <w:szCs w:val="32"/>
        </w:rPr>
        <w:t xml:space="preserve">采购内容： </w:t>
      </w:r>
      <w:r>
        <w:rPr>
          <w:rFonts w:hint="eastAsia"/>
          <w:sz w:val="24"/>
          <w:u w:val="single"/>
        </w:rPr>
        <w:t xml:space="preserve">      </w:t>
      </w:r>
      <w:r>
        <w:rPr>
          <w:sz w:val="32"/>
          <w:szCs w:val="32"/>
          <w:u w:val="single"/>
        </w:rPr>
        <w:t>2025年度消防维保服务</w:t>
      </w:r>
      <w:r>
        <w:rPr>
          <w:rFonts w:hint="eastAsia"/>
          <w:sz w:val="32"/>
          <w:szCs w:val="32"/>
          <w:u w:val="single"/>
        </w:rPr>
        <w:t xml:space="preserve">   </w:t>
      </w:r>
      <w:r>
        <w:rPr>
          <w:rFonts w:hint="eastAsia"/>
          <w:sz w:val="24"/>
          <w:u w:val="single"/>
        </w:rPr>
        <w:t xml:space="preserve">  </w:t>
      </w:r>
    </w:p>
    <w:p w14:paraId="3917CBB4">
      <w:pPr>
        <w:rPr>
          <w:sz w:val="24"/>
          <w:u w:val="single"/>
        </w:rPr>
      </w:pPr>
    </w:p>
    <w:p w14:paraId="28940527">
      <w:pPr>
        <w:spacing w:line="400" w:lineRule="exact"/>
        <w:ind w:firstLine="960" w:firstLineChars="300"/>
        <w:rPr>
          <w:rFonts w:ascii="宋体" w:hAnsi="宋体" w:cs="宋体"/>
          <w:color w:val="000000"/>
          <w:kern w:val="0"/>
          <w:sz w:val="32"/>
          <w:szCs w:val="32"/>
          <w:u w:val="single"/>
        </w:rPr>
      </w:pPr>
    </w:p>
    <w:p w14:paraId="7535EF1C">
      <w:pPr>
        <w:widowControl/>
        <w:spacing w:line="460" w:lineRule="atLeast"/>
        <w:ind w:left="960" w:leftChars="457"/>
        <w:jc w:val="left"/>
        <w:rPr>
          <w:sz w:val="32"/>
          <w:szCs w:val="32"/>
          <w:u w:val="single"/>
        </w:rPr>
      </w:pPr>
      <w:r>
        <w:rPr>
          <w:rFonts w:hint="eastAsia"/>
          <w:sz w:val="32"/>
          <w:szCs w:val="32"/>
        </w:rPr>
        <w:t>采购方式：</w:t>
      </w:r>
      <w:r>
        <w:rPr>
          <w:rFonts w:hint="eastAsia"/>
          <w:sz w:val="32"/>
          <w:szCs w:val="32"/>
          <w:u w:val="single"/>
        </w:rPr>
        <w:t xml:space="preserve">         院内公开采购          </w:t>
      </w:r>
    </w:p>
    <w:p w14:paraId="36740599">
      <w:pPr>
        <w:widowControl/>
        <w:spacing w:line="460" w:lineRule="atLeast"/>
        <w:jc w:val="left"/>
        <w:rPr>
          <w:sz w:val="32"/>
          <w:szCs w:val="32"/>
        </w:rPr>
      </w:pPr>
    </w:p>
    <w:p w14:paraId="03F2152C">
      <w:pPr>
        <w:spacing w:line="360" w:lineRule="auto"/>
        <w:ind w:firstLine="960" w:firstLineChars="300"/>
        <w:rPr>
          <w:sz w:val="32"/>
          <w:szCs w:val="32"/>
        </w:rPr>
      </w:pPr>
      <w:r>
        <w:rPr>
          <w:rFonts w:hint="eastAsia"/>
          <w:sz w:val="32"/>
          <w:szCs w:val="32"/>
        </w:rPr>
        <w:t>采购单位名称：</w:t>
      </w:r>
      <w:r>
        <w:rPr>
          <w:rFonts w:hint="eastAsia"/>
          <w:sz w:val="32"/>
          <w:szCs w:val="32"/>
          <w:u w:val="single"/>
        </w:rPr>
        <w:t>北京中医药大学深圳医院（龙岗）</w:t>
      </w:r>
    </w:p>
    <w:p w14:paraId="6B3AD5FA">
      <w:pPr>
        <w:spacing w:line="360" w:lineRule="auto"/>
        <w:rPr>
          <w:sz w:val="32"/>
          <w:szCs w:val="32"/>
        </w:rPr>
      </w:pPr>
    </w:p>
    <w:p w14:paraId="31B28843">
      <w:pPr>
        <w:spacing w:line="360" w:lineRule="auto"/>
        <w:ind w:firstLine="960" w:firstLineChars="300"/>
        <w:rPr>
          <w:sz w:val="32"/>
          <w:szCs w:val="32"/>
        </w:rPr>
      </w:pPr>
    </w:p>
    <w:p w14:paraId="6743C144">
      <w:pPr>
        <w:spacing w:after="156" w:afterLines="50"/>
        <w:jc w:val="center"/>
        <w:rPr>
          <w:rFonts w:ascii="宋体" w:hAnsi="宋体"/>
          <w:b/>
          <w:sz w:val="36"/>
          <w:szCs w:val="36"/>
        </w:rPr>
      </w:pPr>
      <w:r>
        <w:rPr>
          <w:sz w:val="32"/>
          <w:szCs w:val="32"/>
        </w:rPr>
        <w:br w:type="page"/>
      </w:r>
      <w:r>
        <w:rPr>
          <w:rFonts w:hint="eastAsia" w:ascii="宋体" w:hAnsi="宋体"/>
          <w:b/>
          <w:sz w:val="36"/>
          <w:szCs w:val="36"/>
        </w:rPr>
        <w:t>院内采购公告</w:t>
      </w:r>
    </w:p>
    <w:p w14:paraId="673BF7AE">
      <w:pPr>
        <w:spacing w:after="156" w:afterLines="50"/>
        <w:jc w:val="center"/>
        <w:rPr>
          <w:rFonts w:ascii="宋体" w:hAnsi="宋体" w:cs="宋体"/>
          <w:color w:val="FF0000"/>
          <w:kern w:val="0"/>
          <w:sz w:val="24"/>
        </w:rPr>
      </w:pPr>
      <w:r>
        <w:rPr>
          <w:rFonts w:hint="eastAsia" w:ascii="宋体" w:hAnsi="宋体" w:cs="宋体"/>
          <w:color w:val="FF0000"/>
          <w:kern w:val="0"/>
          <w:sz w:val="24"/>
        </w:rPr>
        <w:t>（详见龙岗政府在线网站）</w:t>
      </w:r>
    </w:p>
    <w:p w14:paraId="02F34FDE">
      <w:pPr>
        <w:spacing w:line="360" w:lineRule="exact"/>
        <w:rPr>
          <w:rFonts w:ascii="宋体" w:hAnsi="宋体"/>
          <w:sz w:val="24"/>
        </w:rPr>
      </w:pPr>
    </w:p>
    <w:p w14:paraId="46CAB0D7">
      <w:pPr>
        <w:spacing w:line="360" w:lineRule="exact"/>
        <w:jc w:val="center"/>
        <w:rPr>
          <w:rFonts w:ascii="宋体" w:hAnsi="宋体"/>
          <w:b/>
          <w:szCs w:val="21"/>
        </w:rPr>
      </w:pPr>
      <w:r>
        <w:rPr>
          <w:rFonts w:hint="eastAsia" w:ascii="宋体" w:hAnsi="宋体"/>
          <w:b/>
          <w:szCs w:val="21"/>
        </w:rPr>
        <w:t>第一章  投标人须知</w:t>
      </w:r>
    </w:p>
    <w:p w14:paraId="5C4DF0DE">
      <w:pPr>
        <w:spacing w:line="360" w:lineRule="exact"/>
        <w:rPr>
          <w:rFonts w:ascii="宋体" w:hAnsi="宋体"/>
          <w:b/>
          <w:szCs w:val="21"/>
        </w:rPr>
      </w:pPr>
      <w:r>
        <w:rPr>
          <w:rFonts w:hint="eastAsia" w:ascii="宋体" w:hAnsi="宋体"/>
          <w:b/>
          <w:szCs w:val="21"/>
        </w:rPr>
        <w:t>一、采购人简介：</w:t>
      </w:r>
    </w:p>
    <w:p w14:paraId="512ACF2A">
      <w:pPr>
        <w:numPr>
          <w:ilvl w:val="0"/>
          <w:numId w:val="1"/>
        </w:numPr>
        <w:spacing w:line="360" w:lineRule="exact"/>
        <w:rPr>
          <w:rFonts w:ascii="宋体" w:hAnsi="宋体"/>
          <w:szCs w:val="21"/>
        </w:rPr>
      </w:pPr>
      <w:r>
        <w:rPr>
          <w:rFonts w:hint="eastAsia" w:ascii="宋体" w:hAnsi="宋体"/>
          <w:szCs w:val="21"/>
        </w:rPr>
        <w:t>采购单位：深圳市北京中医药大学深圳医院（龙岗）</w:t>
      </w:r>
    </w:p>
    <w:p w14:paraId="312DB196">
      <w:pPr>
        <w:numPr>
          <w:ilvl w:val="0"/>
          <w:numId w:val="1"/>
        </w:numPr>
        <w:spacing w:line="360" w:lineRule="exact"/>
        <w:rPr>
          <w:rFonts w:ascii="宋体" w:hAnsi="宋体"/>
          <w:szCs w:val="21"/>
        </w:rPr>
      </w:pPr>
      <w:r>
        <w:rPr>
          <w:rFonts w:hint="eastAsia" w:ascii="宋体" w:hAnsi="宋体"/>
          <w:szCs w:val="21"/>
        </w:rPr>
        <w:t>地址：深圳市龙岗区大运路1号</w:t>
      </w:r>
    </w:p>
    <w:p w14:paraId="2CD5C242">
      <w:pPr>
        <w:spacing w:line="360" w:lineRule="exact"/>
        <w:rPr>
          <w:rFonts w:ascii="宋体" w:hAnsi="宋体"/>
          <w:b/>
          <w:szCs w:val="21"/>
        </w:rPr>
      </w:pPr>
      <w:r>
        <w:rPr>
          <w:rFonts w:hint="eastAsia" w:ascii="宋体" w:hAnsi="宋体"/>
          <w:b/>
          <w:szCs w:val="21"/>
        </w:rPr>
        <w:t>二、采购内容：</w:t>
      </w:r>
    </w:p>
    <w:p w14:paraId="61BB2388">
      <w:pPr>
        <w:spacing w:line="360" w:lineRule="exact"/>
        <w:rPr>
          <w:rFonts w:ascii="宋体" w:hAnsi="宋体"/>
          <w:bCs/>
          <w:color w:val="FF0000"/>
          <w:szCs w:val="21"/>
        </w:rPr>
      </w:pPr>
      <w:r>
        <w:rPr>
          <w:rFonts w:hint="eastAsia" w:ascii="宋体" w:hAnsi="宋体"/>
          <w:color w:val="FF0000"/>
          <w:szCs w:val="21"/>
        </w:rPr>
        <w:t>详见</w:t>
      </w:r>
      <w:r>
        <w:rPr>
          <w:rFonts w:hint="eastAsia" w:ascii="宋体" w:hAnsi="宋体"/>
          <w:bCs/>
          <w:color w:val="FF0000"/>
          <w:szCs w:val="21"/>
        </w:rPr>
        <w:t>北京中医药大学深圳医院（龙岗）</w:t>
      </w:r>
      <w:r>
        <w:rPr>
          <w:rFonts w:ascii="宋体" w:hAnsi="宋体"/>
          <w:bCs/>
          <w:color w:val="FF0000"/>
          <w:szCs w:val="21"/>
        </w:rPr>
        <w:t>2025年度消防维保服务采购需求</w:t>
      </w:r>
      <w:r>
        <w:rPr>
          <w:rFonts w:hint="eastAsia" w:ascii="宋体" w:hAnsi="宋体"/>
          <w:bCs/>
          <w:color w:val="FF0000"/>
          <w:szCs w:val="21"/>
        </w:rPr>
        <w:t>（技术参数和商务条款）</w:t>
      </w:r>
      <w:r>
        <w:rPr>
          <w:rFonts w:hint="eastAsia" w:ascii="宋体" w:hAnsi="宋体"/>
          <w:color w:val="FF0000"/>
          <w:szCs w:val="21"/>
        </w:rPr>
        <w:t>。</w:t>
      </w:r>
    </w:p>
    <w:p w14:paraId="61FB057F">
      <w:pPr>
        <w:spacing w:line="360" w:lineRule="exact"/>
        <w:rPr>
          <w:rFonts w:ascii="宋体" w:hAnsi="宋体"/>
          <w:b/>
          <w:szCs w:val="21"/>
        </w:rPr>
      </w:pPr>
      <w:r>
        <w:rPr>
          <w:rFonts w:hint="eastAsia" w:ascii="宋体" w:hAnsi="宋体"/>
          <w:b/>
          <w:szCs w:val="21"/>
        </w:rPr>
        <w:t>三、采购方式：</w:t>
      </w:r>
    </w:p>
    <w:p w14:paraId="37161205">
      <w:pPr>
        <w:spacing w:line="360" w:lineRule="exact"/>
        <w:rPr>
          <w:rFonts w:ascii="宋体" w:hAnsi="宋体"/>
          <w:szCs w:val="21"/>
        </w:rPr>
      </w:pPr>
      <w:r>
        <w:rPr>
          <w:rFonts w:hint="eastAsia" w:ascii="宋体" w:hAnsi="宋体"/>
          <w:szCs w:val="21"/>
        </w:rPr>
        <w:t>深圳市北京中医药大学深圳医院（龙岗）院内公开采购。</w:t>
      </w:r>
    </w:p>
    <w:p w14:paraId="55287F49">
      <w:pPr>
        <w:spacing w:line="360" w:lineRule="exact"/>
        <w:rPr>
          <w:rFonts w:ascii="宋体" w:hAnsi="宋体"/>
          <w:b/>
          <w:szCs w:val="21"/>
        </w:rPr>
      </w:pPr>
      <w:r>
        <w:rPr>
          <w:rFonts w:hint="eastAsia" w:ascii="宋体" w:hAnsi="宋体"/>
          <w:b/>
          <w:szCs w:val="21"/>
        </w:rPr>
        <w:t>四、采购机构：</w:t>
      </w:r>
    </w:p>
    <w:p w14:paraId="6309A89B">
      <w:pPr>
        <w:spacing w:line="360" w:lineRule="exact"/>
        <w:rPr>
          <w:rFonts w:ascii="宋体" w:hAnsi="宋体"/>
          <w:szCs w:val="21"/>
        </w:rPr>
      </w:pPr>
      <w:r>
        <w:rPr>
          <w:rFonts w:hint="eastAsia" w:ascii="宋体" w:hAnsi="宋体"/>
          <w:szCs w:val="21"/>
        </w:rPr>
        <w:t>深圳市北京中医药大学深圳医院（龙岗）评标小组。</w:t>
      </w:r>
    </w:p>
    <w:p w14:paraId="1757FD60">
      <w:pPr>
        <w:spacing w:line="360" w:lineRule="exact"/>
        <w:rPr>
          <w:rFonts w:ascii="宋体" w:hAnsi="宋体"/>
          <w:b/>
          <w:szCs w:val="21"/>
        </w:rPr>
      </w:pPr>
      <w:r>
        <w:rPr>
          <w:rFonts w:hint="eastAsia" w:ascii="宋体" w:hAnsi="宋体"/>
          <w:b/>
          <w:szCs w:val="21"/>
        </w:rPr>
        <w:t>五、</w:t>
      </w:r>
      <w:bookmarkStart w:id="0" w:name="_Toc17710"/>
      <w:r>
        <w:rPr>
          <w:rFonts w:hint="eastAsia" w:ascii="宋体" w:hAnsi="宋体"/>
          <w:b/>
          <w:szCs w:val="21"/>
        </w:rPr>
        <w:t>资格性审查表、符合性审查表</w:t>
      </w:r>
      <w:bookmarkEnd w:id="0"/>
      <w:r>
        <w:rPr>
          <w:rFonts w:hint="eastAsia" w:ascii="宋体" w:hAnsi="宋体"/>
          <w:b/>
          <w:szCs w:val="21"/>
        </w:rPr>
        <w:t>：</w:t>
      </w:r>
    </w:p>
    <w:p w14:paraId="14C305AC">
      <w:pPr>
        <w:spacing w:line="300" w:lineRule="auto"/>
        <w:jc w:val="center"/>
        <w:rPr>
          <w:rFonts w:ascii="黑体" w:eastAsia="黑体"/>
          <w:color w:val="FF0000"/>
          <w:szCs w:val="21"/>
        </w:rPr>
      </w:pPr>
      <w:r>
        <w:rPr>
          <w:rFonts w:hint="eastAsia"/>
          <w:b/>
          <w:color w:val="FF0000"/>
        </w:rPr>
        <w:t>（凡有下列情形之一的，投标文件无效，投标作无效标处理</w:t>
      </w:r>
      <w:r>
        <w:rPr>
          <w:rFonts w:hint="eastAsia" w:ascii="黑体" w:eastAsia="黑体"/>
          <w:color w:val="FF0000"/>
          <w:szCs w:val="21"/>
        </w:rPr>
        <w:t>）</w:t>
      </w:r>
    </w:p>
    <w:tbl>
      <w:tblPr>
        <w:tblStyle w:val="1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9244"/>
      </w:tblGrid>
      <w:tr w14:paraId="518E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45" w:type="dxa"/>
            <w:vAlign w:val="center"/>
          </w:tcPr>
          <w:p w14:paraId="444DA531">
            <w:pPr>
              <w:spacing w:line="300" w:lineRule="auto"/>
              <w:jc w:val="center"/>
              <w:rPr>
                <w:b/>
              </w:rPr>
            </w:pPr>
            <w:r>
              <w:rPr>
                <w:rFonts w:hint="eastAsia"/>
                <w:b/>
              </w:rPr>
              <w:t>序号</w:t>
            </w:r>
          </w:p>
        </w:tc>
        <w:tc>
          <w:tcPr>
            <w:tcW w:w="9244" w:type="dxa"/>
            <w:vAlign w:val="center"/>
          </w:tcPr>
          <w:p w14:paraId="6DC1E47D">
            <w:pPr>
              <w:spacing w:line="300" w:lineRule="auto"/>
              <w:jc w:val="center"/>
              <w:rPr>
                <w:b/>
              </w:rPr>
            </w:pPr>
            <w:r>
              <w:rPr>
                <w:rFonts w:hint="eastAsia"/>
                <w:b/>
              </w:rPr>
              <w:t>评 审 内 容</w:t>
            </w:r>
          </w:p>
        </w:tc>
      </w:tr>
      <w:tr w14:paraId="3ADB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889" w:type="dxa"/>
            <w:gridSpan w:val="2"/>
            <w:vAlign w:val="center"/>
          </w:tcPr>
          <w:p w14:paraId="4E4DCBE6">
            <w:pPr>
              <w:spacing w:line="300" w:lineRule="auto"/>
              <w:jc w:val="center"/>
              <w:rPr>
                <w:b/>
              </w:rPr>
            </w:pPr>
            <w:r>
              <w:rPr>
                <w:rFonts w:hint="eastAsia"/>
              </w:rPr>
              <w:t>资格性审查表</w:t>
            </w:r>
          </w:p>
        </w:tc>
      </w:tr>
      <w:tr w14:paraId="2791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45" w:type="dxa"/>
            <w:vAlign w:val="center"/>
          </w:tcPr>
          <w:p w14:paraId="3DD07539">
            <w:pPr>
              <w:widowControl/>
              <w:numPr>
                <w:ilvl w:val="0"/>
                <w:numId w:val="2"/>
              </w:numPr>
              <w:shd w:val="clear" w:color="auto" w:fill="FFFFFF"/>
              <w:adjustRightInd w:val="0"/>
              <w:snapToGrid w:val="0"/>
              <w:spacing w:line="300" w:lineRule="auto"/>
              <w:ind w:left="0" w:firstLine="0"/>
              <w:jc w:val="center"/>
            </w:pPr>
          </w:p>
        </w:tc>
        <w:tc>
          <w:tcPr>
            <w:tcW w:w="9244" w:type="dxa"/>
            <w:vAlign w:val="center"/>
          </w:tcPr>
          <w:p w14:paraId="5D9FF278">
            <w:pPr>
              <w:spacing w:line="300" w:lineRule="auto"/>
            </w:pPr>
            <w:r>
              <w:rPr>
                <w:rFonts w:hint="eastAsia"/>
              </w:rPr>
              <w:t>投标人不具备招标资质要求，或未提交相应资质证明材料；(详见采购公告“</w:t>
            </w:r>
            <w:r>
              <w:t>供应商资质要求</w:t>
            </w:r>
            <w:r>
              <w:rPr>
                <w:rFonts w:hint="eastAsia"/>
              </w:rPr>
              <w:t>”，其中未列示的资质要求不得导致废标。)</w:t>
            </w:r>
          </w:p>
        </w:tc>
      </w:tr>
      <w:tr w14:paraId="2AB1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45" w:type="dxa"/>
            <w:vAlign w:val="center"/>
          </w:tcPr>
          <w:p w14:paraId="7090C1BD">
            <w:pPr>
              <w:widowControl/>
              <w:numPr>
                <w:ilvl w:val="0"/>
                <w:numId w:val="2"/>
              </w:numPr>
              <w:shd w:val="clear" w:color="auto" w:fill="FFFFFF"/>
              <w:adjustRightInd w:val="0"/>
              <w:snapToGrid w:val="0"/>
              <w:spacing w:line="300" w:lineRule="auto"/>
              <w:ind w:left="0" w:firstLine="0"/>
              <w:jc w:val="center"/>
            </w:pPr>
          </w:p>
        </w:tc>
        <w:tc>
          <w:tcPr>
            <w:tcW w:w="9244" w:type="dxa"/>
            <w:vAlign w:val="center"/>
          </w:tcPr>
          <w:p w14:paraId="56829832">
            <w:pPr>
              <w:spacing w:line="300" w:lineRule="auto"/>
            </w:pPr>
            <w:r>
              <w:t>投标文件存在招标文件中规定的其它投标无效条款的；</w:t>
            </w:r>
          </w:p>
        </w:tc>
      </w:tr>
      <w:tr w14:paraId="1EB8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45" w:type="dxa"/>
            <w:vAlign w:val="center"/>
          </w:tcPr>
          <w:p w14:paraId="15C27A92">
            <w:pPr>
              <w:widowControl/>
              <w:numPr>
                <w:ilvl w:val="0"/>
                <w:numId w:val="2"/>
              </w:numPr>
              <w:shd w:val="clear" w:color="auto" w:fill="FFFFFF"/>
              <w:adjustRightInd w:val="0"/>
              <w:snapToGrid w:val="0"/>
              <w:spacing w:line="300" w:lineRule="auto"/>
              <w:ind w:left="0" w:firstLine="0"/>
              <w:jc w:val="center"/>
            </w:pPr>
          </w:p>
        </w:tc>
        <w:tc>
          <w:tcPr>
            <w:tcW w:w="9244" w:type="dxa"/>
            <w:vAlign w:val="center"/>
          </w:tcPr>
          <w:p w14:paraId="1454CB54">
            <w:pPr>
              <w:spacing w:line="300" w:lineRule="auto"/>
            </w:pPr>
            <w:r>
              <w:t>法律、法规规定的属于投标无效的其他情形。</w:t>
            </w:r>
          </w:p>
        </w:tc>
      </w:tr>
      <w:tr w14:paraId="1AE8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889" w:type="dxa"/>
            <w:gridSpan w:val="2"/>
            <w:vAlign w:val="center"/>
          </w:tcPr>
          <w:p w14:paraId="13D3D73F">
            <w:pPr>
              <w:spacing w:line="300" w:lineRule="auto"/>
              <w:jc w:val="center"/>
            </w:pPr>
            <w:r>
              <w:rPr>
                <w:rFonts w:hint="eastAsia"/>
              </w:rPr>
              <w:t>符合性审查表</w:t>
            </w:r>
          </w:p>
        </w:tc>
      </w:tr>
      <w:tr w14:paraId="4865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7ABDB56F">
            <w:pPr>
              <w:numPr>
                <w:ilvl w:val="0"/>
                <w:numId w:val="3"/>
              </w:numPr>
              <w:adjustRightInd w:val="0"/>
              <w:snapToGrid w:val="0"/>
              <w:spacing w:line="300" w:lineRule="auto"/>
              <w:ind w:left="0" w:firstLine="0"/>
              <w:jc w:val="center"/>
            </w:pPr>
          </w:p>
        </w:tc>
        <w:tc>
          <w:tcPr>
            <w:tcW w:w="9244" w:type="dxa"/>
            <w:vAlign w:val="center"/>
          </w:tcPr>
          <w:p w14:paraId="25FA559A">
            <w:pPr>
              <w:spacing w:line="300" w:lineRule="auto"/>
            </w:pPr>
            <w:r>
              <w:rPr>
                <w:rFonts w:hint="eastAsia"/>
              </w:rPr>
              <w:t>将一个包或一个标段的内容拆开投标；</w:t>
            </w:r>
          </w:p>
        </w:tc>
      </w:tr>
      <w:tr w14:paraId="27E4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67364EEF">
            <w:pPr>
              <w:numPr>
                <w:ilvl w:val="0"/>
                <w:numId w:val="3"/>
              </w:numPr>
              <w:adjustRightInd w:val="0"/>
              <w:snapToGrid w:val="0"/>
              <w:spacing w:line="300" w:lineRule="auto"/>
              <w:ind w:left="0" w:firstLine="0"/>
              <w:jc w:val="center"/>
            </w:pPr>
          </w:p>
        </w:tc>
        <w:tc>
          <w:tcPr>
            <w:tcW w:w="9244" w:type="dxa"/>
            <w:vAlign w:val="center"/>
          </w:tcPr>
          <w:p w14:paraId="054561BF">
            <w:pPr>
              <w:spacing w:line="300" w:lineRule="auto"/>
            </w:pPr>
            <w:r>
              <w:rPr>
                <w:rFonts w:hint="eastAsia"/>
              </w:rPr>
              <w:t>投标文件及开标一览表未按招标文件规定密封、签字、盖章；</w:t>
            </w:r>
          </w:p>
        </w:tc>
      </w:tr>
      <w:tr w14:paraId="10CD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3E64C28C">
            <w:pPr>
              <w:numPr>
                <w:ilvl w:val="0"/>
                <w:numId w:val="3"/>
              </w:numPr>
              <w:adjustRightInd w:val="0"/>
              <w:snapToGrid w:val="0"/>
              <w:spacing w:line="300" w:lineRule="auto"/>
              <w:ind w:left="0" w:firstLine="0"/>
              <w:jc w:val="center"/>
            </w:pPr>
          </w:p>
        </w:tc>
        <w:tc>
          <w:tcPr>
            <w:tcW w:w="9244" w:type="dxa"/>
            <w:vAlign w:val="center"/>
          </w:tcPr>
          <w:p w14:paraId="5F1C03A7">
            <w:pPr>
              <w:spacing w:line="300" w:lineRule="auto"/>
            </w:pPr>
            <w:r>
              <w:rPr>
                <w:szCs w:val="21"/>
              </w:rPr>
              <w:t>对同一项目投标时，提供两套以上的投标方案（招标文件另有规定的除外）；</w:t>
            </w:r>
          </w:p>
        </w:tc>
      </w:tr>
      <w:tr w14:paraId="534D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645" w:type="dxa"/>
            <w:vAlign w:val="center"/>
          </w:tcPr>
          <w:p w14:paraId="35974DDA">
            <w:pPr>
              <w:numPr>
                <w:ilvl w:val="0"/>
                <w:numId w:val="3"/>
              </w:numPr>
              <w:adjustRightInd w:val="0"/>
              <w:snapToGrid w:val="0"/>
              <w:spacing w:line="300" w:lineRule="auto"/>
              <w:ind w:left="0" w:firstLine="0"/>
              <w:jc w:val="center"/>
            </w:pPr>
          </w:p>
        </w:tc>
        <w:tc>
          <w:tcPr>
            <w:tcW w:w="9244" w:type="dxa"/>
            <w:vAlign w:val="center"/>
          </w:tcPr>
          <w:p w14:paraId="5CBD27F5">
            <w:pPr>
              <w:spacing w:line="300" w:lineRule="auto"/>
            </w:pPr>
            <w:r>
              <w:rPr>
                <w:rFonts w:hint="eastAsia"/>
              </w:rPr>
              <w:t>未按招标文件所提供的样式填写</w:t>
            </w:r>
            <w:r>
              <w:t>《</w:t>
            </w:r>
            <w:r>
              <w:rPr>
                <w:rFonts w:hint="eastAsia"/>
              </w:rPr>
              <w:t>投标函》；未按招标文件所提供的《政府采购投标及履约承诺函》进行承诺；</w:t>
            </w:r>
          </w:p>
        </w:tc>
      </w:tr>
      <w:tr w14:paraId="48DB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645" w:type="dxa"/>
            <w:vAlign w:val="center"/>
          </w:tcPr>
          <w:p w14:paraId="5375B8D6">
            <w:pPr>
              <w:numPr>
                <w:ilvl w:val="0"/>
                <w:numId w:val="3"/>
              </w:numPr>
              <w:adjustRightInd w:val="0"/>
              <w:snapToGrid w:val="0"/>
              <w:spacing w:line="300" w:lineRule="auto"/>
              <w:ind w:left="0" w:firstLine="0"/>
              <w:jc w:val="center"/>
            </w:pPr>
          </w:p>
        </w:tc>
        <w:tc>
          <w:tcPr>
            <w:tcW w:w="9244" w:type="dxa"/>
            <w:vAlign w:val="center"/>
          </w:tcPr>
          <w:p w14:paraId="042C6F1C">
            <w:pPr>
              <w:spacing w:line="300" w:lineRule="auto"/>
            </w:pPr>
            <w:r>
              <w:rPr>
                <w:rFonts w:hint="eastAsia"/>
              </w:rPr>
              <w:t>未按照招标文件规定要求签署、盖章或投标文件没有法定代表人签字，或签字人没有法定代表人有效授权书的；</w:t>
            </w:r>
          </w:p>
        </w:tc>
      </w:tr>
      <w:tr w14:paraId="2496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3287156D">
            <w:pPr>
              <w:numPr>
                <w:ilvl w:val="0"/>
                <w:numId w:val="3"/>
              </w:numPr>
              <w:adjustRightInd w:val="0"/>
              <w:snapToGrid w:val="0"/>
              <w:spacing w:line="300" w:lineRule="auto"/>
              <w:ind w:left="0" w:firstLine="0"/>
              <w:jc w:val="center"/>
            </w:pPr>
          </w:p>
        </w:tc>
        <w:tc>
          <w:tcPr>
            <w:tcW w:w="9244" w:type="dxa"/>
            <w:vAlign w:val="center"/>
          </w:tcPr>
          <w:p w14:paraId="71C32865">
            <w:pPr>
              <w:spacing w:line="300" w:lineRule="auto"/>
            </w:pPr>
            <w:r>
              <w:rPr>
                <w:rFonts w:hint="eastAsia"/>
              </w:rPr>
              <w:t>投标总价或分项报价高于财政预算限额</w:t>
            </w:r>
            <w:r>
              <w:rPr>
                <w:szCs w:val="21"/>
              </w:rPr>
              <w:t>（最高投标限价）</w:t>
            </w:r>
            <w:r>
              <w:rPr>
                <w:rFonts w:hint="eastAsia"/>
              </w:rPr>
              <w:t>；</w:t>
            </w:r>
          </w:p>
        </w:tc>
      </w:tr>
      <w:tr w14:paraId="38F8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13C5C8D8">
            <w:pPr>
              <w:numPr>
                <w:ilvl w:val="0"/>
                <w:numId w:val="3"/>
              </w:numPr>
              <w:adjustRightInd w:val="0"/>
              <w:snapToGrid w:val="0"/>
              <w:spacing w:line="300" w:lineRule="auto"/>
              <w:ind w:left="0" w:firstLine="0"/>
              <w:jc w:val="center"/>
            </w:pPr>
          </w:p>
        </w:tc>
        <w:tc>
          <w:tcPr>
            <w:tcW w:w="9244" w:type="dxa"/>
            <w:vAlign w:val="center"/>
          </w:tcPr>
          <w:p w14:paraId="6B357460">
            <w:pPr>
              <w:spacing w:line="300" w:lineRule="auto"/>
            </w:pPr>
            <w:r>
              <w:rPr>
                <w:szCs w:val="21"/>
              </w:rPr>
              <w:t>同一项目出现两个及以上报价，且按规定无法确定哪个是有效报价；</w:t>
            </w:r>
          </w:p>
        </w:tc>
      </w:tr>
      <w:tr w14:paraId="7E6E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0A995A1D">
            <w:pPr>
              <w:numPr>
                <w:ilvl w:val="0"/>
                <w:numId w:val="3"/>
              </w:numPr>
              <w:adjustRightInd w:val="0"/>
              <w:snapToGrid w:val="0"/>
              <w:spacing w:line="300" w:lineRule="auto"/>
              <w:ind w:left="0" w:firstLine="0"/>
              <w:jc w:val="center"/>
            </w:pPr>
          </w:p>
        </w:tc>
        <w:tc>
          <w:tcPr>
            <w:tcW w:w="9244" w:type="dxa"/>
            <w:vAlign w:val="center"/>
          </w:tcPr>
          <w:p w14:paraId="06F5E4B6">
            <w:pPr>
              <w:spacing w:line="30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14:paraId="5BE7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1E014C9D">
            <w:pPr>
              <w:numPr>
                <w:ilvl w:val="0"/>
                <w:numId w:val="3"/>
              </w:numPr>
              <w:adjustRightInd w:val="0"/>
              <w:snapToGrid w:val="0"/>
              <w:spacing w:line="300" w:lineRule="auto"/>
              <w:ind w:left="0" w:firstLine="0"/>
              <w:jc w:val="center"/>
            </w:pPr>
          </w:p>
        </w:tc>
        <w:tc>
          <w:tcPr>
            <w:tcW w:w="9244" w:type="dxa"/>
            <w:vAlign w:val="center"/>
          </w:tcPr>
          <w:p w14:paraId="5A076729">
            <w:pPr>
              <w:spacing w:line="300" w:lineRule="auto"/>
            </w:pPr>
            <w:r>
              <w:rPr>
                <w:rFonts w:hint="eastAsia"/>
              </w:rPr>
              <w:t>所投产品或服务在商务、技术等方面没有实质性满足招标文件要求的</w:t>
            </w:r>
            <w:r>
              <w:rPr>
                <w:rFonts w:hint="eastAsia" w:ascii="宋体" w:hAnsi="宋体" w:cs="宋体"/>
                <w:szCs w:val="21"/>
              </w:rPr>
              <w:t>（招标文件标注★的均为实质性条款</w:t>
            </w:r>
            <w:r>
              <w:rPr>
                <w:rFonts w:hint="eastAsia"/>
              </w:rPr>
              <w:t>，是否实质性满足招标文件要求，由评标委员会根据《实质性响应条款偏离表》做出评判</w:t>
            </w:r>
            <w:r>
              <w:rPr>
                <w:rFonts w:hint="eastAsia" w:ascii="宋体" w:hAnsi="宋体" w:cs="宋体"/>
                <w:szCs w:val="21"/>
              </w:rPr>
              <w:t>）</w:t>
            </w:r>
            <w:r>
              <w:rPr>
                <w:rFonts w:hint="eastAsia"/>
              </w:rPr>
              <w:t>；</w:t>
            </w:r>
          </w:p>
        </w:tc>
      </w:tr>
      <w:tr w14:paraId="62A3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349D8945">
            <w:pPr>
              <w:numPr>
                <w:ilvl w:val="0"/>
                <w:numId w:val="3"/>
              </w:numPr>
              <w:adjustRightInd w:val="0"/>
              <w:snapToGrid w:val="0"/>
              <w:spacing w:line="300" w:lineRule="auto"/>
              <w:ind w:left="0" w:firstLine="0"/>
              <w:jc w:val="center"/>
            </w:pPr>
          </w:p>
        </w:tc>
        <w:tc>
          <w:tcPr>
            <w:tcW w:w="9244" w:type="dxa"/>
            <w:vAlign w:val="center"/>
          </w:tcPr>
          <w:p w14:paraId="4A24D1F3">
            <w:pPr>
              <w:spacing w:line="300" w:lineRule="auto"/>
            </w:pPr>
            <w:r>
              <w:rPr>
                <w:rFonts w:hint="eastAsia"/>
              </w:rPr>
              <w:t>投标报价有严重缺漏项目或对招标文件规定的服务清单项目及数量进行修改；</w:t>
            </w:r>
          </w:p>
        </w:tc>
      </w:tr>
      <w:tr w14:paraId="706B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51F3D00C">
            <w:pPr>
              <w:numPr>
                <w:ilvl w:val="0"/>
                <w:numId w:val="3"/>
              </w:numPr>
              <w:adjustRightInd w:val="0"/>
              <w:snapToGrid w:val="0"/>
              <w:spacing w:line="300" w:lineRule="auto"/>
              <w:ind w:left="0" w:firstLine="0"/>
              <w:jc w:val="center"/>
            </w:pPr>
          </w:p>
        </w:tc>
        <w:tc>
          <w:tcPr>
            <w:tcW w:w="9244" w:type="dxa"/>
            <w:vAlign w:val="center"/>
          </w:tcPr>
          <w:p w14:paraId="5384474C">
            <w:pPr>
              <w:spacing w:line="300" w:lineRule="auto"/>
            </w:pPr>
            <w:r>
              <w:rPr>
                <w:rFonts w:hint="eastAsia" w:ascii="宋体" w:hAnsi="宋体"/>
                <w:szCs w:val="21"/>
              </w:rPr>
              <w:t>投标单位的法定代表人或委托代理人未准时递交投标文件；</w:t>
            </w:r>
          </w:p>
        </w:tc>
      </w:tr>
    </w:tbl>
    <w:p w14:paraId="0D740FE6">
      <w:pPr>
        <w:spacing w:line="360" w:lineRule="exact"/>
        <w:rPr>
          <w:rFonts w:ascii="宋体" w:hAnsi="宋体"/>
          <w:b/>
          <w:szCs w:val="21"/>
        </w:rPr>
      </w:pPr>
      <w:r>
        <w:rPr>
          <w:rFonts w:hint="eastAsia" w:ascii="宋体" w:hAnsi="宋体"/>
          <w:b/>
          <w:szCs w:val="21"/>
        </w:rPr>
        <w:t>六、评标（评审）办法：采用综合评标法。</w:t>
      </w:r>
    </w:p>
    <w:p w14:paraId="0A6FBF9C">
      <w:pPr>
        <w:spacing w:line="360" w:lineRule="exact"/>
        <w:rPr>
          <w:rFonts w:ascii="宋体" w:hAnsi="宋体"/>
          <w:szCs w:val="21"/>
        </w:rPr>
      </w:pPr>
      <w:r>
        <w:rPr>
          <w:rFonts w:hint="eastAsia" w:ascii="宋体" w:hAnsi="宋体"/>
          <w:szCs w:val="21"/>
        </w:rPr>
        <w:t>1、评审人员的组成：北京中医药大学深圳医院（龙岗）评标小组。</w:t>
      </w:r>
    </w:p>
    <w:p w14:paraId="054A10F8">
      <w:pPr>
        <w:spacing w:line="360" w:lineRule="exact"/>
        <w:rPr>
          <w:rFonts w:ascii="宋体" w:hAnsi="宋体"/>
          <w:szCs w:val="21"/>
        </w:rPr>
      </w:pPr>
      <w:r>
        <w:rPr>
          <w:rFonts w:hint="eastAsia" w:ascii="宋体" w:hAnsi="宋体"/>
          <w:szCs w:val="21"/>
        </w:rPr>
        <w:t>2、评审原则：</w:t>
      </w:r>
    </w:p>
    <w:p w14:paraId="5EE16642">
      <w:pPr>
        <w:spacing w:line="360" w:lineRule="exact"/>
        <w:rPr>
          <w:rFonts w:ascii="宋体" w:hAnsi="宋体"/>
          <w:szCs w:val="21"/>
        </w:rPr>
      </w:pPr>
      <w:r>
        <w:rPr>
          <w:rFonts w:hint="eastAsia" w:ascii="宋体" w:hAnsi="宋体"/>
          <w:szCs w:val="21"/>
        </w:rPr>
        <w:t>（1）坚持公开、公平、公正的基本原则；</w:t>
      </w:r>
    </w:p>
    <w:p w14:paraId="39124FD1">
      <w:pPr>
        <w:spacing w:line="360" w:lineRule="exact"/>
        <w:rPr>
          <w:rFonts w:ascii="宋体" w:hAnsi="宋体"/>
          <w:szCs w:val="21"/>
        </w:rPr>
      </w:pPr>
      <w:r>
        <w:rPr>
          <w:rFonts w:hint="eastAsia" w:ascii="宋体" w:hAnsi="宋体"/>
          <w:szCs w:val="21"/>
        </w:rPr>
        <w:t>（2）实行科学评估、集体决策；</w:t>
      </w:r>
    </w:p>
    <w:p w14:paraId="06AC1590">
      <w:pPr>
        <w:spacing w:line="360" w:lineRule="exact"/>
        <w:rPr>
          <w:rFonts w:ascii="宋体" w:hAnsi="宋体"/>
          <w:szCs w:val="21"/>
        </w:rPr>
      </w:pPr>
      <w:r>
        <w:rPr>
          <w:rFonts w:hint="eastAsia" w:ascii="宋体" w:hAnsi="宋体"/>
          <w:szCs w:val="21"/>
        </w:rPr>
        <w:t>（3）质量优先、诚实信用优先、价廉优先；</w:t>
      </w:r>
    </w:p>
    <w:p w14:paraId="01432D30">
      <w:pPr>
        <w:spacing w:line="360" w:lineRule="exact"/>
        <w:rPr>
          <w:rFonts w:ascii="宋体" w:hAnsi="宋体"/>
          <w:szCs w:val="21"/>
        </w:rPr>
      </w:pPr>
      <w:r>
        <w:rPr>
          <w:rFonts w:hint="eastAsia" w:ascii="宋体" w:hAnsi="宋体"/>
          <w:szCs w:val="21"/>
        </w:rPr>
        <w:t>（4）医院纪检组全程有效监督。</w:t>
      </w:r>
    </w:p>
    <w:p w14:paraId="32ECF9DE">
      <w:pPr>
        <w:spacing w:line="360" w:lineRule="exact"/>
        <w:rPr>
          <w:rFonts w:ascii="宋体" w:hAnsi="宋体"/>
          <w:szCs w:val="21"/>
        </w:rPr>
      </w:pPr>
      <w:r>
        <w:rPr>
          <w:rFonts w:hint="eastAsia" w:ascii="宋体" w:hAnsi="宋体"/>
          <w:szCs w:val="21"/>
        </w:rPr>
        <w:t>3、评审标准：（见下表）</w:t>
      </w:r>
    </w:p>
    <w:tbl>
      <w:tblPr>
        <w:tblStyle w:val="18"/>
        <w:tblW w:w="1020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596"/>
        <w:gridCol w:w="1203"/>
        <w:gridCol w:w="699"/>
        <w:gridCol w:w="1059"/>
        <w:gridCol w:w="5977"/>
      </w:tblGrid>
      <w:tr w14:paraId="27A6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66" w:type="dxa"/>
            <w:vAlign w:val="center"/>
          </w:tcPr>
          <w:p w14:paraId="5CA41BB1">
            <w:pPr>
              <w:jc w:val="center"/>
              <w:rPr>
                <w:rFonts w:ascii="宋体" w:hAnsi="宋体"/>
                <w:szCs w:val="21"/>
              </w:rPr>
            </w:pPr>
            <w:bookmarkStart w:id="1" w:name="InsertEnd"/>
            <w:bookmarkEnd w:id="1"/>
            <w:r>
              <w:rPr>
                <w:rFonts w:hint="eastAsia" w:ascii="宋体" w:hAnsi="宋体"/>
                <w:szCs w:val="21"/>
              </w:rPr>
              <w:t>序号</w:t>
            </w:r>
          </w:p>
        </w:tc>
        <w:tc>
          <w:tcPr>
            <w:tcW w:w="3557" w:type="dxa"/>
            <w:gridSpan w:val="4"/>
            <w:vAlign w:val="center"/>
          </w:tcPr>
          <w:p w14:paraId="67EA9920">
            <w:pPr>
              <w:jc w:val="center"/>
              <w:rPr>
                <w:rFonts w:ascii="宋体" w:hAnsi="宋体"/>
                <w:szCs w:val="21"/>
              </w:rPr>
            </w:pPr>
            <w:r>
              <w:rPr>
                <w:rFonts w:hint="eastAsia" w:ascii="宋体" w:hAnsi="宋体"/>
                <w:szCs w:val="21"/>
              </w:rPr>
              <w:t>评分项</w:t>
            </w:r>
          </w:p>
        </w:tc>
        <w:tc>
          <w:tcPr>
            <w:tcW w:w="5977" w:type="dxa"/>
            <w:vAlign w:val="center"/>
          </w:tcPr>
          <w:p w14:paraId="37552B25">
            <w:pPr>
              <w:jc w:val="center"/>
              <w:rPr>
                <w:rFonts w:ascii="宋体" w:hAnsi="宋体"/>
                <w:szCs w:val="21"/>
              </w:rPr>
            </w:pPr>
            <w:r>
              <w:rPr>
                <w:rFonts w:hint="eastAsia" w:ascii="宋体" w:hAnsi="宋体"/>
                <w:szCs w:val="21"/>
              </w:rPr>
              <w:t>权重分</w:t>
            </w:r>
          </w:p>
        </w:tc>
      </w:tr>
      <w:tr w14:paraId="54A9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66" w:type="dxa"/>
            <w:vAlign w:val="center"/>
          </w:tcPr>
          <w:p w14:paraId="288532C5">
            <w:pPr>
              <w:jc w:val="center"/>
              <w:rPr>
                <w:rFonts w:ascii="宋体" w:hAnsi="宋体"/>
                <w:b/>
                <w:szCs w:val="21"/>
              </w:rPr>
            </w:pPr>
            <w:r>
              <w:rPr>
                <w:rFonts w:ascii="宋体" w:hAnsi="宋体"/>
                <w:b/>
                <w:szCs w:val="21"/>
              </w:rPr>
              <w:t>1</w:t>
            </w:r>
          </w:p>
        </w:tc>
        <w:tc>
          <w:tcPr>
            <w:tcW w:w="3557" w:type="dxa"/>
            <w:gridSpan w:val="4"/>
            <w:vAlign w:val="center"/>
          </w:tcPr>
          <w:p w14:paraId="09CF267A">
            <w:pPr>
              <w:jc w:val="center"/>
              <w:rPr>
                <w:rFonts w:ascii="宋体" w:hAnsi="宋体"/>
                <w:b/>
                <w:szCs w:val="21"/>
              </w:rPr>
            </w:pPr>
            <w:r>
              <w:rPr>
                <w:rFonts w:hint="eastAsia" w:ascii="宋体" w:hAnsi="宋体"/>
                <w:b/>
                <w:szCs w:val="21"/>
              </w:rPr>
              <w:t>价格</w:t>
            </w:r>
          </w:p>
        </w:tc>
        <w:tc>
          <w:tcPr>
            <w:tcW w:w="5977" w:type="dxa"/>
            <w:vAlign w:val="center"/>
          </w:tcPr>
          <w:p w14:paraId="2DD835E3">
            <w:pPr>
              <w:jc w:val="center"/>
              <w:rPr>
                <w:rFonts w:ascii="宋体" w:hAnsi="宋体"/>
                <w:b/>
                <w:szCs w:val="21"/>
              </w:rPr>
            </w:pPr>
            <w:r>
              <w:rPr>
                <w:rFonts w:hint="eastAsia" w:ascii="宋体" w:hAnsi="宋体"/>
                <w:b/>
                <w:szCs w:val="21"/>
              </w:rPr>
              <w:t>10</w:t>
            </w:r>
          </w:p>
        </w:tc>
      </w:tr>
      <w:tr w14:paraId="79A6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200" w:type="dxa"/>
            <w:gridSpan w:val="6"/>
            <w:vAlign w:val="center"/>
          </w:tcPr>
          <w:p w14:paraId="27E0AA37">
            <w:pPr>
              <w:jc w:val="center"/>
              <w:rPr>
                <w:rFonts w:ascii="宋体" w:hAnsi="宋体"/>
                <w:b/>
                <w:szCs w:val="21"/>
              </w:rPr>
            </w:pPr>
            <w:r>
              <w:rPr>
                <w:rFonts w:hint="eastAsia" w:ascii="宋体" w:hAnsi="宋体"/>
                <w:b/>
                <w:szCs w:val="21"/>
              </w:rPr>
              <w:t>计算方法：</w:t>
            </w:r>
            <w:r>
              <w:rPr>
                <w:rFonts w:hint="eastAsia" w:ascii="宋体" w:hAnsi="宋体"/>
                <w:szCs w:val="21"/>
              </w:rPr>
              <w:t>价格分=(最低价/投标报价）*10</w:t>
            </w:r>
          </w:p>
        </w:tc>
      </w:tr>
      <w:tr w14:paraId="6DE2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6" w:type="dxa"/>
            <w:vAlign w:val="center"/>
          </w:tcPr>
          <w:p w14:paraId="7A76ED89">
            <w:pPr>
              <w:jc w:val="center"/>
              <w:rPr>
                <w:rFonts w:ascii="宋体" w:hAnsi="宋体"/>
                <w:b/>
                <w:szCs w:val="21"/>
              </w:rPr>
            </w:pPr>
            <w:r>
              <w:rPr>
                <w:rFonts w:ascii="宋体" w:hAnsi="宋体"/>
                <w:b/>
                <w:szCs w:val="21"/>
              </w:rPr>
              <w:t>2</w:t>
            </w:r>
          </w:p>
        </w:tc>
        <w:tc>
          <w:tcPr>
            <w:tcW w:w="3557" w:type="dxa"/>
            <w:gridSpan w:val="4"/>
            <w:vAlign w:val="center"/>
          </w:tcPr>
          <w:p w14:paraId="0F0FFD26">
            <w:pPr>
              <w:jc w:val="center"/>
              <w:rPr>
                <w:rFonts w:ascii="宋体" w:hAnsi="宋体"/>
                <w:b/>
                <w:szCs w:val="21"/>
              </w:rPr>
            </w:pPr>
            <w:r>
              <w:rPr>
                <w:rFonts w:hint="eastAsia" w:ascii="宋体" w:hAnsi="宋体"/>
                <w:b/>
                <w:szCs w:val="21"/>
              </w:rPr>
              <w:t>技术部分</w:t>
            </w:r>
          </w:p>
        </w:tc>
        <w:tc>
          <w:tcPr>
            <w:tcW w:w="5977" w:type="dxa"/>
            <w:vAlign w:val="center"/>
          </w:tcPr>
          <w:p w14:paraId="728FB86A">
            <w:pPr>
              <w:jc w:val="center"/>
              <w:rPr>
                <w:rFonts w:ascii="宋体" w:hAnsi="宋体"/>
                <w:b/>
                <w:szCs w:val="21"/>
              </w:rPr>
            </w:pPr>
            <w:r>
              <w:rPr>
                <w:rFonts w:hint="eastAsia" w:ascii="宋体" w:hAnsi="宋体"/>
                <w:b/>
                <w:szCs w:val="21"/>
              </w:rPr>
              <w:t>75</w:t>
            </w:r>
          </w:p>
        </w:tc>
      </w:tr>
      <w:tr w14:paraId="0239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666" w:type="dxa"/>
            <w:vMerge w:val="restart"/>
            <w:vAlign w:val="center"/>
          </w:tcPr>
          <w:p w14:paraId="783F0BFB">
            <w:pPr>
              <w:jc w:val="center"/>
              <w:rPr>
                <w:rFonts w:ascii="宋体" w:hAnsi="宋体"/>
                <w:szCs w:val="21"/>
              </w:rPr>
            </w:pPr>
            <w:r>
              <w:rPr>
                <w:rFonts w:hint="eastAsia" w:ascii="宋体" w:hAnsi="宋体"/>
                <w:szCs w:val="21"/>
              </w:rPr>
              <w:t>2</w:t>
            </w:r>
          </w:p>
        </w:tc>
        <w:tc>
          <w:tcPr>
            <w:tcW w:w="596" w:type="dxa"/>
            <w:vAlign w:val="center"/>
          </w:tcPr>
          <w:p w14:paraId="45A77745">
            <w:pPr>
              <w:jc w:val="center"/>
              <w:rPr>
                <w:rFonts w:ascii="宋体" w:hAnsi="宋体"/>
                <w:szCs w:val="21"/>
              </w:rPr>
            </w:pPr>
            <w:r>
              <w:rPr>
                <w:rFonts w:hint="eastAsia" w:ascii="宋体" w:hAnsi="宋体"/>
                <w:szCs w:val="21"/>
              </w:rPr>
              <w:t>序号</w:t>
            </w:r>
          </w:p>
        </w:tc>
        <w:tc>
          <w:tcPr>
            <w:tcW w:w="1203" w:type="dxa"/>
            <w:vAlign w:val="center"/>
          </w:tcPr>
          <w:p w14:paraId="2E3A0503">
            <w:pPr>
              <w:jc w:val="center"/>
              <w:rPr>
                <w:rFonts w:ascii="宋体" w:hAnsi="宋体"/>
                <w:szCs w:val="21"/>
              </w:rPr>
            </w:pPr>
            <w:r>
              <w:rPr>
                <w:rFonts w:hint="eastAsia" w:ascii="宋体" w:hAnsi="宋体"/>
                <w:szCs w:val="21"/>
              </w:rPr>
              <w:t>评分因素</w:t>
            </w:r>
          </w:p>
        </w:tc>
        <w:tc>
          <w:tcPr>
            <w:tcW w:w="699" w:type="dxa"/>
            <w:vAlign w:val="center"/>
          </w:tcPr>
          <w:p w14:paraId="2C07FC26">
            <w:pPr>
              <w:jc w:val="center"/>
              <w:rPr>
                <w:rFonts w:ascii="宋体" w:hAnsi="宋体"/>
                <w:szCs w:val="21"/>
              </w:rPr>
            </w:pPr>
            <w:r>
              <w:rPr>
                <w:rFonts w:hint="eastAsia" w:ascii="宋体" w:hAnsi="宋体"/>
                <w:szCs w:val="21"/>
              </w:rPr>
              <w:t>权重</w:t>
            </w:r>
          </w:p>
        </w:tc>
        <w:tc>
          <w:tcPr>
            <w:tcW w:w="1059" w:type="dxa"/>
            <w:vAlign w:val="center"/>
          </w:tcPr>
          <w:p w14:paraId="71387671">
            <w:pPr>
              <w:jc w:val="center"/>
              <w:rPr>
                <w:rFonts w:ascii="宋体" w:hAnsi="宋体"/>
                <w:szCs w:val="21"/>
              </w:rPr>
            </w:pPr>
            <w:r>
              <w:rPr>
                <w:rFonts w:hint="eastAsia" w:ascii="宋体" w:hAnsi="宋体"/>
                <w:szCs w:val="21"/>
              </w:rPr>
              <w:t>评分方式</w:t>
            </w:r>
          </w:p>
        </w:tc>
        <w:tc>
          <w:tcPr>
            <w:tcW w:w="5977" w:type="dxa"/>
            <w:vAlign w:val="center"/>
          </w:tcPr>
          <w:p w14:paraId="22603935">
            <w:pPr>
              <w:jc w:val="center"/>
              <w:rPr>
                <w:rFonts w:ascii="宋体" w:hAnsi="宋体"/>
                <w:szCs w:val="21"/>
              </w:rPr>
            </w:pPr>
            <w:r>
              <w:rPr>
                <w:rFonts w:hint="eastAsia" w:ascii="宋体" w:hAnsi="宋体"/>
                <w:szCs w:val="21"/>
              </w:rPr>
              <w:t>评分准则</w:t>
            </w:r>
          </w:p>
        </w:tc>
      </w:tr>
      <w:tr w14:paraId="2D49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666" w:type="dxa"/>
            <w:vMerge w:val="continue"/>
            <w:vAlign w:val="center"/>
          </w:tcPr>
          <w:p w14:paraId="4D3C5FD5">
            <w:pPr>
              <w:jc w:val="center"/>
              <w:rPr>
                <w:rFonts w:ascii="宋体" w:hAnsi="宋体"/>
                <w:szCs w:val="21"/>
              </w:rPr>
            </w:pPr>
          </w:p>
        </w:tc>
        <w:tc>
          <w:tcPr>
            <w:tcW w:w="596" w:type="dxa"/>
            <w:vAlign w:val="center"/>
          </w:tcPr>
          <w:p w14:paraId="541F626C">
            <w:pPr>
              <w:jc w:val="center"/>
              <w:rPr>
                <w:rFonts w:ascii="宋体" w:hAnsi="宋体"/>
                <w:szCs w:val="21"/>
              </w:rPr>
            </w:pPr>
            <w:r>
              <w:rPr>
                <w:rFonts w:hint="eastAsia" w:ascii="宋体" w:hAnsi="宋体"/>
                <w:szCs w:val="21"/>
              </w:rPr>
              <w:t>1</w:t>
            </w:r>
          </w:p>
        </w:tc>
        <w:tc>
          <w:tcPr>
            <w:tcW w:w="1203" w:type="dxa"/>
            <w:vAlign w:val="center"/>
          </w:tcPr>
          <w:p w14:paraId="707F3087">
            <w:pPr>
              <w:rPr>
                <w:rFonts w:ascii="宋体" w:hAnsi="宋体" w:cs="宋体"/>
                <w:szCs w:val="21"/>
              </w:rPr>
            </w:pPr>
            <w:r>
              <w:rPr>
                <w:rFonts w:hint="eastAsia" w:ascii="宋体" w:hAnsi="宋体"/>
                <w:szCs w:val="21"/>
              </w:rPr>
              <w:t>项目维保实施方案</w:t>
            </w:r>
          </w:p>
        </w:tc>
        <w:tc>
          <w:tcPr>
            <w:tcW w:w="699" w:type="dxa"/>
            <w:vAlign w:val="center"/>
          </w:tcPr>
          <w:p w14:paraId="4728D814">
            <w:pPr>
              <w:pStyle w:val="8"/>
              <w:jc w:val="center"/>
              <w:rPr>
                <w:rFonts w:ascii="宋体" w:hAnsi="宋体" w:cs="宋体"/>
                <w:sz w:val="21"/>
                <w:szCs w:val="21"/>
              </w:rPr>
            </w:pPr>
            <w:r>
              <w:rPr>
                <w:rFonts w:hint="eastAsia" w:ascii="宋体" w:hAnsi="宋体" w:cs="宋体"/>
                <w:sz w:val="21"/>
                <w:szCs w:val="21"/>
              </w:rPr>
              <w:t>30</w:t>
            </w:r>
          </w:p>
        </w:tc>
        <w:tc>
          <w:tcPr>
            <w:tcW w:w="1059" w:type="dxa"/>
            <w:vAlign w:val="center"/>
          </w:tcPr>
          <w:p w14:paraId="54644AB5">
            <w:pPr>
              <w:jc w:val="center"/>
              <w:rPr>
                <w:rFonts w:ascii="宋体" w:hAnsi="宋体"/>
                <w:szCs w:val="21"/>
              </w:rPr>
            </w:pPr>
            <w:r>
              <w:rPr>
                <w:rFonts w:hint="eastAsia" w:ascii="宋体" w:hAnsi="宋体"/>
                <w:szCs w:val="21"/>
              </w:rPr>
              <w:t>专家评分</w:t>
            </w:r>
          </w:p>
        </w:tc>
        <w:tc>
          <w:tcPr>
            <w:tcW w:w="5977" w:type="dxa"/>
            <w:vAlign w:val="center"/>
          </w:tcPr>
          <w:p w14:paraId="736A37F8">
            <w:pPr>
              <w:tabs>
                <w:tab w:val="left" w:pos="426"/>
              </w:tabs>
              <w:rPr>
                <w:rFonts w:ascii="宋体" w:hAnsi="宋体" w:cs="宋体"/>
                <w:szCs w:val="21"/>
              </w:rPr>
            </w:pPr>
            <w:r>
              <w:rPr>
                <w:rFonts w:hint="eastAsia" w:ascii="宋体" w:hAnsi="宋体" w:cs="宋体"/>
                <w:b/>
                <w:szCs w:val="21"/>
              </w:rPr>
              <w:t>评审内容：</w:t>
            </w:r>
          </w:p>
          <w:p w14:paraId="77D36248">
            <w:pPr>
              <w:jc w:val="left"/>
              <w:rPr>
                <w:rFonts w:ascii="宋体" w:hAnsi="宋体"/>
                <w:szCs w:val="21"/>
              </w:rPr>
            </w:pPr>
            <w:r>
              <w:rPr>
                <w:rFonts w:hint="eastAsia" w:ascii="宋体" w:hAnsi="宋体"/>
                <w:szCs w:val="21"/>
              </w:rPr>
              <w:t>评价项目维保实施方案（包括但不限于组织措施、技术措施、安全措施），根据招标文件需求提供项目维保方案。</w:t>
            </w:r>
          </w:p>
          <w:p w14:paraId="11C0BA08">
            <w:pPr>
              <w:tabs>
                <w:tab w:val="left" w:pos="426"/>
              </w:tabs>
              <w:rPr>
                <w:rFonts w:hint="eastAsia" w:ascii="宋体" w:hAnsi="宋体" w:cs="宋体"/>
                <w:b/>
                <w:szCs w:val="21"/>
              </w:rPr>
            </w:pPr>
            <w:r>
              <w:rPr>
                <w:rFonts w:hint="eastAsia" w:ascii="宋体" w:hAnsi="宋体" w:cs="宋体"/>
                <w:b/>
                <w:szCs w:val="21"/>
              </w:rPr>
              <w:t>评分标准：</w:t>
            </w:r>
          </w:p>
          <w:p w14:paraId="3CFDF9A0">
            <w:pPr>
              <w:jc w:val="left"/>
              <w:rPr>
                <w:rFonts w:ascii="宋体" w:hAnsi="宋体"/>
                <w:szCs w:val="21"/>
              </w:rPr>
            </w:pPr>
            <w:r>
              <w:rPr>
                <w:rFonts w:hint="eastAsia" w:ascii="宋体" w:hAnsi="宋体"/>
                <w:szCs w:val="21"/>
              </w:rPr>
              <w:t>根据招标文件的需求和投标文件响应情况进行比较，分档评分：</w:t>
            </w:r>
          </w:p>
          <w:p w14:paraId="0768DB36">
            <w:pPr>
              <w:jc w:val="left"/>
              <w:rPr>
                <w:rFonts w:ascii="宋体" w:hAnsi="宋体"/>
                <w:szCs w:val="21"/>
              </w:rPr>
            </w:pPr>
            <w:r>
              <w:rPr>
                <w:rFonts w:hint="eastAsia" w:ascii="宋体" w:hAnsi="宋体"/>
                <w:szCs w:val="21"/>
              </w:rPr>
              <w:t>（1）实施方案内容表述清晰；</w:t>
            </w:r>
          </w:p>
          <w:p w14:paraId="2D613914">
            <w:pPr>
              <w:jc w:val="left"/>
              <w:rPr>
                <w:rFonts w:ascii="宋体" w:hAnsi="宋体"/>
                <w:szCs w:val="21"/>
              </w:rPr>
            </w:pPr>
            <w:r>
              <w:rPr>
                <w:rFonts w:hint="eastAsia" w:ascii="宋体" w:hAnsi="宋体"/>
                <w:szCs w:val="21"/>
              </w:rPr>
              <w:t>（2）实施方案内容全面、具体；</w:t>
            </w:r>
          </w:p>
          <w:p w14:paraId="7EA310E0">
            <w:pPr>
              <w:jc w:val="left"/>
              <w:rPr>
                <w:rFonts w:ascii="宋体" w:hAnsi="宋体"/>
                <w:szCs w:val="21"/>
              </w:rPr>
            </w:pPr>
            <w:r>
              <w:rPr>
                <w:rFonts w:hint="eastAsia" w:ascii="宋体" w:hAnsi="宋体"/>
                <w:szCs w:val="21"/>
              </w:rPr>
              <w:t>（3）实施方案内容符合医院工作实际；</w:t>
            </w:r>
          </w:p>
          <w:p w14:paraId="2F5F04C1">
            <w:pPr>
              <w:jc w:val="left"/>
              <w:rPr>
                <w:rFonts w:ascii="宋体" w:hAnsi="宋体"/>
                <w:szCs w:val="21"/>
              </w:rPr>
            </w:pPr>
            <w:r>
              <w:rPr>
                <w:rFonts w:hint="eastAsia" w:ascii="宋体" w:hAnsi="宋体"/>
                <w:szCs w:val="21"/>
              </w:rPr>
              <w:t>（4）实施方案内容针对性强；</w:t>
            </w:r>
          </w:p>
          <w:p w14:paraId="0E9FA5F1">
            <w:pPr>
              <w:jc w:val="left"/>
              <w:rPr>
                <w:rFonts w:ascii="宋体" w:hAnsi="宋体"/>
                <w:szCs w:val="21"/>
              </w:rPr>
            </w:pPr>
            <w:r>
              <w:rPr>
                <w:rFonts w:hint="eastAsia" w:ascii="宋体" w:hAnsi="宋体"/>
                <w:szCs w:val="21"/>
              </w:rPr>
              <w:t>（5）实施方案内容可操作性强。</w:t>
            </w:r>
          </w:p>
          <w:p w14:paraId="52BF2A2B">
            <w:r>
              <w:rPr>
                <w:rFonts w:hint="eastAsia" w:ascii="宋体" w:hAnsi="宋体"/>
                <w:szCs w:val="21"/>
              </w:rPr>
              <w:t>优评分标准：满足以上五项要求的评价为优得30分；良评分标准：满足以上四项要求的评价为良，得24分；中评分标准：满足以上三项要求的评价为中，得18分；不提供或其他情形的，不得分。</w:t>
            </w:r>
          </w:p>
        </w:tc>
      </w:tr>
      <w:tr w14:paraId="35D4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666" w:type="dxa"/>
            <w:vMerge w:val="continue"/>
            <w:vAlign w:val="center"/>
          </w:tcPr>
          <w:p w14:paraId="62ACED26">
            <w:pPr>
              <w:jc w:val="center"/>
              <w:rPr>
                <w:rFonts w:ascii="宋体" w:hAnsi="宋体"/>
                <w:szCs w:val="21"/>
              </w:rPr>
            </w:pPr>
          </w:p>
        </w:tc>
        <w:tc>
          <w:tcPr>
            <w:tcW w:w="596" w:type="dxa"/>
            <w:vAlign w:val="center"/>
          </w:tcPr>
          <w:p w14:paraId="7597C2E3">
            <w:pPr>
              <w:jc w:val="center"/>
              <w:rPr>
                <w:rFonts w:hint="eastAsia" w:ascii="宋体" w:hAnsi="宋体"/>
                <w:szCs w:val="21"/>
              </w:rPr>
            </w:pPr>
            <w:r>
              <w:rPr>
                <w:rFonts w:hint="eastAsia" w:ascii="宋体" w:hAnsi="宋体"/>
                <w:szCs w:val="21"/>
              </w:rPr>
              <w:t>2</w:t>
            </w:r>
          </w:p>
        </w:tc>
        <w:tc>
          <w:tcPr>
            <w:tcW w:w="1203" w:type="dxa"/>
            <w:vAlign w:val="center"/>
          </w:tcPr>
          <w:p w14:paraId="1AB4F03E">
            <w:pPr>
              <w:pStyle w:val="54"/>
              <w:spacing w:line="440" w:lineRule="exact"/>
              <w:ind w:firstLine="0"/>
              <w:jc w:val="center"/>
              <w:rPr>
                <w:rFonts w:hint="eastAsia"/>
                <w:szCs w:val="21"/>
              </w:rPr>
            </w:pPr>
            <w:r>
              <w:rPr>
                <w:rFonts w:hint="eastAsia"/>
                <w:szCs w:val="21"/>
              </w:rPr>
              <w:t>人员技术实力</w:t>
            </w:r>
          </w:p>
        </w:tc>
        <w:tc>
          <w:tcPr>
            <w:tcW w:w="699" w:type="dxa"/>
            <w:vAlign w:val="center"/>
          </w:tcPr>
          <w:p w14:paraId="7C7C1BEF">
            <w:pPr>
              <w:adjustRightInd w:val="0"/>
              <w:snapToGrid w:val="0"/>
              <w:spacing w:line="360" w:lineRule="auto"/>
              <w:jc w:val="center"/>
              <w:rPr>
                <w:rFonts w:ascii="宋体" w:hAnsi="宋体" w:cs="宋体"/>
                <w:szCs w:val="21"/>
              </w:rPr>
            </w:pPr>
            <w:r>
              <w:rPr>
                <w:rFonts w:hint="eastAsia" w:ascii="宋体" w:hAnsi="宋体" w:cs="宋体"/>
                <w:szCs w:val="21"/>
              </w:rPr>
              <w:t>15</w:t>
            </w:r>
          </w:p>
        </w:tc>
        <w:tc>
          <w:tcPr>
            <w:tcW w:w="1059" w:type="dxa"/>
            <w:vAlign w:val="center"/>
          </w:tcPr>
          <w:p w14:paraId="151507D1">
            <w:pPr>
              <w:adjustRightInd w:val="0"/>
              <w:snapToGrid w:val="0"/>
              <w:spacing w:line="360" w:lineRule="auto"/>
              <w:jc w:val="center"/>
              <w:rPr>
                <w:rFonts w:ascii="宋体" w:hAnsi="宋体" w:cs="宋体" w:eastAsiaTheme="minorEastAsia"/>
                <w:szCs w:val="21"/>
              </w:rPr>
            </w:pPr>
          </w:p>
        </w:tc>
        <w:tc>
          <w:tcPr>
            <w:tcW w:w="5977" w:type="dxa"/>
            <w:vAlign w:val="center"/>
          </w:tcPr>
          <w:p w14:paraId="35BBE9E4">
            <w:pPr>
              <w:adjustRightInd w:val="0"/>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评审内容：</w:t>
            </w:r>
          </w:p>
          <w:p w14:paraId="19732D18">
            <w:pPr>
              <w:adjustRightInd w:val="0"/>
              <w:snapToGrid w:val="0"/>
              <w:spacing w:line="360" w:lineRule="auto"/>
              <w:rPr>
                <w:rFonts w:asciiTheme="minorEastAsia" w:hAnsiTheme="minorEastAsia" w:eastAsiaTheme="minorEastAsia" w:cstheme="minorEastAsia"/>
                <w:szCs w:val="21"/>
              </w:rPr>
            </w:pPr>
            <w:r>
              <w:rPr>
                <w:rFonts w:asciiTheme="minorEastAsia" w:hAnsiTheme="minorEastAsia" w:eastAsiaTheme="minorEastAsia" w:cstheme="minorEastAsia"/>
                <w:szCs w:val="21"/>
              </w:rPr>
              <w:t>具有专业消防维保团队及操作人员</w:t>
            </w:r>
            <w:r>
              <w:rPr>
                <w:rFonts w:hint="eastAsia" w:asciiTheme="minorEastAsia" w:hAnsiTheme="minorEastAsia" w:eastAsiaTheme="minorEastAsia" w:cstheme="minorEastAsia"/>
                <w:szCs w:val="21"/>
              </w:rPr>
              <w:t>。以下为具体要求：</w:t>
            </w:r>
          </w:p>
          <w:p w14:paraId="385B0AB3">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asciiTheme="minorEastAsia" w:hAnsiTheme="minorEastAsia" w:eastAsiaTheme="minorEastAsia" w:cstheme="minorEastAsia"/>
                <w:szCs w:val="21"/>
              </w:rPr>
              <w:t xml:space="preserve"> 取得一级注册消防工程师含5人及以上得</w:t>
            </w:r>
            <w:r>
              <w:rPr>
                <w:rFonts w:hint="eastAsia" w:asciiTheme="minorEastAsia" w:hAnsiTheme="minorEastAsia" w:eastAsiaTheme="minorEastAsia" w:cstheme="minorEastAsia"/>
                <w:szCs w:val="21"/>
              </w:rPr>
              <w:t>10</w:t>
            </w:r>
            <w:r>
              <w:rPr>
                <w:rFonts w:asciiTheme="minorEastAsia" w:hAnsiTheme="minorEastAsia" w:eastAsiaTheme="minorEastAsia" w:cstheme="minorEastAsia"/>
                <w:szCs w:val="21"/>
              </w:rPr>
              <w:t>分，5人以下得5分</w:t>
            </w:r>
            <w:r>
              <w:rPr>
                <w:rFonts w:hint="eastAsia" w:asciiTheme="minorEastAsia" w:hAnsiTheme="minorEastAsia" w:eastAsiaTheme="minorEastAsia" w:cstheme="minorEastAsia"/>
                <w:szCs w:val="21"/>
              </w:rPr>
              <w:t>，其余情况不得分；</w:t>
            </w:r>
          </w:p>
          <w:p w14:paraId="49BE3747">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asciiTheme="minorEastAsia" w:hAnsiTheme="minorEastAsia" w:eastAsiaTheme="minorEastAsia" w:cstheme="minorEastAsia"/>
                <w:szCs w:val="21"/>
              </w:rPr>
              <w:t xml:space="preserve"> 取得建（构）筑物消防员职业资格证书和消防设施操作员中级证书含 10人及以上得 5分，10人以下得3分，</w:t>
            </w:r>
            <w:r>
              <w:rPr>
                <w:rFonts w:hint="eastAsia" w:asciiTheme="minorEastAsia" w:hAnsiTheme="minorEastAsia" w:eastAsiaTheme="minorEastAsia" w:cstheme="minorEastAsia"/>
                <w:szCs w:val="21"/>
              </w:rPr>
              <w:t>其余情况不得分；</w:t>
            </w:r>
          </w:p>
          <w:p w14:paraId="4A901C38">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以上两项累计最高得15分。</w:t>
            </w:r>
          </w:p>
          <w:p w14:paraId="1888A150">
            <w:pPr>
              <w:adjustRightInd w:val="0"/>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评审标准：</w:t>
            </w:r>
          </w:p>
          <w:p w14:paraId="2380A404">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1.提供团队成员具有的</w:t>
            </w:r>
            <w:r>
              <w:rPr>
                <w:rFonts w:asciiTheme="minorEastAsia" w:hAnsiTheme="minorEastAsia" w:eastAsiaTheme="minorEastAsia" w:cstheme="minorEastAsia"/>
                <w:szCs w:val="21"/>
              </w:rPr>
              <w:t>一级注册消防工程师</w:t>
            </w:r>
            <w:r>
              <w:rPr>
                <w:rFonts w:hint="eastAsia" w:asciiTheme="minorEastAsia" w:hAnsiTheme="minorEastAsia" w:eastAsiaTheme="minorEastAsia" w:cstheme="minorEastAsia"/>
                <w:szCs w:val="21"/>
              </w:rPr>
              <w:t>证、</w:t>
            </w:r>
            <w:r>
              <w:rPr>
                <w:rFonts w:asciiTheme="minorEastAsia" w:hAnsiTheme="minorEastAsia" w:eastAsiaTheme="minorEastAsia" w:cstheme="minorEastAsia"/>
                <w:szCs w:val="21"/>
              </w:rPr>
              <w:t>建（构）筑物消防员职业资格证书、消防设施操作员中级证书；</w:t>
            </w:r>
          </w:p>
          <w:p w14:paraId="34CF3B67">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要求提供团队成员开标日前在投标单位缴纳的载有社保部门公章的社保缴交证明材料（如开标日上一个月的社保材料因社保部门原因暂时无法取得，则可以往前顺延一个月），未提供不得分，原件备查。（注：如投标人为新成立企业且成立时间不足一个月的可提供情况说明或者其他证明材料亦视为符合）；</w:t>
            </w:r>
          </w:p>
          <w:p w14:paraId="5FB33BDB">
            <w:pPr>
              <w:adjustRightInd w:val="0"/>
              <w:snapToGrid w:val="0"/>
              <w:spacing w:line="360" w:lineRule="auto"/>
              <w:rPr>
                <w:rFonts w:ascii="宋体" w:hAnsi="宋体" w:cs="宋体"/>
                <w:szCs w:val="21"/>
              </w:rPr>
            </w:pPr>
            <w:r>
              <w:rPr>
                <w:rFonts w:hint="eastAsia" w:asciiTheme="minorEastAsia" w:hAnsiTheme="minorEastAsia" w:eastAsiaTheme="minorEastAsia" w:cstheme="minorEastAsia"/>
                <w:szCs w:val="21"/>
              </w:rPr>
              <w:t>以上资料均要求提供复印件或扫描件，原件备查。评分中出现无证明资料或专家无法凭所提供资料判断是否得分的情况，一律作不得分处理。</w:t>
            </w:r>
          </w:p>
        </w:tc>
      </w:tr>
      <w:tr w14:paraId="2B52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trPr>
        <w:tc>
          <w:tcPr>
            <w:tcW w:w="666" w:type="dxa"/>
            <w:vMerge w:val="continue"/>
            <w:vAlign w:val="center"/>
          </w:tcPr>
          <w:p w14:paraId="51E430B8">
            <w:pPr>
              <w:jc w:val="center"/>
              <w:rPr>
                <w:rFonts w:ascii="宋体" w:hAnsi="宋体"/>
                <w:szCs w:val="21"/>
              </w:rPr>
            </w:pPr>
          </w:p>
        </w:tc>
        <w:tc>
          <w:tcPr>
            <w:tcW w:w="596" w:type="dxa"/>
            <w:vAlign w:val="center"/>
          </w:tcPr>
          <w:p w14:paraId="691270B9">
            <w:pPr>
              <w:jc w:val="center"/>
              <w:rPr>
                <w:rFonts w:ascii="宋体" w:hAnsi="宋体"/>
                <w:szCs w:val="21"/>
              </w:rPr>
            </w:pPr>
            <w:r>
              <w:rPr>
                <w:rFonts w:hint="eastAsia" w:ascii="宋体" w:hAnsi="宋体"/>
                <w:szCs w:val="21"/>
              </w:rPr>
              <w:t>3</w:t>
            </w:r>
          </w:p>
        </w:tc>
        <w:tc>
          <w:tcPr>
            <w:tcW w:w="1203" w:type="dxa"/>
            <w:vAlign w:val="center"/>
          </w:tcPr>
          <w:p w14:paraId="376F23CE">
            <w:pPr>
              <w:pStyle w:val="54"/>
              <w:spacing w:line="440" w:lineRule="exact"/>
              <w:ind w:firstLine="0"/>
              <w:jc w:val="center"/>
              <w:rPr>
                <w:sz w:val="21"/>
                <w:szCs w:val="21"/>
              </w:rPr>
            </w:pPr>
            <w:r>
              <w:rPr>
                <w:rFonts w:hint="eastAsia"/>
                <w:szCs w:val="21"/>
              </w:rPr>
              <w:t>技术要求条款偏离情况</w:t>
            </w:r>
          </w:p>
        </w:tc>
        <w:tc>
          <w:tcPr>
            <w:tcW w:w="699" w:type="dxa"/>
            <w:vAlign w:val="center"/>
          </w:tcPr>
          <w:p w14:paraId="113EA9FC">
            <w:pPr>
              <w:widowControl/>
              <w:spacing w:line="440" w:lineRule="exact"/>
              <w:jc w:val="center"/>
              <w:rPr>
                <w:rFonts w:ascii="宋体" w:hAnsi="宋体" w:cs="宋体"/>
                <w:kern w:val="0"/>
                <w:szCs w:val="21"/>
              </w:rPr>
            </w:pPr>
            <w:r>
              <w:rPr>
                <w:rFonts w:hint="eastAsia" w:ascii="宋体" w:hAnsi="宋体" w:cs="宋体"/>
                <w:kern w:val="0"/>
                <w:szCs w:val="21"/>
              </w:rPr>
              <w:t>23</w:t>
            </w:r>
          </w:p>
        </w:tc>
        <w:tc>
          <w:tcPr>
            <w:tcW w:w="1059" w:type="dxa"/>
            <w:vAlign w:val="center"/>
          </w:tcPr>
          <w:p w14:paraId="66B87F68">
            <w:pPr>
              <w:widowControl/>
              <w:spacing w:line="440" w:lineRule="exact"/>
              <w:textAlignment w:val="top"/>
              <w:rPr>
                <w:rFonts w:ascii="宋体" w:hAnsi="宋体" w:cs="宋体"/>
                <w:szCs w:val="21"/>
              </w:rPr>
            </w:pPr>
            <w:r>
              <w:rPr>
                <w:rFonts w:hint="eastAsia" w:ascii="宋体" w:hAnsi="宋体" w:cs="宋体"/>
                <w:szCs w:val="21"/>
              </w:rPr>
              <w:t>专家打分</w:t>
            </w:r>
          </w:p>
        </w:tc>
        <w:tc>
          <w:tcPr>
            <w:tcW w:w="5977" w:type="dxa"/>
            <w:vAlign w:val="center"/>
          </w:tcPr>
          <w:p w14:paraId="0AF51CA8">
            <w:pPr>
              <w:widowControl/>
              <w:spacing w:after="78" w:line="460" w:lineRule="atLeast"/>
              <w:jc w:val="left"/>
              <w:rPr>
                <w:rFonts w:ascii="宋体" w:hAnsi="宋体" w:cs="宋体"/>
                <w:b/>
                <w:kern w:val="0"/>
                <w:szCs w:val="21"/>
              </w:rPr>
            </w:pPr>
            <w:r>
              <w:rPr>
                <w:rFonts w:hint="eastAsia" w:ascii="宋体" w:hAnsi="宋体" w:cs="宋体"/>
                <w:b/>
                <w:kern w:val="0"/>
                <w:szCs w:val="21"/>
              </w:rPr>
              <w:t>评审内容：</w:t>
            </w:r>
          </w:p>
          <w:p w14:paraId="1DD46A12">
            <w:pPr>
              <w:widowControl/>
              <w:spacing w:line="440" w:lineRule="exact"/>
              <w:textAlignment w:val="top"/>
              <w:rPr>
                <w:rFonts w:ascii="宋体" w:hAnsi="宋体"/>
                <w:szCs w:val="21"/>
              </w:rPr>
            </w:pPr>
            <w:r>
              <w:rPr>
                <w:rFonts w:hint="eastAsia" w:ascii="宋体" w:hAnsi="宋体"/>
                <w:szCs w:val="21"/>
              </w:rPr>
              <w:t>投标人应如实填写《</w:t>
            </w:r>
            <w:r>
              <w:rPr>
                <w:rFonts w:hint="eastAsia" w:ascii="宋体" w:hAnsi="宋体" w:cs="宋体"/>
                <w:sz w:val="22"/>
                <w:szCs w:val="21"/>
              </w:rPr>
              <w:t>技术</w:t>
            </w:r>
            <w:r>
              <w:rPr>
                <w:rFonts w:hint="eastAsia"/>
                <w:szCs w:val="21"/>
              </w:rPr>
              <w:t>要求</w:t>
            </w:r>
            <w:r>
              <w:rPr>
                <w:rFonts w:hint="eastAsia" w:ascii="宋体" w:hAnsi="宋体"/>
                <w:szCs w:val="21"/>
              </w:rPr>
              <w:t>条款偏离表》，评审委员会根据服务要求响应情况进行打分，服务要求每1项负偏离扣1.5分，扣完为止。</w:t>
            </w:r>
          </w:p>
          <w:p w14:paraId="24E9BD5F">
            <w:pPr>
              <w:widowControl/>
              <w:spacing w:after="78" w:line="460" w:lineRule="atLeast"/>
              <w:jc w:val="left"/>
              <w:rPr>
                <w:rFonts w:ascii="宋体" w:hAnsi="宋体" w:cs="宋体"/>
                <w:b/>
                <w:kern w:val="0"/>
                <w:szCs w:val="21"/>
              </w:rPr>
            </w:pPr>
            <w:r>
              <w:rPr>
                <w:rFonts w:hint="eastAsia" w:ascii="宋体" w:hAnsi="宋体" w:cs="宋体"/>
                <w:b/>
                <w:kern w:val="0"/>
                <w:szCs w:val="21"/>
              </w:rPr>
              <w:t>评分标准：</w:t>
            </w:r>
          </w:p>
          <w:p w14:paraId="3C02AAFC">
            <w:pPr>
              <w:widowControl/>
              <w:spacing w:line="440" w:lineRule="exact"/>
              <w:textAlignment w:val="top"/>
              <w:rPr>
                <w:rFonts w:ascii="宋体" w:hAnsi="宋体" w:cs="宋体"/>
                <w:szCs w:val="21"/>
              </w:rPr>
            </w:pPr>
            <w:r>
              <w:rPr>
                <w:rFonts w:hint="eastAsia" w:ascii="宋体" w:hAnsi="宋体" w:cs="宋体"/>
                <w:szCs w:val="21"/>
              </w:rPr>
              <w:t>投标人须按照招标文件要求提供《</w:t>
            </w:r>
            <w:r>
              <w:rPr>
                <w:rFonts w:hint="eastAsia" w:ascii="宋体" w:hAnsi="宋体" w:cs="宋体"/>
                <w:sz w:val="22"/>
                <w:szCs w:val="21"/>
              </w:rPr>
              <w:t>技术</w:t>
            </w:r>
            <w:r>
              <w:rPr>
                <w:rFonts w:hint="eastAsia"/>
                <w:szCs w:val="21"/>
              </w:rPr>
              <w:t>要求</w:t>
            </w:r>
            <w:r>
              <w:rPr>
                <w:rFonts w:hint="eastAsia" w:ascii="宋体" w:hAnsi="宋体" w:cs="宋体"/>
                <w:szCs w:val="21"/>
              </w:rPr>
              <w:t>条款偏离表》。</w:t>
            </w:r>
          </w:p>
        </w:tc>
      </w:tr>
      <w:tr w14:paraId="69F2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66" w:type="dxa"/>
            <w:vAlign w:val="center"/>
          </w:tcPr>
          <w:p w14:paraId="516B0B7E">
            <w:pPr>
              <w:jc w:val="center"/>
              <w:rPr>
                <w:rFonts w:ascii="宋体" w:hAnsi="宋体"/>
                <w:b/>
                <w:szCs w:val="21"/>
              </w:rPr>
            </w:pPr>
            <w:r>
              <w:rPr>
                <w:rFonts w:hint="eastAsia" w:ascii="宋体" w:hAnsi="宋体"/>
                <w:b/>
                <w:szCs w:val="21"/>
              </w:rPr>
              <w:t>3</w:t>
            </w:r>
          </w:p>
        </w:tc>
        <w:tc>
          <w:tcPr>
            <w:tcW w:w="3557" w:type="dxa"/>
            <w:gridSpan w:val="4"/>
            <w:vAlign w:val="center"/>
          </w:tcPr>
          <w:p w14:paraId="0F71C16F">
            <w:pPr>
              <w:jc w:val="center"/>
              <w:rPr>
                <w:rFonts w:ascii="宋体" w:hAnsi="宋体"/>
                <w:b/>
                <w:szCs w:val="21"/>
              </w:rPr>
            </w:pPr>
            <w:r>
              <w:rPr>
                <w:rFonts w:hint="eastAsia" w:ascii="宋体" w:hAnsi="宋体" w:cs="宋体"/>
                <w:b/>
                <w:kern w:val="0"/>
                <w:szCs w:val="21"/>
              </w:rPr>
              <w:t>商务部分</w:t>
            </w:r>
          </w:p>
        </w:tc>
        <w:tc>
          <w:tcPr>
            <w:tcW w:w="5977" w:type="dxa"/>
            <w:vAlign w:val="center"/>
          </w:tcPr>
          <w:p w14:paraId="1E7C2C33">
            <w:pPr>
              <w:jc w:val="center"/>
              <w:rPr>
                <w:rFonts w:ascii="宋体" w:hAnsi="宋体"/>
                <w:b/>
                <w:szCs w:val="21"/>
              </w:rPr>
            </w:pPr>
            <w:r>
              <w:rPr>
                <w:rFonts w:hint="eastAsia" w:ascii="宋体" w:hAnsi="宋体"/>
                <w:b/>
                <w:szCs w:val="21"/>
              </w:rPr>
              <w:t>22</w:t>
            </w:r>
          </w:p>
        </w:tc>
      </w:tr>
      <w:tr w14:paraId="6509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66" w:type="dxa"/>
            <w:vMerge w:val="restart"/>
            <w:vAlign w:val="center"/>
          </w:tcPr>
          <w:p w14:paraId="0C0BED7B">
            <w:pPr>
              <w:jc w:val="center"/>
              <w:rPr>
                <w:rFonts w:ascii="宋体" w:hAnsi="宋体"/>
                <w:szCs w:val="21"/>
              </w:rPr>
            </w:pPr>
          </w:p>
        </w:tc>
        <w:tc>
          <w:tcPr>
            <w:tcW w:w="596" w:type="dxa"/>
            <w:vAlign w:val="center"/>
          </w:tcPr>
          <w:p w14:paraId="36933C87">
            <w:pPr>
              <w:jc w:val="center"/>
              <w:rPr>
                <w:rFonts w:ascii="宋体" w:hAnsi="宋体"/>
                <w:szCs w:val="21"/>
              </w:rPr>
            </w:pPr>
            <w:r>
              <w:rPr>
                <w:rFonts w:hint="eastAsia" w:ascii="宋体" w:hAnsi="宋体"/>
                <w:szCs w:val="21"/>
              </w:rPr>
              <w:t>序号</w:t>
            </w:r>
          </w:p>
        </w:tc>
        <w:tc>
          <w:tcPr>
            <w:tcW w:w="1203" w:type="dxa"/>
            <w:vAlign w:val="center"/>
          </w:tcPr>
          <w:p w14:paraId="35E492A1">
            <w:pPr>
              <w:jc w:val="center"/>
              <w:rPr>
                <w:rFonts w:ascii="宋体" w:hAnsi="宋体"/>
                <w:szCs w:val="21"/>
              </w:rPr>
            </w:pPr>
            <w:r>
              <w:rPr>
                <w:rFonts w:hint="eastAsia" w:ascii="宋体" w:hAnsi="宋体"/>
                <w:szCs w:val="21"/>
              </w:rPr>
              <w:t>评分因素</w:t>
            </w:r>
          </w:p>
        </w:tc>
        <w:tc>
          <w:tcPr>
            <w:tcW w:w="699" w:type="dxa"/>
            <w:vAlign w:val="center"/>
          </w:tcPr>
          <w:p w14:paraId="379FF8E8">
            <w:pPr>
              <w:jc w:val="center"/>
              <w:rPr>
                <w:rFonts w:ascii="宋体" w:hAnsi="宋体"/>
                <w:szCs w:val="21"/>
              </w:rPr>
            </w:pPr>
            <w:r>
              <w:rPr>
                <w:rFonts w:hint="eastAsia" w:ascii="宋体" w:hAnsi="宋体"/>
                <w:szCs w:val="21"/>
              </w:rPr>
              <w:t>权重</w:t>
            </w:r>
          </w:p>
        </w:tc>
        <w:tc>
          <w:tcPr>
            <w:tcW w:w="1059" w:type="dxa"/>
            <w:vAlign w:val="center"/>
          </w:tcPr>
          <w:p w14:paraId="1B40D4E8">
            <w:pPr>
              <w:jc w:val="center"/>
              <w:rPr>
                <w:rFonts w:ascii="宋体" w:hAnsi="宋体"/>
                <w:szCs w:val="21"/>
              </w:rPr>
            </w:pPr>
            <w:r>
              <w:rPr>
                <w:rFonts w:hint="eastAsia" w:ascii="宋体" w:hAnsi="宋体"/>
                <w:szCs w:val="21"/>
              </w:rPr>
              <w:t>评分方式</w:t>
            </w:r>
          </w:p>
        </w:tc>
        <w:tc>
          <w:tcPr>
            <w:tcW w:w="5977" w:type="dxa"/>
            <w:vAlign w:val="center"/>
          </w:tcPr>
          <w:p w14:paraId="0A621966">
            <w:pPr>
              <w:jc w:val="center"/>
              <w:rPr>
                <w:rFonts w:ascii="宋体" w:hAnsi="宋体"/>
                <w:szCs w:val="21"/>
              </w:rPr>
            </w:pPr>
            <w:r>
              <w:rPr>
                <w:rFonts w:hint="eastAsia" w:ascii="宋体" w:hAnsi="宋体"/>
                <w:szCs w:val="21"/>
              </w:rPr>
              <w:t>评分准则</w:t>
            </w:r>
          </w:p>
        </w:tc>
      </w:tr>
      <w:tr w14:paraId="26F1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exact"/>
        </w:trPr>
        <w:tc>
          <w:tcPr>
            <w:tcW w:w="666" w:type="dxa"/>
            <w:vMerge w:val="continue"/>
            <w:vAlign w:val="center"/>
          </w:tcPr>
          <w:p w14:paraId="2186522D">
            <w:pPr>
              <w:jc w:val="center"/>
              <w:rPr>
                <w:rFonts w:ascii="宋体" w:hAnsi="宋体"/>
                <w:szCs w:val="21"/>
              </w:rPr>
            </w:pPr>
          </w:p>
        </w:tc>
        <w:tc>
          <w:tcPr>
            <w:tcW w:w="596" w:type="dxa"/>
            <w:vAlign w:val="center"/>
          </w:tcPr>
          <w:p w14:paraId="708980F6">
            <w:pPr>
              <w:jc w:val="center"/>
              <w:rPr>
                <w:rFonts w:ascii="宋体" w:hAnsi="宋体"/>
                <w:szCs w:val="21"/>
              </w:rPr>
            </w:pPr>
            <w:r>
              <w:rPr>
                <w:rFonts w:hint="eastAsia" w:ascii="宋体" w:hAnsi="宋体"/>
                <w:szCs w:val="21"/>
              </w:rPr>
              <w:t>1</w:t>
            </w:r>
          </w:p>
        </w:tc>
        <w:tc>
          <w:tcPr>
            <w:tcW w:w="1203" w:type="dxa"/>
            <w:vAlign w:val="center"/>
          </w:tcPr>
          <w:p w14:paraId="0AF88641">
            <w:pPr>
              <w:pStyle w:val="54"/>
              <w:spacing w:line="440" w:lineRule="exact"/>
              <w:ind w:firstLine="0"/>
              <w:jc w:val="center"/>
              <w:rPr>
                <w:sz w:val="21"/>
                <w:szCs w:val="21"/>
              </w:rPr>
            </w:pPr>
            <w:r>
              <w:rPr>
                <w:rFonts w:hint="eastAsia"/>
                <w:szCs w:val="21"/>
              </w:rPr>
              <w:t>商务条款偏离情况</w:t>
            </w:r>
          </w:p>
        </w:tc>
        <w:tc>
          <w:tcPr>
            <w:tcW w:w="699" w:type="dxa"/>
            <w:vAlign w:val="center"/>
          </w:tcPr>
          <w:p w14:paraId="1B055A54">
            <w:pPr>
              <w:widowControl/>
              <w:spacing w:line="440" w:lineRule="exact"/>
              <w:jc w:val="center"/>
              <w:rPr>
                <w:rFonts w:ascii="宋体" w:hAnsi="宋体" w:cs="宋体"/>
                <w:kern w:val="0"/>
                <w:szCs w:val="21"/>
              </w:rPr>
            </w:pPr>
            <w:r>
              <w:rPr>
                <w:rFonts w:hint="eastAsia" w:ascii="宋体" w:hAnsi="宋体" w:cs="宋体"/>
                <w:kern w:val="0"/>
                <w:szCs w:val="21"/>
              </w:rPr>
              <w:t>7</w:t>
            </w:r>
          </w:p>
        </w:tc>
        <w:tc>
          <w:tcPr>
            <w:tcW w:w="1059" w:type="dxa"/>
            <w:vAlign w:val="center"/>
          </w:tcPr>
          <w:p w14:paraId="2D40D429">
            <w:pPr>
              <w:widowControl/>
              <w:spacing w:line="440" w:lineRule="exact"/>
              <w:textAlignment w:val="top"/>
              <w:rPr>
                <w:rFonts w:ascii="宋体" w:hAnsi="宋体" w:cs="宋体"/>
                <w:szCs w:val="21"/>
              </w:rPr>
            </w:pPr>
            <w:r>
              <w:rPr>
                <w:rFonts w:hint="eastAsia" w:ascii="宋体" w:hAnsi="宋体" w:cs="宋体"/>
                <w:szCs w:val="21"/>
              </w:rPr>
              <w:t>专家打分</w:t>
            </w:r>
          </w:p>
        </w:tc>
        <w:tc>
          <w:tcPr>
            <w:tcW w:w="5977" w:type="dxa"/>
            <w:vAlign w:val="center"/>
          </w:tcPr>
          <w:p w14:paraId="32C1163F">
            <w:pPr>
              <w:widowControl/>
              <w:spacing w:after="78" w:line="460" w:lineRule="atLeast"/>
              <w:jc w:val="left"/>
              <w:rPr>
                <w:rFonts w:ascii="宋体" w:hAnsi="宋体" w:cs="宋体"/>
                <w:b/>
                <w:kern w:val="0"/>
                <w:szCs w:val="21"/>
              </w:rPr>
            </w:pPr>
            <w:r>
              <w:rPr>
                <w:rFonts w:hint="eastAsia" w:ascii="宋体" w:hAnsi="宋体" w:cs="宋体"/>
                <w:b/>
                <w:kern w:val="0"/>
                <w:szCs w:val="21"/>
              </w:rPr>
              <w:t>评审内容：</w:t>
            </w:r>
          </w:p>
          <w:p w14:paraId="06FD7055">
            <w:pPr>
              <w:widowControl/>
              <w:spacing w:line="440" w:lineRule="exact"/>
              <w:textAlignment w:val="top"/>
              <w:rPr>
                <w:rFonts w:ascii="宋体" w:hAnsi="宋体"/>
                <w:szCs w:val="21"/>
              </w:rPr>
            </w:pPr>
            <w:r>
              <w:rPr>
                <w:rFonts w:hint="eastAsia" w:ascii="宋体" w:hAnsi="宋体"/>
                <w:szCs w:val="21"/>
              </w:rPr>
              <w:t>投标人应如实填写《商务条款偏离表》，评审委员会根据服务要求响应情况进行打分，服务要求每1项负偏离扣1分，扣完为止。</w:t>
            </w:r>
          </w:p>
          <w:p w14:paraId="673CE0D0">
            <w:pPr>
              <w:widowControl/>
              <w:spacing w:after="78" w:line="460" w:lineRule="atLeast"/>
              <w:jc w:val="left"/>
              <w:rPr>
                <w:rFonts w:ascii="宋体" w:hAnsi="宋体" w:cs="宋体"/>
                <w:b/>
                <w:kern w:val="0"/>
                <w:szCs w:val="21"/>
              </w:rPr>
            </w:pPr>
            <w:r>
              <w:rPr>
                <w:rFonts w:hint="eastAsia" w:ascii="宋体" w:hAnsi="宋体" w:cs="宋体"/>
                <w:b/>
                <w:kern w:val="0"/>
                <w:szCs w:val="21"/>
              </w:rPr>
              <w:t>评分标准：</w:t>
            </w:r>
          </w:p>
          <w:p w14:paraId="0EA5B1F0">
            <w:pPr>
              <w:widowControl/>
              <w:spacing w:line="440" w:lineRule="exact"/>
              <w:textAlignment w:val="top"/>
              <w:rPr>
                <w:rFonts w:ascii="宋体" w:hAnsi="宋体" w:cs="宋体"/>
                <w:szCs w:val="21"/>
              </w:rPr>
            </w:pPr>
            <w:r>
              <w:rPr>
                <w:rFonts w:hint="eastAsia" w:ascii="宋体" w:hAnsi="宋体" w:cs="宋体"/>
                <w:szCs w:val="21"/>
              </w:rPr>
              <w:t>投标人须按照招标文件要求提供《</w:t>
            </w:r>
            <w:r>
              <w:rPr>
                <w:rFonts w:hint="eastAsia" w:ascii="宋体" w:hAnsi="宋体"/>
                <w:szCs w:val="21"/>
              </w:rPr>
              <w:t>商务条款偏离表</w:t>
            </w:r>
            <w:r>
              <w:rPr>
                <w:rFonts w:hint="eastAsia" w:ascii="宋体" w:hAnsi="宋体" w:cs="宋体"/>
                <w:szCs w:val="21"/>
              </w:rPr>
              <w:t>》。</w:t>
            </w:r>
          </w:p>
        </w:tc>
      </w:tr>
      <w:tr w14:paraId="42B4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exact"/>
        </w:trPr>
        <w:tc>
          <w:tcPr>
            <w:tcW w:w="666" w:type="dxa"/>
            <w:vMerge w:val="continue"/>
            <w:vAlign w:val="center"/>
          </w:tcPr>
          <w:p w14:paraId="4DFBFB8D">
            <w:pPr>
              <w:jc w:val="center"/>
              <w:rPr>
                <w:rFonts w:ascii="宋体" w:hAnsi="宋体"/>
                <w:szCs w:val="21"/>
              </w:rPr>
            </w:pPr>
          </w:p>
        </w:tc>
        <w:tc>
          <w:tcPr>
            <w:tcW w:w="596" w:type="dxa"/>
            <w:vAlign w:val="center"/>
          </w:tcPr>
          <w:p w14:paraId="47BBE0CE">
            <w:pPr>
              <w:jc w:val="center"/>
              <w:rPr>
                <w:rFonts w:hint="eastAsia" w:ascii="宋体" w:hAnsi="宋体"/>
                <w:szCs w:val="21"/>
              </w:rPr>
            </w:pPr>
            <w:r>
              <w:rPr>
                <w:rFonts w:hint="eastAsia" w:ascii="宋体" w:hAnsi="宋体"/>
                <w:szCs w:val="21"/>
              </w:rPr>
              <w:t>2</w:t>
            </w:r>
          </w:p>
        </w:tc>
        <w:tc>
          <w:tcPr>
            <w:tcW w:w="1203" w:type="dxa"/>
            <w:vAlign w:val="center"/>
          </w:tcPr>
          <w:p w14:paraId="741449B1">
            <w:pPr>
              <w:pStyle w:val="54"/>
              <w:spacing w:line="440" w:lineRule="exact"/>
              <w:ind w:firstLine="0"/>
              <w:jc w:val="center"/>
              <w:rPr>
                <w:rFonts w:hint="eastAsia"/>
                <w:szCs w:val="21"/>
              </w:rPr>
            </w:pPr>
            <w:r>
              <w:rPr>
                <w:rFonts w:hint="eastAsia"/>
                <w:szCs w:val="21"/>
              </w:rPr>
              <w:t>同类项目经验</w:t>
            </w:r>
          </w:p>
        </w:tc>
        <w:tc>
          <w:tcPr>
            <w:tcW w:w="699" w:type="dxa"/>
            <w:vAlign w:val="center"/>
          </w:tcPr>
          <w:p w14:paraId="667EEB4F">
            <w:pPr>
              <w:widowControl/>
              <w:spacing w:line="440" w:lineRule="exact"/>
              <w:jc w:val="center"/>
              <w:rPr>
                <w:rFonts w:hint="eastAsia" w:ascii="宋体" w:hAnsi="宋体" w:cs="宋体"/>
                <w:kern w:val="0"/>
                <w:szCs w:val="21"/>
              </w:rPr>
            </w:pPr>
            <w:r>
              <w:rPr>
                <w:rFonts w:hint="eastAsia" w:ascii="宋体" w:hAnsi="宋体" w:cs="宋体"/>
                <w:kern w:val="0"/>
                <w:szCs w:val="21"/>
              </w:rPr>
              <w:t>10</w:t>
            </w:r>
          </w:p>
        </w:tc>
        <w:tc>
          <w:tcPr>
            <w:tcW w:w="1059" w:type="dxa"/>
            <w:vAlign w:val="center"/>
          </w:tcPr>
          <w:p w14:paraId="5E28E58D">
            <w:pPr>
              <w:widowControl/>
              <w:spacing w:line="440" w:lineRule="exact"/>
              <w:textAlignment w:val="top"/>
              <w:rPr>
                <w:rFonts w:hint="eastAsia" w:ascii="宋体" w:hAnsi="宋体" w:cs="宋体"/>
                <w:szCs w:val="21"/>
              </w:rPr>
            </w:pPr>
            <w:r>
              <w:rPr>
                <w:rFonts w:hint="eastAsia" w:ascii="宋体" w:hAnsi="宋体" w:cs="宋体"/>
                <w:szCs w:val="21"/>
              </w:rPr>
              <w:t>专家打分</w:t>
            </w:r>
          </w:p>
        </w:tc>
        <w:tc>
          <w:tcPr>
            <w:tcW w:w="5977" w:type="dxa"/>
            <w:vAlign w:val="center"/>
          </w:tcPr>
          <w:p w14:paraId="2F386C88">
            <w:pPr>
              <w:widowControl/>
              <w:spacing w:after="78" w:line="460" w:lineRule="atLeast"/>
              <w:jc w:val="left"/>
              <w:rPr>
                <w:rFonts w:hint="eastAsia" w:ascii="宋体" w:hAnsi="宋体" w:cs="宋体"/>
                <w:b/>
                <w:kern w:val="0"/>
                <w:szCs w:val="21"/>
              </w:rPr>
            </w:pPr>
            <w:r>
              <w:rPr>
                <w:rFonts w:hint="eastAsia" w:ascii="宋体" w:hAnsi="宋体" w:cs="宋体"/>
                <w:b/>
                <w:kern w:val="0"/>
                <w:szCs w:val="21"/>
              </w:rPr>
              <w:t>评审内容：</w:t>
            </w:r>
          </w:p>
          <w:p w14:paraId="311C3B74">
            <w:pPr>
              <w:widowControl/>
              <w:wordWrap w:val="0"/>
              <w:spacing w:line="360" w:lineRule="exact"/>
              <w:ind w:firstLine="480"/>
              <w:jc w:val="left"/>
              <w:rPr>
                <w:rFonts w:ascii="宋体" w:hAnsi="宋体"/>
                <w:szCs w:val="21"/>
              </w:rPr>
            </w:pPr>
            <w:r>
              <w:rPr>
                <w:rFonts w:hint="eastAsia" w:ascii="宋体" w:hAnsi="宋体" w:cs="宋体"/>
                <w:szCs w:val="21"/>
              </w:rPr>
              <w:t>投标人提供近三年（以本项目招标公告发布之日起前推3年，具体以合同签订时间为准）承担过的同类</w:t>
            </w:r>
            <w:r>
              <w:rPr>
                <w:rFonts w:hint="eastAsia" w:ascii="宋体" w:hAnsi="宋体"/>
                <w:szCs w:val="21"/>
              </w:rPr>
              <w:t>消防维保</w:t>
            </w:r>
            <w:r>
              <w:rPr>
                <w:rFonts w:hint="eastAsia" w:ascii="宋体" w:hAnsi="宋体" w:cs="宋体"/>
                <w:szCs w:val="21"/>
              </w:rPr>
              <w:t>项目经验，提供一个得1分（同一个客户算一份有效业绩），满分10分，其他情况不得分</w:t>
            </w:r>
          </w:p>
          <w:p w14:paraId="6F79B55B">
            <w:pPr>
              <w:widowControl/>
              <w:spacing w:after="78" w:line="460" w:lineRule="atLeast"/>
              <w:jc w:val="left"/>
              <w:rPr>
                <w:rFonts w:ascii="宋体" w:hAnsi="宋体" w:cs="宋体"/>
                <w:b/>
                <w:kern w:val="0"/>
                <w:szCs w:val="21"/>
              </w:rPr>
            </w:pPr>
            <w:r>
              <w:rPr>
                <w:rFonts w:hint="eastAsia" w:ascii="宋体" w:hAnsi="宋体" w:cs="宋体"/>
                <w:b/>
                <w:kern w:val="0"/>
                <w:szCs w:val="21"/>
              </w:rPr>
              <w:t>评分标准：</w:t>
            </w:r>
          </w:p>
          <w:p w14:paraId="5C9BD598">
            <w:pPr>
              <w:widowControl/>
              <w:spacing w:after="78" w:line="460" w:lineRule="atLeast"/>
              <w:ind w:firstLine="420" w:firstLineChars="200"/>
              <w:jc w:val="left"/>
              <w:rPr>
                <w:rFonts w:hint="eastAsia" w:ascii="宋体" w:hAnsi="宋体"/>
                <w:szCs w:val="21"/>
              </w:rPr>
            </w:pPr>
            <w:r>
              <w:rPr>
                <w:rFonts w:hint="eastAsia" w:ascii="宋体" w:hAnsi="宋体"/>
                <w:szCs w:val="21"/>
              </w:rPr>
              <w:t>提供项目合同关键页（关键信息至少包括合同的项目名称、服务内容、签订日期的关键页、双方盖章页等），未按要求提供或提供不清晰导致专家无法判断的不得分。</w:t>
            </w:r>
          </w:p>
        </w:tc>
      </w:tr>
      <w:tr w14:paraId="2D9A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6" w:hRule="exact"/>
        </w:trPr>
        <w:tc>
          <w:tcPr>
            <w:tcW w:w="666" w:type="dxa"/>
            <w:vMerge w:val="continue"/>
            <w:vAlign w:val="center"/>
          </w:tcPr>
          <w:p w14:paraId="528B1739">
            <w:pPr>
              <w:jc w:val="center"/>
              <w:rPr>
                <w:rFonts w:ascii="宋体" w:hAnsi="宋体"/>
                <w:szCs w:val="21"/>
              </w:rPr>
            </w:pPr>
          </w:p>
        </w:tc>
        <w:tc>
          <w:tcPr>
            <w:tcW w:w="596" w:type="dxa"/>
            <w:vAlign w:val="center"/>
          </w:tcPr>
          <w:p w14:paraId="59D46283">
            <w:pPr>
              <w:jc w:val="center"/>
              <w:rPr>
                <w:rFonts w:ascii="宋体" w:hAnsi="宋体"/>
                <w:szCs w:val="21"/>
              </w:rPr>
            </w:pPr>
            <w:r>
              <w:rPr>
                <w:rFonts w:hint="eastAsia" w:ascii="宋体" w:hAnsi="宋体"/>
                <w:szCs w:val="21"/>
              </w:rPr>
              <w:t>2</w:t>
            </w:r>
          </w:p>
        </w:tc>
        <w:tc>
          <w:tcPr>
            <w:tcW w:w="1203" w:type="dxa"/>
            <w:vAlign w:val="center"/>
          </w:tcPr>
          <w:p w14:paraId="7DA92B40">
            <w:pPr>
              <w:jc w:val="center"/>
              <w:rPr>
                <w:rFonts w:ascii="宋体" w:hAnsi="宋体" w:cs="宋体"/>
                <w:color w:val="000000"/>
                <w:kern w:val="0"/>
                <w:szCs w:val="21"/>
              </w:rPr>
            </w:pPr>
            <w:r>
              <w:rPr>
                <w:rFonts w:hint="eastAsia" w:ascii="宋体" w:hAnsi="宋体" w:cs="宋体"/>
                <w:bCs/>
                <w:kern w:val="0"/>
                <w:szCs w:val="21"/>
              </w:rPr>
              <w:t>投标人信用情况</w:t>
            </w:r>
          </w:p>
        </w:tc>
        <w:tc>
          <w:tcPr>
            <w:tcW w:w="699" w:type="dxa"/>
            <w:vAlign w:val="center"/>
          </w:tcPr>
          <w:p w14:paraId="12496FE9">
            <w:pPr>
              <w:spacing w:line="560" w:lineRule="exact"/>
              <w:jc w:val="center"/>
              <w:rPr>
                <w:rFonts w:ascii="宋体" w:hAnsi="宋体"/>
                <w:szCs w:val="21"/>
              </w:rPr>
            </w:pPr>
            <w:r>
              <w:rPr>
                <w:rFonts w:hint="eastAsia" w:ascii="宋体" w:hAnsi="宋体" w:cs="仿宋"/>
                <w:szCs w:val="21"/>
              </w:rPr>
              <w:t>5</w:t>
            </w:r>
          </w:p>
        </w:tc>
        <w:tc>
          <w:tcPr>
            <w:tcW w:w="1059" w:type="dxa"/>
            <w:vAlign w:val="center"/>
          </w:tcPr>
          <w:p w14:paraId="58129854">
            <w:pPr>
              <w:jc w:val="center"/>
              <w:rPr>
                <w:rFonts w:ascii="宋体" w:hAnsi="宋体"/>
                <w:szCs w:val="21"/>
              </w:rPr>
            </w:pPr>
            <w:r>
              <w:rPr>
                <w:rFonts w:hint="eastAsia" w:ascii="宋体" w:hAnsi="宋体"/>
                <w:szCs w:val="21"/>
              </w:rPr>
              <w:t>专家评分</w:t>
            </w:r>
          </w:p>
        </w:tc>
        <w:tc>
          <w:tcPr>
            <w:tcW w:w="5977" w:type="dxa"/>
          </w:tcPr>
          <w:p w14:paraId="6F5B6E62">
            <w:pPr>
              <w:widowControl/>
              <w:spacing w:after="78" w:line="460" w:lineRule="atLeast"/>
              <w:jc w:val="left"/>
              <w:rPr>
                <w:rFonts w:ascii="宋体" w:hAnsi="宋体" w:cs="宋体"/>
                <w:b/>
                <w:kern w:val="0"/>
                <w:szCs w:val="21"/>
              </w:rPr>
            </w:pPr>
            <w:r>
              <w:rPr>
                <w:rFonts w:hint="eastAsia" w:ascii="宋体" w:hAnsi="宋体" w:cs="宋体"/>
                <w:b/>
                <w:kern w:val="0"/>
                <w:szCs w:val="21"/>
              </w:rPr>
              <w:t>评审内容：</w:t>
            </w:r>
          </w:p>
          <w:p w14:paraId="280B4B2B">
            <w:pPr>
              <w:pStyle w:val="26"/>
              <w:spacing w:line="40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551D31B7">
            <w:pPr>
              <w:widowControl/>
              <w:spacing w:after="78" w:line="460" w:lineRule="atLeast"/>
              <w:jc w:val="left"/>
              <w:rPr>
                <w:rFonts w:ascii="宋体" w:hAnsi="宋体" w:cs="宋体"/>
                <w:b/>
                <w:kern w:val="0"/>
                <w:szCs w:val="21"/>
              </w:rPr>
            </w:pPr>
            <w:r>
              <w:rPr>
                <w:rFonts w:hint="eastAsia" w:ascii="宋体" w:hAnsi="宋体" w:cs="宋体"/>
                <w:b/>
                <w:kern w:val="0"/>
                <w:szCs w:val="21"/>
              </w:rPr>
              <w:t>评分标准：</w:t>
            </w:r>
          </w:p>
          <w:p w14:paraId="26E21967">
            <w:r>
              <w:rPr>
                <w:rFonts w:hint="eastAsia" w:cs="宋体"/>
                <w:szCs w:val="21"/>
              </w:rPr>
              <w:t>提供承诺函（格式自拟），如投标人提供的承诺函内容虚假的，一经查实，后果由投标人自行承担。</w:t>
            </w:r>
          </w:p>
        </w:tc>
      </w:tr>
    </w:tbl>
    <w:p w14:paraId="601B2726">
      <w:pPr>
        <w:spacing w:line="360" w:lineRule="exact"/>
        <w:jc w:val="left"/>
        <w:rPr>
          <w:rFonts w:ascii="宋体" w:hAnsi="宋体"/>
          <w:szCs w:val="21"/>
        </w:rPr>
      </w:pPr>
      <w:r>
        <w:rPr>
          <w:rFonts w:hint="eastAsia" w:ascii="宋体" w:hAnsi="宋体"/>
          <w:szCs w:val="21"/>
        </w:rPr>
        <w:t>4、评审方法：</w:t>
      </w:r>
    </w:p>
    <w:p w14:paraId="7EE0C9F0">
      <w:pPr>
        <w:spacing w:line="360" w:lineRule="exact"/>
        <w:ind w:firstLine="105" w:firstLineChars="50"/>
        <w:jc w:val="left"/>
        <w:rPr>
          <w:rFonts w:ascii="宋体" w:hAnsi="宋体"/>
          <w:szCs w:val="21"/>
        </w:rPr>
      </w:pPr>
      <w:r>
        <w:rPr>
          <w:rFonts w:hint="eastAsia" w:ascii="宋体" w:hAnsi="宋体"/>
          <w:szCs w:val="21"/>
        </w:rPr>
        <w:t>（1）首先认定无效标：如果投标单位被认定为无效投标，该单位不列入评分；</w:t>
      </w:r>
    </w:p>
    <w:p w14:paraId="69B79E45">
      <w:pPr>
        <w:spacing w:line="360" w:lineRule="exact"/>
        <w:ind w:left="420" w:leftChars="50" w:hanging="315" w:hangingChars="150"/>
        <w:jc w:val="left"/>
        <w:rPr>
          <w:rFonts w:ascii="宋体" w:hAnsi="宋体"/>
          <w:szCs w:val="21"/>
        </w:rPr>
      </w:pPr>
      <w:r>
        <w:rPr>
          <w:rFonts w:hint="eastAsia" w:ascii="宋体" w:hAnsi="宋体"/>
          <w:szCs w:val="21"/>
        </w:rPr>
        <w:t>（2）由评审小组现场审定逐项进行评分。</w:t>
      </w:r>
    </w:p>
    <w:p w14:paraId="0E6343BE">
      <w:pPr>
        <w:spacing w:line="360" w:lineRule="exact"/>
        <w:jc w:val="left"/>
        <w:rPr>
          <w:rFonts w:ascii="宋体" w:hAnsi="宋体"/>
          <w:szCs w:val="21"/>
        </w:rPr>
      </w:pPr>
      <w:r>
        <w:rPr>
          <w:rFonts w:hint="eastAsia" w:ascii="宋体" w:hAnsi="宋体"/>
          <w:szCs w:val="21"/>
        </w:rPr>
        <w:t>5、统计方法：</w:t>
      </w:r>
    </w:p>
    <w:p w14:paraId="1BCA8B9D">
      <w:pPr>
        <w:spacing w:line="360" w:lineRule="exact"/>
        <w:ind w:firstLine="420"/>
        <w:jc w:val="left"/>
        <w:rPr>
          <w:rFonts w:ascii="宋体" w:hAnsi="宋体"/>
          <w:szCs w:val="21"/>
        </w:rPr>
      </w:pPr>
      <w:r>
        <w:rPr>
          <w:rFonts w:hint="eastAsia" w:ascii="宋体" w:hAnsi="宋体"/>
          <w:szCs w:val="21"/>
        </w:rPr>
        <w:t>根据评审人员对投标单位的进行评分，得分与价格分相加即为该单位的最终投标得分。</w:t>
      </w:r>
    </w:p>
    <w:p w14:paraId="53279B2D">
      <w:pPr>
        <w:spacing w:line="360" w:lineRule="exact"/>
        <w:jc w:val="left"/>
        <w:rPr>
          <w:rFonts w:ascii="宋体" w:hAnsi="宋体"/>
          <w:szCs w:val="21"/>
        </w:rPr>
      </w:pPr>
      <w:r>
        <w:rPr>
          <w:rFonts w:hint="eastAsia" w:ascii="宋体" w:hAnsi="宋体"/>
          <w:szCs w:val="21"/>
        </w:rPr>
        <w:t>6、评审、成交结果的公示：</w:t>
      </w:r>
    </w:p>
    <w:p w14:paraId="2C9EDA8B">
      <w:pPr>
        <w:spacing w:line="360" w:lineRule="exact"/>
        <w:jc w:val="left"/>
        <w:rPr>
          <w:rFonts w:ascii="宋体" w:hAnsi="宋体"/>
          <w:szCs w:val="21"/>
        </w:rPr>
      </w:pPr>
      <w:r>
        <w:rPr>
          <w:rFonts w:hint="eastAsia" w:ascii="宋体" w:hAnsi="宋体"/>
          <w:szCs w:val="21"/>
        </w:rPr>
        <w:t>（1）本次项目评审结束后到确认成交结果前，医院将在</w:t>
      </w:r>
      <w:r>
        <w:rPr>
          <w:rFonts w:hint="eastAsia" w:ascii="宋体" w:hAnsi="宋体"/>
          <w:color w:val="FF0000"/>
          <w:szCs w:val="21"/>
        </w:rPr>
        <w:t>龙岗政府在线网站</w:t>
      </w:r>
      <w:r>
        <w:rPr>
          <w:rFonts w:hint="eastAsia" w:ascii="宋体" w:hAnsi="宋体"/>
          <w:szCs w:val="21"/>
        </w:rPr>
        <w:t>公示本次采购评审结果；</w:t>
      </w:r>
    </w:p>
    <w:p w14:paraId="71C7BE38">
      <w:pPr>
        <w:spacing w:line="360" w:lineRule="exact"/>
        <w:jc w:val="left"/>
        <w:rPr>
          <w:rFonts w:ascii="宋体" w:hAnsi="宋体"/>
          <w:szCs w:val="21"/>
        </w:rPr>
      </w:pPr>
      <w:r>
        <w:rPr>
          <w:rFonts w:hint="eastAsia" w:ascii="宋体" w:hAnsi="宋体"/>
          <w:szCs w:val="21"/>
        </w:rPr>
        <w:t>（2）供应商如对公示的评审结果有质疑的，可向我院相关主管部门如实提交书面反馈意见。</w:t>
      </w:r>
    </w:p>
    <w:p w14:paraId="674DBF53">
      <w:pPr>
        <w:spacing w:line="360" w:lineRule="exact"/>
        <w:rPr>
          <w:rFonts w:ascii="宋体" w:hAnsi="宋体"/>
          <w:b/>
          <w:szCs w:val="21"/>
        </w:rPr>
      </w:pPr>
      <w:r>
        <w:rPr>
          <w:rFonts w:hint="eastAsia" w:ascii="宋体" w:hAnsi="宋体"/>
          <w:b/>
          <w:szCs w:val="21"/>
        </w:rPr>
        <w:t>七、成交产品确定：</w:t>
      </w:r>
    </w:p>
    <w:p w14:paraId="46F42126">
      <w:pPr>
        <w:spacing w:line="360" w:lineRule="exact"/>
        <w:rPr>
          <w:rFonts w:ascii="宋体" w:hAnsi="宋体"/>
          <w:szCs w:val="21"/>
        </w:rPr>
      </w:pPr>
      <w:r>
        <w:rPr>
          <w:rFonts w:hint="eastAsia" w:ascii="宋体" w:hAnsi="宋体"/>
          <w:szCs w:val="21"/>
        </w:rPr>
        <w:t>根据评审人员评分的最终得分，最高分为中标（成交）产品，本院将按程序与中标单位签订购销合约。</w:t>
      </w:r>
    </w:p>
    <w:p w14:paraId="09A4D247">
      <w:pPr>
        <w:spacing w:line="360" w:lineRule="exact"/>
        <w:rPr>
          <w:rFonts w:ascii="宋体" w:hAnsi="宋体"/>
          <w:b/>
          <w:szCs w:val="21"/>
        </w:rPr>
      </w:pPr>
      <w:r>
        <w:rPr>
          <w:rFonts w:hint="eastAsia" w:ascii="宋体" w:hAnsi="宋体"/>
          <w:b/>
          <w:szCs w:val="21"/>
        </w:rPr>
        <w:t>八、开标评审的时间、地点：</w:t>
      </w:r>
    </w:p>
    <w:p w14:paraId="361D4742">
      <w:pPr>
        <w:spacing w:line="360" w:lineRule="exact"/>
        <w:rPr>
          <w:rFonts w:ascii="宋体" w:hAnsi="宋体"/>
          <w:szCs w:val="21"/>
        </w:rPr>
      </w:pPr>
      <w:r>
        <w:rPr>
          <w:rFonts w:ascii="宋体" w:hAnsi="宋体"/>
          <w:szCs w:val="21"/>
        </w:rPr>
        <w:t>1</w:t>
      </w:r>
      <w:r>
        <w:rPr>
          <w:rFonts w:hint="eastAsia" w:ascii="宋体" w:hAnsi="宋体"/>
          <w:szCs w:val="21"/>
        </w:rPr>
        <w:t>、开标评审：</w:t>
      </w:r>
      <w:r>
        <w:rPr>
          <w:rFonts w:hint="eastAsia" w:ascii="宋体" w:hAnsi="宋体"/>
          <w:color w:val="FF0000"/>
          <w:szCs w:val="21"/>
        </w:rPr>
        <w:t>按规定时间提交采购文件，如需供应商到场则另行通知开标时间，如不需供应商到场则在评审结束后公示评审结果。</w:t>
      </w:r>
    </w:p>
    <w:p w14:paraId="45E73405">
      <w:pPr>
        <w:spacing w:line="360" w:lineRule="exact"/>
        <w:rPr>
          <w:rFonts w:ascii="宋体" w:hAnsi="宋体"/>
          <w:szCs w:val="21"/>
        </w:rPr>
      </w:pPr>
      <w:r>
        <w:rPr>
          <w:rFonts w:hint="eastAsia" w:ascii="宋体" w:hAnsi="宋体"/>
          <w:szCs w:val="21"/>
        </w:rPr>
        <w:t>2、开标评审地点：北京中医药大学深圳医院（龙岗）行政楼3楼会议室323室。</w:t>
      </w:r>
    </w:p>
    <w:p w14:paraId="2E8F5343">
      <w:pPr>
        <w:spacing w:line="360" w:lineRule="exact"/>
        <w:rPr>
          <w:rFonts w:ascii="宋体" w:hAnsi="宋体"/>
          <w:b/>
          <w:szCs w:val="21"/>
        </w:rPr>
      </w:pPr>
      <w:r>
        <w:rPr>
          <w:rFonts w:hint="eastAsia" w:ascii="宋体" w:hAnsi="宋体"/>
          <w:b/>
          <w:szCs w:val="21"/>
        </w:rPr>
        <w:t>九、投标文件递交的时间和地点：</w:t>
      </w:r>
    </w:p>
    <w:p w14:paraId="0E47CC6D">
      <w:pPr>
        <w:spacing w:line="360" w:lineRule="exact"/>
        <w:rPr>
          <w:rFonts w:ascii="宋体" w:hAnsi="宋体"/>
          <w:szCs w:val="21"/>
        </w:rPr>
      </w:pPr>
      <w:r>
        <w:rPr>
          <w:rFonts w:hint="eastAsia" w:ascii="宋体" w:hAnsi="宋体"/>
          <w:szCs w:val="21"/>
        </w:rPr>
        <w:t>1、递交投标文件的时间：采购公告规定时间内。</w:t>
      </w:r>
    </w:p>
    <w:p w14:paraId="1F7AB308">
      <w:pPr>
        <w:spacing w:line="360" w:lineRule="exact"/>
        <w:rPr>
          <w:rFonts w:ascii="宋体" w:hAnsi="宋体"/>
          <w:i/>
          <w:color w:val="FF0000"/>
          <w:szCs w:val="21"/>
        </w:rPr>
      </w:pPr>
      <w:r>
        <w:rPr>
          <w:rFonts w:hint="eastAsia" w:ascii="宋体" w:hAnsi="宋体"/>
          <w:szCs w:val="21"/>
        </w:rPr>
        <w:t>2、递交投标文件的地点：</w:t>
      </w:r>
      <w:r>
        <w:rPr>
          <w:rFonts w:hint="eastAsia" w:ascii="宋体" w:hAnsi="宋体"/>
          <w:i/>
          <w:color w:val="FF0000"/>
          <w:szCs w:val="21"/>
        </w:rPr>
        <w:t>北京中医药大学深圳医院（龙岗）行政楼3楼招采办317室。</w:t>
      </w:r>
    </w:p>
    <w:p w14:paraId="5C92C14F">
      <w:pPr>
        <w:spacing w:line="360" w:lineRule="exact"/>
        <w:rPr>
          <w:rFonts w:ascii="宋体" w:hAnsi="宋体"/>
          <w:b/>
          <w:bCs/>
          <w:kern w:val="44"/>
          <w:szCs w:val="21"/>
        </w:rPr>
      </w:pPr>
      <w:r>
        <w:rPr>
          <w:rFonts w:hint="eastAsia" w:ascii="宋体" w:hAnsi="宋体"/>
          <w:szCs w:val="21"/>
        </w:rPr>
        <w:t>3、文件的式样和签署：</w:t>
      </w:r>
      <w:r>
        <w:rPr>
          <w:rFonts w:hint="eastAsia" w:ascii="宋体" w:hAnsi="宋体"/>
          <w:kern w:val="44"/>
        </w:rPr>
        <w:t>投标文件</w:t>
      </w:r>
      <w:r>
        <w:rPr>
          <w:rFonts w:hint="eastAsia" w:ascii="宋体" w:hAnsi="宋体"/>
          <w:b/>
          <w:color w:val="FF0000"/>
          <w:kern w:val="44"/>
          <w:u w:val="single"/>
        </w:rPr>
        <w:t>正本1份，副本5份</w:t>
      </w:r>
      <w:r>
        <w:rPr>
          <w:rFonts w:hint="eastAsia" w:ascii="宋体" w:hAnsi="宋体"/>
          <w:kern w:val="44"/>
        </w:rPr>
        <w:t>一起</w:t>
      </w:r>
      <w:r>
        <w:rPr>
          <w:rFonts w:hint="eastAsia" w:ascii="宋体" w:hAnsi="宋体"/>
          <w:b/>
          <w:color w:val="FF0000"/>
          <w:kern w:val="44"/>
        </w:rPr>
        <w:t>同袋密封</w:t>
      </w:r>
      <w:r>
        <w:rPr>
          <w:rFonts w:hint="eastAsia" w:ascii="宋体" w:hAnsi="宋体"/>
          <w:kern w:val="44"/>
        </w:rPr>
        <w:t>递交，其中报价额外</w:t>
      </w:r>
      <w:r>
        <w:rPr>
          <w:rFonts w:hint="eastAsia" w:ascii="宋体" w:hAnsi="宋体"/>
          <w:b/>
          <w:bCs/>
          <w:color w:val="FF0000"/>
          <w:kern w:val="44"/>
          <w:u w:val="single"/>
        </w:rPr>
        <w:t>单独</w:t>
      </w:r>
      <w:r>
        <w:rPr>
          <w:rFonts w:hint="eastAsia" w:ascii="宋体" w:hAnsi="宋体"/>
          <w:kern w:val="44"/>
        </w:rPr>
        <w:t>密封一份，共</w:t>
      </w:r>
      <w:r>
        <w:rPr>
          <w:rFonts w:hint="eastAsia" w:ascii="宋体" w:hAnsi="宋体"/>
          <w:b/>
          <w:bCs/>
          <w:color w:val="FF0000"/>
          <w:kern w:val="44"/>
          <w:u w:val="single"/>
        </w:rPr>
        <w:t>2份密封。</w:t>
      </w:r>
    </w:p>
    <w:p w14:paraId="16218590">
      <w:pPr>
        <w:widowControl/>
        <w:jc w:val="left"/>
        <w:rPr>
          <w:sz w:val="32"/>
          <w:szCs w:val="32"/>
        </w:rPr>
      </w:pPr>
      <w:r>
        <w:rPr>
          <w:sz w:val="32"/>
          <w:szCs w:val="32"/>
        </w:rPr>
        <w:br w:type="page"/>
      </w:r>
    </w:p>
    <w:p w14:paraId="616ED9BF">
      <w:pPr>
        <w:jc w:val="left"/>
        <w:rPr>
          <w:rStyle w:val="27"/>
          <w:rFonts w:ascii="宋体" w:hAnsi="宋体"/>
        </w:rPr>
      </w:pPr>
      <w:r>
        <w:rPr>
          <w:rStyle w:val="27"/>
          <w:rFonts w:hint="eastAsia" w:ascii="宋体" w:hAnsi="宋体"/>
        </w:rPr>
        <w:t>第二章、采购需求、商务条款</w:t>
      </w:r>
    </w:p>
    <w:p w14:paraId="24C2386B">
      <w:pPr>
        <w:tabs>
          <w:tab w:val="left" w:pos="2160"/>
          <w:tab w:val="left" w:pos="4725"/>
          <w:tab w:val="left" w:pos="5775"/>
        </w:tabs>
        <w:rPr>
          <w:rFonts w:ascii="宋体" w:hAnsi="宋体"/>
          <w:b/>
          <w:bCs/>
          <w:szCs w:val="21"/>
        </w:rPr>
      </w:pPr>
      <w:r>
        <w:rPr>
          <w:rFonts w:hint="eastAsia" w:ascii="宋体" w:hAnsi="宋体"/>
          <w:b/>
          <w:bCs/>
          <w:szCs w:val="21"/>
        </w:rPr>
        <w:t>第一部分：需求清单</w:t>
      </w:r>
    </w:p>
    <w:tbl>
      <w:tblPr>
        <w:tblStyle w:val="18"/>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57E7B33A">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0E2DA113">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F4075E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08128EE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06962F1C">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3769CDE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2A58F853">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0C6DF22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33D687B4">
        <w:tblPrEx>
          <w:tblCellMar>
            <w:top w:w="15" w:type="dxa"/>
            <w:left w:w="15" w:type="dxa"/>
            <w:bottom w:w="15" w:type="dxa"/>
            <w:right w:w="15"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5C6B1321">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4F97308F">
            <w:pPr>
              <w:widowControl/>
              <w:adjustRightInd w:val="0"/>
              <w:snapToGrid w:val="0"/>
              <w:spacing w:line="360" w:lineRule="auto"/>
              <w:jc w:val="center"/>
              <w:textAlignment w:val="center"/>
              <w:rPr>
                <w:rFonts w:ascii="宋体" w:hAnsi="宋体" w:cs="宋体"/>
                <w:szCs w:val="21"/>
              </w:rPr>
            </w:pPr>
            <w:r>
              <w:rPr>
                <w:rFonts w:ascii="宋体" w:hAnsi="宋体" w:cs="宋体"/>
                <w:szCs w:val="21"/>
              </w:rPr>
              <w:t>2025年度消防维保服务</w:t>
            </w:r>
          </w:p>
        </w:tc>
        <w:tc>
          <w:tcPr>
            <w:tcW w:w="921" w:type="dxa"/>
            <w:tcBorders>
              <w:top w:val="single" w:color="000000" w:sz="4" w:space="0"/>
              <w:left w:val="single" w:color="000000" w:sz="4" w:space="0"/>
              <w:bottom w:val="single" w:color="000000" w:sz="4" w:space="0"/>
              <w:right w:val="single" w:color="000000" w:sz="4" w:space="0"/>
            </w:tcBorders>
            <w:vAlign w:val="center"/>
          </w:tcPr>
          <w:p w14:paraId="5AB8CCBE">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1762DD3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672CA87F">
            <w:pPr>
              <w:widowControl/>
              <w:adjustRightInd w:val="0"/>
              <w:snapToGrid w:val="0"/>
              <w:spacing w:line="360" w:lineRule="auto"/>
              <w:jc w:val="center"/>
              <w:textAlignment w:val="center"/>
              <w:rPr>
                <w:rFonts w:ascii="宋体" w:hAnsi="宋体" w:cs="宋体"/>
                <w:szCs w:val="21"/>
              </w:rPr>
            </w:pPr>
            <w:r>
              <w:rPr>
                <w:rFonts w:ascii="宋体" w:hAnsi="宋体" w:cs="宋体"/>
                <w:szCs w:val="21"/>
              </w:rPr>
              <w:t>130000</w:t>
            </w:r>
            <w:r>
              <w:rPr>
                <w:rFonts w:hint="eastAsia" w:ascii="宋体" w:hAnsi="宋体" w:cs="宋体"/>
                <w:szCs w:val="21"/>
              </w:rPr>
              <w:t>.00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CE5FA9D">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329D697B">
      <w:pPr>
        <w:spacing w:line="320" w:lineRule="exact"/>
        <w:rPr>
          <w:rFonts w:ascii="宋体" w:hAnsi="宋体"/>
          <w:b/>
          <w:bCs/>
          <w:szCs w:val="21"/>
        </w:rPr>
      </w:pPr>
    </w:p>
    <w:p w14:paraId="61F07EEE">
      <w:pPr>
        <w:spacing w:line="320" w:lineRule="exact"/>
        <w:rPr>
          <w:rFonts w:ascii="宋体" w:hAnsi="宋体"/>
          <w:b/>
          <w:bCs/>
          <w:szCs w:val="21"/>
        </w:rPr>
      </w:pPr>
      <w:r>
        <w:rPr>
          <w:rFonts w:hint="eastAsia" w:ascii="宋体" w:hAnsi="宋体"/>
          <w:b/>
          <w:bCs/>
          <w:szCs w:val="21"/>
        </w:rPr>
        <w:t>第二部分：详细的技术参数及配置清单</w:t>
      </w:r>
    </w:p>
    <w:p w14:paraId="3C6CB881">
      <w:pPr>
        <w:widowControl/>
        <w:adjustRightInd w:val="0"/>
        <w:snapToGrid w:val="0"/>
        <w:spacing w:line="460" w:lineRule="atLeast"/>
        <w:ind w:firstLine="422" w:firstLineChars="200"/>
        <w:jc w:val="left"/>
        <w:rPr>
          <w:rFonts w:hint="eastAsia" w:ascii="宋体" w:hAnsi="宋体" w:cs="宋体"/>
          <w:b/>
          <w:bCs/>
          <w:color w:val="FF0000"/>
          <w:kern w:val="0"/>
          <w:szCs w:val="21"/>
        </w:rPr>
      </w:pPr>
      <w:r>
        <w:rPr>
          <w:rFonts w:hint="eastAsia" w:ascii="宋体" w:hAnsi="宋体" w:cs="宋体"/>
          <w:b/>
          <w:bCs/>
          <w:color w:val="FF0000"/>
          <w:kern w:val="0"/>
          <w:szCs w:val="21"/>
        </w:rPr>
        <w:t>说明：1、标“★”指标项为关键参数，如出现负偏离，将被视为未实质性满足招标文件要求作投标无效处理。标“▲”指标项为重要参数，负偏离时依相关评分准则内容作重点扣分处理。</w:t>
      </w:r>
    </w:p>
    <w:p w14:paraId="7750D2BC">
      <w:pPr>
        <w:widowControl/>
        <w:adjustRightInd w:val="0"/>
        <w:snapToGrid w:val="0"/>
        <w:spacing w:line="460" w:lineRule="atLeast"/>
        <w:ind w:firstLine="482" w:firstLineChars="200"/>
        <w:jc w:val="left"/>
        <w:rPr>
          <w:rFonts w:ascii="宋体" w:hAnsi="宋体" w:cs="宋体"/>
          <w:b/>
          <w:bCs/>
          <w:kern w:val="0"/>
          <w:szCs w:val="21"/>
        </w:rPr>
      </w:pPr>
      <w:r>
        <w:rPr>
          <w:rFonts w:hint="eastAsia" w:asciiTheme="minorEastAsia" w:hAnsiTheme="minorEastAsia" w:eastAsiaTheme="minorEastAsia" w:cstheme="minorEastAsia"/>
          <w:b/>
          <w:color w:val="000000"/>
          <w:sz w:val="24"/>
        </w:rPr>
        <w:t>一、项目信息及技术要求</w:t>
      </w:r>
    </w:p>
    <w:p w14:paraId="7056F42E">
      <w:pPr>
        <w:pStyle w:val="14"/>
        <w:spacing w:line="400" w:lineRule="exact"/>
        <w:ind w:firstLine="482"/>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（一）拟需实现的功能或者目标、成果要求、服务内容及范围；</w:t>
      </w:r>
    </w:p>
    <w:p w14:paraId="2FF2C190">
      <w:pPr>
        <w:spacing w:line="400" w:lineRule="exact"/>
        <w:ind w:firstLine="480"/>
        <w:jc w:val="left"/>
        <w:rPr>
          <w:rFonts w:cs="宋体" w:asciiTheme="minorEastAsia" w:hAnsiTheme="minorEastAsia" w:eastAsiaTheme="minorEastAsia"/>
          <w:color w:val="000000"/>
          <w:kern w:val="0"/>
          <w:sz w:val="24"/>
        </w:rPr>
      </w:pPr>
      <w:r>
        <w:rPr>
          <w:rFonts w:hint="eastAsia" w:cs="Arial" w:asciiTheme="minorEastAsia" w:hAnsiTheme="minorEastAsia" w:eastAsiaTheme="minorEastAsia"/>
          <w:color w:val="000000"/>
          <w:sz w:val="24"/>
        </w:rPr>
        <w:t>1.工程概况：</w:t>
      </w:r>
      <w:r>
        <w:rPr>
          <w:rFonts w:hint="eastAsia" w:asciiTheme="minorEastAsia" w:hAnsiTheme="minorEastAsia" w:eastAsiaTheme="minorEastAsia"/>
          <w:color w:val="000000" w:themeColor="text1"/>
          <w:sz w:val="24"/>
          <w14:textFill>
            <w14:solidFill>
              <w14:schemeClr w14:val="tx1"/>
            </w14:solidFill>
          </w14:textFill>
        </w:rPr>
        <w:t>医院</w:t>
      </w:r>
      <w:r>
        <w:rPr>
          <w:rFonts w:hint="eastAsia" w:cs="Arial" w:asciiTheme="minorEastAsia" w:hAnsiTheme="minorEastAsia" w:eastAsiaTheme="minorEastAsia"/>
          <w:color w:val="000000"/>
          <w:sz w:val="24"/>
        </w:rPr>
        <w:t>位于深圳市龙岗区体育新城大运路1号,</w:t>
      </w:r>
      <w:r>
        <w:rPr>
          <w:rFonts w:hint="eastAsia" w:asciiTheme="minorEastAsia" w:hAnsiTheme="minorEastAsia" w:eastAsiaTheme="minorEastAsia"/>
          <w:color w:val="000000" w:themeColor="text1"/>
          <w:sz w:val="24"/>
          <w14:textFill>
            <w14:solidFill>
              <w14:schemeClr w14:val="tx1"/>
            </w14:solidFill>
          </w14:textFill>
        </w:rPr>
        <w:t>北京中医药大学深圳医院（龙岗）（院本部</w:t>
      </w:r>
      <w:r>
        <w:rPr>
          <w:rFonts w:hint="eastAsia" w:asciiTheme="minorEastAsia" w:hAnsiTheme="minorEastAsia" w:eastAsiaTheme="minorEastAsia"/>
          <w:sz w:val="24"/>
        </w:rPr>
        <w:t>总建筑面积77443.97平方米)</w:t>
      </w:r>
      <w:r>
        <w:rPr>
          <w:rFonts w:hint="eastAsia" w:asciiTheme="minorEastAsia" w:hAnsiTheme="minorEastAsia" w:eastAsiaTheme="minorEastAsia"/>
          <w:color w:val="000000" w:themeColor="text1"/>
          <w:sz w:val="24"/>
          <w14:textFill>
            <w14:solidFill>
              <w14:schemeClr w14:val="tx1"/>
            </w14:solidFill>
          </w14:textFill>
        </w:rPr>
        <w:t>，园山院区（4500平</w:t>
      </w:r>
      <w:r>
        <w:rPr>
          <w:rFonts w:hint="eastAsia" w:asciiTheme="minorEastAsia" w:hAnsiTheme="minorEastAsia" w:eastAsiaTheme="minorEastAsia"/>
          <w:color w:val="000000" w:themeColor="text1"/>
          <w:sz w:val="24"/>
          <w:lang w:eastAsia="zh-CN"/>
          <w14:textFill>
            <w14:solidFill>
              <w14:schemeClr w14:val="tx1"/>
            </w14:solidFill>
          </w14:textFill>
        </w:rPr>
        <w:t>方米</w:t>
      </w:r>
      <w:r>
        <w:rPr>
          <w:rFonts w:hint="eastAsia" w:asciiTheme="minorEastAsia" w:hAnsiTheme="minorEastAsia" w:eastAsiaTheme="minorEastAsia"/>
          <w:color w:val="000000" w:themeColor="text1"/>
          <w:sz w:val="24"/>
          <w14:textFill>
            <w14:solidFill>
              <w14:schemeClr w14:val="tx1"/>
            </w14:solidFill>
          </w14:textFill>
        </w:rPr>
        <w:t>）保利上城社区健康服务中心（</w:t>
      </w:r>
      <w:r>
        <w:rPr>
          <w:rFonts w:asciiTheme="minorEastAsia" w:hAnsiTheme="minorEastAsia" w:eastAsiaTheme="minorEastAsia"/>
          <w:color w:val="000000" w:themeColor="text1"/>
          <w:sz w:val="24"/>
          <w14:textFill>
            <w14:solidFill>
              <w14:schemeClr w14:val="tx1"/>
            </w14:solidFill>
          </w14:textFill>
        </w:rPr>
        <w:t>2005</w:t>
      </w:r>
      <w:r>
        <w:rPr>
          <w:rFonts w:hint="eastAsia" w:asciiTheme="minorEastAsia" w:hAnsiTheme="minorEastAsia" w:eastAsiaTheme="minorEastAsia"/>
          <w:color w:val="000000" w:themeColor="text1"/>
          <w:sz w:val="24"/>
          <w14:textFill>
            <w14:solidFill>
              <w14:schemeClr w14:val="tx1"/>
            </w14:solidFill>
          </w14:textFill>
        </w:rPr>
        <w:t>平方米）、金地龙城社区健康服务中心（ 2001.63平方米）、京基御景社区健康服务中心（988.48平方米）、颐安都会社区健康服务中心（</w:t>
      </w:r>
      <w:r>
        <w:rPr>
          <w:rFonts w:cs="宋体" w:asciiTheme="minorEastAsia" w:hAnsiTheme="minorEastAsia" w:eastAsiaTheme="minorEastAsia"/>
          <w:color w:val="000000"/>
          <w:kern w:val="0"/>
          <w:sz w:val="24"/>
        </w:rPr>
        <w:t>1226.92</w:t>
      </w:r>
      <w:r>
        <w:rPr>
          <w:rFonts w:hint="eastAsia" w:cs="宋体" w:asciiTheme="minorEastAsia" w:hAnsiTheme="minorEastAsia" w:eastAsiaTheme="minorEastAsia"/>
          <w:color w:val="000000"/>
          <w:kern w:val="0"/>
          <w:sz w:val="24"/>
        </w:rPr>
        <w:t>平方米</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颐安都会中医门诊部2090平方米）以上总面积</w:t>
      </w:r>
      <w:r>
        <w:rPr>
          <w:rFonts w:hint="eastAsia" w:asciiTheme="minorEastAsia" w:hAnsiTheme="minorEastAsia" w:eastAsiaTheme="minorEastAsia"/>
          <w:b/>
          <w:color w:val="000000" w:themeColor="text1"/>
          <w:sz w:val="24"/>
          <w14:textFill>
            <w14:solidFill>
              <w14:schemeClr w14:val="tx1"/>
            </w14:solidFill>
          </w14:textFill>
        </w:rPr>
        <w:t>90256</w:t>
      </w:r>
      <w:r>
        <w:rPr>
          <w:rFonts w:hint="eastAsia" w:asciiTheme="minorEastAsia" w:hAnsiTheme="minorEastAsia" w:eastAsiaTheme="minorEastAsia"/>
          <w:color w:val="000000" w:themeColor="text1"/>
          <w:sz w:val="24"/>
          <w14:textFill>
            <w14:solidFill>
              <w14:schemeClr w14:val="tx1"/>
            </w14:solidFill>
          </w14:textFill>
        </w:rPr>
        <w:t>平方米。</w:t>
      </w:r>
    </w:p>
    <w:p w14:paraId="453EAB0C">
      <w:pPr>
        <w:spacing w:line="400" w:lineRule="exact"/>
        <w:ind w:firstLine="480"/>
        <w:jc w:val="left"/>
        <w:rPr>
          <w:rFonts w:asciiTheme="minorEastAsia" w:hAnsiTheme="minorEastAsia" w:eastAsiaTheme="minorEastAsia"/>
          <w:sz w:val="24"/>
        </w:rPr>
      </w:pPr>
      <w:r>
        <w:rPr>
          <w:rFonts w:hint="eastAsia" w:asciiTheme="minorEastAsia" w:hAnsiTheme="minorEastAsia" w:eastAsiaTheme="minorEastAsia"/>
          <w:sz w:val="24"/>
        </w:rPr>
        <w:t>2.工作范围：</w:t>
      </w:r>
      <w:r>
        <w:rPr>
          <w:rFonts w:hint="eastAsia" w:asciiTheme="minorEastAsia" w:hAnsiTheme="minorEastAsia" w:eastAsiaTheme="minorEastAsia"/>
          <w:color w:val="000000" w:themeColor="text1"/>
          <w:sz w:val="24"/>
          <w14:textFill>
            <w14:solidFill>
              <w14:schemeClr w14:val="tx1"/>
            </w14:solidFill>
          </w14:textFill>
        </w:rPr>
        <w:t>北京中医药大学深圳医院（龙岗）院本部、园山院区、保利上城社区健康服务中心、金地龙城社区健康服务中心、京基御景社区健康服务中心、颐安都会社区健康服务中心、颐安都会中医门诊部、天昊华庭教学用房等区域</w:t>
      </w:r>
      <w:r>
        <w:rPr>
          <w:rFonts w:hint="eastAsia" w:asciiTheme="minorEastAsia" w:hAnsiTheme="minorEastAsia" w:eastAsiaTheme="minorEastAsia"/>
          <w:sz w:val="24"/>
        </w:rPr>
        <w:t>消防设施维护保养。</w:t>
      </w:r>
    </w:p>
    <w:p w14:paraId="386CFDB3">
      <w:pPr>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w:t>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rPr>
        <w:t>二</w:t>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rPr>
        <w:t xml:space="preserve"> 团队需求</w:t>
      </w:r>
    </w:p>
    <w:p w14:paraId="5183B3A3">
      <w:pPr>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具有专业</w:t>
      </w:r>
      <w:r>
        <w:rPr>
          <w:rFonts w:hint="eastAsia" w:cs="宋体" w:asciiTheme="minorEastAsia" w:hAnsiTheme="minorEastAsia" w:eastAsiaTheme="minorEastAsia"/>
          <w:kern w:val="0"/>
          <w:sz w:val="24"/>
        </w:rPr>
        <w:t>消防</w:t>
      </w:r>
      <w:r>
        <w:rPr>
          <w:rFonts w:cs="宋体" w:asciiTheme="minorEastAsia" w:hAnsiTheme="minorEastAsia" w:eastAsiaTheme="minorEastAsia"/>
          <w:kern w:val="0"/>
          <w:sz w:val="24"/>
        </w:rPr>
        <w:t>维保团队及</w:t>
      </w:r>
      <w:r>
        <w:rPr>
          <w:rFonts w:hint="eastAsia" w:asciiTheme="minorEastAsia" w:hAnsiTheme="minorEastAsia" w:eastAsiaTheme="minorEastAsia"/>
          <w:sz w:val="24"/>
        </w:rPr>
        <w:t>操作人员</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取得一级注册消防工程师 5人以上，建（构）筑物消防员职业资格证书和消防设施操作员中级证书10人以上，</w:t>
      </w:r>
      <w:r>
        <w:rPr>
          <w:rFonts w:cs="宋体" w:asciiTheme="minorEastAsia" w:hAnsiTheme="minorEastAsia" w:eastAsiaTheme="minorEastAsia"/>
          <w:kern w:val="0"/>
          <w:sz w:val="24"/>
        </w:rPr>
        <w:t>以及良好服务质量和社会信誉单位，且在近三年维护保养过程中未发生过安全责任事故的。</w:t>
      </w:r>
    </w:p>
    <w:p w14:paraId="089DD0B2">
      <w:pPr>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cs="宋体" w:asciiTheme="minorEastAsia" w:hAnsiTheme="minorEastAsia" w:eastAsiaTheme="minorEastAsia"/>
          <w:kern w:val="0"/>
          <w:sz w:val="24"/>
        </w:rPr>
        <w:t>投标单位应具有从事</w:t>
      </w:r>
      <w:r>
        <w:rPr>
          <w:rFonts w:hint="eastAsia" w:cs="宋体" w:asciiTheme="minorEastAsia" w:hAnsiTheme="minorEastAsia" w:eastAsiaTheme="minorEastAsia"/>
          <w:kern w:val="0"/>
          <w:sz w:val="24"/>
        </w:rPr>
        <w:t>建筑消防设施检测技术维护保养</w:t>
      </w:r>
      <w:r>
        <w:rPr>
          <w:rFonts w:cs="宋体" w:asciiTheme="minorEastAsia" w:hAnsiTheme="minorEastAsia" w:eastAsiaTheme="minorEastAsia"/>
          <w:kern w:val="0"/>
          <w:sz w:val="24"/>
        </w:rPr>
        <w:t>管理工作</w:t>
      </w:r>
      <w:r>
        <w:rPr>
          <w:rFonts w:hint="eastAsia" w:cs="宋体" w:asciiTheme="minorEastAsia" w:hAnsiTheme="minorEastAsia" w:eastAsiaTheme="minorEastAsia"/>
          <w:kern w:val="0"/>
          <w:sz w:val="24"/>
        </w:rPr>
        <w:t>经验，提供本公司在消防维保服务项目近三年内的工作</w:t>
      </w:r>
      <w:r>
        <w:rPr>
          <w:rFonts w:asciiTheme="minorEastAsia" w:hAnsiTheme="minorEastAsia" w:eastAsiaTheme="minorEastAsia"/>
          <w:sz w:val="24"/>
        </w:rPr>
        <w:t>业绩</w:t>
      </w:r>
      <w:r>
        <w:rPr>
          <w:rFonts w:hint="eastAsia" w:cs="宋体" w:asciiTheme="minorEastAsia" w:hAnsiTheme="minorEastAsia" w:eastAsiaTheme="minorEastAsia"/>
          <w:kern w:val="0"/>
          <w:sz w:val="24"/>
        </w:rPr>
        <w:t>。</w:t>
      </w:r>
    </w:p>
    <w:p w14:paraId="7AEA2601">
      <w:pPr>
        <w:widowControl/>
        <w:spacing w:line="400" w:lineRule="exact"/>
        <w:ind w:firstLine="361" w:firstLineChars="15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二、</w:t>
      </w:r>
      <w:r>
        <w:rPr>
          <w:rFonts w:cs="宋体" w:asciiTheme="minorEastAsia" w:hAnsiTheme="minorEastAsia" w:eastAsiaTheme="minorEastAsia"/>
          <w:b/>
          <w:kern w:val="0"/>
          <w:sz w:val="24"/>
        </w:rPr>
        <w:t>维保</w:t>
      </w:r>
      <w:r>
        <w:rPr>
          <w:rFonts w:hint="eastAsia" w:cs="宋体" w:asciiTheme="minorEastAsia" w:hAnsiTheme="minorEastAsia" w:eastAsiaTheme="minorEastAsia"/>
          <w:b/>
          <w:kern w:val="0"/>
          <w:sz w:val="24"/>
        </w:rPr>
        <w:t>工作</w:t>
      </w:r>
      <w:r>
        <w:rPr>
          <w:rFonts w:cs="宋体" w:asciiTheme="minorEastAsia" w:hAnsiTheme="minorEastAsia" w:eastAsiaTheme="minorEastAsia"/>
          <w:b/>
          <w:kern w:val="0"/>
          <w:sz w:val="24"/>
        </w:rPr>
        <w:t>标准</w:t>
      </w:r>
    </w:p>
    <w:p w14:paraId="102E11C3">
      <w:pPr>
        <w:adjustRightInd w:val="0"/>
        <w:snapToGrid w:val="0"/>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（一）</w:t>
      </w:r>
      <w:r>
        <w:rPr>
          <w:rFonts w:cs="宋体" w:asciiTheme="minorEastAsia" w:hAnsiTheme="minorEastAsia" w:eastAsiaTheme="minorEastAsia"/>
          <w:kern w:val="0"/>
          <w:sz w:val="24"/>
        </w:rPr>
        <w:t>火灾自动报警系统</w:t>
      </w:r>
    </w:p>
    <w:p w14:paraId="40ABF788">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每</w:t>
      </w:r>
      <w:r>
        <w:rPr>
          <w:rFonts w:hint="eastAsia" w:cs="宋体" w:asciiTheme="minorEastAsia" w:hAnsiTheme="minorEastAsia" w:eastAsiaTheme="minorEastAsia"/>
          <w:kern w:val="0"/>
          <w:sz w:val="24"/>
        </w:rPr>
        <w:t>月</w:t>
      </w:r>
      <w:r>
        <w:rPr>
          <w:rFonts w:cs="宋体" w:asciiTheme="minorEastAsia" w:hAnsiTheme="minorEastAsia" w:eastAsiaTheme="minorEastAsia"/>
          <w:kern w:val="0"/>
          <w:sz w:val="24"/>
        </w:rPr>
        <w:t>应对所有的火灾探测器采用抽测的方式进行测试</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每月巡检手动报警按钮装置</w:t>
      </w:r>
      <w:r>
        <w:rPr>
          <w:rFonts w:hint="eastAsia" w:cs="宋体" w:asciiTheme="minorEastAsia" w:hAnsiTheme="minorEastAsia" w:eastAsiaTheme="minorEastAsia"/>
          <w:kern w:val="0"/>
          <w:sz w:val="24"/>
          <w:lang w:eastAsia="zh-CN"/>
        </w:rPr>
        <w:t>，</w:t>
      </w:r>
      <w:r>
        <w:rPr>
          <w:rFonts w:cs="宋体" w:asciiTheme="minorEastAsia" w:hAnsiTheme="minorEastAsia" w:eastAsiaTheme="minorEastAsia"/>
          <w:kern w:val="0"/>
          <w:sz w:val="24"/>
        </w:rPr>
        <w:t>检查外罩玻璃是否有破损。每季度测试警铃及广播。定期对备用电源进行1～2次充放电试验；1～3次主</w:t>
      </w:r>
      <w:r>
        <w:rPr>
          <w:rFonts w:hint="eastAsia" w:cs="宋体" w:asciiTheme="minorEastAsia" w:hAnsiTheme="minorEastAsia" w:eastAsiaTheme="minorEastAsia"/>
          <w:kern w:val="0"/>
          <w:sz w:val="24"/>
        </w:rPr>
        <w:t>电</w:t>
      </w:r>
      <w:r>
        <w:rPr>
          <w:rFonts w:cs="宋体" w:asciiTheme="minorEastAsia" w:hAnsiTheme="minorEastAsia" w:eastAsiaTheme="minorEastAsia"/>
          <w:kern w:val="0"/>
          <w:sz w:val="24"/>
        </w:rPr>
        <w:t>和备用电源自动切换试验；定期</w:t>
      </w:r>
      <w:r>
        <w:rPr>
          <w:rFonts w:hint="eastAsia" w:cs="宋体" w:asciiTheme="minorEastAsia" w:hAnsiTheme="minorEastAsia" w:eastAsiaTheme="minorEastAsia"/>
          <w:kern w:val="0"/>
          <w:sz w:val="24"/>
          <w:lang w:eastAsia="zh-CN"/>
        </w:rPr>
        <w:t>（</w:t>
      </w:r>
      <w:r>
        <w:rPr>
          <w:rFonts w:cs="宋体" w:asciiTheme="minorEastAsia" w:hAnsiTheme="minorEastAsia" w:eastAsiaTheme="minorEastAsia"/>
          <w:kern w:val="0"/>
          <w:sz w:val="24"/>
        </w:rPr>
        <w:t>每年至少一次</w:t>
      </w:r>
      <w:r>
        <w:rPr>
          <w:rFonts w:hint="eastAsia" w:cs="宋体" w:asciiTheme="minorEastAsia" w:hAnsiTheme="minorEastAsia" w:eastAsiaTheme="minorEastAsia"/>
          <w:kern w:val="0"/>
          <w:sz w:val="24"/>
          <w:lang w:eastAsia="zh-CN"/>
        </w:rPr>
        <w:t>）</w:t>
      </w:r>
      <w:r>
        <w:rPr>
          <w:rFonts w:cs="宋体" w:asciiTheme="minorEastAsia" w:hAnsiTheme="minorEastAsia" w:eastAsiaTheme="minorEastAsia"/>
          <w:kern w:val="0"/>
          <w:sz w:val="24"/>
        </w:rPr>
        <w:t>对感烟、感温探测器进行清洁，必要时随时进行清洗，确保报警灵敏</w:t>
      </w:r>
      <w:r>
        <w:rPr>
          <w:rFonts w:hint="eastAsia" w:cs="宋体" w:asciiTheme="minorEastAsia" w:hAnsiTheme="minorEastAsia" w:eastAsiaTheme="minorEastAsia"/>
          <w:kern w:val="0"/>
          <w:sz w:val="24"/>
        </w:rPr>
        <w:t>。保证系统达到下列标准：</w:t>
      </w:r>
    </w:p>
    <w:p w14:paraId="63F8FE69">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探测器动作灵敏，报警准确；</w:t>
      </w:r>
    </w:p>
    <w:p w14:paraId="2135389D">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主控屏工作正常，正常显示报警区域和输出联动信号；</w:t>
      </w:r>
    </w:p>
    <w:p w14:paraId="05883202">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手报按钮动作灵敏，报警准确，联动功能正常；</w:t>
      </w:r>
    </w:p>
    <w:p w14:paraId="73295257">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主控屏和联动控制屏外观完好、清洁，各项输入、输出显示功能正常；</w:t>
      </w:r>
    </w:p>
    <w:p w14:paraId="5CD30847">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界面（模块）各项参数正常，与外围设备的通信、控制信号正常；</w:t>
      </w:r>
    </w:p>
    <w:p w14:paraId="73192667">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电池组的电压及其他参数正常，供电稳定、可靠；</w:t>
      </w:r>
    </w:p>
    <w:p w14:paraId="4079E83F">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7</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系统设备所有接线牢固，无松动、破损或脱落；</w:t>
      </w:r>
    </w:p>
    <w:p w14:paraId="72AA62B3">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8</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主、备电源自动切换功能正常；</w:t>
      </w:r>
    </w:p>
    <w:p w14:paraId="60E01C03">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9</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探测器外观完好，内外部清洁，功能正常；</w:t>
      </w:r>
    </w:p>
    <w:p w14:paraId="69EF22BB">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10</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报警主机控制程序正确，各项功能正常；</w:t>
      </w:r>
    </w:p>
    <w:p w14:paraId="3ABD03DC">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系统接地电阻符合规范或设计要求。</w:t>
      </w:r>
    </w:p>
    <w:p w14:paraId="6CA10024">
      <w:pPr>
        <w:adjustRightInd w:val="0"/>
        <w:snapToGrid w:val="0"/>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（二）</w:t>
      </w:r>
      <w:r>
        <w:rPr>
          <w:rFonts w:cs="宋体" w:asciiTheme="minorEastAsia" w:hAnsiTheme="minorEastAsia" w:eastAsiaTheme="minorEastAsia"/>
          <w:kern w:val="0"/>
          <w:sz w:val="24"/>
        </w:rPr>
        <w:t>消防联动系统（含防排烟系统）</w:t>
      </w:r>
    </w:p>
    <w:p w14:paraId="33041270">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定期对正压送风机（排烟风机）、正压送风阀（排烟阀）进行保养，对转动部位加润滑油并调整风机皮带松紧度。</w:t>
      </w:r>
      <w:r>
        <w:rPr>
          <w:rFonts w:hint="eastAsia" w:cs="宋体" w:asciiTheme="minorEastAsia" w:hAnsiTheme="minorEastAsia" w:eastAsiaTheme="minorEastAsia"/>
          <w:kern w:val="0"/>
          <w:sz w:val="24"/>
        </w:rPr>
        <w:t>保证系统达到下列标准：</w:t>
      </w:r>
    </w:p>
    <w:p w14:paraId="7C6A1A2F">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风机风阀联动功能正常，动作准确；</w:t>
      </w:r>
    </w:p>
    <w:p w14:paraId="02959836">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防火阀阀体和易熔片完好，控制及反馈</w:t>
      </w:r>
      <w:r>
        <w:rPr>
          <w:rFonts w:hint="eastAsia" w:cs="宋体" w:asciiTheme="minorEastAsia" w:hAnsiTheme="minorEastAsia" w:eastAsiaTheme="minorEastAsia"/>
          <w:kern w:val="0"/>
          <w:sz w:val="24"/>
          <w:lang w:eastAsia="zh-CN"/>
        </w:rPr>
        <w:t>信号通信</w:t>
      </w:r>
      <w:r>
        <w:rPr>
          <w:rFonts w:cs="宋体" w:asciiTheme="minorEastAsia" w:hAnsiTheme="minorEastAsia" w:eastAsiaTheme="minorEastAsia"/>
          <w:kern w:val="0"/>
          <w:sz w:val="24"/>
        </w:rPr>
        <w:t>畅通正常；</w:t>
      </w:r>
    </w:p>
    <w:p w14:paraId="18B25F4E">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消防电梯人工迫降功能正常；</w:t>
      </w:r>
    </w:p>
    <w:p w14:paraId="1AACAD37">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联动试验时有迫降电梯的信号输出，电压符合要求；</w:t>
      </w:r>
    </w:p>
    <w:p w14:paraId="6E4ED413">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各联动设备与消防</w:t>
      </w:r>
      <w:r>
        <w:rPr>
          <w:rFonts w:hint="eastAsia" w:cs="宋体" w:asciiTheme="minorEastAsia" w:hAnsiTheme="minorEastAsia" w:eastAsiaTheme="minorEastAsia"/>
          <w:kern w:val="0"/>
          <w:sz w:val="24"/>
        </w:rPr>
        <w:t>控制</w:t>
      </w:r>
      <w:r>
        <w:rPr>
          <w:rFonts w:cs="宋体" w:asciiTheme="minorEastAsia" w:hAnsiTheme="minorEastAsia" w:eastAsiaTheme="minorEastAsia"/>
          <w:kern w:val="0"/>
          <w:sz w:val="24"/>
        </w:rPr>
        <w:t>中心控制屏或联动柜的功能正常；</w:t>
      </w:r>
    </w:p>
    <w:p w14:paraId="58148ED4">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联动楼层非消防电源自动切断功能正常；</w:t>
      </w:r>
    </w:p>
    <w:p w14:paraId="2912E3B4">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7</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联动警铃的功能正常；</w:t>
      </w:r>
    </w:p>
    <w:p w14:paraId="240D4BC7">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8</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联动广播的功能正常；</w:t>
      </w:r>
    </w:p>
    <w:p w14:paraId="5234166E">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9</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现场和远程启、停风机的控制功能正常；</w:t>
      </w:r>
    </w:p>
    <w:p w14:paraId="6E770777">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10</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风机运行平稳，噪声低，风量、风压达到要求，风阀开、关灵活，密封性好，风机皮带松紧度适中。</w:t>
      </w:r>
    </w:p>
    <w:p w14:paraId="0EDEBF5D">
      <w:pPr>
        <w:adjustRightInd w:val="0"/>
        <w:snapToGrid w:val="0"/>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（三）</w:t>
      </w:r>
      <w:r>
        <w:rPr>
          <w:rFonts w:cs="宋体" w:asciiTheme="minorEastAsia" w:hAnsiTheme="minorEastAsia" w:eastAsiaTheme="minorEastAsia"/>
          <w:kern w:val="0"/>
          <w:sz w:val="24"/>
        </w:rPr>
        <w:t>自动喷淋灭火系统</w:t>
      </w:r>
    </w:p>
    <w:p w14:paraId="6C0E9F74">
      <w:pPr>
        <w:adjustRightInd w:val="0"/>
        <w:snapToGrid w:val="0"/>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每月</w:t>
      </w:r>
      <w:r>
        <w:rPr>
          <w:rFonts w:cs="宋体" w:asciiTheme="minorEastAsia" w:hAnsiTheme="minorEastAsia" w:eastAsiaTheme="minorEastAsia"/>
          <w:kern w:val="0"/>
          <w:sz w:val="24"/>
        </w:rPr>
        <w:t>检查试验楼层喷淋管网末端试验装置水压、流量</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每两个月应利用末端试水装置放水，检查试验水流指示器动作报警</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检查喷淋头、管道</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定期试验安全泄压阀</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定期检查阀门</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定期对喷淋系统管网</w:t>
      </w:r>
      <w:r>
        <w:rPr>
          <w:rFonts w:hint="eastAsia" w:cs="宋体" w:asciiTheme="minorEastAsia" w:hAnsiTheme="minorEastAsia" w:eastAsiaTheme="minorEastAsia"/>
          <w:kern w:val="0"/>
          <w:sz w:val="24"/>
        </w:rPr>
        <w:t>；保证系统达到下列标准：</w:t>
      </w:r>
    </w:p>
    <w:p w14:paraId="5575F036">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楼层喷淋管网末端试验压力（动、静压力）流量符合设计或规范要求；</w:t>
      </w:r>
    </w:p>
    <w:p w14:paraId="0B56C198">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水流指示器动作灵敏、报警准确、及时，复位正常，消防</w:t>
      </w:r>
      <w:r>
        <w:rPr>
          <w:rFonts w:hint="eastAsia" w:cs="宋体" w:asciiTheme="minorEastAsia" w:hAnsiTheme="minorEastAsia" w:eastAsiaTheme="minorEastAsia"/>
          <w:kern w:val="0"/>
          <w:sz w:val="24"/>
        </w:rPr>
        <w:t>控制</w:t>
      </w:r>
      <w:r>
        <w:rPr>
          <w:rFonts w:cs="宋体" w:asciiTheme="minorEastAsia" w:hAnsiTheme="minorEastAsia" w:eastAsiaTheme="minorEastAsia"/>
          <w:kern w:val="0"/>
          <w:sz w:val="24"/>
        </w:rPr>
        <w:t>中心显示报警地址正确；</w:t>
      </w:r>
    </w:p>
    <w:p w14:paraId="7B43201A">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喷淋头外观完好，无滴漏或爆破隐患；</w:t>
      </w:r>
    </w:p>
    <w:p w14:paraId="55D8CF81">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阀门处于正常开、关状态，有明显标志，信号阀门开、关灵活、有效，消防</w:t>
      </w:r>
      <w:r>
        <w:rPr>
          <w:rFonts w:hint="eastAsia" w:cs="宋体" w:asciiTheme="minorEastAsia" w:hAnsiTheme="minorEastAsia" w:eastAsiaTheme="minorEastAsia"/>
          <w:kern w:val="0"/>
          <w:sz w:val="24"/>
        </w:rPr>
        <w:t>控制</w:t>
      </w:r>
      <w:r>
        <w:rPr>
          <w:rFonts w:cs="宋体" w:asciiTheme="minorEastAsia" w:hAnsiTheme="minorEastAsia" w:eastAsiaTheme="minorEastAsia"/>
          <w:kern w:val="0"/>
          <w:sz w:val="24"/>
        </w:rPr>
        <w:t>中心有关闭信号显示，报警地址准确；</w:t>
      </w:r>
    </w:p>
    <w:p w14:paraId="097D7B8A">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喷淋系统水泵接合器外观完好，配置齐全，无变形、无渗漏、无缺损；</w:t>
      </w:r>
    </w:p>
    <w:p w14:paraId="67A3C734">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安全泄压阀和水锤吸纳器外观完好，工作灵敏、可靠、有效；</w:t>
      </w:r>
    </w:p>
    <w:p w14:paraId="745D48F6">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7</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喷淋立管的自动排气阀无堵塞或漏水，工作正常；</w:t>
      </w:r>
    </w:p>
    <w:p w14:paraId="0A0BB0CC">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8</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湿式报警阀外观完好，无渗漏，放水试验时动作灵敏，其压力开关联动喷淋泵启动，消防中心报警显示准确；</w:t>
      </w:r>
    </w:p>
    <w:p w14:paraId="17CB8453">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9</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阀门开关灵活、有效，无锈蚀、渗漏；</w:t>
      </w:r>
    </w:p>
    <w:p w14:paraId="56D668D0">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10</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止回阀启闭灵活、有效，无水回流，外观完好；</w:t>
      </w:r>
    </w:p>
    <w:p w14:paraId="012F650E">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11</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喷淋管网外观完好，无变形、无锈蚀、脱漆和渗漏。</w:t>
      </w:r>
    </w:p>
    <w:p w14:paraId="03EC1274">
      <w:pPr>
        <w:adjustRightInd w:val="0"/>
        <w:snapToGrid w:val="0"/>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（四）</w:t>
      </w:r>
      <w:r>
        <w:rPr>
          <w:rFonts w:cs="宋体" w:asciiTheme="minorEastAsia" w:hAnsiTheme="minorEastAsia" w:eastAsiaTheme="minorEastAsia"/>
          <w:kern w:val="0"/>
          <w:sz w:val="24"/>
        </w:rPr>
        <w:t>防火分离设施系统</w:t>
      </w:r>
    </w:p>
    <w:p w14:paraId="561AF497">
      <w:pPr>
        <w:adjustRightInd w:val="0"/>
        <w:snapToGrid w:val="0"/>
        <w:spacing w:line="400" w:lineRule="exact"/>
        <w:ind w:firstLine="48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每月检查</w:t>
      </w:r>
      <w:r>
        <w:rPr>
          <w:rFonts w:cs="宋体" w:asciiTheme="minorEastAsia" w:hAnsiTheme="minorEastAsia" w:eastAsiaTheme="minorEastAsia"/>
          <w:color w:val="000000" w:themeColor="text1"/>
          <w:kern w:val="0"/>
          <w:sz w:val="24"/>
          <w14:textFill>
            <w14:solidFill>
              <w14:schemeClr w14:val="tx1"/>
            </w14:solidFill>
          </w14:textFill>
        </w:rPr>
        <w:t>防火门关闭效果，双扇门的关闭顺序。每季度</w:t>
      </w:r>
      <w:r>
        <w:rPr>
          <w:rFonts w:hint="eastAsia" w:cs="宋体" w:asciiTheme="minorEastAsia" w:hAnsiTheme="minorEastAsia" w:eastAsiaTheme="minorEastAsia"/>
          <w:color w:val="000000" w:themeColor="text1"/>
          <w:kern w:val="0"/>
          <w:sz w:val="24"/>
          <w14:textFill>
            <w14:solidFill>
              <w14:schemeClr w14:val="tx1"/>
            </w14:solidFill>
          </w14:textFill>
        </w:rPr>
        <w:t>检查</w:t>
      </w:r>
      <w:r>
        <w:rPr>
          <w:rFonts w:cs="宋体" w:asciiTheme="minorEastAsia" w:hAnsiTheme="minorEastAsia" w:eastAsiaTheme="minorEastAsia"/>
          <w:color w:val="000000" w:themeColor="text1"/>
          <w:kern w:val="0"/>
          <w:sz w:val="24"/>
          <w14:textFill>
            <w14:solidFill>
              <w14:schemeClr w14:val="tx1"/>
            </w14:solidFill>
          </w14:textFill>
        </w:rPr>
        <w:t>疏散通道上设有出入口控制系统的防火门</w:t>
      </w:r>
      <w:r>
        <w:rPr>
          <w:rFonts w:hint="eastAsia" w:cs="宋体" w:asciiTheme="minorEastAsia" w:hAnsiTheme="minorEastAsia" w:eastAsiaTheme="minorEastAsia"/>
          <w:color w:val="000000" w:themeColor="text1"/>
          <w:kern w:val="0"/>
          <w:sz w:val="24"/>
          <w14:textFill>
            <w14:solidFill>
              <w14:schemeClr w14:val="tx1"/>
            </w14:solidFill>
          </w14:textFill>
        </w:rPr>
        <w:t>，</w:t>
      </w:r>
      <w:r>
        <w:rPr>
          <w:rFonts w:cs="宋体" w:asciiTheme="minorEastAsia" w:hAnsiTheme="minorEastAsia" w:eastAsiaTheme="minorEastAsia"/>
          <w:color w:val="000000" w:themeColor="text1"/>
          <w:kern w:val="0"/>
          <w:sz w:val="24"/>
          <w14:textFill>
            <w14:solidFill>
              <w14:schemeClr w14:val="tx1"/>
            </w14:solidFill>
          </w14:textFill>
        </w:rPr>
        <w:t>防火卷帘</w:t>
      </w:r>
      <w:r>
        <w:rPr>
          <w:rFonts w:hint="eastAsia" w:cs="宋体" w:asciiTheme="minorEastAsia" w:hAnsiTheme="minorEastAsia" w:eastAsiaTheme="minorEastAsia"/>
          <w:color w:val="000000" w:themeColor="text1"/>
          <w:kern w:val="0"/>
          <w:sz w:val="24"/>
          <w14:textFill>
            <w14:solidFill>
              <w14:schemeClr w14:val="tx1"/>
            </w14:solidFill>
          </w14:textFill>
        </w:rPr>
        <w:t>测试</w:t>
      </w:r>
      <w:r>
        <w:rPr>
          <w:rFonts w:cs="宋体" w:asciiTheme="minorEastAsia" w:hAnsiTheme="minorEastAsia" w:eastAsiaTheme="minorEastAsia"/>
          <w:color w:val="000000" w:themeColor="text1"/>
          <w:kern w:val="0"/>
          <w:sz w:val="24"/>
          <w14:textFill>
            <w14:solidFill>
              <w14:schemeClr w14:val="tx1"/>
            </w14:solidFill>
          </w14:textFill>
        </w:rPr>
        <w:t>卷帘降落的功能</w:t>
      </w:r>
      <w:r>
        <w:rPr>
          <w:rFonts w:hint="eastAsia" w:cs="宋体" w:asciiTheme="minorEastAsia" w:hAnsiTheme="minorEastAsia" w:eastAsiaTheme="minorEastAsia"/>
          <w:color w:val="000000" w:themeColor="text1"/>
          <w:kern w:val="0"/>
          <w:sz w:val="24"/>
          <w14:textFill>
            <w14:solidFill>
              <w14:schemeClr w14:val="tx1"/>
            </w14:solidFill>
          </w14:textFill>
        </w:rPr>
        <w:t>，保证系统达到下列标准：</w:t>
      </w:r>
    </w:p>
    <w:p w14:paraId="7722CB61">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烟、温感动作，联动卷帘降落功能正常；</w:t>
      </w:r>
    </w:p>
    <w:p w14:paraId="2F194B1A">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现场和远程控制卷帘起、降功能正常；</w:t>
      </w:r>
    </w:p>
    <w:p w14:paraId="1F96DE2A">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防火卷帘控制器功能正常；</w:t>
      </w:r>
    </w:p>
    <w:p w14:paraId="1EE55069">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防火卷帘导轨和转动机构运转灵活，卷帘叶片无变形、脱落；</w:t>
      </w:r>
    </w:p>
    <w:p w14:paraId="6DACB71D">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防火卷帘联动功能正常，降落时消防中心有显示。</w:t>
      </w:r>
    </w:p>
    <w:p w14:paraId="34AAF096">
      <w:pPr>
        <w:adjustRightInd w:val="0"/>
        <w:snapToGrid w:val="0"/>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（五）气体灭火系统</w:t>
      </w:r>
    </w:p>
    <w:p w14:paraId="1F0BA874">
      <w:pPr>
        <w:pStyle w:val="4"/>
        <w:spacing w:line="400" w:lineRule="exact"/>
        <w:ind w:firstLine="480"/>
        <w:jc w:val="left"/>
        <w:rPr>
          <w:rFonts w:asciiTheme="minorEastAsia" w:hAnsiTheme="minorEastAsia" w:eastAsiaTheme="minorEastAsia"/>
          <w:b w:val="0"/>
        </w:rPr>
      </w:pPr>
      <w:r>
        <w:rPr>
          <w:rFonts w:asciiTheme="minorEastAsia" w:hAnsiTheme="minorEastAsia" w:eastAsiaTheme="minorEastAsia"/>
          <w:b w:val="0"/>
        </w:rPr>
        <w:t>应按检查类别规定对气体灭火系统进行检查，并做好检查记录</w:t>
      </w:r>
      <w:r>
        <w:rPr>
          <w:rFonts w:hint="eastAsia" w:asciiTheme="minorEastAsia" w:hAnsiTheme="minorEastAsia" w:eastAsiaTheme="minorEastAsia"/>
          <w:b w:val="0"/>
          <w:lang w:eastAsia="zh-CN"/>
        </w:rPr>
        <w:t>。</w:t>
      </w:r>
      <w:r>
        <w:rPr>
          <w:rFonts w:asciiTheme="minorEastAsia" w:hAnsiTheme="minorEastAsia" w:eastAsiaTheme="minorEastAsia"/>
          <w:b w:val="0"/>
        </w:rPr>
        <w:t>每日、每月、每季度的检查内容应详细记录并符合相关规范</w:t>
      </w:r>
      <w:r>
        <w:rPr>
          <w:rFonts w:hint="eastAsia" w:asciiTheme="minorEastAsia" w:hAnsiTheme="minorEastAsia" w:eastAsiaTheme="minorEastAsia"/>
          <w:b w:val="0"/>
          <w:lang w:eastAsia="zh-CN"/>
        </w:rPr>
        <w:t>：</w:t>
      </w:r>
    </w:p>
    <w:p w14:paraId="66A712C2">
      <w:pPr>
        <w:adjustRightInd w:val="0"/>
        <w:snapToGrid w:val="0"/>
        <w:spacing w:line="400" w:lineRule="exact"/>
        <w:ind w:firstLine="48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外观检查</w:t>
      </w:r>
      <w:r>
        <w:rPr>
          <w:rFonts w:eastAsiaTheme="minorEastAsia"/>
          <w:sz w:val="24"/>
        </w:rPr>
        <w:t>‌</w:t>
      </w:r>
      <w:r>
        <w:rPr>
          <w:rFonts w:asciiTheme="minorEastAsia" w:hAnsiTheme="minorEastAsia" w:eastAsiaTheme="minorEastAsia"/>
          <w:sz w:val="24"/>
        </w:rPr>
        <w:t>：定期检查气体灭火剂瓶体是否无损伤、锈蚀或泄漏现象。检查压力表是否在正常范围内，确保灭火剂储存压力稳定</w:t>
      </w:r>
      <w:r>
        <w:rPr>
          <w:rFonts w:eastAsiaTheme="minorEastAsia"/>
          <w:sz w:val="24"/>
        </w:rPr>
        <w:t>‌</w:t>
      </w:r>
      <w:r>
        <w:rPr>
          <w:rFonts w:hint="eastAsia" w:eastAsiaTheme="minorEastAsia"/>
          <w:sz w:val="24"/>
          <w:lang w:eastAsia="zh-CN"/>
        </w:rPr>
        <w:t>；</w:t>
      </w:r>
      <w:r>
        <w:rPr>
          <w:rFonts w:asciiTheme="minorEastAsia" w:hAnsiTheme="minorEastAsia" w:eastAsiaTheme="minorEastAsia"/>
          <w:sz w:val="24"/>
        </w:rPr>
        <w:br w:type="textWrapping"/>
      </w:r>
      <w:r>
        <w:rPr>
          <w:rFonts w:eastAsiaTheme="minorEastAsia"/>
          <w:sz w:val="24"/>
        </w:rPr>
        <w:t>‌</w:t>
      </w:r>
      <w:r>
        <w:rPr>
          <w:rFonts w:hint="eastAsia" w:asciiTheme="minorEastAsia" w:hAnsiTheme="minorEastAsia" w:eastAsiaTheme="minorEastAsia"/>
          <w:sz w:val="24"/>
        </w:rPr>
        <w:t xml:space="preserve">    2.</w:t>
      </w:r>
      <w:r>
        <w:rPr>
          <w:rFonts w:asciiTheme="minorEastAsia" w:hAnsiTheme="minorEastAsia" w:eastAsiaTheme="minorEastAsia"/>
          <w:sz w:val="24"/>
        </w:rPr>
        <w:t>系统组件检查</w:t>
      </w:r>
      <w:r>
        <w:rPr>
          <w:rFonts w:eastAsiaTheme="minorEastAsia"/>
          <w:sz w:val="24"/>
        </w:rPr>
        <w:t>‌</w:t>
      </w:r>
      <w:r>
        <w:rPr>
          <w:rFonts w:asciiTheme="minorEastAsia" w:hAnsiTheme="minorEastAsia" w:eastAsiaTheme="minorEastAsia"/>
          <w:sz w:val="24"/>
        </w:rPr>
        <w:t>：检查管路、喷头、阀门等部件是否完好无损且操作灵活</w:t>
      </w:r>
      <w:r>
        <w:rPr>
          <w:rFonts w:hint="eastAsia" w:asciiTheme="minorEastAsia" w:hAnsiTheme="minorEastAsia" w:eastAsiaTheme="minorEastAsia"/>
          <w:sz w:val="24"/>
          <w:lang w:eastAsia="zh-CN"/>
        </w:rPr>
        <w:t>；</w:t>
      </w:r>
      <w:r>
        <w:rPr>
          <w:rFonts w:asciiTheme="minorEastAsia" w:hAnsiTheme="minorEastAsia" w:eastAsiaTheme="minorEastAsia"/>
          <w:sz w:val="24"/>
        </w:rPr>
        <w:br w:type="textWrapping"/>
      </w:r>
      <w:r>
        <w:rPr>
          <w:rFonts w:eastAsiaTheme="minorEastAsia"/>
          <w:sz w:val="24"/>
        </w:rPr>
        <w:t>‌</w:t>
      </w:r>
      <w:r>
        <w:rPr>
          <w:rFonts w:hint="eastAsia" w:asciiTheme="minorEastAsia" w:hAnsiTheme="minorEastAsia" w:eastAsiaTheme="minorEastAsia"/>
          <w:sz w:val="24"/>
        </w:rPr>
        <w:t xml:space="preserve">    3.</w:t>
      </w:r>
      <w:r>
        <w:rPr>
          <w:rFonts w:asciiTheme="minorEastAsia" w:hAnsiTheme="minorEastAsia" w:eastAsiaTheme="minorEastAsia"/>
          <w:sz w:val="24"/>
        </w:rPr>
        <w:t>更换周期</w:t>
      </w:r>
      <w:r>
        <w:rPr>
          <w:rFonts w:eastAsiaTheme="minorEastAsia"/>
          <w:sz w:val="24"/>
        </w:rPr>
        <w:t>‌</w:t>
      </w:r>
      <w:r>
        <w:rPr>
          <w:rFonts w:asciiTheme="minorEastAsia" w:hAnsiTheme="minorEastAsia" w:eastAsiaTheme="minorEastAsia"/>
          <w:sz w:val="24"/>
        </w:rPr>
        <w:t>：气体灭火剂的有效期通常根据其种类和储存条件而定。一旦达到有效期，必须及时更换新的灭火剂。更换过程中应严格按照操作规程进行，避免泄漏或混入杂质</w:t>
      </w:r>
      <w:r>
        <w:rPr>
          <w:rFonts w:eastAsiaTheme="minorEastAsia"/>
          <w:sz w:val="24"/>
        </w:rPr>
        <w:t>‌</w:t>
      </w:r>
      <w:r>
        <w:rPr>
          <w:rFonts w:hint="eastAsia" w:eastAsiaTheme="minorEastAsia"/>
          <w:sz w:val="24"/>
          <w:lang w:eastAsia="zh-CN"/>
        </w:rPr>
        <w:t>；</w:t>
      </w:r>
      <w:r>
        <w:rPr>
          <w:rFonts w:asciiTheme="minorEastAsia" w:hAnsiTheme="minorEastAsia" w:eastAsiaTheme="minorEastAsia"/>
          <w:sz w:val="24"/>
        </w:rPr>
        <w:br w:type="textWrapping"/>
      </w:r>
      <w:r>
        <w:rPr>
          <w:rFonts w:eastAsiaTheme="minorEastAsia"/>
          <w:sz w:val="24"/>
        </w:rPr>
        <w:t>‌</w:t>
      </w:r>
      <w:r>
        <w:rPr>
          <w:rFonts w:asciiTheme="minorEastAsia" w:hAnsiTheme="minorEastAsia" w:eastAsiaTheme="minorEastAsia"/>
          <w:sz w:val="24"/>
        </w:rPr>
        <w:t>使用注意事项</w:t>
      </w:r>
      <w:r>
        <w:rPr>
          <w:rFonts w:eastAsiaTheme="minorEastAsia"/>
          <w:sz w:val="24"/>
        </w:rPr>
        <w:t>‌</w:t>
      </w:r>
      <w:r>
        <w:rPr>
          <w:rFonts w:asciiTheme="minorEastAsia" w:hAnsiTheme="minorEastAsia" w:eastAsiaTheme="minorEastAsia"/>
          <w:sz w:val="24"/>
        </w:rPr>
        <w:t>：</w:t>
      </w:r>
    </w:p>
    <w:p w14:paraId="7CCE53F3">
      <w:pPr>
        <w:adjustRightInd w:val="0"/>
        <w:snapToGrid w:val="0"/>
        <w:spacing w:line="400" w:lineRule="exact"/>
        <w:ind w:firstLine="480"/>
        <w:jc w:val="left"/>
        <w:rPr>
          <w:rFonts w:cs="宋体" w:asciiTheme="minorEastAsia" w:hAnsiTheme="minorEastAsia" w:eastAsiaTheme="minorEastAsia"/>
          <w:kern w:val="0"/>
          <w:sz w:val="24"/>
        </w:rPr>
      </w:pPr>
      <w:r>
        <w:rPr>
          <w:rFonts w:hint="eastAsia" w:asciiTheme="minorEastAsia" w:hAnsiTheme="minorEastAsia" w:eastAsiaTheme="minorEastAsia"/>
          <w:sz w:val="24"/>
        </w:rPr>
        <w:t>4.</w:t>
      </w:r>
      <w:r>
        <w:rPr>
          <w:rFonts w:asciiTheme="minorEastAsia" w:hAnsiTheme="minorEastAsia" w:eastAsiaTheme="minorEastAsia"/>
          <w:sz w:val="24"/>
        </w:rPr>
        <w:t>安全操作</w:t>
      </w:r>
      <w:r>
        <w:rPr>
          <w:rFonts w:eastAsiaTheme="minorEastAsia"/>
          <w:sz w:val="24"/>
        </w:rPr>
        <w:t>‌</w:t>
      </w:r>
      <w:r>
        <w:rPr>
          <w:rFonts w:asciiTheme="minorEastAsia" w:hAnsiTheme="minorEastAsia" w:eastAsiaTheme="minorEastAsia"/>
          <w:sz w:val="24"/>
        </w:rPr>
        <w:t>：使用气体灭火剂时，必须确保人员安全撤离现场，关闭所有门窗和通风设备，操作人员应穿戴适当的防护装备，避免与灭火剂直接接触</w:t>
      </w:r>
      <w:r>
        <w:rPr>
          <w:rFonts w:hint="eastAsia" w:asciiTheme="minorEastAsia" w:hAnsiTheme="minorEastAsia" w:eastAsiaTheme="minorEastAsia"/>
          <w:sz w:val="24"/>
          <w:lang w:eastAsia="zh-CN"/>
        </w:rPr>
        <w:t>；</w:t>
      </w:r>
      <w:r>
        <w:rPr>
          <w:rFonts w:asciiTheme="minorEastAsia" w:hAnsiTheme="minorEastAsia" w:eastAsiaTheme="minorEastAsia"/>
          <w:sz w:val="24"/>
        </w:rPr>
        <w:br w:type="textWrapping"/>
      </w:r>
      <w:r>
        <w:rPr>
          <w:rFonts w:eastAsiaTheme="minorEastAsia"/>
          <w:sz w:val="24"/>
        </w:rPr>
        <w:t>‌</w:t>
      </w:r>
      <w:r>
        <w:rPr>
          <w:rFonts w:hint="eastAsia" w:asciiTheme="minorEastAsia" w:hAnsiTheme="minorEastAsia" w:eastAsiaTheme="minorEastAsia"/>
          <w:sz w:val="24"/>
        </w:rPr>
        <w:t xml:space="preserve">    5.</w:t>
      </w:r>
      <w:r>
        <w:rPr>
          <w:rFonts w:asciiTheme="minorEastAsia" w:hAnsiTheme="minorEastAsia" w:eastAsiaTheme="minorEastAsia"/>
          <w:sz w:val="24"/>
        </w:rPr>
        <w:t>维护保养</w:t>
      </w:r>
      <w:r>
        <w:rPr>
          <w:rFonts w:eastAsiaTheme="minorEastAsia"/>
          <w:sz w:val="24"/>
        </w:rPr>
        <w:t>‌</w:t>
      </w:r>
      <w:r>
        <w:rPr>
          <w:rFonts w:asciiTheme="minorEastAsia" w:hAnsiTheme="minorEastAsia" w:eastAsiaTheme="minorEastAsia"/>
          <w:sz w:val="24"/>
        </w:rPr>
        <w:t>：检查保护区的出入通道是否通畅，报警信号和安全标志是否清洁、齐全，采光照明和事故照明是否完好</w:t>
      </w:r>
      <w:r>
        <w:rPr>
          <w:rFonts w:eastAsiaTheme="minorEastAsia"/>
          <w:sz w:val="24"/>
        </w:rPr>
        <w:t>‌</w:t>
      </w:r>
      <w:r>
        <w:rPr>
          <w:rFonts w:hint="eastAsia" w:eastAsiaTheme="minorEastAsia"/>
          <w:sz w:val="24"/>
          <w:lang w:eastAsia="zh-CN"/>
        </w:rPr>
        <w:t>；</w:t>
      </w:r>
      <w:r>
        <w:rPr>
          <w:rFonts w:asciiTheme="minorEastAsia" w:hAnsiTheme="minorEastAsia" w:eastAsiaTheme="minorEastAsia"/>
          <w:sz w:val="24"/>
        </w:rPr>
        <w:br w:type="textWrapping"/>
      </w:r>
      <w:r>
        <w:rPr>
          <w:rFonts w:eastAsiaTheme="minorEastAsia"/>
          <w:sz w:val="24"/>
        </w:rPr>
        <w:t>‌</w:t>
      </w:r>
      <w:r>
        <w:rPr>
          <w:rFonts w:hint="eastAsia" w:asciiTheme="minorEastAsia" w:hAnsiTheme="minorEastAsia" w:eastAsiaTheme="minorEastAsia"/>
          <w:sz w:val="24"/>
        </w:rPr>
        <w:t xml:space="preserve">    6.</w:t>
      </w:r>
      <w:r>
        <w:rPr>
          <w:rFonts w:asciiTheme="minorEastAsia" w:hAnsiTheme="minorEastAsia" w:eastAsiaTheme="minorEastAsia"/>
          <w:sz w:val="24"/>
        </w:rPr>
        <w:t>灭火剂贮存容器维护</w:t>
      </w:r>
      <w:r>
        <w:rPr>
          <w:rFonts w:eastAsiaTheme="minorEastAsia"/>
          <w:sz w:val="24"/>
        </w:rPr>
        <w:t>‌</w:t>
      </w:r>
      <w:r>
        <w:rPr>
          <w:rFonts w:asciiTheme="minorEastAsia" w:hAnsiTheme="minorEastAsia" w:eastAsiaTheme="minorEastAsia"/>
          <w:sz w:val="24"/>
        </w:rPr>
        <w:t>：每年对灭火剂贮存容器进行称重或检查贮存压力，若低于允许值极限位置以下，必须重新灌装或替换</w:t>
      </w:r>
      <w:r>
        <w:rPr>
          <w:rFonts w:eastAsiaTheme="minorEastAsia"/>
          <w:sz w:val="24"/>
        </w:rPr>
        <w:t>‌</w:t>
      </w:r>
      <w:r>
        <w:rPr>
          <w:rFonts w:hint="eastAsia" w:eastAsiaTheme="minorEastAsia"/>
          <w:sz w:val="24"/>
          <w:lang w:eastAsia="zh-CN"/>
        </w:rPr>
        <w:t>；</w:t>
      </w:r>
      <w:r>
        <w:rPr>
          <w:rFonts w:asciiTheme="minorEastAsia" w:hAnsiTheme="minorEastAsia" w:eastAsiaTheme="minorEastAsia"/>
          <w:sz w:val="24"/>
        </w:rPr>
        <w:br w:type="textWrapping"/>
      </w:r>
      <w:r>
        <w:rPr>
          <w:rFonts w:eastAsiaTheme="minorEastAsia"/>
          <w:sz w:val="24"/>
        </w:rPr>
        <w:t>‌</w:t>
      </w:r>
      <w:r>
        <w:rPr>
          <w:rFonts w:hint="eastAsia" w:asciiTheme="minorEastAsia" w:hAnsiTheme="minorEastAsia" w:eastAsiaTheme="minorEastAsia"/>
          <w:sz w:val="24"/>
        </w:rPr>
        <w:t xml:space="preserve">    7.</w:t>
      </w:r>
      <w:r>
        <w:rPr>
          <w:rFonts w:asciiTheme="minorEastAsia" w:hAnsiTheme="minorEastAsia" w:eastAsiaTheme="minorEastAsia"/>
          <w:sz w:val="24"/>
        </w:rPr>
        <w:t>灭火控制盘维护</w:t>
      </w:r>
      <w:r>
        <w:rPr>
          <w:rFonts w:eastAsiaTheme="minorEastAsia"/>
          <w:sz w:val="24"/>
        </w:rPr>
        <w:t>‌</w:t>
      </w:r>
      <w:r>
        <w:rPr>
          <w:rFonts w:asciiTheme="minorEastAsia" w:hAnsiTheme="minorEastAsia" w:eastAsiaTheme="minorEastAsia"/>
          <w:sz w:val="24"/>
        </w:rPr>
        <w:t>：检查电源、指示灯的可靠性，进行启动试验，确保工作正常</w:t>
      </w:r>
      <w:r>
        <w:rPr>
          <w:rFonts w:hint="eastAsia" w:asciiTheme="minorEastAsia" w:hAnsiTheme="minorEastAsia" w:eastAsiaTheme="minorEastAsia"/>
          <w:sz w:val="24"/>
          <w:lang w:eastAsia="zh-CN"/>
        </w:rPr>
        <w:t>；</w:t>
      </w:r>
      <w:r>
        <w:rPr>
          <w:rFonts w:asciiTheme="minorEastAsia" w:hAnsiTheme="minorEastAsia" w:eastAsiaTheme="minorEastAsia"/>
          <w:sz w:val="24"/>
        </w:rPr>
        <w:br w:type="textWrapping"/>
      </w:r>
      <w:r>
        <w:rPr>
          <w:rFonts w:eastAsiaTheme="minorEastAsia"/>
          <w:sz w:val="24"/>
        </w:rPr>
        <w:t>‌</w:t>
      </w:r>
      <w:r>
        <w:rPr>
          <w:rFonts w:hint="eastAsia" w:asciiTheme="minorEastAsia" w:hAnsiTheme="minorEastAsia" w:eastAsiaTheme="minorEastAsia"/>
          <w:sz w:val="24"/>
        </w:rPr>
        <w:t xml:space="preserve">    8.</w:t>
      </w:r>
      <w:r>
        <w:rPr>
          <w:rFonts w:asciiTheme="minorEastAsia" w:hAnsiTheme="minorEastAsia" w:eastAsiaTheme="minorEastAsia"/>
          <w:sz w:val="24"/>
        </w:rPr>
        <w:t>系统组件检查</w:t>
      </w:r>
      <w:r>
        <w:rPr>
          <w:rFonts w:eastAsiaTheme="minorEastAsia"/>
          <w:sz w:val="24"/>
        </w:rPr>
        <w:t>‌</w:t>
      </w:r>
      <w:r>
        <w:rPr>
          <w:rFonts w:asciiTheme="minorEastAsia" w:hAnsiTheme="minorEastAsia" w:eastAsiaTheme="minorEastAsia"/>
          <w:sz w:val="24"/>
        </w:rPr>
        <w:t>：检查电磁阀、控制阀、报警控制系统、执行机构等连接装置的灵敏度和运动可靠性</w:t>
      </w:r>
      <w:r>
        <w:rPr>
          <w:rFonts w:hint="eastAsia" w:asciiTheme="minorEastAsia" w:hAnsiTheme="minorEastAsia" w:eastAsiaTheme="minorEastAsia"/>
          <w:sz w:val="24"/>
          <w:lang w:eastAsia="zh-CN"/>
        </w:rPr>
        <w:t>；</w:t>
      </w:r>
      <w:r>
        <w:rPr>
          <w:rFonts w:asciiTheme="minorEastAsia" w:hAnsiTheme="minorEastAsia" w:eastAsiaTheme="minorEastAsia"/>
          <w:sz w:val="24"/>
        </w:rPr>
        <w:br w:type="textWrapping"/>
      </w:r>
      <w:r>
        <w:rPr>
          <w:rFonts w:eastAsiaTheme="minorEastAsia"/>
          <w:sz w:val="24"/>
        </w:rPr>
        <w:t>‌</w:t>
      </w:r>
      <w:r>
        <w:rPr>
          <w:rFonts w:hint="eastAsia" w:asciiTheme="minorEastAsia" w:hAnsiTheme="minorEastAsia" w:eastAsiaTheme="minorEastAsia"/>
          <w:sz w:val="24"/>
        </w:rPr>
        <w:t xml:space="preserve">    9.</w:t>
      </w:r>
      <w:r>
        <w:rPr>
          <w:rFonts w:asciiTheme="minorEastAsia" w:hAnsiTheme="minorEastAsia" w:eastAsiaTheme="minorEastAsia"/>
          <w:sz w:val="24"/>
        </w:rPr>
        <w:t>手动和自动启动试验</w:t>
      </w:r>
      <w:r>
        <w:rPr>
          <w:rFonts w:eastAsiaTheme="minorEastAsia"/>
          <w:sz w:val="24"/>
        </w:rPr>
        <w:t>‌</w:t>
      </w:r>
      <w:r>
        <w:rPr>
          <w:rFonts w:asciiTheme="minorEastAsia" w:hAnsiTheme="minorEastAsia" w:eastAsiaTheme="minorEastAsia"/>
          <w:sz w:val="24"/>
        </w:rPr>
        <w:t>：对每个防护区进行模拟手动和自动启动试验，测试消防联动功能，确保灭火装置启动及喷放各阶段的信号反馈正常</w:t>
      </w:r>
      <w:r>
        <w:rPr>
          <w:rFonts w:eastAsiaTheme="minorEastAsia"/>
          <w:sz w:val="24"/>
        </w:rPr>
        <w:t>‌</w:t>
      </w:r>
      <w:r>
        <w:rPr>
          <w:rFonts w:asciiTheme="minorEastAsia" w:hAnsiTheme="minorEastAsia" w:eastAsiaTheme="minorEastAsia"/>
          <w:sz w:val="24"/>
        </w:rPr>
        <w:t>。</w:t>
      </w:r>
    </w:p>
    <w:p w14:paraId="686586EE">
      <w:pPr>
        <w:adjustRightInd w:val="0"/>
        <w:snapToGrid w:val="0"/>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（六）</w:t>
      </w:r>
      <w:r>
        <w:rPr>
          <w:rFonts w:cs="宋体" w:asciiTheme="minorEastAsia" w:hAnsiTheme="minorEastAsia" w:eastAsiaTheme="minorEastAsia"/>
          <w:kern w:val="0"/>
          <w:sz w:val="24"/>
        </w:rPr>
        <w:t>消防给水系统</w:t>
      </w:r>
    </w:p>
    <w:p w14:paraId="5A64C0F9">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每月查看消防水池水位</w:t>
      </w:r>
      <w:r>
        <w:rPr>
          <w:rFonts w:hint="eastAsia" w:cs="宋体" w:asciiTheme="minorEastAsia" w:hAnsiTheme="minorEastAsia" w:eastAsiaTheme="minorEastAsia"/>
          <w:kern w:val="0"/>
          <w:sz w:val="24"/>
        </w:rPr>
        <w:t>及</w:t>
      </w:r>
      <w:r>
        <w:rPr>
          <w:rFonts w:cs="宋体" w:asciiTheme="minorEastAsia" w:hAnsiTheme="minorEastAsia" w:eastAsiaTheme="minorEastAsia"/>
          <w:kern w:val="0"/>
          <w:sz w:val="24"/>
        </w:rPr>
        <w:t>补水设施。每年对水源的供水能力进行一次测定。每季度需对不少于20%的管道末端进行放水</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对水流指示器的报警功能进行检查。每月打开排气阀</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稳压泵及气压水罐检查。每月在泵房控制柜处启动水泵，查看运行情况。每月在消防主机控制室启动水泵，查看运行及反馈信号。</w:t>
      </w:r>
      <w:r>
        <w:rPr>
          <w:rFonts w:hint="eastAsia" w:cs="宋体" w:asciiTheme="minorEastAsia" w:hAnsiTheme="minorEastAsia" w:eastAsiaTheme="minorEastAsia"/>
          <w:color w:val="000000" w:themeColor="text1"/>
          <w:kern w:val="0"/>
          <w:sz w:val="24"/>
          <w14:textFill>
            <w14:solidFill>
              <w14:schemeClr w14:val="tx1"/>
            </w14:solidFill>
          </w14:textFill>
        </w:rPr>
        <w:t>保证系统达到下列标准：</w:t>
      </w:r>
      <w:r>
        <w:rPr>
          <w:rFonts w:cs="宋体" w:asciiTheme="minorEastAsia" w:hAnsiTheme="minorEastAsia" w:eastAsiaTheme="minorEastAsia"/>
          <w:kern w:val="0"/>
          <w:sz w:val="24"/>
        </w:rPr>
        <w:t> </w:t>
      </w:r>
    </w:p>
    <w:p w14:paraId="78478964">
      <w:pPr>
        <w:adjustRightInd w:val="0"/>
        <w:snapToGrid w:val="0"/>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1.消防给水系统水压正常。</w:t>
      </w:r>
    </w:p>
    <w:p w14:paraId="4D7D61E5">
      <w:pPr>
        <w:adjustRightInd w:val="0"/>
        <w:snapToGrid w:val="0"/>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2.各消防水池水位正常，补水系统正常。</w:t>
      </w:r>
    </w:p>
    <w:p w14:paraId="40041992">
      <w:pPr>
        <w:adjustRightInd w:val="0"/>
        <w:snapToGrid w:val="0"/>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3.稳压泵、消防栓泵、喷淋泵远程、就地启动正常。</w:t>
      </w:r>
    </w:p>
    <w:p w14:paraId="06598171">
      <w:pPr>
        <w:adjustRightInd w:val="0"/>
        <w:snapToGrid w:val="0"/>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4.水流指示器报警功能正常。</w:t>
      </w:r>
    </w:p>
    <w:p w14:paraId="22D3E0BB">
      <w:pPr>
        <w:adjustRightInd w:val="0"/>
        <w:snapToGrid w:val="0"/>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（七）</w:t>
      </w:r>
      <w:r>
        <w:rPr>
          <w:rFonts w:cs="宋体" w:asciiTheme="minorEastAsia" w:hAnsiTheme="minorEastAsia" w:eastAsiaTheme="minorEastAsia"/>
          <w:kern w:val="0"/>
          <w:sz w:val="24"/>
        </w:rPr>
        <w:t>消防应急照明与疏散指示系统</w:t>
      </w:r>
    </w:p>
    <w:p w14:paraId="5142EBDA">
      <w:pPr>
        <w:adjustRightInd w:val="0"/>
        <w:snapToGrid w:val="0"/>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每月检查防火门、消防应急照明和疏散指示系统，</w:t>
      </w:r>
      <w:r>
        <w:rPr>
          <w:rFonts w:cs="宋体" w:asciiTheme="minorEastAsia" w:hAnsiTheme="minorEastAsia" w:eastAsiaTheme="minorEastAsia"/>
          <w:kern w:val="0"/>
          <w:sz w:val="24"/>
        </w:rPr>
        <w:t>每季度对应急照明进行一次功能性测试,</w:t>
      </w:r>
      <w:r>
        <w:rPr>
          <w:rFonts w:hint="eastAsia" w:cs="宋体" w:asciiTheme="minorEastAsia" w:hAnsiTheme="minorEastAsia" w:eastAsiaTheme="minorEastAsia"/>
          <w:color w:val="000000" w:themeColor="text1"/>
          <w:kern w:val="0"/>
          <w:sz w:val="24"/>
          <w14:textFill>
            <w14:solidFill>
              <w14:schemeClr w14:val="tx1"/>
            </w14:solidFill>
          </w14:textFill>
        </w:rPr>
        <w:t>保证系统达到下列标准：</w:t>
      </w:r>
    </w:p>
    <w:p w14:paraId="6D8732FB">
      <w:pPr>
        <w:adjustRightInd w:val="0"/>
        <w:snapToGrid w:val="0"/>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防火门开启力度适中，闭门器无松动、漏油，自动复位灵活；</w:t>
      </w:r>
    </w:p>
    <w:p w14:paraId="0EB1A4BD">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防火门有先后关闭顺序的关闭顺序正确；</w:t>
      </w:r>
    </w:p>
    <w:p w14:paraId="271D489F">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防火门的密封性良好，无变形，钢质防火门无生锈、脱漆现象；</w:t>
      </w:r>
    </w:p>
    <w:p w14:paraId="4883AE3A">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应急灯、出口指示灯、疏散指示灯外观完好，充放电正常；</w:t>
      </w:r>
    </w:p>
    <w:p w14:paraId="080DA1BC">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应急灯、出口指示灯、疏散指示灯蓄电量达到规范要求。</w:t>
      </w:r>
    </w:p>
    <w:p w14:paraId="518E0653">
      <w:pPr>
        <w:adjustRightInd w:val="0"/>
        <w:snapToGrid w:val="0"/>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（八）</w:t>
      </w:r>
      <w:r>
        <w:rPr>
          <w:rFonts w:cs="宋体" w:asciiTheme="minorEastAsia" w:hAnsiTheme="minorEastAsia" w:eastAsiaTheme="minorEastAsia"/>
          <w:kern w:val="0"/>
          <w:sz w:val="24"/>
        </w:rPr>
        <w:t>消防广播</w:t>
      </w:r>
      <w:r>
        <w:rPr>
          <w:rFonts w:hint="eastAsia" w:cs="宋体" w:asciiTheme="minorEastAsia" w:hAnsiTheme="minorEastAsia" w:eastAsiaTheme="minorEastAsia"/>
          <w:kern w:val="0"/>
          <w:sz w:val="24"/>
        </w:rPr>
        <w:t>系统（含消防电话）</w:t>
      </w:r>
    </w:p>
    <w:p w14:paraId="4588E8CD">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每月在消防控制室用话筒对所选区域播音，在公共广播扩音机处于关闭和播放状态下，自动和手动强制切换火灾应急广播</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每季度自动控制方式下，分别触发两个相关的火灾探测器或触发手动报警按钮后，核对启动火灾应急广播的区域、检查音响效果</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定期对消防广播主机进行一次检测维护保养</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试验消防广播的选层广播功能,</w:t>
      </w:r>
      <w:r>
        <w:rPr>
          <w:rFonts w:hint="eastAsia" w:cs="宋体" w:asciiTheme="minorEastAsia" w:hAnsiTheme="minorEastAsia" w:eastAsiaTheme="minorEastAsia"/>
          <w:color w:val="000000" w:themeColor="text1"/>
          <w:kern w:val="0"/>
          <w:sz w:val="24"/>
          <w14:textFill>
            <w14:solidFill>
              <w14:schemeClr w14:val="tx1"/>
            </w14:solidFill>
          </w14:textFill>
        </w:rPr>
        <w:t>保证系统达到下列标准：</w:t>
      </w:r>
    </w:p>
    <w:p w14:paraId="2DA59FCA">
      <w:pPr>
        <w:adjustRightInd w:val="0"/>
        <w:snapToGrid w:val="0"/>
        <w:spacing w:line="400" w:lineRule="exact"/>
        <w:ind w:firstLine="480"/>
        <w:jc w:val="left"/>
        <w:rPr>
          <w:rFonts w:cs="宋体" w:asciiTheme="minorEastAsia" w:hAnsiTheme="minorEastAsia" w:eastAsiaTheme="minorEastAsia"/>
          <w:b/>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消防广播系统强制切换功能正常，且音响响亮、清晰</w:t>
      </w:r>
      <w:r>
        <w:rPr>
          <w:rFonts w:hint="eastAsia" w:cs="宋体" w:asciiTheme="minorEastAsia" w:hAnsiTheme="minorEastAsia" w:eastAsiaTheme="minorEastAsia"/>
          <w:kern w:val="0"/>
          <w:sz w:val="24"/>
        </w:rPr>
        <w:t>。</w:t>
      </w:r>
    </w:p>
    <w:p w14:paraId="559847CE">
      <w:pPr>
        <w:adjustRightInd w:val="0"/>
        <w:snapToGrid w:val="0"/>
        <w:spacing w:line="400" w:lineRule="exact"/>
        <w:ind w:firstLine="480"/>
        <w:jc w:val="left"/>
        <w:rPr>
          <w:rFonts w:cs="宋体" w:asciiTheme="minorEastAsia" w:hAnsiTheme="minorEastAsia" w:eastAsiaTheme="minorEastAsia"/>
          <w:b/>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扬声器外观完好，声响效果响亮、清晰</w:t>
      </w:r>
      <w:r>
        <w:rPr>
          <w:rFonts w:hint="eastAsia" w:cs="宋体" w:asciiTheme="minorEastAsia" w:hAnsiTheme="minorEastAsia" w:eastAsiaTheme="minorEastAsia"/>
          <w:kern w:val="0"/>
          <w:sz w:val="24"/>
        </w:rPr>
        <w:t>。</w:t>
      </w:r>
    </w:p>
    <w:p w14:paraId="2832516C">
      <w:pPr>
        <w:adjustRightInd w:val="0"/>
        <w:snapToGrid w:val="0"/>
        <w:spacing w:line="400" w:lineRule="exact"/>
        <w:ind w:firstLine="480"/>
        <w:jc w:val="left"/>
        <w:rPr>
          <w:rFonts w:cs="宋体" w:asciiTheme="minorEastAsia" w:hAnsiTheme="minorEastAsia" w:eastAsiaTheme="minorEastAsia"/>
          <w:b/>
          <w:kern w:val="0"/>
          <w:sz w:val="24"/>
        </w:rPr>
      </w:pPr>
      <w:r>
        <w:rPr>
          <w:rFonts w:cs="宋体" w:asciiTheme="minorEastAsia" w:hAnsiTheme="minorEastAsia" w:eastAsiaTheme="minorEastAsia"/>
          <w:kern w:val="0"/>
          <w:sz w:val="24"/>
        </w:rPr>
        <w:t>3</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广播主机运转灵活、可靠，控制功能正常</w:t>
      </w:r>
      <w:r>
        <w:rPr>
          <w:rFonts w:hint="eastAsia" w:cs="宋体" w:asciiTheme="minorEastAsia" w:hAnsiTheme="minorEastAsia" w:eastAsiaTheme="minorEastAsia"/>
          <w:kern w:val="0"/>
          <w:sz w:val="24"/>
        </w:rPr>
        <w:t>。</w:t>
      </w:r>
    </w:p>
    <w:p w14:paraId="65B4175C">
      <w:pPr>
        <w:adjustRightInd w:val="0"/>
        <w:snapToGrid w:val="0"/>
        <w:spacing w:line="400" w:lineRule="exact"/>
        <w:ind w:firstLine="480"/>
        <w:jc w:val="left"/>
        <w:rPr>
          <w:rFonts w:cs="宋体" w:asciiTheme="minorEastAsia" w:hAnsiTheme="minorEastAsia" w:eastAsiaTheme="minorEastAsia"/>
          <w:b/>
          <w:kern w:val="0"/>
          <w:sz w:val="24"/>
        </w:rPr>
      </w:pPr>
      <w:r>
        <w:rPr>
          <w:rFonts w:cs="宋体" w:asciiTheme="minorEastAsia" w:hAnsiTheme="minorEastAsia" w:eastAsiaTheme="minorEastAsia"/>
          <w:kern w:val="0"/>
          <w:sz w:val="24"/>
        </w:rPr>
        <w:t>4</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消防广播系统选层准确、可靠，功能正常。</w:t>
      </w:r>
    </w:p>
    <w:p w14:paraId="02F7E331">
      <w:pPr>
        <w:adjustRightInd w:val="0"/>
        <w:snapToGrid w:val="0"/>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（九）</w:t>
      </w:r>
      <w:r>
        <w:rPr>
          <w:rFonts w:cs="宋体" w:asciiTheme="minorEastAsia" w:hAnsiTheme="minorEastAsia" w:eastAsiaTheme="minorEastAsia"/>
          <w:kern w:val="0"/>
          <w:sz w:val="24"/>
        </w:rPr>
        <w:t>室内外消防栓系统</w:t>
      </w:r>
    </w:p>
    <w:p w14:paraId="68D1CF5E">
      <w:pPr>
        <w:adjustRightInd w:val="0"/>
        <w:snapToGrid w:val="0"/>
        <w:spacing w:line="400" w:lineRule="exact"/>
        <w:ind w:firstLine="480"/>
        <w:jc w:val="left"/>
        <w:rPr>
          <w:rFonts w:cs="宋体" w:asciiTheme="minorEastAsia" w:hAnsiTheme="minorEastAsia" w:eastAsiaTheme="minorEastAsia"/>
          <w:b/>
          <w:kern w:val="0"/>
          <w:sz w:val="24"/>
        </w:rPr>
      </w:pPr>
      <w:r>
        <w:rPr>
          <w:rFonts w:cs="宋体" w:asciiTheme="minorEastAsia" w:hAnsiTheme="minorEastAsia" w:eastAsiaTheme="minorEastAsia"/>
          <w:kern w:val="0"/>
          <w:sz w:val="24"/>
        </w:rPr>
        <w:t>每月对消火栓进行检查</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确保消火栓周围没有障碍物阻挡,重点部位的消火栓每年应逐个进行出水检查；对非重点部位的消火栓可按消火栓总数的10％～20％进行出水抽测实验。</w:t>
      </w:r>
    </w:p>
    <w:p w14:paraId="181394B4">
      <w:pPr>
        <w:adjustRightInd w:val="0"/>
        <w:snapToGrid w:val="0"/>
        <w:spacing w:line="400" w:lineRule="exact"/>
        <w:ind w:firstLine="480"/>
        <w:jc w:val="left"/>
        <w:rPr>
          <w:rFonts w:cs="宋体" w:asciiTheme="minorEastAsia" w:hAnsiTheme="minorEastAsia" w:eastAsiaTheme="minorEastAsia"/>
          <w:b/>
          <w:kern w:val="0"/>
          <w:sz w:val="24"/>
        </w:rPr>
      </w:pPr>
      <w:r>
        <w:rPr>
          <w:rFonts w:cs="宋体" w:asciiTheme="minorEastAsia" w:hAnsiTheme="minorEastAsia" w:eastAsiaTheme="minorEastAsia"/>
          <w:kern w:val="0"/>
          <w:sz w:val="24"/>
        </w:rPr>
        <w:t>每</w:t>
      </w:r>
      <w:r>
        <w:rPr>
          <w:rFonts w:hint="eastAsia" w:cs="宋体" w:asciiTheme="minorEastAsia" w:hAnsiTheme="minorEastAsia" w:eastAsiaTheme="minorEastAsia"/>
          <w:kern w:val="0"/>
          <w:sz w:val="24"/>
        </w:rPr>
        <w:t>季度</w:t>
      </w:r>
      <w:r>
        <w:rPr>
          <w:rFonts w:cs="宋体" w:asciiTheme="minorEastAsia" w:hAnsiTheme="minorEastAsia" w:eastAsiaTheme="minorEastAsia"/>
          <w:kern w:val="0"/>
          <w:sz w:val="24"/>
        </w:rPr>
        <w:t>对地上消火栓逐一进行出水试验。定期检查消火栓前端阀门井。</w:t>
      </w:r>
      <w:r>
        <w:rPr>
          <w:rFonts w:hint="eastAsia" w:cs="宋体" w:asciiTheme="minorEastAsia" w:hAnsiTheme="minorEastAsia" w:eastAsiaTheme="minorEastAsia"/>
          <w:color w:val="000000" w:themeColor="text1"/>
          <w:kern w:val="0"/>
          <w:sz w:val="24"/>
          <w14:textFill>
            <w14:solidFill>
              <w14:schemeClr w14:val="tx1"/>
            </w14:solidFill>
          </w14:textFill>
        </w:rPr>
        <w:t>保证系统达到下列标准：</w:t>
      </w:r>
    </w:p>
    <w:p w14:paraId="704633AF">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消防栓箱内配置齐全，各项配件完好，消防栓口静压符合设计或规范</w:t>
      </w:r>
      <w:r>
        <w:rPr>
          <w:rFonts w:hint="eastAsia" w:cs="宋体" w:asciiTheme="minorEastAsia" w:hAnsiTheme="minorEastAsia" w:eastAsiaTheme="minorEastAsia"/>
          <w:kern w:val="0"/>
          <w:sz w:val="24"/>
        </w:rPr>
        <w:t>要求。</w:t>
      </w:r>
    </w:p>
    <w:p w14:paraId="47AB0D0A">
      <w:pPr>
        <w:adjustRightInd w:val="0"/>
        <w:snapToGrid w:val="0"/>
        <w:spacing w:line="400" w:lineRule="exact"/>
        <w:ind w:firstLine="480"/>
        <w:jc w:val="left"/>
        <w:rPr>
          <w:rFonts w:cs="宋体" w:asciiTheme="minorEastAsia" w:hAnsiTheme="minorEastAsia" w:eastAsiaTheme="minorEastAsia"/>
          <w:b/>
          <w:kern w:val="0"/>
          <w:sz w:val="24"/>
        </w:rPr>
      </w:pPr>
      <w:r>
        <w:rPr>
          <w:rFonts w:cs="宋体" w:asciiTheme="minorEastAsia" w:hAnsiTheme="minorEastAsia" w:eastAsiaTheme="minorEastAsia"/>
          <w:kern w:val="0"/>
          <w:sz w:val="24"/>
        </w:rPr>
        <w:t>2试验消防栓破玻按钮，消防栓水泵启动，各项联动设施动作，消防中心有报警信号和消防水泵状态显示</w:t>
      </w:r>
      <w:r>
        <w:rPr>
          <w:rFonts w:hint="eastAsia" w:cs="宋体" w:asciiTheme="minorEastAsia" w:hAnsiTheme="minorEastAsia" w:eastAsiaTheme="minorEastAsia"/>
          <w:kern w:val="0"/>
          <w:sz w:val="24"/>
        </w:rPr>
        <w:t>。</w:t>
      </w:r>
    </w:p>
    <w:p w14:paraId="0DA3297B">
      <w:pPr>
        <w:adjustRightInd w:val="0"/>
        <w:snapToGrid w:val="0"/>
        <w:spacing w:line="400" w:lineRule="exact"/>
        <w:ind w:firstLine="480"/>
        <w:jc w:val="left"/>
        <w:rPr>
          <w:rFonts w:cs="宋体" w:asciiTheme="minorEastAsia" w:hAnsiTheme="minorEastAsia" w:eastAsiaTheme="minorEastAsia"/>
          <w:b/>
          <w:kern w:val="0"/>
          <w:sz w:val="24"/>
        </w:rPr>
      </w:pPr>
      <w:r>
        <w:rPr>
          <w:rFonts w:cs="宋体" w:asciiTheme="minorEastAsia" w:hAnsiTheme="minorEastAsia" w:eastAsiaTheme="minorEastAsia"/>
          <w:kern w:val="0"/>
          <w:sz w:val="24"/>
        </w:rPr>
        <w:t>3</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各阀门处于正常的开或关状态，且有明显标志，阀体完好、不漏水</w:t>
      </w:r>
      <w:r>
        <w:rPr>
          <w:rFonts w:hint="eastAsia" w:cs="宋体" w:asciiTheme="minorEastAsia" w:hAnsiTheme="minorEastAsia" w:eastAsiaTheme="minorEastAsia"/>
          <w:kern w:val="0"/>
          <w:sz w:val="24"/>
        </w:rPr>
        <w:t>。</w:t>
      </w:r>
    </w:p>
    <w:p w14:paraId="0DA1E834">
      <w:pPr>
        <w:adjustRightInd w:val="0"/>
        <w:snapToGrid w:val="0"/>
        <w:spacing w:line="400" w:lineRule="exact"/>
        <w:ind w:firstLine="480"/>
        <w:jc w:val="left"/>
        <w:rPr>
          <w:rFonts w:cs="宋体" w:asciiTheme="minorEastAsia" w:hAnsiTheme="minorEastAsia" w:eastAsiaTheme="minorEastAsia"/>
          <w:b/>
          <w:kern w:val="0"/>
          <w:sz w:val="24"/>
        </w:rPr>
      </w:pPr>
      <w:r>
        <w:rPr>
          <w:rFonts w:cs="宋体" w:asciiTheme="minorEastAsia" w:hAnsiTheme="minorEastAsia" w:eastAsiaTheme="minorEastAsia"/>
          <w:kern w:val="0"/>
          <w:sz w:val="24"/>
        </w:rPr>
        <w:t>4</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消防栓系统水泵接合器外观完好，配置齐全，无变形、无渗漏</w:t>
      </w:r>
      <w:r>
        <w:rPr>
          <w:rFonts w:hint="eastAsia" w:cs="宋体" w:asciiTheme="minorEastAsia" w:hAnsiTheme="minorEastAsia" w:eastAsiaTheme="minorEastAsia"/>
          <w:kern w:val="0"/>
          <w:sz w:val="24"/>
        </w:rPr>
        <w:t>。</w:t>
      </w:r>
    </w:p>
    <w:p w14:paraId="1D2E795A">
      <w:pPr>
        <w:adjustRightInd w:val="0"/>
        <w:snapToGrid w:val="0"/>
        <w:spacing w:line="400" w:lineRule="exact"/>
        <w:ind w:firstLine="480"/>
        <w:jc w:val="left"/>
        <w:rPr>
          <w:rFonts w:cs="宋体" w:asciiTheme="minorEastAsia" w:hAnsiTheme="minorEastAsia" w:eastAsiaTheme="minorEastAsia"/>
          <w:b/>
          <w:kern w:val="0"/>
          <w:sz w:val="24"/>
        </w:rPr>
      </w:pPr>
      <w:r>
        <w:rPr>
          <w:rFonts w:hint="eastAsia" w:cs="宋体" w:asciiTheme="minorEastAsia" w:hAnsiTheme="minorEastAsia" w:eastAsiaTheme="minorEastAsia"/>
          <w:kern w:val="0"/>
          <w:sz w:val="24"/>
        </w:rPr>
        <w:t>5.</w:t>
      </w:r>
      <w:r>
        <w:rPr>
          <w:rFonts w:cs="宋体" w:asciiTheme="minorEastAsia" w:hAnsiTheme="minorEastAsia" w:eastAsiaTheme="minorEastAsia"/>
          <w:kern w:val="0"/>
          <w:sz w:val="24"/>
        </w:rPr>
        <w:t>消防栓喷射时，其充实水柱达到设计或规范要求</w:t>
      </w:r>
      <w:r>
        <w:rPr>
          <w:rFonts w:hint="eastAsia" w:cs="宋体" w:asciiTheme="minorEastAsia" w:hAnsiTheme="minorEastAsia" w:eastAsiaTheme="minorEastAsia"/>
          <w:kern w:val="0"/>
          <w:sz w:val="24"/>
        </w:rPr>
        <w:t>。</w:t>
      </w:r>
    </w:p>
    <w:p w14:paraId="2A68082D">
      <w:pPr>
        <w:adjustRightInd w:val="0"/>
        <w:snapToGrid w:val="0"/>
        <w:spacing w:line="400" w:lineRule="exact"/>
        <w:ind w:firstLine="480"/>
        <w:jc w:val="left"/>
        <w:rPr>
          <w:rFonts w:cs="宋体" w:asciiTheme="minorEastAsia" w:hAnsiTheme="minorEastAsia" w:eastAsiaTheme="minorEastAsia"/>
          <w:sz w:val="24"/>
        </w:rPr>
      </w:pPr>
      <w:bookmarkStart w:id="2" w:name="OLE_LINK24"/>
      <w:bookmarkStart w:id="3" w:name="OLE_LINK23"/>
      <w:r>
        <w:rPr>
          <w:rFonts w:hint="eastAsia" w:asciiTheme="minorEastAsia" w:hAnsiTheme="minorEastAsia" w:eastAsiaTheme="minorEastAsia"/>
          <w:sz w:val="24"/>
        </w:rPr>
        <w:t>（十）</w:t>
      </w:r>
      <w:r>
        <w:rPr>
          <w:rFonts w:hint="eastAsia" w:cs="宋体" w:asciiTheme="minorEastAsia" w:hAnsiTheme="minorEastAsia" w:eastAsiaTheme="minorEastAsia"/>
          <w:sz w:val="24"/>
        </w:rPr>
        <w:t>可燃气探测器</w:t>
      </w:r>
      <w:bookmarkEnd w:id="2"/>
      <w:bookmarkEnd w:id="3"/>
      <w:r>
        <w:rPr>
          <w:rFonts w:hint="eastAsia" w:cs="宋体" w:asciiTheme="minorEastAsia" w:hAnsiTheme="minorEastAsia" w:eastAsiaTheme="minorEastAsia"/>
          <w:sz w:val="24"/>
        </w:rPr>
        <w:t>报警系统</w:t>
      </w:r>
    </w:p>
    <w:p w14:paraId="79FB206B">
      <w:pPr>
        <w:adjustRightInd w:val="0"/>
        <w:snapToGrid w:val="0"/>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消防可燃气体报警系统需要定期进行检查，以确保其正常运行。检查的内容包括：检查报警探头是否敏感，检查报警主机及探测器是否正常运行，检查报警信号是否能够正常传输等。</w:t>
      </w:r>
    </w:p>
    <w:p w14:paraId="71EB053F">
      <w:pPr>
        <w:adjustRightInd w:val="0"/>
        <w:snapToGrid w:val="0"/>
        <w:spacing w:line="400" w:lineRule="exact"/>
        <w:ind w:firstLine="480"/>
        <w:jc w:val="left"/>
        <w:rPr>
          <w:rFonts w:asciiTheme="minorEastAsia" w:hAnsiTheme="minorEastAsia" w:eastAsiaTheme="minorEastAsia"/>
          <w:sz w:val="24"/>
        </w:rPr>
      </w:pPr>
      <w:r>
        <w:rPr>
          <w:rFonts w:hint="eastAsia" w:asciiTheme="minorEastAsia" w:hAnsiTheme="minorEastAsia" w:eastAsiaTheme="minorEastAsia"/>
          <w:sz w:val="24"/>
        </w:rPr>
        <w:t>1.按照消防相关规定定期对</w:t>
      </w:r>
      <w:r>
        <w:rPr>
          <w:rFonts w:hint="eastAsia" w:cs="宋体" w:asciiTheme="minorEastAsia" w:hAnsiTheme="minorEastAsia" w:eastAsiaTheme="minorEastAsia"/>
          <w:sz w:val="24"/>
        </w:rPr>
        <w:t>可燃气探测器</w:t>
      </w:r>
      <w:r>
        <w:rPr>
          <w:rFonts w:hint="eastAsia" w:asciiTheme="minorEastAsia" w:hAnsiTheme="minorEastAsia" w:eastAsiaTheme="minorEastAsia"/>
          <w:sz w:val="24"/>
        </w:rPr>
        <w:t>报警系统进行检查。</w:t>
      </w:r>
    </w:p>
    <w:p w14:paraId="41CD0B30">
      <w:pPr>
        <w:adjustRightInd w:val="0"/>
        <w:snapToGrid w:val="0"/>
        <w:spacing w:line="400" w:lineRule="exact"/>
        <w:ind w:firstLine="480"/>
        <w:jc w:val="left"/>
        <w:rPr>
          <w:rFonts w:asciiTheme="minorEastAsia" w:hAnsiTheme="minorEastAsia" w:eastAsiaTheme="minorEastAsia"/>
          <w:sz w:val="24"/>
        </w:rPr>
      </w:pPr>
      <w:r>
        <w:rPr>
          <w:rFonts w:hint="eastAsia" w:asciiTheme="minorEastAsia" w:hAnsiTheme="minorEastAsia" w:eastAsiaTheme="minorEastAsia"/>
          <w:sz w:val="24"/>
        </w:rPr>
        <w:t>2.确保</w:t>
      </w:r>
      <w:r>
        <w:rPr>
          <w:rFonts w:hint="eastAsia" w:cs="宋体" w:asciiTheme="minorEastAsia" w:hAnsiTheme="minorEastAsia" w:eastAsiaTheme="minorEastAsia"/>
          <w:sz w:val="24"/>
        </w:rPr>
        <w:t>可燃气探测器</w:t>
      </w:r>
      <w:r>
        <w:rPr>
          <w:rFonts w:hint="eastAsia" w:asciiTheme="minorEastAsia" w:hAnsiTheme="minorEastAsia" w:eastAsiaTheme="minorEastAsia"/>
          <w:sz w:val="24"/>
        </w:rPr>
        <w:t>报警系统灵敏，有效。</w:t>
      </w:r>
    </w:p>
    <w:p w14:paraId="34E41D04">
      <w:pPr>
        <w:adjustRightInd w:val="0"/>
        <w:snapToGrid w:val="0"/>
        <w:spacing w:line="400" w:lineRule="exact"/>
        <w:ind w:firstLine="480"/>
        <w:jc w:val="left"/>
        <w:rPr>
          <w:rFonts w:asciiTheme="minorEastAsia" w:hAnsiTheme="minorEastAsia" w:eastAsiaTheme="minorEastAsia"/>
          <w:sz w:val="24"/>
        </w:rPr>
      </w:pPr>
      <w:r>
        <w:rPr>
          <w:rFonts w:hint="eastAsia" w:asciiTheme="minorEastAsia" w:hAnsiTheme="minorEastAsia" w:eastAsiaTheme="minorEastAsia"/>
          <w:sz w:val="24"/>
        </w:rPr>
        <w:t>3.检测完成做好相应的检查记录。</w:t>
      </w:r>
    </w:p>
    <w:p w14:paraId="1838F380">
      <w:pPr>
        <w:widowControl/>
        <w:spacing w:line="400" w:lineRule="exact"/>
        <w:ind w:firstLine="602" w:firstLineChars="250"/>
        <w:jc w:val="left"/>
        <w:rPr>
          <w:rFonts w:asciiTheme="minorEastAsia" w:hAnsiTheme="minorEastAsia" w:eastAsiaTheme="minorEastAsia"/>
          <w:sz w:val="24"/>
        </w:rPr>
      </w:pPr>
      <w:r>
        <w:rPr>
          <w:rFonts w:hint="eastAsia" w:cs="宋体" w:asciiTheme="minorEastAsia" w:hAnsiTheme="minorEastAsia" w:eastAsiaTheme="minorEastAsia"/>
          <w:b/>
          <w:kern w:val="0"/>
          <w:sz w:val="24"/>
        </w:rPr>
        <w:t>三、</w:t>
      </w:r>
      <w:bookmarkStart w:id="4" w:name="OLE_LINK2"/>
      <w:bookmarkStart w:id="5" w:name="OLE_LINK1"/>
      <w:r>
        <w:rPr>
          <w:rFonts w:cs="宋体" w:asciiTheme="minorEastAsia" w:hAnsiTheme="minorEastAsia" w:eastAsiaTheme="minorEastAsia"/>
          <w:b/>
          <w:kern w:val="0"/>
          <w:sz w:val="24"/>
        </w:rPr>
        <w:t>质量保证措施</w:t>
      </w:r>
    </w:p>
    <w:bookmarkEnd w:id="4"/>
    <w:bookmarkEnd w:id="5"/>
    <w:p w14:paraId="726ADE03">
      <w:pPr>
        <w:widowControl/>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坚持《</w:t>
      </w:r>
      <w:r>
        <w:rPr>
          <w:rFonts w:hint="eastAsia" w:cs="宋体" w:asciiTheme="minorEastAsia" w:hAnsiTheme="minorEastAsia" w:eastAsiaTheme="minorEastAsia"/>
          <w:kern w:val="0"/>
          <w:sz w:val="24"/>
        </w:rPr>
        <w:t>建筑消防设施检测技术规程</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GA5</w:t>
      </w:r>
      <w:r>
        <w:rPr>
          <w:rFonts w:hint="eastAsia" w:cs="宋体" w:asciiTheme="minorEastAsia" w:hAnsiTheme="minorEastAsia" w:eastAsiaTheme="minorEastAsia"/>
          <w:kern w:val="0"/>
          <w:sz w:val="24"/>
        </w:rPr>
        <w:t>03-2004）</w:t>
      </w:r>
      <w:r>
        <w:rPr>
          <w:rFonts w:cs="宋体" w:asciiTheme="minorEastAsia" w:hAnsiTheme="minorEastAsia" w:eastAsiaTheme="minorEastAsia"/>
          <w:kern w:val="0"/>
          <w:sz w:val="24"/>
        </w:rPr>
        <w:t>规定，对消防工程的维护保养质量实施全过程质量控制，在整个过程中贯彻“安全可靠、质量第一”的方针，以严密的质量管理，周到的服务体系，保证消防系统正常工作。</w:t>
      </w:r>
    </w:p>
    <w:p w14:paraId="22E86C21">
      <w:pPr>
        <w:widowControl/>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对消防设施维保全过程都应如实记录，并对签字负责。</w:t>
      </w:r>
    </w:p>
    <w:p w14:paraId="42CA0E3F">
      <w:pPr>
        <w:widowControl/>
        <w:spacing w:line="4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r>
        <w:rPr>
          <w:rFonts w:cs="宋体" w:asciiTheme="minorEastAsia" w:hAnsiTheme="minorEastAsia" w:eastAsiaTheme="minorEastAsia"/>
          <w:kern w:val="0"/>
          <w:sz w:val="24"/>
        </w:rPr>
        <w:t>维保实施各项资料，都应由</w:t>
      </w:r>
      <w:bookmarkStart w:id="6" w:name="OLE_LINK9"/>
      <w:bookmarkStart w:id="7" w:name="OLE_LINK8"/>
      <w:r>
        <w:rPr>
          <w:rFonts w:cs="宋体" w:asciiTheme="minorEastAsia" w:hAnsiTheme="minorEastAsia" w:eastAsiaTheme="minorEastAsia"/>
          <w:kern w:val="0"/>
          <w:sz w:val="24"/>
        </w:rPr>
        <w:t>专职</w:t>
      </w:r>
      <w:r>
        <w:rPr>
          <w:rFonts w:hint="eastAsia" w:cs="宋体" w:asciiTheme="minorEastAsia" w:hAnsiTheme="minorEastAsia" w:eastAsiaTheme="minorEastAsia"/>
          <w:kern w:val="0"/>
          <w:sz w:val="24"/>
        </w:rPr>
        <w:t>消防安全管理员</w:t>
      </w:r>
      <w:r>
        <w:rPr>
          <w:rFonts w:cs="宋体" w:asciiTheme="minorEastAsia" w:hAnsiTheme="minorEastAsia" w:eastAsiaTheme="minorEastAsia"/>
          <w:kern w:val="0"/>
          <w:sz w:val="24"/>
        </w:rPr>
        <w:t>签字生效。</w:t>
      </w:r>
      <w:bookmarkEnd w:id="6"/>
      <w:bookmarkEnd w:id="7"/>
    </w:p>
    <w:p w14:paraId="3A0EDA02">
      <w:pPr>
        <w:widowControl/>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检查结果填写维保记录表，提供详细的月检、季检及年度试验报告，以方便我</w:t>
      </w:r>
      <w:r>
        <w:rPr>
          <w:rFonts w:hint="eastAsia" w:cs="宋体" w:asciiTheme="minorEastAsia" w:hAnsiTheme="minorEastAsia" w:eastAsiaTheme="minorEastAsia"/>
          <w:kern w:val="0"/>
          <w:sz w:val="24"/>
        </w:rPr>
        <w:t>院</w:t>
      </w:r>
      <w:r>
        <w:rPr>
          <w:rFonts w:cs="宋体" w:asciiTheme="minorEastAsia" w:hAnsiTheme="minorEastAsia" w:eastAsiaTheme="minorEastAsia"/>
          <w:kern w:val="0"/>
          <w:sz w:val="24"/>
        </w:rPr>
        <w:t>备案。</w:t>
      </w:r>
    </w:p>
    <w:p w14:paraId="433545E6">
      <w:pPr>
        <w:widowControl/>
        <w:spacing w:line="400" w:lineRule="exact"/>
        <w:ind w:firstLine="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四、</w:t>
      </w:r>
      <w:r>
        <w:rPr>
          <w:rFonts w:cs="宋体" w:asciiTheme="minorEastAsia" w:hAnsiTheme="minorEastAsia" w:eastAsiaTheme="minorEastAsia"/>
          <w:b/>
          <w:kern w:val="0"/>
          <w:sz w:val="24"/>
        </w:rPr>
        <w:t>安全</w:t>
      </w:r>
      <w:r>
        <w:rPr>
          <w:rFonts w:hint="eastAsia" w:cs="宋体" w:asciiTheme="minorEastAsia" w:hAnsiTheme="minorEastAsia" w:eastAsiaTheme="minorEastAsia"/>
          <w:b/>
          <w:kern w:val="0"/>
          <w:sz w:val="24"/>
        </w:rPr>
        <w:t>工作</w:t>
      </w:r>
      <w:r>
        <w:rPr>
          <w:rFonts w:cs="宋体" w:asciiTheme="minorEastAsia" w:hAnsiTheme="minorEastAsia" w:eastAsiaTheme="minorEastAsia"/>
          <w:b/>
          <w:kern w:val="0"/>
          <w:sz w:val="24"/>
        </w:rPr>
        <w:t>要求</w:t>
      </w:r>
    </w:p>
    <w:p w14:paraId="16E7DC3F">
      <w:pPr>
        <w:widowControl/>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维护保养</w:t>
      </w:r>
      <w:r>
        <w:rPr>
          <w:rFonts w:hint="eastAsia" w:cs="宋体" w:asciiTheme="minorEastAsia" w:hAnsiTheme="minorEastAsia" w:eastAsiaTheme="minorEastAsia"/>
          <w:kern w:val="0"/>
          <w:sz w:val="24"/>
        </w:rPr>
        <w:t>单位</w:t>
      </w:r>
      <w:r>
        <w:rPr>
          <w:rFonts w:cs="宋体" w:asciiTheme="minorEastAsia" w:hAnsiTheme="minorEastAsia" w:eastAsiaTheme="minorEastAsia"/>
          <w:kern w:val="0"/>
          <w:sz w:val="24"/>
        </w:rPr>
        <w:t>必须职责明确，并应严格按照规定程序</w:t>
      </w:r>
      <w:r>
        <w:rPr>
          <w:rFonts w:hint="eastAsia" w:cs="宋体" w:asciiTheme="minorEastAsia" w:hAnsiTheme="minorEastAsia" w:eastAsiaTheme="minorEastAsia"/>
          <w:kern w:val="0"/>
          <w:sz w:val="24"/>
        </w:rPr>
        <w:t>操作人员持证上岗</w:t>
      </w:r>
      <w:r>
        <w:rPr>
          <w:rFonts w:cs="宋体" w:asciiTheme="minorEastAsia" w:hAnsiTheme="minorEastAsia" w:eastAsiaTheme="minorEastAsia"/>
          <w:kern w:val="0"/>
          <w:sz w:val="24"/>
        </w:rPr>
        <w:t>。</w:t>
      </w:r>
    </w:p>
    <w:p w14:paraId="4F92DAF4">
      <w:pPr>
        <w:widowControl/>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2</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维护保养前必须报告维保区域地点、内容、时间</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办理有关手续并通知有关部门。</w:t>
      </w:r>
    </w:p>
    <w:p w14:paraId="7F99B188">
      <w:pPr>
        <w:widowControl/>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3</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所有维护保养工作严格按照安全规定的要求进行，以保障人身和设备安全，否则造成的一切损失和后果由维保单位全权负责。</w:t>
      </w:r>
    </w:p>
    <w:p w14:paraId="5354DDBA">
      <w:pPr>
        <w:widowControl/>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4</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维护保养工作必须符合《</w:t>
      </w:r>
      <w:r>
        <w:rPr>
          <w:rFonts w:hint="eastAsia" w:cs="宋体" w:asciiTheme="minorEastAsia" w:hAnsiTheme="minorEastAsia" w:eastAsiaTheme="minorEastAsia"/>
          <w:kern w:val="0"/>
          <w:sz w:val="24"/>
        </w:rPr>
        <w:t>建设工程施工现场消防安全技术规范</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G B 5</w:t>
      </w:r>
      <w:r>
        <w:rPr>
          <w:rFonts w:hint="eastAsia" w:cs="宋体" w:asciiTheme="minorEastAsia" w:hAnsiTheme="minorEastAsia" w:eastAsiaTheme="minorEastAsia"/>
          <w:kern w:val="0"/>
          <w:sz w:val="24"/>
        </w:rPr>
        <w:t>0720-2011）</w:t>
      </w:r>
      <w:r>
        <w:rPr>
          <w:rFonts w:cs="宋体" w:asciiTheme="minorEastAsia" w:hAnsiTheme="minorEastAsia" w:eastAsiaTheme="minorEastAsia"/>
          <w:kern w:val="0"/>
          <w:sz w:val="24"/>
        </w:rPr>
        <w:t>规定的安全技术条件。</w:t>
      </w:r>
    </w:p>
    <w:p w14:paraId="36EBD7BC">
      <w:pPr>
        <w:widowControl/>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5</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维护保养前做好必要的防事故措施。</w:t>
      </w:r>
    </w:p>
    <w:p w14:paraId="43939AD1">
      <w:pPr>
        <w:widowControl/>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6</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维护保养人员不得触动非消防设施。</w:t>
      </w:r>
    </w:p>
    <w:p w14:paraId="74269F7A">
      <w:pPr>
        <w:widowControl/>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7</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维保</w:t>
      </w:r>
      <w:r>
        <w:rPr>
          <w:rFonts w:hint="eastAsia" w:cs="宋体" w:asciiTheme="minorEastAsia" w:hAnsiTheme="minorEastAsia" w:eastAsiaTheme="minorEastAsia"/>
          <w:kern w:val="0"/>
          <w:sz w:val="24"/>
        </w:rPr>
        <w:t>保养单位</w:t>
      </w:r>
      <w:r>
        <w:rPr>
          <w:rFonts w:cs="宋体" w:asciiTheme="minorEastAsia" w:hAnsiTheme="minorEastAsia" w:eastAsiaTheme="minorEastAsia"/>
          <w:kern w:val="0"/>
          <w:sz w:val="24"/>
        </w:rPr>
        <w:t>将保证消防自动报警、消防水灭火系统、气体灭火系统、防火卷帘、防火门、应急照明及疏散系统等设施的使用维保管理，保证系统各种设施的正常运行，从而提高防御火灾的能力，并通过消防主管部门的定期检查。</w:t>
      </w:r>
    </w:p>
    <w:p w14:paraId="688B9ECA">
      <w:pPr>
        <w:widowControl/>
        <w:spacing w:line="400" w:lineRule="exact"/>
        <w:ind w:firstLine="482"/>
        <w:jc w:val="left"/>
        <w:rPr>
          <w:rFonts w:asciiTheme="minorEastAsia" w:hAnsiTheme="minorEastAsia" w:eastAsiaTheme="minorEastAsia"/>
          <w:b/>
          <w:snapToGrid w:val="0"/>
          <w:kern w:val="0"/>
          <w:sz w:val="24"/>
        </w:rPr>
      </w:pPr>
      <w:r>
        <w:rPr>
          <w:rFonts w:hint="eastAsia" w:cs="宋体" w:asciiTheme="minorEastAsia" w:hAnsiTheme="minorEastAsia" w:eastAsiaTheme="minorEastAsia"/>
          <w:b/>
          <w:color w:val="000000"/>
          <w:sz w:val="24"/>
        </w:rPr>
        <w:t xml:space="preserve">五、 </w:t>
      </w:r>
      <w:r>
        <w:rPr>
          <w:rFonts w:hint="eastAsia" w:asciiTheme="minorEastAsia" w:hAnsiTheme="minorEastAsia" w:eastAsiaTheme="minorEastAsia"/>
          <w:b/>
          <w:snapToGrid w:val="0"/>
          <w:kern w:val="0"/>
          <w:sz w:val="24"/>
        </w:rPr>
        <w:t>消防维保工作要求</w:t>
      </w:r>
    </w:p>
    <w:p w14:paraId="373C26E1">
      <w:pPr>
        <w:widowControl/>
        <w:spacing w:line="400" w:lineRule="exact"/>
        <w:ind w:firstLine="480"/>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根据《中华人民共和国消防法》和《</w:t>
      </w:r>
      <w:r>
        <w:rPr>
          <w:rFonts w:hint="eastAsia" w:cs="宋体" w:asciiTheme="minorEastAsia" w:hAnsiTheme="minorEastAsia" w:eastAsiaTheme="minorEastAsia"/>
          <w:kern w:val="0"/>
          <w:sz w:val="24"/>
        </w:rPr>
        <w:t>广东省消防安全重点单位管理规定</w:t>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rPr>
        <w:t>建筑消防设施检测技术规程</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GA5</w:t>
      </w:r>
      <w:r>
        <w:rPr>
          <w:rFonts w:hint="eastAsia" w:cs="宋体" w:asciiTheme="minorEastAsia" w:hAnsiTheme="minorEastAsia" w:eastAsiaTheme="minorEastAsia"/>
          <w:kern w:val="0"/>
          <w:sz w:val="24"/>
        </w:rPr>
        <w:t>03-2004）等相关要求，</w:t>
      </w:r>
      <w:r>
        <w:rPr>
          <w:rFonts w:cs="宋体" w:asciiTheme="minorEastAsia" w:hAnsiTheme="minorEastAsia" w:eastAsiaTheme="minorEastAsia"/>
          <w:kern w:val="0"/>
          <w:sz w:val="24"/>
        </w:rPr>
        <w:t>消防技术标准规定的内容、程序、周期等要求</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结合</w:t>
      </w:r>
      <w:r>
        <w:rPr>
          <w:rFonts w:hint="eastAsia" w:cs="宋体" w:asciiTheme="minorEastAsia" w:hAnsiTheme="minorEastAsia" w:eastAsiaTheme="minorEastAsia"/>
          <w:kern w:val="0"/>
          <w:sz w:val="24"/>
        </w:rPr>
        <w:t>我院</w:t>
      </w:r>
      <w:r>
        <w:rPr>
          <w:rFonts w:cs="宋体" w:asciiTheme="minorEastAsia" w:hAnsiTheme="minorEastAsia" w:eastAsiaTheme="minorEastAsia"/>
          <w:kern w:val="0"/>
          <w:sz w:val="24"/>
        </w:rPr>
        <w:t>自动消防设施的具体情况，</w:t>
      </w:r>
      <w:r>
        <w:rPr>
          <w:rFonts w:hint="eastAsia" w:cs="宋体" w:asciiTheme="minorEastAsia" w:hAnsiTheme="minorEastAsia" w:eastAsiaTheme="minorEastAsia"/>
          <w:kern w:val="0"/>
          <w:sz w:val="24"/>
        </w:rPr>
        <w:t>制定如下工作要求：</w:t>
      </w:r>
    </w:p>
    <w:p w14:paraId="07376A09">
      <w:pPr>
        <w:widowControl/>
        <w:spacing w:line="400" w:lineRule="exact"/>
        <w:ind w:firstLine="360" w:firstLineChars="150"/>
        <w:jc w:val="left"/>
        <w:rPr>
          <w:rFonts w:asciiTheme="minorEastAsia" w:hAnsiTheme="minorEastAsia" w:eastAsiaTheme="minorEastAsia"/>
          <w:b/>
          <w:snapToGrid w:val="0"/>
          <w:kern w:val="0"/>
          <w:sz w:val="24"/>
        </w:rPr>
      </w:pPr>
      <w:r>
        <w:rPr>
          <w:rFonts w:hint="eastAsia" w:cs="仿宋" w:asciiTheme="minorEastAsia" w:hAnsiTheme="minorEastAsia" w:eastAsiaTheme="minorEastAsia"/>
          <w:sz w:val="24"/>
        </w:rPr>
        <w:t>1.根据</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建筑消防设施检测技术规程</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GA5</w:t>
      </w:r>
      <w:r>
        <w:rPr>
          <w:rFonts w:hint="eastAsia" w:cs="宋体" w:asciiTheme="minorEastAsia" w:hAnsiTheme="minorEastAsia" w:eastAsiaTheme="minorEastAsia"/>
          <w:kern w:val="0"/>
          <w:sz w:val="24"/>
        </w:rPr>
        <w:t>03-2004）</w:t>
      </w:r>
      <w:r>
        <w:rPr>
          <w:rFonts w:cs="宋体" w:asciiTheme="minorEastAsia" w:hAnsiTheme="minorEastAsia" w:eastAsiaTheme="minorEastAsia"/>
          <w:kern w:val="0"/>
          <w:sz w:val="24"/>
        </w:rPr>
        <w:t>规定</w:t>
      </w:r>
      <w:r>
        <w:rPr>
          <w:rFonts w:hint="eastAsia" w:cs="仿宋" w:asciiTheme="minorEastAsia" w:hAnsiTheme="minorEastAsia" w:eastAsiaTheme="minorEastAsia"/>
          <w:sz w:val="24"/>
        </w:rPr>
        <w:t>标准要求，结合北京中医药大学深圳医院（龙岗）的实际情况，维保单位制定具体的维护保养方案及维护保养内容，确保维保期间消防设备设施运行正常。</w:t>
      </w:r>
    </w:p>
    <w:p w14:paraId="7206C899">
      <w:pPr>
        <w:spacing w:line="400" w:lineRule="exact"/>
        <w:ind w:firstLine="480"/>
        <w:jc w:val="left"/>
        <w:rPr>
          <w:rFonts w:cs="仿宋" w:asciiTheme="minorEastAsia" w:hAnsiTheme="minorEastAsia" w:eastAsiaTheme="minorEastAsia"/>
          <w:sz w:val="24"/>
        </w:rPr>
      </w:pPr>
      <w:r>
        <w:rPr>
          <w:rFonts w:hint="eastAsia" w:cs="仿宋" w:asciiTheme="minorEastAsia" w:hAnsiTheme="minorEastAsia" w:eastAsiaTheme="minorEastAsia"/>
          <w:sz w:val="24"/>
        </w:rPr>
        <w:t xml:space="preserve">2.维保单位派遣具有消防设施维修资格和经验丰富的工程技术持证专业人员负责消防维修保养工作，并保证节假日有故障随叫随到。 </w:t>
      </w:r>
    </w:p>
    <w:p w14:paraId="32E5CFBF">
      <w:pPr>
        <w:spacing w:line="400" w:lineRule="exact"/>
        <w:ind w:firstLine="480"/>
        <w:jc w:val="left"/>
        <w:rPr>
          <w:rFonts w:cs="仿宋" w:asciiTheme="minorEastAsia" w:hAnsiTheme="minorEastAsia" w:eastAsiaTheme="minorEastAsia"/>
          <w:sz w:val="24"/>
        </w:rPr>
      </w:pPr>
      <w:r>
        <w:rPr>
          <w:rFonts w:hint="eastAsia" w:cs="仿宋" w:asciiTheme="minorEastAsia" w:hAnsiTheme="minorEastAsia" w:eastAsiaTheme="minorEastAsia"/>
          <w:sz w:val="24"/>
        </w:rPr>
        <w:t>3.对委托维修保养的建筑消防设备设施每月1次进行检查维修、保养。按相关规定出具相应消防检测报告。</w:t>
      </w:r>
    </w:p>
    <w:p w14:paraId="6E771BC4">
      <w:pPr>
        <w:spacing w:line="400" w:lineRule="exact"/>
        <w:ind w:firstLine="480"/>
        <w:jc w:val="left"/>
        <w:rPr>
          <w:rFonts w:cs="仿宋" w:asciiTheme="minorEastAsia" w:hAnsiTheme="minorEastAsia" w:eastAsiaTheme="minorEastAsia"/>
          <w:sz w:val="24"/>
        </w:rPr>
      </w:pPr>
      <w:r>
        <w:rPr>
          <w:rFonts w:hint="eastAsia" w:cs="仿宋" w:asciiTheme="minorEastAsia" w:hAnsiTheme="minorEastAsia" w:eastAsiaTheme="minorEastAsia"/>
          <w:sz w:val="24"/>
        </w:rPr>
        <w:t>4.</w:t>
      </w:r>
      <w:r>
        <w:rPr>
          <w:rFonts w:hint="eastAsia" w:asciiTheme="minorEastAsia" w:hAnsiTheme="minorEastAsia" w:eastAsiaTheme="minorEastAsia"/>
          <w:sz w:val="24"/>
        </w:rPr>
        <w:t>每月</w:t>
      </w:r>
      <w:r>
        <w:rPr>
          <w:rFonts w:hint="eastAsia" w:asciiTheme="minorEastAsia" w:hAnsiTheme="minorEastAsia" w:eastAsiaTheme="minorEastAsia"/>
          <w:sz w:val="24"/>
          <w:lang w:eastAsia="zh-CN"/>
        </w:rPr>
        <w:t>30日</w:t>
      </w:r>
      <w:r>
        <w:rPr>
          <w:rFonts w:hint="eastAsia" w:asciiTheme="minorEastAsia" w:hAnsiTheme="minorEastAsia" w:eastAsiaTheme="minorEastAsia"/>
          <w:sz w:val="24"/>
        </w:rPr>
        <w:t>前进行一次例检，每次检查均有足够人员持证上岗检测，检查完毕对结果如实做好检查记录，并会同</w:t>
      </w:r>
      <w:r>
        <w:rPr>
          <w:rFonts w:cs="宋体" w:asciiTheme="minorEastAsia" w:hAnsiTheme="minorEastAsia" w:eastAsiaTheme="minorEastAsia"/>
          <w:kern w:val="0"/>
          <w:sz w:val="24"/>
        </w:rPr>
        <w:t>专职</w:t>
      </w:r>
      <w:r>
        <w:rPr>
          <w:rFonts w:hint="eastAsia" w:cs="宋体" w:asciiTheme="minorEastAsia" w:hAnsiTheme="minorEastAsia" w:eastAsiaTheme="minorEastAsia"/>
          <w:kern w:val="0"/>
          <w:sz w:val="24"/>
        </w:rPr>
        <w:t>消防安全管理员</w:t>
      </w:r>
      <w:r>
        <w:rPr>
          <w:rFonts w:hint="eastAsia" w:asciiTheme="minorEastAsia" w:hAnsiTheme="minorEastAsia" w:eastAsiaTheme="minorEastAsia"/>
          <w:sz w:val="24"/>
        </w:rPr>
        <w:t>共同签字确认。</w:t>
      </w:r>
    </w:p>
    <w:p w14:paraId="3907282E">
      <w:pPr>
        <w:spacing w:line="400" w:lineRule="exact"/>
        <w:ind w:firstLine="480"/>
        <w:jc w:val="left"/>
        <w:rPr>
          <w:rFonts w:asciiTheme="minorEastAsia" w:hAnsiTheme="minorEastAsia" w:eastAsiaTheme="minorEastAsia"/>
          <w:sz w:val="24"/>
        </w:rPr>
      </w:pPr>
      <w:r>
        <w:rPr>
          <w:rFonts w:hint="eastAsia" w:cs="仿宋" w:asciiTheme="minorEastAsia" w:hAnsiTheme="minorEastAsia" w:eastAsiaTheme="minorEastAsia"/>
          <w:sz w:val="24"/>
        </w:rPr>
        <w:t>5.</w:t>
      </w:r>
      <w:r>
        <w:rPr>
          <w:rFonts w:hint="eastAsia" w:asciiTheme="minorEastAsia" w:hAnsiTheme="minorEastAsia" w:eastAsiaTheme="minorEastAsia"/>
          <w:sz w:val="24"/>
        </w:rPr>
        <w:t>接到故障报告后，维保人员在2小时内到达现场，24小时内处理完毕，接到重大故障报告后，维保人员在1小时内赶到现场进行处理，故障处理不超过三天。如因材料审批问题影响维修时间或其他非乙方造成特殊情况延长工期时间，需向院方</w:t>
      </w:r>
      <w:r>
        <w:rPr>
          <w:rFonts w:hint="eastAsia" w:asciiTheme="minorEastAsia" w:hAnsiTheme="minorEastAsia" w:eastAsiaTheme="minorEastAsia"/>
          <w:color w:val="000000"/>
          <w:sz w:val="24"/>
        </w:rPr>
        <w:t>有</w:t>
      </w:r>
      <w:r>
        <w:rPr>
          <w:rFonts w:hint="eastAsia" w:asciiTheme="minorEastAsia" w:hAnsiTheme="minorEastAsia" w:eastAsiaTheme="minorEastAsia"/>
          <w:sz w:val="24"/>
        </w:rPr>
        <w:t>关部门进行报备。（在维保过程中需要更换的设备、材料费总价值在200元以内（含200元）由维保单位方负责免费更换）</w:t>
      </w:r>
    </w:p>
    <w:p w14:paraId="5890BAB5">
      <w:pPr>
        <w:spacing w:line="400" w:lineRule="exact"/>
        <w:ind w:firstLine="480"/>
        <w:jc w:val="left"/>
        <w:rPr>
          <w:rFonts w:cs="仿宋" w:asciiTheme="minorEastAsia" w:hAnsiTheme="minorEastAsia" w:eastAsiaTheme="minorEastAsia"/>
          <w:sz w:val="24"/>
        </w:rPr>
      </w:pPr>
      <w:r>
        <w:rPr>
          <w:rFonts w:hint="eastAsia" w:cs="仿宋" w:asciiTheme="minorEastAsia" w:hAnsiTheme="minorEastAsia" w:eastAsiaTheme="minorEastAsia"/>
          <w:sz w:val="24"/>
        </w:rPr>
        <w:t>6.对消防设施出现的故障及时修复，保证我院范围内消防系统正常运转，有关消防设备使用完好率95%以上。</w:t>
      </w:r>
    </w:p>
    <w:p w14:paraId="6E94A022">
      <w:pPr>
        <w:spacing w:line="400" w:lineRule="exact"/>
        <w:ind w:firstLine="480"/>
        <w:jc w:val="left"/>
        <w:rPr>
          <w:rFonts w:cs="仿宋" w:asciiTheme="minorEastAsia" w:hAnsiTheme="minorEastAsia" w:eastAsiaTheme="minorEastAsia"/>
          <w:sz w:val="24"/>
        </w:rPr>
      </w:pPr>
      <w:r>
        <w:rPr>
          <w:rFonts w:hint="eastAsia" w:cs="仿宋" w:asciiTheme="minorEastAsia" w:hAnsiTheme="minorEastAsia" w:eastAsiaTheme="minorEastAsia"/>
          <w:sz w:val="24"/>
        </w:rPr>
        <w:t>7.当消防设施出现严重不得不停用时，应</w:t>
      </w:r>
      <w:r>
        <w:rPr>
          <w:rFonts w:hint="eastAsia" w:cs="仿宋" w:asciiTheme="minorEastAsia" w:hAnsiTheme="minorEastAsia" w:eastAsiaTheme="minorEastAsia"/>
          <w:sz w:val="24"/>
          <w:lang w:eastAsia="zh-CN"/>
        </w:rPr>
        <w:t>会同</w:t>
      </w:r>
      <w:r>
        <w:rPr>
          <w:rFonts w:hint="eastAsia" w:cs="仿宋" w:asciiTheme="minorEastAsia" w:hAnsiTheme="minorEastAsia" w:eastAsiaTheme="minorEastAsia"/>
          <w:sz w:val="24"/>
        </w:rPr>
        <w:t xml:space="preserve">院方立即报告区消防管理部门同时进行抢修，尽快恢复系统的运行。  </w:t>
      </w:r>
    </w:p>
    <w:p w14:paraId="568C3262">
      <w:pPr>
        <w:spacing w:line="400" w:lineRule="exact"/>
        <w:ind w:firstLine="480"/>
        <w:jc w:val="left"/>
        <w:rPr>
          <w:rFonts w:cs="仿宋" w:asciiTheme="minorEastAsia" w:hAnsiTheme="minorEastAsia" w:eastAsiaTheme="minorEastAsia"/>
          <w:sz w:val="24"/>
        </w:rPr>
      </w:pPr>
      <w:r>
        <w:rPr>
          <w:rFonts w:hint="eastAsia" w:cs="仿宋" w:asciiTheme="minorEastAsia" w:hAnsiTheme="minorEastAsia" w:eastAsiaTheme="minorEastAsia"/>
          <w:sz w:val="24"/>
        </w:rPr>
        <w:t>8.配合消防部门对医院进行的消防安全检查工作。</w:t>
      </w:r>
    </w:p>
    <w:p w14:paraId="660CF36D">
      <w:pPr>
        <w:spacing w:line="400" w:lineRule="exact"/>
        <w:ind w:firstLine="480"/>
        <w:jc w:val="left"/>
        <w:rPr>
          <w:rFonts w:cs="仿宋" w:asciiTheme="minorEastAsia" w:hAnsiTheme="minorEastAsia" w:eastAsiaTheme="minorEastAsia"/>
          <w:sz w:val="24"/>
        </w:rPr>
      </w:pPr>
      <w:r>
        <w:rPr>
          <w:rFonts w:hint="eastAsia" w:cs="仿宋" w:asciiTheme="minorEastAsia" w:hAnsiTheme="minorEastAsia" w:eastAsiaTheme="minorEastAsia"/>
          <w:sz w:val="24"/>
        </w:rPr>
        <w:t>9.检查原始记录必须由参加维修保养的院方、维保单位双方人员签字，处理意见一式二份，由双方代表签字后各执一份。</w:t>
      </w:r>
    </w:p>
    <w:p w14:paraId="2E86DB77">
      <w:pPr>
        <w:spacing w:line="400" w:lineRule="exact"/>
        <w:ind w:firstLine="480"/>
        <w:jc w:val="left"/>
        <w:rPr>
          <w:rFonts w:cs="仿宋" w:asciiTheme="minorEastAsia" w:hAnsiTheme="minorEastAsia" w:eastAsiaTheme="minorEastAsia"/>
          <w:sz w:val="24"/>
        </w:rPr>
      </w:pPr>
      <w:r>
        <w:rPr>
          <w:rFonts w:hint="eastAsia" w:cs="仿宋" w:asciiTheme="minorEastAsia" w:hAnsiTheme="minorEastAsia" w:eastAsiaTheme="minorEastAsia"/>
          <w:sz w:val="24"/>
        </w:rPr>
        <w:t>10.每季度将消防设施维修保养的情况和检查结果以书面形式向院方报告，其内容包括：</w:t>
      </w:r>
    </w:p>
    <w:p w14:paraId="1DDBB45C">
      <w:pPr>
        <w:spacing w:line="400" w:lineRule="exact"/>
        <w:ind w:firstLine="480"/>
        <w:jc w:val="left"/>
        <w:rPr>
          <w:rFonts w:cs="仿宋" w:asciiTheme="minorEastAsia" w:hAnsiTheme="minorEastAsia" w:eastAsiaTheme="minorEastAsia"/>
          <w:sz w:val="24"/>
        </w:rPr>
      </w:pPr>
      <w:r>
        <w:rPr>
          <w:rFonts w:hint="eastAsia" w:cs="仿宋" w:asciiTheme="minorEastAsia" w:hAnsiTheme="minorEastAsia" w:eastAsiaTheme="minorEastAsia"/>
          <w:sz w:val="24"/>
        </w:rPr>
        <w:t>1）消防自动报警系统的运行情况。</w:t>
      </w:r>
    </w:p>
    <w:p w14:paraId="19C0AF0F">
      <w:pPr>
        <w:spacing w:line="400" w:lineRule="exact"/>
        <w:ind w:firstLine="480"/>
        <w:jc w:val="left"/>
        <w:rPr>
          <w:rFonts w:cs="仿宋" w:asciiTheme="minorEastAsia" w:hAnsiTheme="minorEastAsia" w:eastAsiaTheme="minorEastAsia"/>
          <w:sz w:val="24"/>
        </w:rPr>
      </w:pPr>
      <w:r>
        <w:rPr>
          <w:rFonts w:hint="eastAsia" w:cs="仿宋" w:asciiTheme="minorEastAsia" w:hAnsiTheme="minorEastAsia" w:eastAsiaTheme="minorEastAsia"/>
          <w:sz w:val="24"/>
        </w:rPr>
        <w:t>2）维修保养和检查记录。</w:t>
      </w:r>
    </w:p>
    <w:p w14:paraId="35EA3246">
      <w:pPr>
        <w:spacing w:line="400" w:lineRule="exact"/>
        <w:ind w:firstLine="480"/>
        <w:jc w:val="left"/>
        <w:rPr>
          <w:rFonts w:cs="仿宋" w:asciiTheme="minorEastAsia" w:hAnsiTheme="minorEastAsia" w:eastAsiaTheme="minorEastAsia"/>
          <w:sz w:val="24"/>
        </w:rPr>
      </w:pPr>
      <w:r>
        <w:rPr>
          <w:rFonts w:hint="eastAsia" w:cs="仿宋" w:asciiTheme="minorEastAsia" w:hAnsiTheme="minorEastAsia" w:eastAsiaTheme="minorEastAsia"/>
          <w:sz w:val="24"/>
        </w:rPr>
        <w:t>3）保证消防设施正常运转的建议。</w:t>
      </w:r>
    </w:p>
    <w:p w14:paraId="433BE249">
      <w:pPr>
        <w:spacing w:line="400" w:lineRule="exact"/>
        <w:ind w:firstLine="480"/>
        <w:jc w:val="left"/>
        <w:rPr>
          <w:rFonts w:cs="仿宋" w:asciiTheme="minorEastAsia" w:hAnsiTheme="minorEastAsia" w:eastAsiaTheme="minorEastAsia"/>
          <w:sz w:val="24"/>
        </w:rPr>
      </w:pPr>
      <w:r>
        <w:rPr>
          <w:rFonts w:hint="eastAsia" w:cs="仿宋" w:asciiTheme="minorEastAsia" w:hAnsiTheme="minorEastAsia" w:eastAsiaTheme="minorEastAsia"/>
          <w:sz w:val="24"/>
        </w:rPr>
        <w:t>11.维修保养中发现需更换的材料、设备总价在200元以内的，由维保单位负责（不包含报警系统设备、消防应急疏散系统设备及灭火器）、总价超出200元的由供应商书面报告医院，医院购进材料后，供应商对设备免费进行更换，材料费用由医院负责。</w:t>
      </w:r>
    </w:p>
    <w:p w14:paraId="67D53FDF">
      <w:pPr>
        <w:spacing w:line="400" w:lineRule="exact"/>
        <w:ind w:firstLine="480"/>
        <w:jc w:val="left"/>
        <w:rPr>
          <w:rFonts w:cs="仿宋" w:asciiTheme="minorEastAsia" w:hAnsiTheme="minorEastAsia" w:eastAsiaTheme="minorEastAsia"/>
          <w:sz w:val="24"/>
        </w:rPr>
      </w:pPr>
      <w:r>
        <w:rPr>
          <w:rFonts w:hint="eastAsia" w:cs="仿宋" w:asciiTheme="minorEastAsia" w:hAnsiTheme="minorEastAsia" w:eastAsiaTheme="minorEastAsia"/>
          <w:sz w:val="24"/>
        </w:rPr>
        <w:t>12.按照安全操作规程，采取严格，科学的安全防护措施，确保操作者安全和第三者安全，承担由于自身措施不力，造成事故的责任和发生的费用。</w:t>
      </w:r>
    </w:p>
    <w:p w14:paraId="603A91D3">
      <w:pPr>
        <w:widowControl/>
        <w:jc w:val="left"/>
        <w:rPr>
          <w:rFonts w:ascii="宋体" w:hAnsi="宋体"/>
          <w:b/>
          <w:bCs/>
          <w:szCs w:val="21"/>
        </w:rPr>
      </w:pPr>
      <w:r>
        <w:rPr>
          <w:rFonts w:ascii="宋体" w:hAnsi="宋体"/>
          <w:b/>
          <w:bCs/>
          <w:szCs w:val="21"/>
        </w:rPr>
        <w:br w:type="page"/>
      </w:r>
    </w:p>
    <w:p w14:paraId="4A72E649">
      <w:pPr>
        <w:spacing w:line="320" w:lineRule="exact"/>
        <w:rPr>
          <w:rFonts w:ascii="宋体" w:hAnsi="宋体"/>
          <w:b/>
          <w:bCs/>
          <w:szCs w:val="21"/>
        </w:rPr>
      </w:pPr>
      <w:r>
        <w:rPr>
          <w:rFonts w:hint="eastAsia" w:ascii="宋体" w:hAnsi="宋体"/>
          <w:b/>
          <w:bCs/>
          <w:szCs w:val="21"/>
        </w:rPr>
        <w:t>第三部分：商务条款</w:t>
      </w:r>
    </w:p>
    <w:p w14:paraId="0FC1EF63">
      <w:pPr>
        <w:pStyle w:val="14"/>
        <w:spacing w:line="400" w:lineRule="exact"/>
        <w:ind w:firstLine="480"/>
        <w:rPr>
          <w:rFonts w:asciiTheme="minorEastAsia" w:hAnsiTheme="minorEastAsia" w:eastAsiaTheme="minorEastAsia" w:cstheme="minorEastAsia"/>
          <w:bCs w:val="0"/>
          <w:color w:val="000000"/>
          <w:sz w:val="24"/>
          <w:szCs w:val="24"/>
        </w:rPr>
      </w:pPr>
      <w:r>
        <w:rPr>
          <w:rFonts w:hint="eastAsia" w:asciiTheme="minorEastAsia" w:hAnsiTheme="minorEastAsia" w:eastAsiaTheme="minorEastAsia" w:cstheme="minorEastAsia"/>
          <w:bCs w:val="0"/>
          <w:color w:val="000000"/>
          <w:sz w:val="24"/>
          <w:szCs w:val="24"/>
        </w:rPr>
        <w:t>1.服务期限：</w:t>
      </w:r>
      <w:r>
        <w:rPr>
          <w:rFonts w:hint="eastAsia" w:asciiTheme="minorEastAsia" w:hAnsiTheme="minorEastAsia" w:eastAsiaTheme="minorEastAsia"/>
          <w:sz w:val="24"/>
          <w:szCs w:val="24"/>
        </w:rPr>
        <w:t>招标合同期一年，依采购单位要求本项目服务期，合同采取一年一签方式，每年度合同期结束后，经采购单位对消防维保服务质量考核，合格可续签下一个年度合同，合同最长可续签2次，即延期至满3年。</w:t>
      </w:r>
    </w:p>
    <w:p w14:paraId="215AB388">
      <w:pPr>
        <w:spacing w:line="400" w:lineRule="exact"/>
        <w:ind w:firstLine="480"/>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2.招标方按年度分两次付款，合同签订生效招标方支付中标方合同总额的50%（6个月为一期），合同期满如中标方按时保质保量完成维护保养任务，使系统运行良好，提供发票等支付材料后，</w:t>
      </w:r>
      <w:r>
        <w:rPr>
          <w:rFonts w:hint="eastAsia" w:asciiTheme="minorEastAsia" w:hAnsiTheme="minorEastAsia" w:eastAsiaTheme="minorEastAsia"/>
          <w:sz w:val="24"/>
        </w:rPr>
        <w:t>经采购单位</w:t>
      </w:r>
      <w:r>
        <w:rPr>
          <w:rFonts w:hint="eastAsia" w:asciiTheme="minorEastAsia" w:hAnsiTheme="minorEastAsia" w:eastAsiaTheme="minorEastAsia" w:cstheme="minorEastAsia"/>
          <w:color w:val="000000"/>
          <w:sz w:val="24"/>
        </w:rPr>
        <w:t>支付合同总额剩余50%维保费，因</w:t>
      </w:r>
      <w:r>
        <w:rPr>
          <w:rFonts w:hint="eastAsia" w:asciiTheme="minorEastAsia" w:hAnsiTheme="minorEastAsia" w:eastAsiaTheme="minorEastAsia"/>
          <w:sz w:val="24"/>
        </w:rPr>
        <w:t>经采购单位</w:t>
      </w:r>
      <w:r>
        <w:rPr>
          <w:rFonts w:hint="eastAsia" w:asciiTheme="minorEastAsia" w:hAnsiTheme="minorEastAsia" w:eastAsiaTheme="minorEastAsia" w:cstheme="minorEastAsia"/>
          <w:color w:val="000000"/>
          <w:sz w:val="24"/>
        </w:rPr>
        <w:t>正常支付审批流程导致的支付超期，不视为违约。</w:t>
      </w:r>
    </w:p>
    <w:p w14:paraId="4E347378">
      <w:pPr>
        <w:spacing w:line="400" w:lineRule="exact"/>
        <w:ind w:firstLine="48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3.安全责任：中标方应做到合法用工，与工作人员建立合法的劳动/劳务关系，负责工作人员的工</w:t>
      </w:r>
      <w:r>
        <w:rPr>
          <w:rFonts w:hint="eastAsia" w:asciiTheme="minorEastAsia" w:hAnsiTheme="minorEastAsia" w:eastAsiaTheme="minorEastAsia" w:cstheme="minorEastAsia"/>
          <w:sz w:val="24"/>
        </w:rPr>
        <w:t>资、社会保险及其他保险的购买，保证安全作业。中标方与其工作人员发生的一切纠纷均</w:t>
      </w:r>
      <w:r>
        <w:rPr>
          <w:rFonts w:hint="eastAsia" w:asciiTheme="minorEastAsia" w:hAnsiTheme="minorEastAsia" w:eastAsiaTheme="minorEastAsia" w:cstheme="minorEastAsia"/>
          <w:sz w:val="24"/>
          <w:lang w:eastAsia="zh-CN"/>
        </w:rPr>
        <w:t>与</w:t>
      </w:r>
      <w:r>
        <w:rPr>
          <w:rFonts w:hint="eastAsia" w:asciiTheme="minorEastAsia" w:hAnsiTheme="minorEastAsia" w:eastAsiaTheme="minorEastAsia"/>
          <w:sz w:val="24"/>
        </w:rPr>
        <w:t>采购单位</w:t>
      </w:r>
      <w:r>
        <w:rPr>
          <w:rFonts w:hint="eastAsia" w:asciiTheme="minorEastAsia" w:hAnsiTheme="minorEastAsia" w:eastAsiaTheme="minorEastAsia" w:cstheme="minorEastAsia"/>
          <w:sz w:val="24"/>
        </w:rPr>
        <w:t>无关。中标方在</w:t>
      </w:r>
      <w:r>
        <w:rPr>
          <w:rFonts w:hint="eastAsia" w:asciiTheme="minorEastAsia" w:hAnsiTheme="minorEastAsia" w:eastAsiaTheme="minorEastAsia"/>
          <w:sz w:val="24"/>
        </w:rPr>
        <w:t>经采购单位</w:t>
      </w:r>
      <w:r>
        <w:rPr>
          <w:rFonts w:hint="eastAsia" w:asciiTheme="minorEastAsia" w:hAnsiTheme="minorEastAsia" w:eastAsiaTheme="minorEastAsia" w:cstheme="minorEastAsia"/>
          <w:sz w:val="24"/>
        </w:rPr>
        <w:t>院内提供服务时，应保证其工作人员严格遵守</w:t>
      </w:r>
      <w:r>
        <w:rPr>
          <w:rFonts w:hint="eastAsia" w:asciiTheme="minorEastAsia" w:hAnsiTheme="minorEastAsia" w:eastAsiaTheme="minorEastAsia"/>
          <w:sz w:val="24"/>
        </w:rPr>
        <w:t>经采购单位</w:t>
      </w:r>
      <w:r>
        <w:rPr>
          <w:rFonts w:hint="eastAsia" w:asciiTheme="minorEastAsia" w:hAnsiTheme="minorEastAsia" w:eastAsiaTheme="minorEastAsia" w:cstheme="minorEastAsia"/>
          <w:sz w:val="24"/>
        </w:rPr>
        <w:t>各项管理规定，服务过程中如造成</w:t>
      </w:r>
      <w:r>
        <w:rPr>
          <w:rFonts w:hint="eastAsia" w:asciiTheme="minorEastAsia" w:hAnsiTheme="minorEastAsia" w:eastAsiaTheme="minorEastAsia"/>
          <w:sz w:val="24"/>
        </w:rPr>
        <w:t>采购单位</w:t>
      </w:r>
      <w:r>
        <w:rPr>
          <w:rFonts w:hint="eastAsia" w:asciiTheme="minorEastAsia" w:hAnsiTheme="minorEastAsia" w:eastAsiaTheme="minorEastAsia" w:cstheme="minorEastAsia"/>
          <w:sz w:val="24"/>
        </w:rPr>
        <w:t>场所及设施损坏、工作人员人身伤害或第三方人身伤害、财产损失，中标方应承担全部赔偿责任。</w:t>
      </w:r>
    </w:p>
    <w:p w14:paraId="532A0AE7">
      <w:pPr>
        <w:spacing w:line="400" w:lineRule="exact"/>
        <w:ind w:firstLine="480"/>
        <w:jc w:val="left"/>
        <w:rPr>
          <w:rFonts w:asciiTheme="minorEastAsia" w:hAnsiTheme="minorEastAsia" w:eastAsiaTheme="minorEastAsia"/>
          <w:sz w:val="24"/>
        </w:rPr>
      </w:pPr>
      <w:r>
        <w:rPr>
          <w:rFonts w:hint="eastAsia" w:asciiTheme="minorEastAsia" w:hAnsiTheme="minorEastAsia" w:eastAsiaTheme="minorEastAsia" w:cstheme="minorEastAsia"/>
          <w:sz w:val="24"/>
        </w:rPr>
        <w:t>4.违约责任：因中标方原因，违反本项目合同约定或未能按规定完成本项目有关工作造成不良后果的，中标方应承担一切责任并赔偿所有损失。同时采购方可发出书面通知后，扣除半年度</w:t>
      </w:r>
      <w:r>
        <w:rPr>
          <w:rFonts w:hint="eastAsia" w:asciiTheme="minorEastAsia" w:hAnsiTheme="minorEastAsia" w:eastAsiaTheme="minorEastAsia" w:cstheme="minorEastAsia"/>
          <w:color w:val="000000"/>
          <w:sz w:val="24"/>
        </w:rPr>
        <w:t>（6个月为一期）</w:t>
      </w:r>
      <w:r>
        <w:rPr>
          <w:rFonts w:hint="eastAsia" w:asciiTheme="minorEastAsia" w:hAnsiTheme="minorEastAsia" w:eastAsiaTheme="minorEastAsia" w:cstheme="minorEastAsia"/>
          <w:sz w:val="24"/>
        </w:rPr>
        <w:t>服务款10%作为违约金，情节严重的，采购方有权单方面解除合同。</w:t>
      </w:r>
    </w:p>
    <w:p w14:paraId="42AB44DD">
      <w:pPr>
        <w:pStyle w:val="6"/>
        <w:spacing w:line="400" w:lineRule="exact"/>
        <w:ind w:firstLine="480"/>
        <w:jc w:val="left"/>
        <w:rPr>
          <w:rFonts w:asciiTheme="minorEastAsia" w:hAnsiTheme="minorEastAsia" w:eastAsiaTheme="minorEastAsia"/>
          <w:sz w:val="24"/>
        </w:rPr>
      </w:pPr>
      <w:bookmarkStart w:id="8" w:name="其它事项"/>
      <w:r>
        <w:rPr>
          <w:rFonts w:hint="eastAsia" w:asciiTheme="minorEastAsia" w:hAnsiTheme="minorEastAsia" w:eastAsiaTheme="minorEastAsia"/>
          <w:sz w:val="24"/>
        </w:rPr>
        <w:t>5.投标单位不得将项目非法分包或转包给任何单位和个人。否则，采购单位有权即刻终止合同，并要求中标人赔偿相应损失。</w:t>
      </w:r>
      <w:bookmarkEnd w:id="8"/>
    </w:p>
    <w:p w14:paraId="1E3C12A2">
      <w:pPr>
        <w:pStyle w:val="6"/>
        <w:spacing w:line="400" w:lineRule="exact"/>
        <w:ind w:firstLine="480"/>
        <w:jc w:val="left"/>
        <w:rPr>
          <w:rFonts w:asciiTheme="minorEastAsia" w:hAnsiTheme="minorEastAsia" w:eastAsiaTheme="minorEastAsia"/>
          <w:sz w:val="24"/>
        </w:rPr>
      </w:pPr>
      <w:r>
        <w:rPr>
          <w:rFonts w:hint="eastAsia" w:asciiTheme="minorEastAsia" w:hAnsiTheme="minorEastAsia" w:eastAsiaTheme="minorEastAsia"/>
          <w:sz w:val="24"/>
        </w:rPr>
        <w:t>6.投标单位若认为招标文件的技术要求或其他要求有倾向性或不公正性，可在招标答疑阶段提出，以维护招标行为的公平、公正。</w:t>
      </w:r>
    </w:p>
    <w:p w14:paraId="6E46D23B">
      <w:pPr>
        <w:pStyle w:val="14"/>
        <w:spacing w:line="360" w:lineRule="auto"/>
        <w:ind w:firstLine="480"/>
        <w:rPr>
          <w:rFonts w:ascii="宋体" w:hAnsi="宋体"/>
          <w:sz w:val="24"/>
        </w:rPr>
      </w:pPr>
      <w:r>
        <w:rPr>
          <w:rFonts w:hint="eastAsia" w:asciiTheme="minorEastAsia" w:hAnsiTheme="minorEastAsia" w:eastAsiaTheme="minorEastAsia"/>
          <w:sz w:val="24"/>
        </w:rPr>
        <w:t>7.投标单位使用的标准必须是国际公认或国家</w:t>
      </w:r>
      <w:r>
        <w:rPr>
          <w:rFonts w:hint="eastAsia" w:asciiTheme="minorEastAsia" w:hAnsiTheme="minorEastAsia" w:eastAsiaTheme="minorEastAsia"/>
          <w:sz w:val="24"/>
          <w:lang w:eastAsia="zh-CN"/>
        </w:rPr>
        <w:t>或</w:t>
      </w:r>
      <w:r>
        <w:rPr>
          <w:rFonts w:hint="eastAsia" w:asciiTheme="minorEastAsia" w:hAnsiTheme="minorEastAsia" w:eastAsiaTheme="minorEastAsia"/>
          <w:sz w:val="24"/>
        </w:rPr>
        <w:t>地方政府颁布的同等或更高的标准，如投标单位使用的标准低于上述标准</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评标委员会将有权不予接受，投单位必须列表将明显的差异详细说明。</w:t>
      </w:r>
      <w:r>
        <w:br w:type="page"/>
      </w:r>
    </w:p>
    <w:p w14:paraId="55415850">
      <w:pPr>
        <w:pStyle w:val="16"/>
        <w:rPr>
          <w:sz w:val="30"/>
          <w:szCs w:val="30"/>
        </w:rPr>
      </w:pPr>
      <w:r>
        <w:rPr>
          <w:rFonts w:hint="eastAsia"/>
        </w:rPr>
        <w:t>投标文件组成、格式</w:t>
      </w:r>
    </w:p>
    <w:p w14:paraId="05FE803D">
      <w:pPr>
        <w:spacing w:line="360" w:lineRule="auto"/>
        <w:rPr>
          <w:rFonts w:ascii="宋体" w:hAnsi="宋体"/>
          <w:b/>
          <w:sz w:val="30"/>
          <w:szCs w:val="30"/>
        </w:rPr>
      </w:pPr>
      <w:r>
        <w:rPr>
          <w:rFonts w:hint="eastAsia" w:ascii="宋体" w:hAnsi="宋体"/>
          <w:b/>
          <w:sz w:val="30"/>
          <w:szCs w:val="30"/>
        </w:rPr>
        <w:t>一、封面</w:t>
      </w:r>
    </w:p>
    <w:p w14:paraId="068B2068">
      <w:pPr>
        <w:spacing w:line="360" w:lineRule="auto"/>
        <w:rPr>
          <w:rFonts w:ascii="宋体" w:hAnsi="宋体"/>
          <w:b/>
          <w:sz w:val="30"/>
          <w:szCs w:val="30"/>
        </w:rPr>
      </w:pPr>
      <w:r>
        <w:rPr>
          <w:rFonts w:hint="eastAsia" w:ascii="宋体" w:hAnsi="宋体"/>
          <w:b/>
          <w:sz w:val="30"/>
          <w:szCs w:val="30"/>
        </w:rPr>
        <w:t>二、目录指引；</w:t>
      </w:r>
    </w:p>
    <w:p w14:paraId="06899758">
      <w:pPr>
        <w:spacing w:line="360" w:lineRule="auto"/>
        <w:rPr>
          <w:rFonts w:ascii="宋体" w:hAnsi="宋体"/>
          <w:b/>
          <w:sz w:val="30"/>
          <w:szCs w:val="30"/>
        </w:rPr>
      </w:pPr>
      <w:r>
        <w:rPr>
          <w:rFonts w:hint="eastAsia" w:ascii="宋体" w:hAnsi="宋体"/>
          <w:b/>
          <w:sz w:val="30"/>
          <w:szCs w:val="30"/>
        </w:rPr>
        <w:t>三、货物报价清单及其他报价清单；</w:t>
      </w:r>
    </w:p>
    <w:p w14:paraId="7D3847B3">
      <w:pPr>
        <w:spacing w:line="360" w:lineRule="auto"/>
        <w:rPr>
          <w:rFonts w:ascii="宋体" w:hAnsi="宋体"/>
          <w:b/>
          <w:sz w:val="30"/>
          <w:szCs w:val="30"/>
        </w:rPr>
      </w:pPr>
      <w:r>
        <w:rPr>
          <w:rFonts w:hint="eastAsia" w:ascii="宋体" w:hAnsi="宋体"/>
          <w:b/>
          <w:sz w:val="30"/>
          <w:szCs w:val="30"/>
        </w:rPr>
        <w:t>四、技术规格和配置清单偏离表；</w:t>
      </w:r>
    </w:p>
    <w:p w14:paraId="5D20DBBB">
      <w:pPr>
        <w:spacing w:line="360" w:lineRule="auto"/>
        <w:rPr>
          <w:rFonts w:ascii="宋体" w:hAnsi="宋体"/>
          <w:b/>
          <w:sz w:val="30"/>
          <w:szCs w:val="30"/>
        </w:rPr>
      </w:pPr>
      <w:r>
        <w:rPr>
          <w:rFonts w:hint="eastAsia" w:ascii="宋体" w:hAnsi="宋体"/>
          <w:b/>
          <w:sz w:val="30"/>
          <w:szCs w:val="30"/>
        </w:rPr>
        <w:t>五、商务条款偏离表；</w:t>
      </w:r>
    </w:p>
    <w:p w14:paraId="780EC3E6">
      <w:pPr>
        <w:spacing w:line="360" w:lineRule="auto"/>
        <w:rPr>
          <w:rFonts w:ascii="宋体" w:hAnsi="宋体"/>
          <w:b/>
          <w:sz w:val="30"/>
          <w:szCs w:val="30"/>
        </w:rPr>
      </w:pPr>
      <w:r>
        <w:rPr>
          <w:rFonts w:hint="eastAsia" w:ascii="宋体" w:hAnsi="宋体"/>
          <w:b/>
          <w:sz w:val="30"/>
          <w:szCs w:val="30"/>
        </w:rPr>
        <w:t>六、投标公司资质；</w:t>
      </w:r>
    </w:p>
    <w:p w14:paraId="48AE2337">
      <w:pPr>
        <w:pStyle w:val="8"/>
        <w:rPr>
          <w:rFonts w:ascii="宋体" w:hAnsi="宋体"/>
          <w:b/>
          <w:szCs w:val="30"/>
        </w:rPr>
      </w:pPr>
      <w:r>
        <w:rPr>
          <w:rFonts w:hint="eastAsia" w:ascii="宋体" w:hAnsi="宋体"/>
          <w:b/>
          <w:szCs w:val="30"/>
        </w:rPr>
        <w:t>七、授权；</w:t>
      </w:r>
    </w:p>
    <w:p w14:paraId="79D9F8D4">
      <w:pPr>
        <w:pStyle w:val="8"/>
        <w:rPr>
          <w:rFonts w:ascii="宋体" w:hAnsi="宋体"/>
          <w:b/>
          <w:szCs w:val="30"/>
        </w:rPr>
      </w:pPr>
      <w:r>
        <w:rPr>
          <w:rFonts w:hint="eastAsia" w:ascii="宋体" w:hAnsi="宋体"/>
          <w:b/>
          <w:szCs w:val="30"/>
        </w:rPr>
        <w:t>八、厂家资质；</w:t>
      </w:r>
    </w:p>
    <w:p w14:paraId="74A8BFEF">
      <w:pPr>
        <w:spacing w:line="360" w:lineRule="auto"/>
        <w:rPr>
          <w:rFonts w:ascii="宋体" w:hAnsi="宋体"/>
          <w:b/>
          <w:sz w:val="30"/>
          <w:szCs w:val="30"/>
        </w:rPr>
      </w:pPr>
      <w:r>
        <w:rPr>
          <w:rFonts w:hint="eastAsia" w:ascii="宋体" w:hAnsi="宋体"/>
          <w:b/>
          <w:sz w:val="30"/>
          <w:szCs w:val="30"/>
        </w:rPr>
        <w:t>九、法定代表人资格证明书；</w:t>
      </w:r>
    </w:p>
    <w:p w14:paraId="7AA60E60">
      <w:pPr>
        <w:pStyle w:val="8"/>
      </w:pPr>
      <w:r>
        <w:rPr>
          <w:rFonts w:hint="eastAsia" w:ascii="宋体" w:hAnsi="宋体"/>
          <w:b/>
          <w:szCs w:val="30"/>
        </w:rPr>
        <w:t>十、各类承诺函；</w:t>
      </w:r>
    </w:p>
    <w:p w14:paraId="501004E1">
      <w:pPr>
        <w:spacing w:line="360" w:lineRule="auto"/>
        <w:rPr>
          <w:rFonts w:ascii="宋体" w:hAnsi="宋体"/>
          <w:b/>
          <w:sz w:val="30"/>
          <w:szCs w:val="30"/>
        </w:rPr>
      </w:pPr>
    </w:p>
    <w:p w14:paraId="2FB9D776">
      <w:pPr>
        <w:spacing w:line="360" w:lineRule="auto"/>
        <w:rPr>
          <w:rFonts w:ascii="宋体" w:hAnsi="宋体"/>
          <w:b/>
          <w:sz w:val="30"/>
          <w:szCs w:val="30"/>
        </w:rPr>
      </w:pPr>
    </w:p>
    <w:p w14:paraId="13BD655C">
      <w:pPr>
        <w:spacing w:line="360" w:lineRule="auto"/>
        <w:jc w:val="center"/>
        <w:rPr>
          <w:rFonts w:ascii="宋体" w:hAnsi="宋体"/>
          <w:b/>
          <w:sz w:val="30"/>
          <w:szCs w:val="30"/>
        </w:rPr>
      </w:pPr>
    </w:p>
    <w:p w14:paraId="53D6F12C">
      <w:pPr>
        <w:spacing w:line="360" w:lineRule="exact"/>
        <w:jc w:val="center"/>
        <w:rPr>
          <w:rStyle w:val="27"/>
          <w:rFonts w:ascii="宋体" w:hAnsi="宋体"/>
          <w:b/>
          <w:szCs w:val="21"/>
        </w:rPr>
      </w:pPr>
    </w:p>
    <w:p w14:paraId="6BDE8AC4">
      <w:pPr>
        <w:spacing w:line="360" w:lineRule="auto"/>
        <w:jc w:val="center"/>
        <w:rPr>
          <w:b/>
          <w:sz w:val="36"/>
          <w:szCs w:val="36"/>
        </w:rPr>
      </w:pPr>
    </w:p>
    <w:p w14:paraId="2AB90E74">
      <w:pPr>
        <w:spacing w:line="360" w:lineRule="auto"/>
        <w:jc w:val="center"/>
        <w:rPr>
          <w:b/>
          <w:sz w:val="36"/>
          <w:szCs w:val="36"/>
        </w:rPr>
      </w:pPr>
    </w:p>
    <w:p w14:paraId="1E7AF44F">
      <w:pPr>
        <w:spacing w:line="360" w:lineRule="auto"/>
        <w:jc w:val="center"/>
        <w:rPr>
          <w:b/>
          <w:sz w:val="36"/>
          <w:szCs w:val="36"/>
        </w:rPr>
      </w:pPr>
    </w:p>
    <w:p w14:paraId="1F61CD5F">
      <w:pPr>
        <w:spacing w:line="360" w:lineRule="auto"/>
        <w:jc w:val="center"/>
        <w:rPr>
          <w:b/>
          <w:sz w:val="36"/>
          <w:szCs w:val="36"/>
        </w:rPr>
      </w:pPr>
    </w:p>
    <w:p w14:paraId="1FF98597">
      <w:pPr>
        <w:spacing w:line="360" w:lineRule="auto"/>
        <w:jc w:val="center"/>
        <w:rPr>
          <w:b/>
          <w:sz w:val="36"/>
          <w:szCs w:val="36"/>
        </w:rPr>
      </w:pPr>
    </w:p>
    <w:p w14:paraId="5B73A035">
      <w:pPr>
        <w:spacing w:line="360" w:lineRule="auto"/>
        <w:jc w:val="center"/>
        <w:rPr>
          <w:b/>
          <w:sz w:val="36"/>
          <w:szCs w:val="36"/>
        </w:rPr>
      </w:pPr>
    </w:p>
    <w:p w14:paraId="1989B3FE">
      <w:pPr>
        <w:widowControl/>
        <w:jc w:val="left"/>
        <w:rPr>
          <w:b/>
          <w:sz w:val="36"/>
          <w:szCs w:val="36"/>
        </w:rPr>
      </w:pPr>
      <w:r>
        <w:rPr>
          <w:b/>
          <w:sz w:val="36"/>
          <w:szCs w:val="36"/>
        </w:rPr>
        <w:br w:type="page"/>
      </w:r>
    </w:p>
    <w:p w14:paraId="15EEB71C">
      <w:pPr>
        <w:spacing w:line="360" w:lineRule="auto"/>
        <w:ind w:firstLine="723" w:firstLineChars="300"/>
        <w:jc w:val="center"/>
        <w:rPr>
          <w:rFonts w:ascii="宋体" w:hAnsi="宋体" w:cs="宋体"/>
          <w:b/>
          <w:bCs/>
          <w:sz w:val="24"/>
        </w:rPr>
      </w:pPr>
      <w:r>
        <w:rPr>
          <w:rFonts w:hint="eastAsia" w:ascii="宋体" w:hAnsi="宋体" w:cs="宋体"/>
          <w:b/>
          <w:bCs/>
          <w:sz w:val="24"/>
        </w:rPr>
        <w:t>一、</w:t>
      </w:r>
      <w:r>
        <w:rPr>
          <w:rFonts w:ascii="宋体" w:hAnsi="宋体" w:cs="宋体"/>
          <w:b/>
          <w:bCs/>
          <w:sz w:val="24"/>
        </w:rPr>
        <w:t>投标文件封面格式</w:t>
      </w:r>
    </w:p>
    <w:p w14:paraId="7A6D17E7">
      <w:pPr>
        <w:spacing w:line="360" w:lineRule="auto"/>
        <w:ind w:firstLine="723" w:firstLineChars="300"/>
        <w:jc w:val="center"/>
        <w:rPr>
          <w:rFonts w:ascii="宋体" w:hAnsi="宋体" w:cs="宋体"/>
          <w:b/>
          <w:bCs/>
          <w:sz w:val="24"/>
        </w:rPr>
      </w:pPr>
    </w:p>
    <w:p w14:paraId="74E8DCD9">
      <w:pPr>
        <w:spacing w:line="360" w:lineRule="auto"/>
        <w:ind w:firstLine="1320" w:firstLineChars="300"/>
        <w:jc w:val="right"/>
        <w:rPr>
          <w:rFonts w:ascii="宋体" w:hAnsi="宋体" w:cs="宋体"/>
          <w:sz w:val="44"/>
          <w:szCs w:val="44"/>
          <w:u w:val="single"/>
        </w:rPr>
      </w:pPr>
      <w:r>
        <w:rPr>
          <w:rFonts w:ascii="宋体" w:hAnsi="宋体" w:cs="宋体"/>
          <w:sz w:val="44"/>
          <w:szCs w:val="44"/>
          <w:u w:val="single"/>
        </w:rPr>
        <w:t>正/副本</w:t>
      </w:r>
    </w:p>
    <w:p w14:paraId="1295C550">
      <w:pPr>
        <w:spacing w:line="360" w:lineRule="auto"/>
        <w:ind w:firstLine="1320" w:firstLineChars="300"/>
        <w:jc w:val="right"/>
        <w:rPr>
          <w:rFonts w:ascii="宋体" w:hAnsi="宋体" w:cs="宋体"/>
          <w:sz w:val="44"/>
          <w:szCs w:val="44"/>
          <w:u w:val="single"/>
        </w:rPr>
      </w:pPr>
    </w:p>
    <w:p w14:paraId="29A8A4D6">
      <w:pPr>
        <w:spacing w:line="360" w:lineRule="auto"/>
        <w:ind w:firstLine="720" w:firstLineChars="300"/>
        <w:jc w:val="right"/>
        <w:rPr>
          <w:rFonts w:ascii="宋体" w:hAnsi="宋体" w:cs="宋体"/>
          <w:sz w:val="24"/>
        </w:rPr>
      </w:pPr>
      <w:r>
        <w:rPr>
          <w:rFonts w:ascii="宋体" w:hAnsi="宋体" w:cs="宋体"/>
          <w:sz w:val="24"/>
        </w:rPr>
        <w:t xml:space="preserve"> </w:t>
      </w:r>
    </w:p>
    <w:p w14:paraId="6594D892">
      <w:pPr>
        <w:pStyle w:val="2"/>
        <w:jc w:val="center"/>
        <w:rPr>
          <w:rFonts w:hint="default"/>
        </w:rPr>
      </w:pPr>
      <w:r>
        <w:t>2025年度消防维保服务</w:t>
      </w:r>
    </w:p>
    <w:p w14:paraId="1C01E5FF"/>
    <w:p w14:paraId="57984BEE">
      <w:pPr>
        <w:pStyle w:val="2"/>
        <w:jc w:val="center"/>
        <w:rPr>
          <w:rFonts w:hint="default"/>
        </w:rPr>
      </w:pPr>
      <w:r>
        <w:t>投标文件</w:t>
      </w:r>
    </w:p>
    <w:p w14:paraId="7E22D34E"/>
    <w:p w14:paraId="09D72919"/>
    <w:p w14:paraId="075B5F29"/>
    <w:p w14:paraId="3C485ACF"/>
    <w:p w14:paraId="5A34E684"/>
    <w:p w14:paraId="3251E304"/>
    <w:p w14:paraId="07D0BBEA"/>
    <w:p w14:paraId="1F6E3681"/>
    <w:p w14:paraId="069E3C47"/>
    <w:p w14:paraId="540625C4">
      <w:pPr>
        <w:spacing w:line="360" w:lineRule="auto"/>
        <w:ind w:firstLine="720" w:firstLineChars="300"/>
        <w:jc w:val="center"/>
        <w:rPr>
          <w:rFonts w:ascii="宋体" w:hAnsi="宋体" w:cs="宋体"/>
          <w:sz w:val="24"/>
        </w:rPr>
      </w:pPr>
      <w:r>
        <w:rPr>
          <w:rFonts w:ascii="宋体" w:hAnsi="宋体" w:cs="宋体"/>
          <w:sz w:val="24"/>
        </w:rPr>
        <w:t>招标项目编号：_______________________________</w:t>
      </w:r>
    </w:p>
    <w:p w14:paraId="60DA3295">
      <w:pPr>
        <w:spacing w:line="360" w:lineRule="auto"/>
        <w:ind w:firstLine="720" w:firstLineChars="300"/>
        <w:jc w:val="center"/>
        <w:rPr>
          <w:rFonts w:ascii="宋体" w:hAnsi="宋体" w:cs="宋体"/>
          <w:sz w:val="24"/>
        </w:rPr>
      </w:pPr>
      <w:r>
        <w:rPr>
          <w:rFonts w:ascii="宋体" w:hAnsi="宋体" w:cs="宋体"/>
          <w:sz w:val="24"/>
        </w:rPr>
        <w:t>投标人名称（公章)：__________________________</w:t>
      </w:r>
    </w:p>
    <w:p w14:paraId="0DADA9B9">
      <w:pPr>
        <w:spacing w:line="360" w:lineRule="auto"/>
        <w:ind w:firstLine="720" w:firstLineChars="300"/>
        <w:jc w:val="center"/>
        <w:rPr>
          <w:rFonts w:ascii="宋体" w:hAnsi="宋体" w:cs="宋体"/>
          <w:sz w:val="24"/>
        </w:rPr>
      </w:pPr>
      <w:r>
        <w:rPr>
          <w:rFonts w:ascii="宋体" w:hAnsi="宋体" w:cs="宋体"/>
          <w:sz w:val="24"/>
        </w:rPr>
        <w:t>投标人代表（签名或盖章）：___________________</w:t>
      </w:r>
    </w:p>
    <w:p w14:paraId="2468631C">
      <w:pPr>
        <w:spacing w:line="360" w:lineRule="auto"/>
        <w:ind w:firstLine="720" w:firstLineChars="300"/>
        <w:jc w:val="center"/>
        <w:rPr>
          <w:rFonts w:ascii="宋体" w:hAnsi="宋体" w:cs="宋体"/>
          <w:sz w:val="24"/>
        </w:rPr>
      </w:pPr>
      <w:r>
        <w:rPr>
          <w:rFonts w:ascii="宋体" w:hAnsi="宋体" w:cs="宋体"/>
          <w:sz w:val="24"/>
        </w:rPr>
        <w:t>投标日期：__________________年_____月______日</w:t>
      </w:r>
    </w:p>
    <w:p w14:paraId="7F0F4177">
      <w:pPr>
        <w:widowControl/>
        <w:jc w:val="left"/>
        <w:rPr>
          <w:rFonts w:ascii="宋体" w:hAnsi="宋体" w:cs="宋体"/>
          <w:sz w:val="24"/>
        </w:rPr>
      </w:pPr>
      <w:r>
        <w:rPr>
          <w:rFonts w:ascii="宋体" w:hAnsi="宋体" w:cs="宋体"/>
          <w:sz w:val="24"/>
        </w:rPr>
        <w:br w:type="page"/>
      </w:r>
    </w:p>
    <w:p w14:paraId="11610BB8">
      <w:pPr>
        <w:pStyle w:val="4"/>
        <w:spacing w:before="0" w:after="0" w:line="360" w:lineRule="exact"/>
        <w:jc w:val="both"/>
        <w:rPr>
          <w:sz w:val="21"/>
          <w:szCs w:val="21"/>
        </w:rPr>
      </w:pPr>
      <w:r>
        <w:rPr>
          <w:rFonts w:hint="eastAsia"/>
          <w:sz w:val="21"/>
          <w:szCs w:val="21"/>
        </w:rPr>
        <w:t>（目录指引）</w:t>
      </w:r>
    </w:p>
    <w:tbl>
      <w:tblPr>
        <w:tblStyle w:val="18"/>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615"/>
        <w:gridCol w:w="4665"/>
      </w:tblGrid>
      <w:tr w14:paraId="63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054" w:type="dxa"/>
            <w:gridSpan w:val="3"/>
            <w:tcBorders>
              <w:top w:val="nil"/>
              <w:left w:val="nil"/>
              <w:bottom w:val="single" w:color="auto" w:sz="4" w:space="0"/>
              <w:right w:val="nil"/>
            </w:tcBorders>
          </w:tcPr>
          <w:p w14:paraId="7396B113">
            <w:pPr>
              <w:adjustRightInd w:val="0"/>
              <w:snapToGrid w:val="0"/>
              <w:rPr>
                <w:rFonts w:ascii="宋体" w:hAnsi="宋体" w:cs="宋体"/>
                <w:bCs/>
                <w:szCs w:val="21"/>
              </w:rPr>
            </w:pPr>
            <w:r>
              <w:rPr>
                <w:rFonts w:hint="eastAsia" w:ascii="宋体" w:hAnsi="宋体" w:cs="宋体"/>
                <w:bCs/>
                <w:szCs w:val="21"/>
              </w:rPr>
              <w:t>项目名称：</w:t>
            </w:r>
          </w:p>
        </w:tc>
        <w:tc>
          <w:tcPr>
            <w:tcW w:w="4665" w:type="dxa"/>
            <w:tcBorders>
              <w:top w:val="nil"/>
              <w:left w:val="nil"/>
              <w:bottom w:val="single" w:color="auto" w:sz="4" w:space="0"/>
              <w:right w:val="nil"/>
            </w:tcBorders>
          </w:tcPr>
          <w:p w14:paraId="72D0BF5E">
            <w:pPr>
              <w:adjustRightInd w:val="0"/>
              <w:snapToGrid w:val="0"/>
              <w:rPr>
                <w:rFonts w:ascii="宋体" w:hAnsi="宋体" w:cs="宋体"/>
                <w:bCs/>
                <w:szCs w:val="21"/>
              </w:rPr>
            </w:pPr>
            <w:r>
              <w:rPr>
                <w:rFonts w:hint="eastAsia" w:ascii="宋体" w:hAnsi="宋体" w:cs="宋体"/>
                <w:bCs/>
                <w:szCs w:val="21"/>
              </w:rPr>
              <w:t>项目编号：</w:t>
            </w:r>
          </w:p>
        </w:tc>
      </w:tr>
      <w:tr w14:paraId="5D46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054" w:type="dxa"/>
            <w:gridSpan w:val="3"/>
            <w:tcBorders>
              <w:top w:val="single" w:color="auto" w:sz="4" w:space="0"/>
            </w:tcBorders>
          </w:tcPr>
          <w:p w14:paraId="55993ACA">
            <w:pPr>
              <w:jc w:val="center"/>
              <w:rPr>
                <w:rFonts w:ascii="宋体" w:hAnsi="宋体" w:cs="宋体"/>
                <w:b/>
                <w:szCs w:val="21"/>
              </w:rPr>
            </w:pPr>
            <w:r>
              <w:rPr>
                <w:rFonts w:hint="eastAsia" w:ascii="宋体" w:hAnsi="宋体" w:cs="宋体"/>
                <w:b/>
                <w:szCs w:val="21"/>
              </w:rPr>
              <w:t>指引内容</w:t>
            </w:r>
          </w:p>
          <w:p w14:paraId="702D70CA">
            <w:pPr>
              <w:jc w:val="center"/>
              <w:rPr>
                <w:rFonts w:ascii="宋体" w:hAnsi="宋体" w:cs="宋体"/>
                <w:b/>
                <w:szCs w:val="21"/>
              </w:rPr>
            </w:pPr>
            <w:r>
              <w:rPr>
                <w:rFonts w:hint="eastAsia" w:ascii="宋体" w:hAnsi="宋体" w:cs="宋体"/>
                <w:b/>
                <w:szCs w:val="21"/>
              </w:rPr>
              <w:t>指引部分名称及代号</w:t>
            </w:r>
          </w:p>
        </w:tc>
        <w:tc>
          <w:tcPr>
            <w:tcW w:w="4665" w:type="dxa"/>
            <w:tcBorders>
              <w:top w:val="single" w:color="auto" w:sz="4" w:space="0"/>
            </w:tcBorders>
            <w:vAlign w:val="center"/>
          </w:tcPr>
          <w:p w14:paraId="7DC6E063">
            <w:pPr>
              <w:jc w:val="center"/>
              <w:rPr>
                <w:rFonts w:ascii="宋体" w:hAnsi="宋体" w:cs="宋体"/>
                <w:b/>
                <w:szCs w:val="21"/>
              </w:rPr>
            </w:pPr>
            <w:r>
              <w:rPr>
                <w:rFonts w:hint="eastAsia" w:ascii="宋体" w:hAnsi="宋体" w:cs="宋体"/>
                <w:b/>
                <w:szCs w:val="21"/>
              </w:rPr>
              <w:t>相应内容位置</w:t>
            </w:r>
          </w:p>
        </w:tc>
      </w:tr>
      <w:tr w14:paraId="5417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1476293A">
            <w:pPr>
              <w:jc w:val="center"/>
              <w:rPr>
                <w:rFonts w:ascii="宋体" w:hAnsi="宋体" w:cs="宋体"/>
                <w:b/>
                <w:szCs w:val="21"/>
              </w:rPr>
            </w:pPr>
            <w:r>
              <w:rPr>
                <w:rFonts w:hint="eastAsia" w:ascii="宋体" w:hAnsi="宋体" w:cs="宋体"/>
                <w:b/>
                <w:szCs w:val="21"/>
              </w:rPr>
              <w:t>资格性及符合性检查</w:t>
            </w:r>
          </w:p>
        </w:tc>
        <w:tc>
          <w:tcPr>
            <w:tcW w:w="1255" w:type="dxa"/>
            <w:vMerge w:val="restart"/>
            <w:vAlign w:val="center"/>
          </w:tcPr>
          <w:p w14:paraId="44F9FBC5">
            <w:pPr>
              <w:jc w:val="center"/>
              <w:rPr>
                <w:rFonts w:ascii="宋体" w:hAnsi="宋体" w:cs="宋体"/>
                <w:b/>
                <w:szCs w:val="21"/>
              </w:rPr>
            </w:pPr>
            <w:r>
              <w:rPr>
                <w:rFonts w:hint="eastAsia" w:ascii="宋体" w:hAnsi="宋体" w:cs="宋体"/>
                <w:b/>
                <w:szCs w:val="21"/>
              </w:rPr>
              <w:t>资格性</w:t>
            </w:r>
          </w:p>
        </w:tc>
        <w:tc>
          <w:tcPr>
            <w:tcW w:w="1615" w:type="dxa"/>
            <w:vAlign w:val="center"/>
          </w:tcPr>
          <w:p w14:paraId="4611C4A5">
            <w:pPr>
              <w:jc w:val="center"/>
              <w:rPr>
                <w:rFonts w:ascii="宋体" w:hAnsi="宋体" w:cs="宋体"/>
                <w:b/>
                <w:szCs w:val="21"/>
              </w:rPr>
            </w:pPr>
            <w:r>
              <w:rPr>
                <w:rFonts w:hint="eastAsia" w:ascii="宋体" w:hAnsi="宋体" w:cs="宋体"/>
                <w:b/>
                <w:szCs w:val="21"/>
              </w:rPr>
              <w:t>1</w:t>
            </w:r>
          </w:p>
        </w:tc>
        <w:tc>
          <w:tcPr>
            <w:tcW w:w="4665" w:type="dxa"/>
            <w:vAlign w:val="center"/>
          </w:tcPr>
          <w:p w14:paraId="3C980372">
            <w:pPr>
              <w:jc w:val="center"/>
              <w:rPr>
                <w:rFonts w:ascii="宋体" w:hAnsi="宋体" w:cs="宋体"/>
                <w:szCs w:val="21"/>
              </w:rPr>
            </w:pPr>
            <w:r>
              <w:rPr>
                <w:rFonts w:hint="eastAsia" w:ascii="宋体" w:hAnsi="宋体" w:cs="宋体"/>
                <w:kern w:val="0"/>
                <w:szCs w:val="21"/>
              </w:rPr>
              <w:t>见投标文件__页</w:t>
            </w:r>
          </w:p>
        </w:tc>
      </w:tr>
      <w:tr w14:paraId="7F4C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1B53DC0">
            <w:pPr>
              <w:rPr>
                <w:rFonts w:ascii="宋体" w:hAnsi="宋体" w:cs="宋体"/>
                <w:b/>
                <w:szCs w:val="21"/>
              </w:rPr>
            </w:pPr>
          </w:p>
        </w:tc>
        <w:tc>
          <w:tcPr>
            <w:tcW w:w="1255" w:type="dxa"/>
            <w:vMerge w:val="continue"/>
          </w:tcPr>
          <w:p w14:paraId="4C4E9A05">
            <w:pPr>
              <w:rPr>
                <w:rFonts w:ascii="宋体" w:hAnsi="宋体" w:cs="宋体"/>
                <w:b/>
                <w:szCs w:val="21"/>
              </w:rPr>
            </w:pPr>
          </w:p>
        </w:tc>
        <w:tc>
          <w:tcPr>
            <w:tcW w:w="1615" w:type="dxa"/>
            <w:vAlign w:val="center"/>
          </w:tcPr>
          <w:p w14:paraId="41474113">
            <w:pPr>
              <w:jc w:val="center"/>
              <w:rPr>
                <w:rFonts w:ascii="宋体" w:hAnsi="宋体" w:cs="宋体"/>
                <w:b/>
                <w:szCs w:val="21"/>
              </w:rPr>
            </w:pPr>
            <w:r>
              <w:rPr>
                <w:rFonts w:hint="eastAsia" w:ascii="宋体" w:hAnsi="宋体" w:cs="宋体"/>
                <w:b/>
                <w:szCs w:val="21"/>
              </w:rPr>
              <w:t>2</w:t>
            </w:r>
          </w:p>
        </w:tc>
        <w:tc>
          <w:tcPr>
            <w:tcW w:w="4665" w:type="dxa"/>
            <w:vAlign w:val="center"/>
          </w:tcPr>
          <w:p w14:paraId="61088B1E">
            <w:pPr>
              <w:jc w:val="center"/>
              <w:rPr>
                <w:rFonts w:ascii="宋体" w:hAnsi="宋体" w:cs="宋体"/>
                <w:szCs w:val="21"/>
              </w:rPr>
            </w:pPr>
            <w:r>
              <w:rPr>
                <w:rFonts w:hint="eastAsia" w:ascii="宋体" w:hAnsi="宋体" w:cs="宋体"/>
                <w:kern w:val="0"/>
                <w:szCs w:val="21"/>
              </w:rPr>
              <w:t>见投标文件__页</w:t>
            </w:r>
          </w:p>
        </w:tc>
      </w:tr>
      <w:tr w14:paraId="0671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E97776C">
            <w:pPr>
              <w:rPr>
                <w:rFonts w:ascii="宋体" w:hAnsi="宋体" w:cs="宋体"/>
                <w:b/>
                <w:szCs w:val="21"/>
              </w:rPr>
            </w:pPr>
          </w:p>
        </w:tc>
        <w:tc>
          <w:tcPr>
            <w:tcW w:w="1255" w:type="dxa"/>
            <w:vMerge w:val="continue"/>
          </w:tcPr>
          <w:p w14:paraId="5E79C18C">
            <w:pPr>
              <w:rPr>
                <w:rFonts w:ascii="宋体" w:hAnsi="宋体" w:cs="宋体"/>
                <w:b/>
                <w:szCs w:val="21"/>
              </w:rPr>
            </w:pPr>
          </w:p>
        </w:tc>
        <w:tc>
          <w:tcPr>
            <w:tcW w:w="1615" w:type="dxa"/>
            <w:vAlign w:val="center"/>
          </w:tcPr>
          <w:p w14:paraId="60CFAC87">
            <w:pPr>
              <w:jc w:val="center"/>
              <w:rPr>
                <w:rFonts w:ascii="宋体" w:hAnsi="宋体" w:cs="宋体"/>
                <w:b/>
                <w:szCs w:val="21"/>
              </w:rPr>
            </w:pPr>
            <w:r>
              <w:rPr>
                <w:rFonts w:hint="eastAsia" w:ascii="宋体" w:hAnsi="宋体" w:cs="宋体"/>
                <w:b/>
                <w:szCs w:val="21"/>
              </w:rPr>
              <w:t>3</w:t>
            </w:r>
          </w:p>
        </w:tc>
        <w:tc>
          <w:tcPr>
            <w:tcW w:w="4665" w:type="dxa"/>
            <w:vAlign w:val="center"/>
          </w:tcPr>
          <w:p w14:paraId="5520B282">
            <w:pPr>
              <w:jc w:val="center"/>
              <w:rPr>
                <w:rFonts w:ascii="宋体" w:hAnsi="宋体" w:cs="宋体"/>
                <w:szCs w:val="21"/>
              </w:rPr>
            </w:pPr>
            <w:r>
              <w:rPr>
                <w:rFonts w:hint="eastAsia" w:ascii="宋体" w:hAnsi="宋体" w:cs="宋体"/>
                <w:kern w:val="0"/>
                <w:szCs w:val="21"/>
              </w:rPr>
              <w:t>见投标文件__页</w:t>
            </w:r>
          </w:p>
        </w:tc>
      </w:tr>
      <w:tr w14:paraId="3C07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471CF87">
            <w:pPr>
              <w:rPr>
                <w:rFonts w:ascii="宋体" w:hAnsi="宋体" w:cs="宋体"/>
                <w:b/>
                <w:szCs w:val="21"/>
              </w:rPr>
            </w:pPr>
          </w:p>
        </w:tc>
        <w:tc>
          <w:tcPr>
            <w:tcW w:w="1255" w:type="dxa"/>
            <w:vMerge w:val="continue"/>
          </w:tcPr>
          <w:p w14:paraId="2BB808EC">
            <w:pPr>
              <w:rPr>
                <w:rFonts w:ascii="宋体" w:hAnsi="宋体" w:cs="宋体"/>
                <w:b/>
                <w:szCs w:val="21"/>
              </w:rPr>
            </w:pPr>
          </w:p>
        </w:tc>
        <w:tc>
          <w:tcPr>
            <w:tcW w:w="1615" w:type="dxa"/>
            <w:vAlign w:val="center"/>
          </w:tcPr>
          <w:p w14:paraId="3424377A">
            <w:pPr>
              <w:jc w:val="center"/>
              <w:rPr>
                <w:rFonts w:ascii="宋体" w:hAnsi="宋体" w:cs="宋体"/>
                <w:b/>
                <w:szCs w:val="21"/>
              </w:rPr>
            </w:pPr>
            <w:r>
              <w:rPr>
                <w:rFonts w:hint="eastAsia" w:ascii="宋体" w:hAnsi="宋体" w:cs="宋体"/>
                <w:b/>
                <w:szCs w:val="21"/>
              </w:rPr>
              <w:t>…</w:t>
            </w:r>
          </w:p>
        </w:tc>
        <w:tc>
          <w:tcPr>
            <w:tcW w:w="4665" w:type="dxa"/>
            <w:vAlign w:val="center"/>
          </w:tcPr>
          <w:p w14:paraId="208AEC6C">
            <w:pPr>
              <w:jc w:val="center"/>
              <w:rPr>
                <w:rFonts w:ascii="宋体" w:hAnsi="宋体" w:cs="宋体"/>
                <w:szCs w:val="21"/>
              </w:rPr>
            </w:pPr>
            <w:r>
              <w:rPr>
                <w:rFonts w:hint="eastAsia" w:ascii="宋体" w:hAnsi="宋体" w:cs="宋体"/>
                <w:b/>
                <w:szCs w:val="21"/>
              </w:rPr>
              <w:t>…</w:t>
            </w:r>
          </w:p>
        </w:tc>
      </w:tr>
      <w:tr w14:paraId="4856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AC21305">
            <w:pPr>
              <w:rPr>
                <w:rFonts w:ascii="宋体" w:hAnsi="宋体" w:cs="宋体"/>
                <w:b/>
                <w:szCs w:val="21"/>
              </w:rPr>
            </w:pPr>
          </w:p>
        </w:tc>
        <w:tc>
          <w:tcPr>
            <w:tcW w:w="1255" w:type="dxa"/>
            <w:vMerge w:val="restart"/>
            <w:vAlign w:val="center"/>
          </w:tcPr>
          <w:p w14:paraId="3B9A584A">
            <w:pPr>
              <w:jc w:val="center"/>
              <w:rPr>
                <w:rFonts w:ascii="宋体" w:hAnsi="宋体" w:cs="宋体"/>
                <w:b/>
                <w:szCs w:val="21"/>
              </w:rPr>
            </w:pPr>
            <w:r>
              <w:rPr>
                <w:rFonts w:hint="eastAsia" w:ascii="宋体" w:hAnsi="宋体" w:cs="宋体"/>
                <w:b/>
                <w:szCs w:val="21"/>
              </w:rPr>
              <w:t>符合性</w:t>
            </w:r>
          </w:p>
        </w:tc>
        <w:tc>
          <w:tcPr>
            <w:tcW w:w="1615" w:type="dxa"/>
            <w:vAlign w:val="center"/>
          </w:tcPr>
          <w:p w14:paraId="14D104BD">
            <w:pPr>
              <w:jc w:val="center"/>
              <w:rPr>
                <w:rFonts w:ascii="宋体" w:hAnsi="宋体" w:cs="宋体"/>
                <w:b/>
                <w:szCs w:val="21"/>
              </w:rPr>
            </w:pPr>
            <w:r>
              <w:rPr>
                <w:rFonts w:hint="eastAsia" w:ascii="宋体" w:hAnsi="宋体" w:cs="宋体"/>
                <w:b/>
                <w:szCs w:val="21"/>
              </w:rPr>
              <w:t>1</w:t>
            </w:r>
          </w:p>
        </w:tc>
        <w:tc>
          <w:tcPr>
            <w:tcW w:w="4665" w:type="dxa"/>
            <w:vAlign w:val="center"/>
          </w:tcPr>
          <w:p w14:paraId="0E23684E">
            <w:pPr>
              <w:jc w:val="center"/>
              <w:rPr>
                <w:rFonts w:ascii="宋体" w:hAnsi="宋体" w:cs="宋体"/>
                <w:szCs w:val="21"/>
              </w:rPr>
            </w:pPr>
            <w:r>
              <w:rPr>
                <w:rFonts w:hint="eastAsia" w:ascii="宋体" w:hAnsi="宋体" w:cs="宋体"/>
                <w:kern w:val="0"/>
                <w:szCs w:val="21"/>
              </w:rPr>
              <w:t>见投标文件__页</w:t>
            </w:r>
          </w:p>
        </w:tc>
      </w:tr>
      <w:tr w14:paraId="0B28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E3B1B85">
            <w:pPr>
              <w:rPr>
                <w:rFonts w:ascii="宋体" w:hAnsi="宋体" w:cs="宋体"/>
                <w:b/>
                <w:szCs w:val="21"/>
              </w:rPr>
            </w:pPr>
          </w:p>
        </w:tc>
        <w:tc>
          <w:tcPr>
            <w:tcW w:w="1255" w:type="dxa"/>
            <w:vMerge w:val="continue"/>
          </w:tcPr>
          <w:p w14:paraId="6FB51B5E">
            <w:pPr>
              <w:rPr>
                <w:rFonts w:ascii="宋体" w:hAnsi="宋体" w:cs="宋体"/>
                <w:b/>
                <w:szCs w:val="21"/>
              </w:rPr>
            </w:pPr>
          </w:p>
        </w:tc>
        <w:tc>
          <w:tcPr>
            <w:tcW w:w="1615" w:type="dxa"/>
            <w:vAlign w:val="center"/>
          </w:tcPr>
          <w:p w14:paraId="7F990686">
            <w:pPr>
              <w:jc w:val="center"/>
              <w:rPr>
                <w:rFonts w:ascii="宋体" w:hAnsi="宋体" w:cs="宋体"/>
                <w:b/>
                <w:szCs w:val="21"/>
              </w:rPr>
            </w:pPr>
            <w:r>
              <w:rPr>
                <w:rFonts w:hint="eastAsia" w:ascii="宋体" w:hAnsi="宋体" w:cs="宋体"/>
                <w:b/>
                <w:szCs w:val="21"/>
              </w:rPr>
              <w:t>2</w:t>
            </w:r>
          </w:p>
        </w:tc>
        <w:tc>
          <w:tcPr>
            <w:tcW w:w="4665" w:type="dxa"/>
            <w:vAlign w:val="center"/>
          </w:tcPr>
          <w:p w14:paraId="297A07B8">
            <w:pPr>
              <w:jc w:val="center"/>
              <w:rPr>
                <w:rFonts w:ascii="宋体" w:hAnsi="宋体" w:cs="宋体"/>
                <w:szCs w:val="21"/>
              </w:rPr>
            </w:pPr>
            <w:r>
              <w:rPr>
                <w:rFonts w:hint="eastAsia" w:ascii="宋体" w:hAnsi="宋体" w:cs="宋体"/>
                <w:kern w:val="0"/>
                <w:szCs w:val="21"/>
              </w:rPr>
              <w:t>见投标文件__页</w:t>
            </w:r>
          </w:p>
        </w:tc>
      </w:tr>
      <w:tr w14:paraId="7FEB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472012E">
            <w:pPr>
              <w:rPr>
                <w:rFonts w:ascii="宋体" w:hAnsi="宋体" w:cs="宋体"/>
                <w:b/>
                <w:szCs w:val="21"/>
              </w:rPr>
            </w:pPr>
          </w:p>
        </w:tc>
        <w:tc>
          <w:tcPr>
            <w:tcW w:w="1255" w:type="dxa"/>
            <w:vMerge w:val="continue"/>
          </w:tcPr>
          <w:p w14:paraId="73E6DCBF">
            <w:pPr>
              <w:rPr>
                <w:rFonts w:ascii="宋体" w:hAnsi="宋体" w:cs="宋体"/>
                <w:b/>
                <w:szCs w:val="21"/>
              </w:rPr>
            </w:pPr>
          </w:p>
        </w:tc>
        <w:tc>
          <w:tcPr>
            <w:tcW w:w="1615" w:type="dxa"/>
            <w:vAlign w:val="center"/>
          </w:tcPr>
          <w:p w14:paraId="536F20D5">
            <w:pPr>
              <w:jc w:val="center"/>
              <w:rPr>
                <w:rFonts w:ascii="宋体" w:hAnsi="宋体" w:cs="宋体"/>
                <w:b/>
                <w:szCs w:val="21"/>
              </w:rPr>
            </w:pPr>
            <w:r>
              <w:rPr>
                <w:rFonts w:hint="eastAsia" w:ascii="宋体" w:hAnsi="宋体" w:cs="宋体"/>
                <w:b/>
                <w:szCs w:val="21"/>
              </w:rPr>
              <w:t>3</w:t>
            </w:r>
          </w:p>
        </w:tc>
        <w:tc>
          <w:tcPr>
            <w:tcW w:w="4665" w:type="dxa"/>
            <w:vAlign w:val="center"/>
          </w:tcPr>
          <w:p w14:paraId="7FDEFBBD">
            <w:pPr>
              <w:jc w:val="center"/>
              <w:rPr>
                <w:rFonts w:ascii="宋体" w:hAnsi="宋体" w:cs="宋体"/>
                <w:szCs w:val="21"/>
              </w:rPr>
            </w:pPr>
            <w:r>
              <w:rPr>
                <w:rFonts w:hint="eastAsia" w:ascii="宋体" w:hAnsi="宋体" w:cs="宋体"/>
                <w:kern w:val="0"/>
                <w:szCs w:val="21"/>
              </w:rPr>
              <w:t>见投标文件__页</w:t>
            </w:r>
          </w:p>
        </w:tc>
      </w:tr>
      <w:tr w14:paraId="6BCC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A2C8F19">
            <w:pPr>
              <w:rPr>
                <w:rFonts w:ascii="宋体" w:hAnsi="宋体" w:cs="宋体"/>
                <w:b/>
                <w:szCs w:val="21"/>
              </w:rPr>
            </w:pPr>
          </w:p>
        </w:tc>
        <w:tc>
          <w:tcPr>
            <w:tcW w:w="1255" w:type="dxa"/>
            <w:vMerge w:val="continue"/>
          </w:tcPr>
          <w:p w14:paraId="6B3F44E8">
            <w:pPr>
              <w:rPr>
                <w:rFonts w:ascii="宋体" w:hAnsi="宋体" w:cs="宋体"/>
                <w:b/>
                <w:szCs w:val="21"/>
              </w:rPr>
            </w:pPr>
          </w:p>
        </w:tc>
        <w:tc>
          <w:tcPr>
            <w:tcW w:w="1615" w:type="dxa"/>
            <w:vAlign w:val="center"/>
          </w:tcPr>
          <w:p w14:paraId="52DF74FA">
            <w:pPr>
              <w:jc w:val="center"/>
              <w:rPr>
                <w:rFonts w:ascii="宋体" w:hAnsi="宋体" w:cs="宋体"/>
                <w:b/>
                <w:szCs w:val="21"/>
              </w:rPr>
            </w:pPr>
            <w:r>
              <w:rPr>
                <w:rFonts w:hint="eastAsia" w:ascii="宋体" w:hAnsi="宋体" w:cs="宋体"/>
                <w:b/>
                <w:szCs w:val="21"/>
              </w:rPr>
              <w:t>…</w:t>
            </w:r>
          </w:p>
        </w:tc>
        <w:tc>
          <w:tcPr>
            <w:tcW w:w="4665" w:type="dxa"/>
            <w:vAlign w:val="center"/>
          </w:tcPr>
          <w:p w14:paraId="4203022B">
            <w:pPr>
              <w:jc w:val="center"/>
              <w:rPr>
                <w:rFonts w:ascii="宋体" w:hAnsi="宋体" w:cs="宋体"/>
                <w:szCs w:val="21"/>
              </w:rPr>
            </w:pPr>
            <w:r>
              <w:rPr>
                <w:rFonts w:hint="eastAsia" w:ascii="宋体" w:hAnsi="宋体" w:cs="宋体"/>
                <w:b/>
                <w:szCs w:val="21"/>
              </w:rPr>
              <w:t>…</w:t>
            </w:r>
          </w:p>
        </w:tc>
      </w:tr>
      <w:tr w14:paraId="3659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5A94B696">
            <w:pPr>
              <w:jc w:val="center"/>
              <w:rPr>
                <w:rFonts w:ascii="宋体" w:hAnsi="宋体" w:cs="宋体"/>
                <w:b/>
                <w:szCs w:val="21"/>
              </w:rPr>
            </w:pPr>
            <w:r>
              <w:rPr>
                <w:rFonts w:hint="eastAsia" w:ascii="宋体" w:hAnsi="宋体" w:cs="宋体"/>
                <w:b/>
                <w:szCs w:val="21"/>
              </w:rPr>
              <w:t>综合评分</w:t>
            </w:r>
          </w:p>
        </w:tc>
        <w:tc>
          <w:tcPr>
            <w:tcW w:w="1255" w:type="dxa"/>
            <w:vMerge w:val="restart"/>
            <w:vAlign w:val="center"/>
          </w:tcPr>
          <w:p w14:paraId="5AE3E37A">
            <w:pPr>
              <w:jc w:val="center"/>
              <w:rPr>
                <w:rFonts w:ascii="宋体" w:hAnsi="宋体" w:cs="宋体"/>
                <w:b/>
                <w:szCs w:val="21"/>
              </w:rPr>
            </w:pPr>
            <w:r>
              <w:rPr>
                <w:rFonts w:hint="eastAsia" w:ascii="宋体" w:hAnsi="宋体" w:cs="宋体"/>
                <w:b/>
                <w:szCs w:val="21"/>
              </w:rPr>
              <w:t>技术打分</w:t>
            </w:r>
          </w:p>
        </w:tc>
        <w:tc>
          <w:tcPr>
            <w:tcW w:w="1615" w:type="dxa"/>
            <w:vAlign w:val="center"/>
          </w:tcPr>
          <w:p w14:paraId="6243BE42">
            <w:pPr>
              <w:jc w:val="center"/>
              <w:rPr>
                <w:rFonts w:ascii="宋体" w:hAnsi="宋体" w:cs="宋体"/>
                <w:b/>
                <w:szCs w:val="21"/>
              </w:rPr>
            </w:pPr>
            <w:r>
              <w:rPr>
                <w:rFonts w:hint="eastAsia" w:ascii="宋体" w:hAnsi="宋体" w:cs="宋体"/>
                <w:b/>
                <w:szCs w:val="21"/>
              </w:rPr>
              <w:t>1</w:t>
            </w:r>
          </w:p>
        </w:tc>
        <w:tc>
          <w:tcPr>
            <w:tcW w:w="4665" w:type="dxa"/>
            <w:vAlign w:val="center"/>
          </w:tcPr>
          <w:p w14:paraId="49B9A8E6">
            <w:pPr>
              <w:jc w:val="center"/>
              <w:rPr>
                <w:rFonts w:ascii="宋体" w:hAnsi="宋体" w:cs="宋体"/>
                <w:szCs w:val="21"/>
              </w:rPr>
            </w:pPr>
            <w:r>
              <w:rPr>
                <w:rFonts w:hint="eastAsia" w:ascii="宋体" w:hAnsi="宋体" w:cs="宋体"/>
                <w:kern w:val="0"/>
                <w:szCs w:val="21"/>
              </w:rPr>
              <w:t>见投标文件__页</w:t>
            </w:r>
          </w:p>
        </w:tc>
      </w:tr>
      <w:tr w14:paraId="51D6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01860FD">
            <w:pPr>
              <w:rPr>
                <w:rFonts w:ascii="宋体" w:hAnsi="宋体" w:cs="宋体"/>
                <w:b/>
                <w:szCs w:val="21"/>
              </w:rPr>
            </w:pPr>
          </w:p>
        </w:tc>
        <w:tc>
          <w:tcPr>
            <w:tcW w:w="1255" w:type="dxa"/>
            <w:vMerge w:val="continue"/>
          </w:tcPr>
          <w:p w14:paraId="406DE762">
            <w:pPr>
              <w:rPr>
                <w:rFonts w:ascii="宋体" w:hAnsi="宋体" w:cs="宋体"/>
                <w:b/>
                <w:szCs w:val="21"/>
              </w:rPr>
            </w:pPr>
          </w:p>
        </w:tc>
        <w:tc>
          <w:tcPr>
            <w:tcW w:w="1615" w:type="dxa"/>
            <w:vAlign w:val="center"/>
          </w:tcPr>
          <w:p w14:paraId="5910F49E">
            <w:pPr>
              <w:jc w:val="center"/>
              <w:rPr>
                <w:rFonts w:ascii="宋体" w:hAnsi="宋体" w:cs="宋体"/>
                <w:b/>
                <w:szCs w:val="21"/>
              </w:rPr>
            </w:pPr>
            <w:r>
              <w:rPr>
                <w:rFonts w:hint="eastAsia" w:ascii="宋体" w:hAnsi="宋体" w:cs="宋体"/>
                <w:b/>
                <w:szCs w:val="21"/>
              </w:rPr>
              <w:t>2</w:t>
            </w:r>
          </w:p>
        </w:tc>
        <w:tc>
          <w:tcPr>
            <w:tcW w:w="4665" w:type="dxa"/>
            <w:vAlign w:val="center"/>
          </w:tcPr>
          <w:p w14:paraId="48814A3A">
            <w:pPr>
              <w:jc w:val="center"/>
              <w:rPr>
                <w:rFonts w:ascii="宋体" w:hAnsi="宋体" w:cs="宋体"/>
                <w:szCs w:val="21"/>
              </w:rPr>
            </w:pPr>
            <w:r>
              <w:rPr>
                <w:rFonts w:hint="eastAsia" w:ascii="宋体" w:hAnsi="宋体" w:cs="宋体"/>
                <w:kern w:val="0"/>
                <w:szCs w:val="21"/>
              </w:rPr>
              <w:t>见投标文件__页</w:t>
            </w:r>
          </w:p>
        </w:tc>
      </w:tr>
      <w:tr w14:paraId="20F5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709437C">
            <w:pPr>
              <w:rPr>
                <w:rFonts w:ascii="宋体" w:hAnsi="宋体" w:cs="宋体"/>
                <w:b/>
                <w:szCs w:val="21"/>
              </w:rPr>
            </w:pPr>
          </w:p>
        </w:tc>
        <w:tc>
          <w:tcPr>
            <w:tcW w:w="1255" w:type="dxa"/>
            <w:vMerge w:val="continue"/>
          </w:tcPr>
          <w:p w14:paraId="27205B41">
            <w:pPr>
              <w:rPr>
                <w:rFonts w:ascii="宋体" w:hAnsi="宋体" w:cs="宋体"/>
                <w:b/>
                <w:szCs w:val="21"/>
              </w:rPr>
            </w:pPr>
          </w:p>
        </w:tc>
        <w:tc>
          <w:tcPr>
            <w:tcW w:w="1615" w:type="dxa"/>
            <w:vAlign w:val="center"/>
          </w:tcPr>
          <w:p w14:paraId="2CAB7AFB">
            <w:pPr>
              <w:jc w:val="center"/>
              <w:rPr>
                <w:rFonts w:ascii="宋体" w:hAnsi="宋体" w:cs="宋体"/>
                <w:b/>
                <w:szCs w:val="21"/>
              </w:rPr>
            </w:pPr>
            <w:r>
              <w:rPr>
                <w:rFonts w:hint="eastAsia" w:ascii="宋体" w:hAnsi="宋体" w:cs="宋体"/>
                <w:b/>
                <w:szCs w:val="21"/>
              </w:rPr>
              <w:t>…</w:t>
            </w:r>
          </w:p>
        </w:tc>
        <w:tc>
          <w:tcPr>
            <w:tcW w:w="4665" w:type="dxa"/>
            <w:vAlign w:val="center"/>
          </w:tcPr>
          <w:p w14:paraId="28FB7C0B">
            <w:pPr>
              <w:jc w:val="center"/>
              <w:rPr>
                <w:rFonts w:ascii="宋体" w:hAnsi="宋体" w:cs="宋体"/>
                <w:szCs w:val="21"/>
              </w:rPr>
            </w:pPr>
            <w:r>
              <w:rPr>
                <w:rFonts w:hint="eastAsia" w:ascii="宋体" w:hAnsi="宋体" w:cs="宋体"/>
                <w:b/>
                <w:szCs w:val="21"/>
              </w:rPr>
              <w:t>…</w:t>
            </w:r>
          </w:p>
        </w:tc>
      </w:tr>
      <w:tr w14:paraId="6ADA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4E1BB08">
            <w:pPr>
              <w:rPr>
                <w:rFonts w:ascii="宋体" w:hAnsi="宋体" w:cs="宋体"/>
                <w:b/>
                <w:szCs w:val="21"/>
              </w:rPr>
            </w:pPr>
          </w:p>
        </w:tc>
        <w:tc>
          <w:tcPr>
            <w:tcW w:w="1255" w:type="dxa"/>
            <w:vMerge w:val="restart"/>
            <w:vAlign w:val="center"/>
          </w:tcPr>
          <w:p w14:paraId="0ECD0F05">
            <w:pPr>
              <w:jc w:val="center"/>
              <w:rPr>
                <w:rFonts w:ascii="宋体" w:hAnsi="宋体" w:cs="宋体"/>
                <w:b/>
                <w:szCs w:val="21"/>
              </w:rPr>
            </w:pPr>
            <w:r>
              <w:rPr>
                <w:rFonts w:hint="eastAsia"/>
                <w:b/>
              </w:rPr>
              <w:t>综合实力</w:t>
            </w:r>
          </w:p>
        </w:tc>
        <w:tc>
          <w:tcPr>
            <w:tcW w:w="1615" w:type="dxa"/>
            <w:vAlign w:val="center"/>
          </w:tcPr>
          <w:p w14:paraId="46F7FC7D">
            <w:pPr>
              <w:jc w:val="center"/>
              <w:rPr>
                <w:rFonts w:ascii="宋体" w:hAnsi="宋体" w:cs="宋体"/>
                <w:b/>
                <w:szCs w:val="21"/>
              </w:rPr>
            </w:pPr>
            <w:r>
              <w:rPr>
                <w:rFonts w:hint="eastAsia" w:ascii="宋体" w:hAnsi="宋体" w:cs="宋体"/>
                <w:b/>
                <w:szCs w:val="21"/>
              </w:rPr>
              <w:t>1</w:t>
            </w:r>
          </w:p>
        </w:tc>
        <w:tc>
          <w:tcPr>
            <w:tcW w:w="4665" w:type="dxa"/>
            <w:vAlign w:val="center"/>
          </w:tcPr>
          <w:p w14:paraId="10F7685D">
            <w:pPr>
              <w:jc w:val="center"/>
              <w:rPr>
                <w:rFonts w:ascii="宋体" w:hAnsi="宋体" w:cs="宋体"/>
                <w:szCs w:val="21"/>
              </w:rPr>
            </w:pPr>
            <w:r>
              <w:rPr>
                <w:rFonts w:hint="eastAsia" w:ascii="宋体" w:hAnsi="宋体" w:cs="宋体"/>
                <w:kern w:val="0"/>
                <w:szCs w:val="21"/>
              </w:rPr>
              <w:t>见投标文件__页</w:t>
            </w:r>
          </w:p>
        </w:tc>
      </w:tr>
      <w:tr w14:paraId="6B07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A3B5B8E">
            <w:pPr>
              <w:rPr>
                <w:rFonts w:ascii="宋体" w:hAnsi="宋体" w:cs="宋体"/>
                <w:b/>
                <w:szCs w:val="21"/>
              </w:rPr>
            </w:pPr>
          </w:p>
        </w:tc>
        <w:tc>
          <w:tcPr>
            <w:tcW w:w="1255" w:type="dxa"/>
            <w:vMerge w:val="continue"/>
          </w:tcPr>
          <w:p w14:paraId="0F7F6816">
            <w:pPr>
              <w:rPr>
                <w:rFonts w:ascii="宋体" w:hAnsi="宋体" w:cs="宋体"/>
                <w:b/>
                <w:szCs w:val="21"/>
              </w:rPr>
            </w:pPr>
          </w:p>
        </w:tc>
        <w:tc>
          <w:tcPr>
            <w:tcW w:w="1615" w:type="dxa"/>
            <w:vAlign w:val="center"/>
          </w:tcPr>
          <w:p w14:paraId="1CEE6494">
            <w:pPr>
              <w:jc w:val="center"/>
              <w:rPr>
                <w:rFonts w:ascii="宋体" w:hAnsi="宋体" w:cs="宋体"/>
                <w:b/>
                <w:szCs w:val="21"/>
              </w:rPr>
            </w:pPr>
            <w:r>
              <w:rPr>
                <w:rFonts w:hint="eastAsia" w:ascii="宋体" w:hAnsi="宋体" w:cs="宋体"/>
                <w:b/>
                <w:szCs w:val="21"/>
              </w:rPr>
              <w:t>2</w:t>
            </w:r>
          </w:p>
        </w:tc>
        <w:tc>
          <w:tcPr>
            <w:tcW w:w="4665" w:type="dxa"/>
            <w:vAlign w:val="center"/>
          </w:tcPr>
          <w:p w14:paraId="22858FDC">
            <w:pPr>
              <w:jc w:val="center"/>
              <w:rPr>
                <w:rFonts w:ascii="宋体" w:hAnsi="宋体" w:cs="宋体"/>
                <w:szCs w:val="21"/>
              </w:rPr>
            </w:pPr>
            <w:r>
              <w:rPr>
                <w:rFonts w:hint="eastAsia" w:ascii="宋体" w:hAnsi="宋体" w:cs="宋体"/>
                <w:kern w:val="0"/>
                <w:szCs w:val="21"/>
              </w:rPr>
              <w:t>见投标文件__页</w:t>
            </w:r>
          </w:p>
        </w:tc>
      </w:tr>
      <w:tr w14:paraId="2956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02F6C008">
            <w:pPr>
              <w:rPr>
                <w:rFonts w:ascii="宋体" w:hAnsi="宋体" w:cs="宋体"/>
                <w:b/>
                <w:szCs w:val="21"/>
              </w:rPr>
            </w:pPr>
          </w:p>
        </w:tc>
        <w:tc>
          <w:tcPr>
            <w:tcW w:w="1255" w:type="dxa"/>
            <w:vMerge w:val="continue"/>
          </w:tcPr>
          <w:p w14:paraId="70C009A9">
            <w:pPr>
              <w:rPr>
                <w:rFonts w:ascii="宋体" w:hAnsi="宋体" w:cs="宋体"/>
                <w:b/>
                <w:szCs w:val="21"/>
              </w:rPr>
            </w:pPr>
          </w:p>
        </w:tc>
        <w:tc>
          <w:tcPr>
            <w:tcW w:w="1615" w:type="dxa"/>
            <w:vAlign w:val="center"/>
          </w:tcPr>
          <w:p w14:paraId="62E897D4">
            <w:pPr>
              <w:jc w:val="center"/>
              <w:rPr>
                <w:rFonts w:ascii="宋体" w:hAnsi="宋体" w:cs="宋体"/>
                <w:b/>
                <w:szCs w:val="21"/>
              </w:rPr>
            </w:pPr>
            <w:r>
              <w:rPr>
                <w:rFonts w:hint="eastAsia" w:ascii="宋体" w:hAnsi="宋体" w:cs="宋体"/>
                <w:b/>
                <w:szCs w:val="21"/>
              </w:rPr>
              <w:t>…</w:t>
            </w:r>
          </w:p>
        </w:tc>
        <w:tc>
          <w:tcPr>
            <w:tcW w:w="4665" w:type="dxa"/>
            <w:vAlign w:val="center"/>
          </w:tcPr>
          <w:p w14:paraId="77AA3334">
            <w:pPr>
              <w:jc w:val="center"/>
              <w:rPr>
                <w:rFonts w:ascii="宋体" w:hAnsi="宋体" w:cs="宋体"/>
                <w:szCs w:val="21"/>
              </w:rPr>
            </w:pPr>
            <w:r>
              <w:rPr>
                <w:rFonts w:hint="eastAsia" w:ascii="宋体" w:hAnsi="宋体" w:cs="宋体"/>
                <w:b/>
                <w:szCs w:val="21"/>
              </w:rPr>
              <w:t>…</w:t>
            </w:r>
          </w:p>
        </w:tc>
      </w:tr>
    </w:tbl>
    <w:p w14:paraId="62913EE1">
      <w:pPr>
        <w:pStyle w:val="5"/>
        <w:sectPr>
          <w:headerReference r:id="rId3" w:type="default"/>
          <w:pgSz w:w="11906" w:h="16838"/>
          <w:pgMar w:top="1440" w:right="1134" w:bottom="1440" w:left="1134" w:header="851" w:footer="992" w:gutter="0"/>
          <w:cols w:space="720" w:num="1"/>
          <w:docGrid w:type="lines" w:linePitch="312" w:charSpace="0"/>
        </w:sectPr>
      </w:pPr>
    </w:p>
    <w:p w14:paraId="5A99B989">
      <w:pPr>
        <w:tabs>
          <w:tab w:val="left" w:pos="2160"/>
          <w:tab w:val="left" w:pos="4725"/>
          <w:tab w:val="left" w:pos="5775"/>
        </w:tabs>
        <w:rPr>
          <w:rFonts w:ascii="宋体" w:hAnsi="宋体"/>
          <w:b/>
          <w:bCs/>
          <w:szCs w:val="21"/>
        </w:rPr>
      </w:pPr>
      <w:r>
        <w:rPr>
          <w:rFonts w:hint="eastAsia" w:ascii="宋体" w:hAnsi="宋体"/>
          <w:b/>
          <w:bCs/>
          <w:szCs w:val="21"/>
        </w:rPr>
        <w:t>（一）第一部分：</w:t>
      </w:r>
      <w:r>
        <w:rPr>
          <w:rFonts w:hint="eastAsia" w:ascii="仿宋" w:hAnsi="仿宋" w:eastAsia="仿宋"/>
          <w:b/>
          <w:color w:val="000000"/>
          <w:sz w:val="24"/>
        </w:rPr>
        <w:t>报价</w:t>
      </w:r>
      <w:r>
        <w:rPr>
          <w:rFonts w:hint="eastAsia" w:ascii="宋体" w:hAnsi="宋体"/>
          <w:b/>
          <w:bCs/>
          <w:szCs w:val="21"/>
        </w:rPr>
        <w:t>清单</w:t>
      </w:r>
    </w:p>
    <w:p w14:paraId="5E16E3DE">
      <w:pPr>
        <w:spacing w:line="360" w:lineRule="exact"/>
        <w:rPr>
          <w:rFonts w:ascii="宋体" w:hAnsi="宋体" w:eastAsia="仿宋"/>
          <w:b/>
          <w:bCs/>
          <w:szCs w:val="21"/>
        </w:rPr>
      </w:pPr>
      <w:r>
        <w:rPr>
          <w:rFonts w:hint="eastAsia" w:ascii="仿宋" w:hAnsi="仿宋" w:eastAsia="仿宋"/>
          <w:b/>
          <w:color w:val="000000"/>
          <w:sz w:val="24"/>
        </w:rPr>
        <w:t>附件一、报价清单（</w:t>
      </w:r>
      <w:r>
        <w:rPr>
          <w:rFonts w:hint="eastAsia"/>
          <w:b/>
          <w:bCs/>
        </w:rPr>
        <w:t>包括在投标总价内</w:t>
      </w:r>
      <w:r>
        <w:rPr>
          <w:rFonts w:hint="eastAsia" w:ascii="仿宋" w:hAnsi="仿宋" w:eastAsia="仿宋"/>
          <w:b/>
          <w:color w:val="000000"/>
          <w:sz w:val="24"/>
        </w:rPr>
        <w:t>）</w:t>
      </w:r>
    </w:p>
    <w:p w14:paraId="5B4D7849">
      <w:pPr>
        <w:pStyle w:val="4"/>
        <w:spacing w:before="0" w:after="0" w:line="360" w:lineRule="exact"/>
        <w:ind w:firstLine="949" w:firstLineChars="450"/>
        <w:jc w:val="right"/>
        <w:rPr>
          <w:b w:val="0"/>
          <w:bCs w:val="0"/>
          <w:kern w:val="2"/>
          <w:sz w:val="21"/>
          <w:szCs w:val="21"/>
        </w:rPr>
      </w:pPr>
      <w:r>
        <w:rPr>
          <w:rFonts w:hint="eastAsia"/>
          <w:sz w:val="21"/>
          <w:szCs w:val="21"/>
        </w:rPr>
        <w:t>报价单位：人民币元</w:t>
      </w:r>
    </w:p>
    <w:tbl>
      <w:tblPr>
        <w:tblStyle w:val="18"/>
        <w:tblW w:w="4144" w:type="pct"/>
        <w:jc w:val="center"/>
        <w:tblLayout w:type="autofit"/>
        <w:tblCellMar>
          <w:top w:w="0" w:type="dxa"/>
          <w:left w:w="108" w:type="dxa"/>
          <w:bottom w:w="0" w:type="dxa"/>
          <w:right w:w="108" w:type="dxa"/>
        </w:tblCellMar>
      </w:tblPr>
      <w:tblGrid>
        <w:gridCol w:w="654"/>
        <w:gridCol w:w="2553"/>
        <w:gridCol w:w="637"/>
        <w:gridCol w:w="636"/>
        <w:gridCol w:w="636"/>
        <w:gridCol w:w="1947"/>
      </w:tblGrid>
      <w:tr w14:paraId="38E87D11">
        <w:tblPrEx>
          <w:tblCellMar>
            <w:top w:w="0" w:type="dxa"/>
            <w:left w:w="108" w:type="dxa"/>
            <w:bottom w:w="0" w:type="dxa"/>
            <w:right w:w="108" w:type="dxa"/>
          </w:tblCellMar>
        </w:tblPrEx>
        <w:trPr>
          <w:trHeight w:val="459" w:hRule="atLeast"/>
          <w:jc w:val="center"/>
        </w:trPr>
        <w:tc>
          <w:tcPr>
            <w:tcW w:w="464" w:type="pct"/>
            <w:tcBorders>
              <w:top w:val="single" w:color="auto" w:sz="4" w:space="0"/>
              <w:left w:val="single" w:color="auto" w:sz="4" w:space="0"/>
              <w:bottom w:val="single" w:color="auto" w:sz="4" w:space="0"/>
              <w:right w:val="single" w:color="auto" w:sz="4" w:space="0"/>
            </w:tcBorders>
            <w:noWrap/>
            <w:vAlign w:val="center"/>
          </w:tcPr>
          <w:p w14:paraId="74C6C73B">
            <w:pPr>
              <w:widowControl/>
              <w:spacing w:line="360" w:lineRule="exact"/>
              <w:jc w:val="center"/>
              <w:rPr>
                <w:rFonts w:ascii="宋体" w:hAnsi="宋体" w:cs="宋体"/>
                <w:kern w:val="0"/>
                <w:szCs w:val="21"/>
              </w:rPr>
            </w:pPr>
            <w:r>
              <w:rPr>
                <w:rFonts w:hint="eastAsia" w:ascii="宋体" w:hAnsi="宋体" w:cs="宋体"/>
                <w:kern w:val="0"/>
                <w:szCs w:val="21"/>
              </w:rPr>
              <w:t>序号</w:t>
            </w:r>
          </w:p>
        </w:tc>
        <w:tc>
          <w:tcPr>
            <w:tcW w:w="1807" w:type="pct"/>
            <w:tcBorders>
              <w:top w:val="single" w:color="auto" w:sz="4" w:space="0"/>
              <w:left w:val="nil"/>
              <w:bottom w:val="single" w:color="auto" w:sz="4" w:space="0"/>
              <w:right w:val="single" w:color="auto" w:sz="4" w:space="0"/>
            </w:tcBorders>
            <w:vAlign w:val="center"/>
          </w:tcPr>
          <w:p w14:paraId="0FD6E6BC">
            <w:pPr>
              <w:spacing w:line="360" w:lineRule="exact"/>
              <w:jc w:val="center"/>
              <w:rPr>
                <w:rFonts w:ascii="宋体" w:hAnsi="宋体" w:cs="宋体"/>
                <w:kern w:val="0"/>
                <w:szCs w:val="21"/>
              </w:rPr>
            </w:pPr>
            <w:r>
              <w:rPr>
                <w:rFonts w:hint="eastAsia" w:ascii="宋体" w:hAnsi="宋体" w:cs="宋体"/>
                <w:b/>
                <w:bCs/>
                <w:color w:val="000000"/>
                <w:kern w:val="0"/>
                <w:sz w:val="22"/>
                <w:szCs w:val="22"/>
              </w:rPr>
              <w:t>项目名称</w:t>
            </w:r>
          </w:p>
        </w:tc>
        <w:tc>
          <w:tcPr>
            <w:tcW w:w="451" w:type="pct"/>
            <w:tcBorders>
              <w:top w:val="single" w:color="auto" w:sz="4" w:space="0"/>
              <w:left w:val="single" w:color="auto" w:sz="4" w:space="0"/>
              <w:bottom w:val="single" w:color="auto" w:sz="4" w:space="0"/>
              <w:right w:val="single" w:color="auto" w:sz="4" w:space="0"/>
            </w:tcBorders>
            <w:vAlign w:val="center"/>
          </w:tcPr>
          <w:p w14:paraId="2FDE3032">
            <w:pPr>
              <w:widowControl/>
              <w:spacing w:line="360" w:lineRule="exact"/>
              <w:jc w:val="center"/>
              <w:rPr>
                <w:rFonts w:ascii="宋体" w:hAnsi="宋体" w:cs="宋体"/>
                <w:kern w:val="0"/>
                <w:szCs w:val="21"/>
              </w:rPr>
            </w:pPr>
            <w:r>
              <w:rPr>
                <w:rFonts w:hint="eastAsia" w:ascii="宋体" w:hAnsi="宋体" w:cs="宋体"/>
                <w:kern w:val="0"/>
                <w:szCs w:val="21"/>
              </w:rPr>
              <w:t>单位</w:t>
            </w:r>
          </w:p>
        </w:tc>
        <w:tc>
          <w:tcPr>
            <w:tcW w:w="450" w:type="pct"/>
            <w:tcBorders>
              <w:top w:val="single" w:color="auto" w:sz="4" w:space="0"/>
              <w:left w:val="nil"/>
              <w:bottom w:val="single" w:color="auto" w:sz="4" w:space="0"/>
              <w:right w:val="single" w:color="auto" w:sz="4" w:space="0"/>
            </w:tcBorders>
            <w:noWrap/>
            <w:vAlign w:val="center"/>
          </w:tcPr>
          <w:p w14:paraId="6405590B">
            <w:pPr>
              <w:widowControl/>
              <w:spacing w:line="360" w:lineRule="exact"/>
              <w:jc w:val="center"/>
              <w:rPr>
                <w:rFonts w:ascii="宋体" w:hAnsi="宋体" w:cs="宋体"/>
                <w:kern w:val="0"/>
                <w:szCs w:val="21"/>
              </w:rPr>
            </w:pPr>
            <w:r>
              <w:rPr>
                <w:rFonts w:hint="eastAsia" w:ascii="宋体" w:hAnsi="宋体" w:cs="宋体"/>
                <w:kern w:val="0"/>
                <w:szCs w:val="21"/>
              </w:rPr>
              <w:t>数量</w:t>
            </w:r>
          </w:p>
        </w:tc>
        <w:tc>
          <w:tcPr>
            <w:tcW w:w="450" w:type="pct"/>
            <w:tcBorders>
              <w:top w:val="single" w:color="auto" w:sz="4" w:space="0"/>
              <w:left w:val="nil"/>
              <w:bottom w:val="single" w:color="auto" w:sz="4" w:space="0"/>
              <w:right w:val="single" w:color="auto" w:sz="4" w:space="0"/>
            </w:tcBorders>
            <w:noWrap/>
            <w:vAlign w:val="center"/>
          </w:tcPr>
          <w:p w14:paraId="35BEA985">
            <w:pPr>
              <w:widowControl/>
              <w:spacing w:line="360" w:lineRule="exact"/>
              <w:jc w:val="center"/>
              <w:rPr>
                <w:rFonts w:ascii="宋体" w:hAnsi="宋体" w:cs="宋体"/>
                <w:kern w:val="0"/>
                <w:szCs w:val="21"/>
              </w:rPr>
            </w:pPr>
            <w:r>
              <w:rPr>
                <w:rFonts w:hint="eastAsia" w:ascii="宋体" w:hAnsi="宋体" w:cs="宋体"/>
                <w:kern w:val="0"/>
                <w:szCs w:val="21"/>
              </w:rPr>
              <w:t>单价</w:t>
            </w:r>
          </w:p>
        </w:tc>
        <w:tc>
          <w:tcPr>
            <w:tcW w:w="1378" w:type="pct"/>
            <w:tcBorders>
              <w:top w:val="single" w:color="auto" w:sz="4" w:space="0"/>
              <w:left w:val="nil"/>
              <w:bottom w:val="single" w:color="auto" w:sz="4" w:space="0"/>
              <w:right w:val="single" w:color="auto" w:sz="4" w:space="0"/>
            </w:tcBorders>
            <w:vAlign w:val="center"/>
          </w:tcPr>
          <w:p w14:paraId="0FCF3BCC">
            <w:pPr>
              <w:widowControl/>
              <w:spacing w:line="360" w:lineRule="exact"/>
              <w:jc w:val="center"/>
              <w:rPr>
                <w:rFonts w:ascii="宋体" w:hAnsi="宋体" w:cs="宋体"/>
                <w:kern w:val="0"/>
                <w:szCs w:val="21"/>
              </w:rPr>
            </w:pPr>
            <w:r>
              <w:rPr>
                <w:rFonts w:hint="eastAsia" w:ascii="宋体" w:hAnsi="宋体" w:cs="宋体"/>
                <w:kern w:val="0"/>
                <w:szCs w:val="21"/>
              </w:rPr>
              <w:t>合计</w:t>
            </w:r>
          </w:p>
        </w:tc>
      </w:tr>
      <w:tr w14:paraId="6A9AAC0F">
        <w:tblPrEx>
          <w:tblCellMar>
            <w:top w:w="0" w:type="dxa"/>
            <w:left w:w="108" w:type="dxa"/>
            <w:bottom w:w="0" w:type="dxa"/>
            <w:right w:w="108" w:type="dxa"/>
          </w:tblCellMar>
        </w:tblPrEx>
        <w:trPr>
          <w:trHeight w:val="227" w:hRule="atLeast"/>
          <w:jc w:val="center"/>
        </w:trPr>
        <w:tc>
          <w:tcPr>
            <w:tcW w:w="464" w:type="pct"/>
            <w:tcBorders>
              <w:top w:val="nil"/>
              <w:left w:val="single" w:color="auto" w:sz="4" w:space="0"/>
              <w:bottom w:val="single" w:color="auto" w:sz="4" w:space="0"/>
              <w:right w:val="single" w:color="auto" w:sz="4" w:space="0"/>
            </w:tcBorders>
            <w:noWrap/>
            <w:vAlign w:val="center"/>
          </w:tcPr>
          <w:p w14:paraId="30C8DC02">
            <w:pPr>
              <w:widowControl/>
              <w:spacing w:line="360" w:lineRule="exact"/>
              <w:jc w:val="center"/>
              <w:rPr>
                <w:rFonts w:ascii="宋体" w:hAnsi="宋体" w:cs="宋体"/>
                <w:kern w:val="0"/>
                <w:szCs w:val="21"/>
              </w:rPr>
            </w:pPr>
          </w:p>
        </w:tc>
        <w:tc>
          <w:tcPr>
            <w:tcW w:w="1807" w:type="pct"/>
            <w:tcBorders>
              <w:top w:val="nil"/>
              <w:left w:val="nil"/>
              <w:bottom w:val="single" w:color="auto" w:sz="4" w:space="0"/>
              <w:right w:val="single" w:color="auto" w:sz="4" w:space="0"/>
            </w:tcBorders>
            <w:vAlign w:val="center"/>
          </w:tcPr>
          <w:p w14:paraId="26711812">
            <w:pPr>
              <w:spacing w:line="360" w:lineRule="exact"/>
              <w:jc w:val="center"/>
              <w:rPr>
                <w:rFonts w:ascii="宋体" w:hAnsi="宋体"/>
                <w:szCs w:val="21"/>
              </w:rPr>
            </w:pPr>
          </w:p>
        </w:tc>
        <w:tc>
          <w:tcPr>
            <w:tcW w:w="451" w:type="pct"/>
            <w:tcBorders>
              <w:top w:val="nil"/>
              <w:left w:val="single" w:color="auto" w:sz="4" w:space="0"/>
              <w:bottom w:val="single" w:color="auto" w:sz="4" w:space="0"/>
              <w:right w:val="single" w:color="auto" w:sz="4" w:space="0"/>
            </w:tcBorders>
            <w:vAlign w:val="center"/>
          </w:tcPr>
          <w:p w14:paraId="1318D72C">
            <w:pPr>
              <w:spacing w:line="360" w:lineRule="exact"/>
              <w:jc w:val="center"/>
              <w:rPr>
                <w:rFonts w:ascii="宋体" w:hAnsi="宋体"/>
                <w:szCs w:val="21"/>
              </w:rPr>
            </w:pPr>
          </w:p>
        </w:tc>
        <w:tc>
          <w:tcPr>
            <w:tcW w:w="450" w:type="pct"/>
            <w:tcBorders>
              <w:top w:val="nil"/>
              <w:left w:val="nil"/>
              <w:bottom w:val="single" w:color="auto" w:sz="4" w:space="0"/>
              <w:right w:val="single" w:color="auto" w:sz="4" w:space="0"/>
            </w:tcBorders>
            <w:noWrap/>
            <w:vAlign w:val="center"/>
          </w:tcPr>
          <w:p w14:paraId="2770F3F4">
            <w:pPr>
              <w:widowControl/>
              <w:spacing w:line="360" w:lineRule="exact"/>
              <w:jc w:val="center"/>
              <w:rPr>
                <w:rFonts w:ascii="宋体" w:hAnsi="宋体" w:cs="宋体"/>
                <w:kern w:val="0"/>
                <w:szCs w:val="21"/>
              </w:rPr>
            </w:pPr>
          </w:p>
        </w:tc>
        <w:tc>
          <w:tcPr>
            <w:tcW w:w="450" w:type="pct"/>
            <w:tcBorders>
              <w:top w:val="nil"/>
              <w:left w:val="nil"/>
              <w:bottom w:val="single" w:color="auto" w:sz="4" w:space="0"/>
              <w:right w:val="single" w:color="auto" w:sz="4" w:space="0"/>
            </w:tcBorders>
            <w:noWrap/>
            <w:vAlign w:val="center"/>
          </w:tcPr>
          <w:p w14:paraId="515427FE">
            <w:pPr>
              <w:spacing w:line="360" w:lineRule="exact"/>
              <w:jc w:val="center"/>
              <w:rPr>
                <w:rFonts w:ascii="宋体" w:hAnsi="宋体" w:cs="宋体"/>
                <w:kern w:val="0"/>
                <w:szCs w:val="21"/>
              </w:rPr>
            </w:pPr>
          </w:p>
        </w:tc>
        <w:tc>
          <w:tcPr>
            <w:tcW w:w="1378" w:type="pct"/>
            <w:tcBorders>
              <w:top w:val="nil"/>
              <w:left w:val="nil"/>
              <w:bottom w:val="single" w:color="auto" w:sz="4" w:space="0"/>
              <w:right w:val="single" w:color="auto" w:sz="4" w:space="0"/>
            </w:tcBorders>
            <w:vAlign w:val="center"/>
          </w:tcPr>
          <w:p w14:paraId="41D1B791">
            <w:pPr>
              <w:widowControl/>
              <w:spacing w:line="360" w:lineRule="exact"/>
              <w:jc w:val="center"/>
              <w:rPr>
                <w:rFonts w:ascii="宋体" w:hAnsi="宋体" w:cs="宋体"/>
                <w:kern w:val="0"/>
                <w:szCs w:val="21"/>
              </w:rPr>
            </w:pPr>
          </w:p>
        </w:tc>
      </w:tr>
      <w:tr w14:paraId="5D2D7758">
        <w:tblPrEx>
          <w:tblCellMar>
            <w:top w:w="0" w:type="dxa"/>
            <w:left w:w="108" w:type="dxa"/>
            <w:bottom w:w="0" w:type="dxa"/>
            <w:right w:w="108" w:type="dxa"/>
          </w:tblCellMar>
        </w:tblPrEx>
        <w:trPr>
          <w:trHeight w:val="227" w:hRule="atLeast"/>
          <w:jc w:val="center"/>
        </w:trPr>
        <w:tc>
          <w:tcPr>
            <w:tcW w:w="464" w:type="pct"/>
            <w:tcBorders>
              <w:top w:val="single" w:color="auto" w:sz="4" w:space="0"/>
              <w:left w:val="single" w:color="auto" w:sz="4" w:space="0"/>
              <w:bottom w:val="single" w:color="auto" w:sz="4" w:space="0"/>
              <w:right w:val="single" w:color="auto" w:sz="4" w:space="0"/>
            </w:tcBorders>
            <w:noWrap/>
            <w:vAlign w:val="center"/>
          </w:tcPr>
          <w:p w14:paraId="171AB764">
            <w:pPr>
              <w:widowControl/>
              <w:spacing w:line="360" w:lineRule="exact"/>
              <w:jc w:val="center"/>
              <w:rPr>
                <w:rFonts w:ascii="宋体" w:hAnsi="宋体" w:cs="宋体"/>
                <w:kern w:val="0"/>
                <w:szCs w:val="21"/>
              </w:rPr>
            </w:pPr>
          </w:p>
        </w:tc>
        <w:tc>
          <w:tcPr>
            <w:tcW w:w="1807" w:type="pct"/>
            <w:tcBorders>
              <w:top w:val="single" w:color="auto" w:sz="4" w:space="0"/>
              <w:left w:val="nil"/>
              <w:bottom w:val="single" w:color="auto" w:sz="4" w:space="0"/>
              <w:right w:val="single" w:color="auto" w:sz="4" w:space="0"/>
            </w:tcBorders>
            <w:vAlign w:val="center"/>
          </w:tcPr>
          <w:p w14:paraId="2477551D">
            <w:pPr>
              <w:spacing w:line="360" w:lineRule="exact"/>
              <w:jc w:val="center"/>
              <w:rPr>
                <w:rFonts w:ascii="宋体" w:hAnsi="宋体"/>
                <w:szCs w:val="21"/>
              </w:rPr>
            </w:pPr>
          </w:p>
        </w:tc>
        <w:tc>
          <w:tcPr>
            <w:tcW w:w="451" w:type="pct"/>
            <w:tcBorders>
              <w:top w:val="single" w:color="auto" w:sz="4" w:space="0"/>
              <w:left w:val="single" w:color="auto" w:sz="4" w:space="0"/>
              <w:bottom w:val="single" w:color="auto" w:sz="4" w:space="0"/>
              <w:right w:val="single" w:color="auto" w:sz="4" w:space="0"/>
            </w:tcBorders>
            <w:vAlign w:val="center"/>
          </w:tcPr>
          <w:p w14:paraId="24086882">
            <w:pPr>
              <w:spacing w:line="360" w:lineRule="exact"/>
              <w:jc w:val="center"/>
              <w:rPr>
                <w:rFonts w:ascii="宋体" w:hAnsi="宋体"/>
                <w:szCs w:val="21"/>
              </w:rPr>
            </w:pPr>
          </w:p>
        </w:tc>
        <w:tc>
          <w:tcPr>
            <w:tcW w:w="450" w:type="pct"/>
            <w:tcBorders>
              <w:top w:val="single" w:color="auto" w:sz="4" w:space="0"/>
              <w:left w:val="nil"/>
              <w:bottom w:val="single" w:color="auto" w:sz="4" w:space="0"/>
              <w:right w:val="single" w:color="auto" w:sz="4" w:space="0"/>
            </w:tcBorders>
            <w:noWrap/>
            <w:vAlign w:val="center"/>
          </w:tcPr>
          <w:p w14:paraId="19F6EEE4">
            <w:pPr>
              <w:widowControl/>
              <w:spacing w:line="360" w:lineRule="exact"/>
              <w:jc w:val="center"/>
              <w:rPr>
                <w:rFonts w:ascii="宋体" w:hAnsi="宋体" w:cs="宋体"/>
                <w:kern w:val="0"/>
                <w:szCs w:val="21"/>
              </w:rPr>
            </w:pPr>
          </w:p>
        </w:tc>
        <w:tc>
          <w:tcPr>
            <w:tcW w:w="450" w:type="pct"/>
            <w:tcBorders>
              <w:top w:val="single" w:color="auto" w:sz="4" w:space="0"/>
              <w:left w:val="nil"/>
              <w:bottom w:val="single" w:color="auto" w:sz="4" w:space="0"/>
              <w:right w:val="single" w:color="auto" w:sz="4" w:space="0"/>
            </w:tcBorders>
            <w:noWrap/>
            <w:vAlign w:val="center"/>
          </w:tcPr>
          <w:p w14:paraId="07DD6140">
            <w:pPr>
              <w:spacing w:line="360" w:lineRule="exact"/>
              <w:jc w:val="center"/>
              <w:rPr>
                <w:rFonts w:ascii="宋体" w:hAnsi="宋体" w:cs="宋体"/>
                <w:kern w:val="0"/>
                <w:szCs w:val="21"/>
              </w:rPr>
            </w:pPr>
          </w:p>
        </w:tc>
        <w:tc>
          <w:tcPr>
            <w:tcW w:w="1378" w:type="pct"/>
            <w:tcBorders>
              <w:top w:val="single" w:color="auto" w:sz="4" w:space="0"/>
              <w:left w:val="nil"/>
              <w:bottom w:val="single" w:color="auto" w:sz="4" w:space="0"/>
              <w:right w:val="single" w:color="auto" w:sz="4" w:space="0"/>
            </w:tcBorders>
            <w:vAlign w:val="center"/>
          </w:tcPr>
          <w:p w14:paraId="237B6A10">
            <w:pPr>
              <w:widowControl/>
              <w:spacing w:line="360" w:lineRule="exact"/>
              <w:jc w:val="center"/>
              <w:rPr>
                <w:rFonts w:ascii="宋体" w:hAnsi="宋体" w:cs="宋体"/>
                <w:kern w:val="0"/>
                <w:szCs w:val="21"/>
              </w:rPr>
            </w:pPr>
          </w:p>
        </w:tc>
      </w:tr>
      <w:tr w14:paraId="28E78C52">
        <w:tblPrEx>
          <w:tblCellMar>
            <w:top w:w="0" w:type="dxa"/>
            <w:left w:w="108" w:type="dxa"/>
            <w:bottom w:w="0" w:type="dxa"/>
            <w:right w:w="108" w:type="dxa"/>
          </w:tblCellMar>
        </w:tblPrEx>
        <w:trPr>
          <w:trHeight w:val="227" w:hRule="atLeast"/>
          <w:jc w:val="center"/>
        </w:trPr>
        <w:tc>
          <w:tcPr>
            <w:tcW w:w="464" w:type="pct"/>
            <w:tcBorders>
              <w:top w:val="single" w:color="auto" w:sz="4" w:space="0"/>
              <w:left w:val="single" w:color="auto" w:sz="4" w:space="0"/>
              <w:bottom w:val="single" w:color="auto" w:sz="4" w:space="0"/>
              <w:right w:val="single" w:color="auto" w:sz="4" w:space="0"/>
            </w:tcBorders>
            <w:noWrap/>
            <w:vAlign w:val="center"/>
          </w:tcPr>
          <w:p w14:paraId="23218AA7">
            <w:pPr>
              <w:widowControl/>
              <w:spacing w:line="360" w:lineRule="exact"/>
              <w:jc w:val="center"/>
              <w:rPr>
                <w:rFonts w:ascii="宋体" w:hAnsi="宋体" w:cs="宋体"/>
                <w:kern w:val="0"/>
                <w:szCs w:val="21"/>
              </w:rPr>
            </w:pPr>
          </w:p>
        </w:tc>
        <w:tc>
          <w:tcPr>
            <w:tcW w:w="1807" w:type="pct"/>
            <w:tcBorders>
              <w:top w:val="single" w:color="auto" w:sz="4" w:space="0"/>
              <w:left w:val="nil"/>
              <w:bottom w:val="single" w:color="auto" w:sz="4" w:space="0"/>
              <w:right w:val="single" w:color="auto" w:sz="4" w:space="0"/>
            </w:tcBorders>
            <w:vAlign w:val="center"/>
          </w:tcPr>
          <w:p w14:paraId="3217A9B4">
            <w:pPr>
              <w:spacing w:line="360" w:lineRule="exact"/>
              <w:jc w:val="center"/>
              <w:rPr>
                <w:rFonts w:ascii="宋体" w:hAnsi="宋体"/>
                <w:szCs w:val="21"/>
              </w:rPr>
            </w:pPr>
          </w:p>
        </w:tc>
        <w:tc>
          <w:tcPr>
            <w:tcW w:w="451" w:type="pct"/>
            <w:tcBorders>
              <w:top w:val="single" w:color="auto" w:sz="4" w:space="0"/>
              <w:left w:val="single" w:color="auto" w:sz="4" w:space="0"/>
              <w:bottom w:val="single" w:color="auto" w:sz="4" w:space="0"/>
              <w:right w:val="single" w:color="auto" w:sz="4" w:space="0"/>
            </w:tcBorders>
            <w:vAlign w:val="center"/>
          </w:tcPr>
          <w:p w14:paraId="2A996C23">
            <w:pPr>
              <w:spacing w:line="360" w:lineRule="exact"/>
              <w:jc w:val="center"/>
              <w:rPr>
                <w:rFonts w:ascii="宋体" w:hAnsi="宋体"/>
                <w:szCs w:val="21"/>
              </w:rPr>
            </w:pPr>
          </w:p>
        </w:tc>
        <w:tc>
          <w:tcPr>
            <w:tcW w:w="450" w:type="pct"/>
            <w:tcBorders>
              <w:top w:val="single" w:color="auto" w:sz="4" w:space="0"/>
              <w:left w:val="nil"/>
              <w:bottom w:val="single" w:color="auto" w:sz="4" w:space="0"/>
              <w:right w:val="single" w:color="auto" w:sz="4" w:space="0"/>
            </w:tcBorders>
            <w:noWrap/>
            <w:vAlign w:val="center"/>
          </w:tcPr>
          <w:p w14:paraId="16551E21">
            <w:pPr>
              <w:widowControl/>
              <w:spacing w:line="360" w:lineRule="exact"/>
              <w:jc w:val="center"/>
              <w:rPr>
                <w:rFonts w:ascii="宋体" w:hAnsi="宋体" w:cs="宋体"/>
                <w:kern w:val="0"/>
                <w:szCs w:val="21"/>
              </w:rPr>
            </w:pPr>
          </w:p>
        </w:tc>
        <w:tc>
          <w:tcPr>
            <w:tcW w:w="450" w:type="pct"/>
            <w:tcBorders>
              <w:top w:val="single" w:color="auto" w:sz="4" w:space="0"/>
              <w:left w:val="nil"/>
              <w:bottom w:val="single" w:color="auto" w:sz="4" w:space="0"/>
              <w:right w:val="single" w:color="auto" w:sz="4" w:space="0"/>
            </w:tcBorders>
            <w:noWrap/>
            <w:vAlign w:val="center"/>
          </w:tcPr>
          <w:p w14:paraId="71D95BE8">
            <w:pPr>
              <w:spacing w:line="360" w:lineRule="exact"/>
              <w:jc w:val="center"/>
              <w:rPr>
                <w:rFonts w:ascii="宋体" w:hAnsi="宋体" w:cs="宋体"/>
                <w:kern w:val="0"/>
                <w:szCs w:val="21"/>
              </w:rPr>
            </w:pPr>
          </w:p>
        </w:tc>
        <w:tc>
          <w:tcPr>
            <w:tcW w:w="1378" w:type="pct"/>
            <w:tcBorders>
              <w:top w:val="single" w:color="auto" w:sz="4" w:space="0"/>
              <w:left w:val="nil"/>
              <w:bottom w:val="single" w:color="auto" w:sz="4" w:space="0"/>
              <w:right w:val="single" w:color="auto" w:sz="4" w:space="0"/>
            </w:tcBorders>
            <w:vAlign w:val="center"/>
          </w:tcPr>
          <w:p w14:paraId="03F99469">
            <w:pPr>
              <w:widowControl/>
              <w:spacing w:line="360" w:lineRule="exact"/>
              <w:jc w:val="center"/>
              <w:rPr>
                <w:rFonts w:ascii="宋体" w:hAnsi="宋体" w:cs="宋体"/>
                <w:kern w:val="0"/>
                <w:szCs w:val="21"/>
              </w:rPr>
            </w:pPr>
          </w:p>
        </w:tc>
      </w:tr>
    </w:tbl>
    <w:p w14:paraId="2E64CFE7">
      <w:pPr>
        <w:widowControl/>
        <w:spacing w:line="360" w:lineRule="exact"/>
        <w:jc w:val="center"/>
        <w:rPr>
          <w:rFonts w:ascii="宋体" w:hAnsi="宋体" w:cs="宋体"/>
          <w:b/>
          <w:bCs/>
          <w:color w:val="000000"/>
          <w:kern w:val="0"/>
          <w:szCs w:val="21"/>
        </w:rPr>
      </w:pPr>
      <w:r>
        <w:rPr>
          <w:rFonts w:hint="eastAsia" w:ascii="宋体" w:hAnsi="宋体"/>
          <w:snapToGrid w:val="0"/>
          <w:color w:val="FF0000"/>
          <w:kern w:val="0"/>
          <w:szCs w:val="21"/>
        </w:rPr>
        <w:t>注：项目投标报价不得高于公示的控制金额，否则作投标无效处理。</w:t>
      </w:r>
    </w:p>
    <w:p w14:paraId="6A38EDDE">
      <w:pPr>
        <w:ind w:firstLine="482" w:firstLineChars="200"/>
        <w:rPr>
          <w:rFonts w:ascii="宋体" w:hAnsi="宋体"/>
          <w:b/>
          <w:sz w:val="24"/>
        </w:rPr>
      </w:pPr>
      <w:r>
        <w:rPr>
          <w:rFonts w:hint="eastAsia"/>
          <w:b/>
          <w:sz w:val="24"/>
        </w:rPr>
        <w:t>我公司所投核心产品的品牌为：</w:t>
      </w:r>
      <w:r>
        <w:rPr>
          <w:rFonts w:hint="eastAsia" w:ascii="宋体" w:hAnsi="宋体" w:cs="宋体"/>
          <w:kern w:val="0"/>
          <w:sz w:val="22"/>
          <w:u w:val="single"/>
        </w:rPr>
        <w:t xml:space="preserve"> </w:t>
      </w:r>
      <w:r>
        <w:rPr>
          <w:rFonts w:ascii="宋体" w:hAnsi="宋体" w:cs="宋体"/>
          <w:kern w:val="0"/>
          <w:sz w:val="22"/>
          <w:u w:val="single"/>
        </w:rPr>
        <w:t xml:space="preserve">              </w:t>
      </w:r>
      <w:r>
        <w:rPr>
          <w:rFonts w:hint="eastAsia"/>
          <w:b/>
          <w:sz w:val="24"/>
        </w:rPr>
        <w:t>。</w:t>
      </w:r>
    </w:p>
    <w:p w14:paraId="27FC1C09">
      <w:pPr>
        <w:ind w:firstLine="482" w:firstLineChars="200"/>
        <w:rPr>
          <w:rFonts w:ascii="宋体" w:hAnsi="宋体"/>
          <w:b/>
          <w:sz w:val="24"/>
        </w:rPr>
      </w:pPr>
    </w:p>
    <w:p w14:paraId="6168FE57">
      <w:pPr>
        <w:ind w:firstLine="480" w:firstLineChars="200"/>
        <w:rPr>
          <w:rFonts w:ascii="宋体" w:hAnsi="宋体"/>
          <w:sz w:val="24"/>
        </w:rPr>
      </w:pPr>
      <w:r>
        <w:rPr>
          <w:rFonts w:hint="eastAsia" w:ascii="宋体" w:hAnsi="宋体"/>
          <w:sz w:val="24"/>
        </w:rPr>
        <w:t>备注：招标文件未列明核心品牌的，投标人无需填写核心产品品牌。</w:t>
      </w:r>
    </w:p>
    <w:p w14:paraId="1B65A320">
      <w:pPr>
        <w:spacing w:line="360" w:lineRule="exact"/>
        <w:ind w:firstLine="632" w:firstLineChars="300"/>
        <w:rPr>
          <w:rFonts w:ascii="宋体" w:hAnsi="宋体"/>
          <w:b/>
          <w:color w:val="FF0000"/>
          <w:szCs w:val="21"/>
        </w:rPr>
      </w:pPr>
    </w:p>
    <w:p w14:paraId="2B4B32A7">
      <w:pPr>
        <w:widowControl/>
        <w:jc w:val="left"/>
        <w:rPr>
          <w:rFonts w:ascii="宋体" w:hAnsi="宋体"/>
          <w:b/>
          <w:sz w:val="30"/>
          <w:szCs w:val="30"/>
        </w:rPr>
      </w:pPr>
    </w:p>
    <w:p w14:paraId="7884C5BA">
      <w:pPr>
        <w:widowControl/>
        <w:jc w:val="left"/>
        <w:rPr>
          <w:rFonts w:ascii="宋体" w:hAnsi="宋体"/>
          <w:b/>
          <w:sz w:val="30"/>
          <w:szCs w:val="30"/>
        </w:rPr>
      </w:pPr>
      <w:r>
        <w:rPr>
          <w:rFonts w:ascii="宋体" w:hAnsi="宋体"/>
          <w:b/>
          <w:sz w:val="30"/>
          <w:szCs w:val="30"/>
        </w:rPr>
        <w:br w:type="page"/>
      </w:r>
    </w:p>
    <w:p w14:paraId="0AD56728">
      <w:pPr>
        <w:spacing w:line="360" w:lineRule="auto"/>
        <w:jc w:val="center"/>
        <w:rPr>
          <w:rFonts w:ascii="宋体" w:hAnsi="宋体" w:cs="宋体"/>
          <w:b/>
          <w:bCs/>
          <w:sz w:val="28"/>
        </w:rPr>
      </w:pPr>
      <w:bookmarkStart w:id="9" w:name="_Toc45995264"/>
      <w:r>
        <w:rPr>
          <w:rFonts w:hint="eastAsia" w:ascii="宋体" w:hAnsi="宋体" w:cs="宋体"/>
          <w:b/>
          <w:bCs/>
          <w:sz w:val="28"/>
        </w:rPr>
        <w:t>技术规格偏离表</w:t>
      </w:r>
    </w:p>
    <w:p w14:paraId="23D09764">
      <w:pPr>
        <w:spacing w:line="360" w:lineRule="auto"/>
        <w:rPr>
          <w:rFonts w:ascii="宋体" w:hAnsi="宋体" w:cs="宋体"/>
          <w:sz w:val="24"/>
          <w:u w:val="single"/>
        </w:rPr>
      </w:pPr>
      <w:r>
        <w:rPr>
          <w:rFonts w:hint="eastAsia" w:ascii="宋体" w:hAnsi="宋体" w:cs="宋体"/>
          <w:sz w:val="24"/>
        </w:rPr>
        <w:t xml:space="preserve">项目名称：                                  招标编号：                </w:t>
      </w:r>
      <w:r>
        <w:rPr>
          <w:rFonts w:hint="eastAsia" w:ascii="宋体" w:hAnsi="宋体" w:cs="宋体"/>
          <w:sz w:val="24"/>
          <w:u w:val="single"/>
        </w:rPr>
        <w:t xml:space="preserve">   </w:t>
      </w:r>
    </w:p>
    <w:tbl>
      <w:tblPr>
        <w:tblStyle w:val="18"/>
        <w:tblW w:w="9060" w:type="dxa"/>
        <w:jc w:val="center"/>
        <w:tblLayout w:type="fixed"/>
        <w:tblCellMar>
          <w:top w:w="0" w:type="dxa"/>
          <w:left w:w="108" w:type="dxa"/>
          <w:bottom w:w="0" w:type="dxa"/>
          <w:right w:w="108" w:type="dxa"/>
        </w:tblCellMar>
      </w:tblPr>
      <w:tblGrid>
        <w:gridCol w:w="1891"/>
        <w:gridCol w:w="2535"/>
        <w:gridCol w:w="2220"/>
        <w:gridCol w:w="1387"/>
        <w:gridCol w:w="1027"/>
      </w:tblGrid>
      <w:tr w14:paraId="3BA3905A">
        <w:tblPrEx>
          <w:tblCellMar>
            <w:top w:w="0" w:type="dxa"/>
            <w:left w:w="108" w:type="dxa"/>
            <w:bottom w:w="0" w:type="dxa"/>
            <w:right w:w="108" w:type="dxa"/>
          </w:tblCellMar>
        </w:tblPrEx>
        <w:trPr>
          <w:trHeight w:val="510"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512F619C">
            <w:pPr>
              <w:widowControl/>
              <w:jc w:val="center"/>
              <w:rPr>
                <w:rFonts w:ascii="宋体" w:hAnsi="宋体" w:cs="宋体"/>
                <w:b/>
                <w:bCs/>
                <w:kern w:val="0"/>
                <w:sz w:val="22"/>
              </w:rPr>
            </w:pPr>
            <w:r>
              <w:rPr>
                <w:rFonts w:hint="eastAsia" w:ascii="宋体" w:hAnsi="宋体" w:cs="宋体"/>
                <w:b/>
                <w:bCs/>
                <w:kern w:val="0"/>
                <w:sz w:val="22"/>
              </w:rPr>
              <w:t>招标文件条目号</w:t>
            </w:r>
          </w:p>
        </w:tc>
        <w:tc>
          <w:tcPr>
            <w:tcW w:w="2535" w:type="dxa"/>
            <w:tcBorders>
              <w:top w:val="single" w:color="auto" w:sz="8" w:space="0"/>
              <w:left w:val="nil"/>
              <w:bottom w:val="single" w:color="auto" w:sz="8" w:space="0"/>
              <w:right w:val="single" w:color="auto" w:sz="8" w:space="0"/>
            </w:tcBorders>
            <w:vAlign w:val="center"/>
          </w:tcPr>
          <w:p w14:paraId="7A5ACD90">
            <w:pPr>
              <w:widowControl/>
              <w:jc w:val="center"/>
              <w:rPr>
                <w:rFonts w:ascii="宋体" w:hAnsi="宋体" w:cs="宋体"/>
                <w:b/>
                <w:bCs/>
                <w:kern w:val="0"/>
                <w:sz w:val="22"/>
              </w:rPr>
            </w:pPr>
            <w:r>
              <w:rPr>
                <w:rFonts w:hint="eastAsia" w:ascii="宋体" w:hAnsi="宋体" w:cs="宋体"/>
                <w:b/>
                <w:bCs/>
                <w:kern w:val="0"/>
                <w:sz w:val="22"/>
              </w:rPr>
              <w:t>招标技术要求</w:t>
            </w:r>
          </w:p>
        </w:tc>
        <w:tc>
          <w:tcPr>
            <w:tcW w:w="2220" w:type="dxa"/>
            <w:tcBorders>
              <w:top w:val="single" w:color="auto" w:sz="8" w:space="0"/>
              <w:left w:val="nil"/>
              <w:bottom w:val="single" w:color="auto" w:sz="8" w:space="0"/>
              <w:right w:val="single" w:color="auto" w:sz="8" w:space="0"/>
            </w:tcBorders>
            <w:vAlign w:val="center"/>
          </w:tcPr>
          <w:p w14:paraId="1ED20404">
            <w:pPr>
              <w:jc w:val="center"/>
              <w:rPr>
                <w:rFonts w:ascii="宋体" w:hAnsi="宋体" w:cs="宋体"/>
                <w:b/>
                <w:szCs w:val="21"/>
              </w:rPr>
            </w:pPr>
            <w:r>
              <w:rPr>
                <w:rFonts w:hint="eastAsia" w:ascii="宋体" w:hAnsi="宋体" w:cs="宋体"/>
                <w:b/>
                <w:szCs w:val="21"/>
              </w:rPr>
              <w:t>投标响应</w:t>
            </w:r>
          </w:p>
        </w:tc>
        <w:tc>
          <w:tcPr>
            <w:tcW w:w="1387" w:type="dxa"/>
            <w:tcBorders>
              <w:top w:val="single" w:color="auto" w:sz="8" w:space="0"/>
              <w:left w:val="nil"/>
              <w:bottom w:val="single" w:color="auto" w:sz="8" w:space="0"/>
              <w:right w:val="single" w:color="auto" w:sz="8" w:space="0"/>
            </w:tcBorders>
            <w:vAlign w:val="center"/>
          </w:tcPr>
          <w:p w14:paraId="20448EAA">
            <w:pPr>
              <w:jc w:val="center"/>
              <w:rPr>
                <w:rFonts w:ascii="宋体" w:hAnsi="宋体" w:cs="宋体"/>
                <w:b/>
                <w:szCs w:val="21"/>
              </w:rPr>
            </w:pPr>
            <w:r>
              <w:rPr>
                <w:rFonts w:hint="eastAsia" w:ascii="宋体" w:hAnsi="宋体" w:cs="宋体"/>
                <w:b/>
                <w:szCs w:val="21"/>
              </w:rPr>
              <w:t>偏离情况</w:t>
            </w:r>
          </w:p>
        </w:tc>
        <w:tc>
          <w:tcPr>
            <w:tcW w:w="1027" w:type="dxa"/>
            <w:tcBorders>
              <w:top w:val="single" w:color="auto" w:sz="8" w:space="0"/>
              <w:left w:val="nil"/>
              <w:bottom w:val="single" w:color="auto" w:sz="8" w:space="0"/>
              <w:right w:val="single" w:color="auto" w:sz="8" w:space="0"/>
            </w:tcBorders>
            <w:vAlign w:val="center"/>
          </w:tcPr>
          <w:p w14:paraId="47EADB93">
            <w:pPr>
              <w:jc w:val="center"/>
              <w:rPr>
                <w:rFonts w:ascii="宋体" w:hAnsi="宋体" w:cs="宋体"/>
                <w:b/>
                <w:szCs w:val="21"/>
              </w:rPr>
            </w:pPr>
            <w:r>
              <w:rPr>
                <w:rFonts w:hint="eastAsia" w:ascii="宋体" w:hAnsi="宋体" w:cs="宋体"/>
                <w:b/>
                <w:szCs w:val="21"/>
              </w:rPr>
              <w:t>说明</w:t>
            </w:r>
          </w:p>
        </w:tc>
      </w:tr>
      <w:tr w14:paraId="4DE9C8AC">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7B24AE4D">
            <w:pPr>
              <w:widowControl/>
              <w:jc w:val="center"/>
              <w:rPr>
                <w:rFonts w:ascii="宋体" w:hAnsi="宋体" w:cs="宋体"/>
                <w:b/>
                <w:bCs/>
                <w:kern w:val="0"/>
                <w:sz w:val="22"/>
              </w:rPr>
            </w:pPr>
            <w:r>
              <w:rPr>
                <w:rFonts w:hint="eastAsia" w:ascii="宋体" w:hAnsi="宋体" w:cs="宋体"/>
                <w:b/>
                <w:bCs/>
                <w:kern w:val="0"/>
                <w:sz w:val="22"/>
              </w:rPr>
              <w:t>1</w:t>
            </w:r>
          </w:p>
        </w:tc>
        <w:tc>
          <w:tcPr>
            <w:tcW w:w="2535" w:type="dxa"/>
            <w:tcBorders>
              <w:top w:val="single" w:color="auto" w:sz="8" w:space="0"/>
              <w:left w:val="nil"/>
              <w:bottom w:val="single" w:color="auto" w:sz="8" w:space="0"/>
              <w:right w:val="single" w:color="auto" w:sz="8" w:space="0"/>
            </w:tcBorders>
            <w:vAlign w:val="center"/>
          </w:tcPr>
          <w:p w14:paraId="6BBA37F3">
            <w:pPr>
              <w:widowControl/>
              <w:jc w:val="center"/>
              <w:rPr>
                <w:rFonts w:ascii="宋体" w:hAnsi="宋体" w:cs="宋体"/>
                <w:kern w:val="0"/>
                <w:szCs w:val="21"/>
              </w:rPr>
            </w:pPr>
            <w:r>
              <w:rPr>
                <w:rFonts w:hint="eastAsia" w:ascii="宋体" w:hAnsi="宋体" w:cs="宋体"/>
                <w:b/>
                <w:bCs/>
                <w:kern w:val="0"/>
                <w:szCs w:val="21"/>
              </w:rPr>
              <w:t>请投标人自行从</w:t>
            </w:r>
            <w:r>
              <w:rPr>
                <w:rFonts w:hint="eastAsia" w:ascii="宋体" w:hAnsi="宋体" w:cs="宋体"/>
                <w:b/>
                <w:szCs w:val="21"/>
              </w:rPr>
              <w:t>第二章 招标项目需求中具体技术要</w:t>
            </w:r>
            <w:r>
              <w:rPr>
                <w:rFonts w:hint="eastAsia" w:ascii="宋体" w:hAnsi="宋体" w:cs="宋体"/>
                <w:b/>
                <w:bCs/>
                <w:szCs w:val="21"/>
              </w:rPr>
              <w:t>求</w:t>
            </w:r>
            <w:r>
              <w:rPr>
                <w:rFonts w:hint="eastAsia" w:ascii="宋体" w:hAnsi="宋体" w:cs="宋体"/>
                <w:b/>
                <w:bCs/>
                <w:kern w:val="0"/>
                <w:szCs w:val="21"/>
              </w:rPr>
              <w:t>内容复制</w:t>
            </w:r>
          </w:p>
        </w:tc>
        <w:tc>
          <w:tcPr>
            <w:tcW w:w="2220" w:type="dxa"/>
            <w:tcBorders>
              <w:top w:val="single" w:color="auto" w:sz="8" w:space="0"/>
              <w:left w:val="nil"/>
              <w:bottom w:val="single" w:color="auto" w:sz="8" w:space="0"/>
              <w:right w:val="single" w:color="auto" w:sz="8" w:space="0"/>
            </w:tcBorders>
            <w:vAlign w:val="center"/>
          </w:tcPr>
          <w:p w14:paraId="4C4E9CC8">
            <w:pPr>
              <w:spacing w:line="300" w:lineRule="exact"/>
              <w:jc w:val="center"/>
              <w:rPr>
                <w:rFonts w:ascii="宋体" w:hAnsi="宋体" w:cs="宋体"/>
                <w:b/>
                <w:bCs/>
                <w:kern w:val="0"/>
                <w:sz w:val="22"/>
              </w:rPr>
            </w:pPr>
            <w:r>
              <w:rPr>
                <w:rFonts w:hint="eastAsia" w:ascii="宋体" w:hAnsi="宋体" w:cs="宋体"/>
                <w:b/>
                <w:bCs/>
                <w:kern w:val="0"/>
                <w:szCs w:val="21"/>
              </w:rPr>
              <w:t>投标人根据实际情况在此处进行响应</w:t>
            </w:r>
          </w:p>
        </w:tc>
        <w:tc>
          <w:tcPr>
            <w:tcW w:w="1387" w:type="dxa"/>
            <w:tcBorders>
              <w:top w:val="single" w:color="auto" w:sz="8" w:space="0"/>
              <w:left w:val="nil"/>
              <w:bottom w:val="single" w:color="auto" w:sz="8" w:space="0"/>
              <w:right w:val="single" w:color="auto" w:sz="8" w:space="0"/>
            </w:tcBorders>
            <w:vAlign w:val="center"/>
          </w:tcPr>
          <w:p w14:paraId="70BFDAEB">
            <w:pPr>
              <w:spacing w:line="300" w:lineRule="exact"/>
              <w:jc w:val="center"/>
              <w:rPr>
                <w:rFonts w:ascii="宋体" w:hAnsi="宋体" w:cs="宋体"/>
                <w:b/>
                <w:bCs/>
                <w:kern w:val="0"/>
                <w:sz w:val="22"/>
              </w:rPr>
            </w:pPr>
            <w:r>
              <w:rPr>
                <w:rFonts w:hint="eastAsia" w:ascii="宋体" w:hAnsi="宋体" w:cs="宋体"/>
                <w:b/>
                <w:bCs/>
                <w:kern w:val="0"/>
                <w:szCs w:val="21"/>
              </w:rPr>
              <w:t>填“正偏离”或“无偏离”或“负偏离”</w:t>
            </w:r>
          </w:p>
        </w:tc>
        <w:tc>
          <w:tcPr>
            <w:tcW w:w="1027" w:type="dxa"/>
            <w:tcBorders>
              <w:top w:val="single" w:color="auto" w:sz="8" w:space="0"/>
              <w:left w:val="nil"/>
              <w:bottom w:val="single" w:color="auto" w:sz="8" w:space="0"/>
              <w:right w:val="single" w:color="auto" w:sz="8" w:space="0"/>
            </w:tcBorders>
            <w:vAlign w:val="center"/>
          </w:tcPr>
          <w:p w14:paraId="7EA91C3B">
            <w:pPr>
              <w:widowControl/>
              <w:jc w:val="center"/>
              <w:rPr>
                <w:rFonts w:ascii="宋体" w:hAnsi="宋体" w:cs="宋体"/>
                <w:kern w:val="0"/>
                <w:sz w:val="22"/>
              </w:rPr>
            </w:pPr>
          </w:p>
        </w:tc>
      </w:tr>
      <w:tr w14:paraId="7F3360DB">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213CF7A5">
            <w:pPr>
              <w:widowControl/>
              <w:jc w:val="center"/>
              <w:rPr>
                <w:rFonts w:ascii="宋体" w:hAnsi="宋体" w:cs="宋体"/>
                <w:b/>
                <w:bCs/>
                <w:kern w:val="0"/>
                <w:sz w:val="22"/>
              </w:rPr>
            </w:pPr>
            <w:r>
              <w:rPr>
                <w:rFonts w:hint="eastAsia" w:ascii="宋体" w:hAnsi="宋体" w:cs="宋体"/>
                <w:b/>
                <w:bCs/>
                <w:kern w:val="0"/>
                <w:sz w:val="22"/>
              </w:rPr>
              <w:t>2</w:t>
            </w:r>
          </w:p>
        </w:tc>
        <w:tc>
          <w:tcPr>
            <w:tcW w:w="2535" w:type="dxa"/>
            <w:tcBorders>
              <w:top w:val="single" w:color="auto" w:sz="8" w:space="0"/>
              <w:left w:val="nil"/>
              <w:bottom w:val="single" w:color="auto" w:sz="8" w:space="0"/>
              <w:right w:val="single" w:color="auto" w:sz="8" w:space="0"/>
            </w:tcBorders>
            <w:vAlign w:val="center"/>
          </w:tcPr>
          <w:p w14:paraId="632826CD">
            <w:pPr>
              <w:widowControl/>
              <w:jc w:val="center"/>
              <w:rPr>
                <w:rFonts w:ascii="宋体" w:hAnsi="宋体" w:cs="宋体"/>
                <w:kern w:val="0"/>
                <w:szCs w:val="21"/>
              </w:rPr>
            </w:pPr>
          </w:p>
        </w:tc>
        <w:tc>
          <w:tcPr>
            <w:tcW w:w="2220" w:type="dxa"/>
            <w:tcBorders>
              <w:top w:val="single" w:color="auto" w:sz="8" w:space="0"/>
              <w:left w:val="nil"/>
              <w:bottom w:val="single" w:color="auto" w:sz="8" w:space="0"/>
              <w:right w:val="single" w:color="auto" w:sz="8" w:space="0"/>
            </w:tcBorders>
            <w:vAlign w:val="center"/>
          </w:tcPr>
          <w:p w14:paraId="154417A0">
            <w:pPr>
              <w:widowControl/>
              <w:jc w:val="center"/>
              <w:rPr>
                <w:rFonts w:ascii="宋体" w:hAnsi="宋体" w:cs="宋体"/>
                <w:kern w:val="0"/>
                <w:sz w:val="22"/>
              </w:rPr>
            </w:pPr>
          </w:p>
        </w:tc>
        <w:tc>
          <w:tcPr>
            <w:tcW w:w="1387" w:type="dxa"/>
            <w:tcBorders>
              <w:top w:val="single" w:color="auto" w:sz="8" w:space="0"/>
              <w:left w:val="nil"/>
              <w:bottom w:val="single" w:color="auto" w:sz="8" w:space="0"/>
              <w:right w:val="single" w:color="auto" w:sz="8" w:space="0"/>
            </w:tcBorders>
            <w:vAlign w:val="center"/>
          </w:tcPr>
          <w:p w14:paraId="0DF711A4">
            <w:pPr>
              <w:widowControl/>
              <w:jc w:val="center"/>
              <w:rPr>
                <w:rFonts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7916CFD9">
            <w:pPr>
              <w:widowControl/>
              <w:jc w:val="center"/>
              <w:rPr>
                <w:rFonts w:ascii="宋体" w:hAnsi="宋体" w:cs="宋体"/>
                <w:kern w:val="0"/>
                <w:sz w:val="22"/>
              </w:rPr>
            </w:pPr>
          </w:p>
        </w:tc>
      </w:tr>
      <w:tr w14:paraId="09E1C141">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2BC2F0B7">
            <w:pPr>
              <w:widowControl/>
              <w:jc w:val="center"/>
              <w:rPr>
                <w:rFonts w:ascii="宋体" w:hAnsi="宋体" w:cs="宋体"/>
                <w:b/>
                <w:bCs/>
                <w:kern w:val="0"/>
                <w:sz w:val="22"/>
              </w:rPr>
            </w:pPr>
            <w:r>
              <w:rPr>
                <w:rFonts w:hint="eastAsia" w:ascii="宋体" w:hAnsi="宋体" w:cs="宋体"/>
                <w:b/>
                <w:bCs/>
                <w:kern w:val="0"/>
                <w:sz w:val="22"/>
              </w:rPr>
              <w:t>3</w:t>
            </w:r>
          </w:p>
        </w:tc>
        <w:tc>
          <w:tcPr>
            <w:tcW w:w="2535" w:type="dxa"/>
            <w:tcBorders>
              <w:top w:val="single" w:color="auto" w:sz="8" w:space="0"/>
              <w:left w:val="nil"/>
              <w:bottom w:val="single" w:color="auto" w:sz="8" w:space="0"/>
              <w:right w:val="single" w:color="auto" w:sz="8" w:space="0"/>
            </w:tcBorders>
            <w:vAlign w:val="center"/>
          </w:tcPr>
          <w:p w14:paraId="50625E38">
            <w:pPr>
              <w:widowControl/>
              <w:jc w:val="center"/>
              <w:rPr>
                <w:rFonts w:ascii="宋体" w:hAnsi="宋体" w:cs="宋体"/>
                <w:kern w:val="0"/>
                <w:szCs w:val="21"/>
              </w:rPr>
            </w:pPr>
          </w:p>
        </w:tc>
        <w:tc>
          <w:tcPr>
            <w:tcW w:w="2220" w:type="dxa"/>
            <w:tcBorders>
              <w:top w:val="single" w:color="auto" w:sz="8" w:space="0"/>
              <w:left w:val="nil"/>
              <w:bottom w:val="single" w:color="auto" w:sz="8" w:space="0"/>
              <w:right w:val="single" w:color="auto" w:sz="8" w:space="0"/>
            </w:tcBorders>
            <w:vAlign w:val="center"/>
          </w:tcPr>
          <w:p w14:paraId="1F9B052D">
            <w:pPr>
              <w:widowControl/>
              <w:jc w:val="center"/>
              <w:rPr>
                <w:rFonts w:ascii="宋体" w:hAnsi="宋体" w:cs="宋体"/>
                <w:kern w:val="0"/>
                <w:sz w:val="22"/>
              </w:rPr>
            </w:pPr>
          </w:p>
        </w:tc>
        <w:tc>
          <w:tcPr>
            <w:tcW w:w="1387" w:type="dxa"/>
            <w:tcBorders>
              <w:top w:val="single" w:color="auto" w:sz="8" w:space="0"/>
              <w:left w:val="nil"/>
              <w:bottom w:val="single" w:color="auto" w:sz="8" w:space="0"/>
              <w:right w:val="single" w:color="auto" w:sz="8" w:space="0"/>
            </w:tcBorders>
            <w:vAlign w:val="center"/>
          </w:tcPr>
          <w:p w14:paraId="27EF8F0A">
            <w:pPr>
              <w:widowControl/>
              <w:jc w:val="center"/>
              <w:rPr>
                <w:rFonts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33F06654">
            <w:pPr>
              <w:widowControl/>
              <w:jc w:val="center"/>
              <w:rPr>
                <w:rFonts w:ascii="宋体" w:hAnsi="宋体" w:cs="宋体"/>
                <w:kern w:val="0"/>
                <w:sz w:val="22"/>
              </w:rPr>
            </w:pPr>
          </w:p>
        </w:tc>
      </w:tr>
      <w:tr w14:paraId="7EB998B4">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272E8A1F">
            <w:pPr>
              <w:widowControl/>
              <w:jc w:val="center"/>
              <w:rPr>
                <w:rFonts w:ascii="宋体" w:hAnsi="宋体" w:cs="宋体"/>
                <w:b/>
                <w:bCs/>
                <w:kern w:val="0"/>
                <w:sz w:val="22"/>
              </w:rPr>
            </w:pPr>
            <w:r>
              <w:rPr>
                <w:rFonts w:hint="eastAsia" w:ascii="宋体" w:hAnsi="宋体" w:cs="宋体"/>
                <w:b/>
                <w:bCs/>
                <w:kern w:val="0"/>
                <w:sz w:val="22"/>
              </w:rPr>
              <w:t>...</w:t>
            </w:r>
          </w:p>
        </w:tc>
        <w:tc>
          <w:tcPr>
            <w:tcW w:w="2535" w:type="dxa"/>
            <w:tcBorders>
              <w:top w:val="single" w:color="auto" w:sz="8" w:space="0"/>
              <w:left w:val="nil"/>
              <w:bottom w:val="single" w:color="auto" w:sz="8" w:space="0"/>
              <w:right w:val="single" w:color="auto" w:sz="8" w:space="0"/>
            </w:tcBorders>
            <w:vAlign w:val="center"/>
          </w:tcPr>
          <w:p w14:paraId="1E1C463D">
            <w:pPr>
              <w:widowControl/>
              <w:jc w:val="center"/>
              <w:rPr>
                <w:rFonts w:ascii="宋体" w:hAnsi="宋体" w:cs="宋体"/>
                <w:kern w:val="0"/>
                <w:szCs w:val="21"/>
              </w:rPr>
            </w:pPr>
          </w:p>
        </w:tc>
        <w:tc>
          <w:tcPr>
            <w:tcW w:w="2220" w:type="dxa"/>
            <w:tcBorders>
              <w:top w:val="single" w:color="auto" w:sz="8" w:space="0"/>
              <w:left w:val="nil"/>
              <w:bottom w:val="single" w:color="auto" w:sz="8" w:space="0"/>
              <w:right w:val="single" w:color="auto" w:sz="8" w:space="0"/>
            </w:tcBorders>
            <w:vAlign w:val="center"/>
          </w:tcPr>
          <w:p w14:paraId="72806194">
            <w:pPr>
              <w:widowControl/>
              <w:jc w:val="center"/>
              <w:rPr>
                <w:rFonts w:ascii="宋体" w:hAnsi="宋体" w:cs="宋体"/>
                <w:kern w:val="0"/>
                <w:sz w:val="22"/>
              </w:rPr>
            </w:pPr>
          </w:p>
        </w:tc>
        <w:tc>
          <w:tcPr>
            <w:tcW w:w="1387" w:type="dxa"/>
            <w:tcBorders>
              <w:top w:val="single" w:color="auto" w:sz="8" w:space="0"/>
              <w:left w:val="nil"/>
              <w:bottom w:val="single" w:color="auto" w:sz="8" w:space="0"/>
              <w:right w:val="single" w:color="auto" w:sz="8" w:space="0"/>
            </w:tcBorders>
            <w:vAlign w:val="center"/>
          </w:tcPr>
          <w:p w14:paraId="20CE3596">
            <w:pPr>
              <w:widowControl/>
              <w:jc w:val="center"/>
              <w:rPr>
                <w:rFonts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2A637BFC">
            <w:pPr>
              <w:widowControl/>
              <w:jc w:val="center"/>
              <w:rPr>
                <w:rFonts w:ascii="宋体" w:hAnsi="宋体" w:cs="宋体"/>
                <w:kern w:val="0"/>
                <w:sz w:val="22"/>
              </w:rPr>
            </w:pPr>
          </w:p>
        </w:tc>
      </w:tr>
    </w:tbl>
    <w:p w14:paraId="582C4F2C">
      <w:pPr>
        <w:spacing w:line="360" w:lineRule="auto"/>
        <w:jc w:val="left"/>
        <w:rPr>
          <w:rFonts w:ascii="宋体" w:hAnsi="宋体" w:cs="宋体"/>
          <w:sz w:val="24"/>
          <w:szCs w:val="28"/>
        </w:rPr>
      </w:pPr>
    </w:p>
    <w:p w14:paraId="29F52A17">
      <w:pPr>
        <w:spacing w:line="360" w:lineRule="auto"/>
        <w:jc w:val="left"/>
        <w:rPr>
          <w:rFonts w:ascii="宋体" w:hAnsi="宋体" w:cs="宋体"/>
          <w:bCs/>
          <w:szCs w:val="21"/>
          <w:u w:val="single"/>
        </w:rPr>
      </w:pPr>
      <w:r>
        <w:rPr>
          <w:rFonts w:hint="eastAsia" w:ascii="宋体" w:hAnsi="宋体" w:cs="宋体"/>
          <w:bCs/>
          <w:szCs w:val="21"/>
        </w:rPr>
        <w:t>注：1、</w:t>
      </w:r>
      <w:r>
        <w:rPr>
          <w:rFonts w:hint="eastAsia" w:ascii="宋体" w:hAnsi="宋体" w:cs="宋体"/>
          <w:bCs/>
          <w:szCs w:val="21"/>
          <w:u w:val="single"/>
        </w:rPr>
        <w:t>投标人应对照招标文件技术规格（详见招标文件“</w:t>
      </w:r>
      <w:r>
        <w:rPr>
          <w:rFonts w:hint="eastAsia" w:ascii="宋体" w:hAnsi="宋体" w:cs="宋体"/>
          <w:b/>
          <w:szCs w:val="21"/>
          <w:u w:val="single"/>
        </w:rPr>
        <w:t>第一册 专用条款 第二章 招标项目需求 中 具体技术要</w:t>
      </w:r>
      <w:r>
        <w:rPr>
          <w:rFonts w:hint="eastAsia" w:ascii="宋体" w:hAnsi="宋体" w:cs="宋体"/>
          <w:b/>
          <w:bCs/>
          <w:szCs w:val="21"/>
          <w:u w:val="single"/>
        </w:rPr>
        <w:t>求</w:t>
      </w:r>
      <w:r>
        <w:rPr>
          <w:rFonts w:hint="eastAsia" w:ascii="宋体" w:hAnsi="宋体" w:cs="宋体"/>
          <w:bCs/>
          <w:szCs w:val="21"/>
          <w:u w:val="single"/>
        </w:rPr>
        <w:t>”）条目号逐项填写，不得有任何遗漏，</w:t>
      </w:r>
      <w:r>
        <w:rPr>
          <w:rFonts w:hint="eastAsia" w:ascii="宋体" w:hAnsi="宋体" w:cs="宋体"/>
          <w:bCs/>
          <w:szCs w:val="21"/>
          <w:u w:val="single"/>
          <w:lang w:eastAsia="zh-CN"/>
        </w:rPr>
        <w:t>“</w:t>
      </w:r>
      <w:r>
        <w:rPr>
          <w:rFonts w:hint="eastAsia" w:ascii="宋体" w:hAnsi="宋体" w:cs="宋体"/>
          <w:bCs/>
          <w:szCs w:val="21"/>
          <w:u w:val="single"/>
        </w:rPr>
        <w:t>投标响应</w:t>
      </w:r>
      <w:r>
        <w:rPr>
          <w:rFonts w:hint="eastAsia" w:ascii="宋体" w:hAnsi="宋体" w:cs="宋体"/>
          <w:bCs/>
          <w:szCs w:val="21"/>
          <w:u w:val="single"/>
          <w:lang w:eastAsia="zh-CN"/>
        </w:rPr>
        <w:t>”</w:t>
      </w:r>
      <w:r>
        <w:rPr>
          <w:rFonts w:hint="eastAsia" w:ascii="宋体" w:hAnsi="宋体" w:cs="宋体"/>
          <w:bCs/>
          <w:szCs w:val="21"/>
          <w:u w:val="single"/>
        </w:rPr>
        <w:t>一栏必须详细填写投标产品的具体参数，否则评审委员会有权认定为不合格响应。</w:t>
      </w:r>
    </w:p>
    <w:p w14:paraId="31CD4F12">
      <w:pPr>
        <w:spacing w:line="360" w:lineRule="auto"/>
        <w:ind w:firstLine="420" w:firstLineChars="200"/>
        <w:jc w:val="left"/>
        <w:rPr>
          <w:rFonts w:ascii="宋体" w:hAnsi="宋体" w:cs="宋体"/>
        </w:rPr>
      </w:pPr>
      <w:r>
        <w:rPr>
          <w:rFonts w:hint="eastAsia" w:ascii="宋体" w:hAnsi="宋体" w:cs="宋体"/>
          <w:szCs w:val="21"/>
        </w:rPr>
        <w:t>2、技术要求中标注“★”的条款为实质性要求和条件条款，投标文件对此项负偏离将导致不能通过符合性审查；标注“▲”的条款为评分时的关键指标，投标文件对此项负偏离不会导致投标无效；投标文件非“★”号条款响应存在缺漏项的视作负偏离；注明提供证明材料的条款必须按要求在投标文件中提供，否则视作负偏离；投标文件的响应情况与填写的偏离情况不相符的，以响应情况为准；投标文件提供的证明材料与投标响应情况不相符的，以证明材料为准。</w:t>
      </w:r>
    </w:p>
    <w:p w14:paraId="26D70A2E">
      <w:pPr>
        <w:spacing w:line="360" w:lineRule="auto"/>
        <w:ind w:firstLine="420" w:firstLineChars="200"/>
        <w:jc w:val="left"/>
        <w:rPr>
          <w:rFonts w:ascii="宋体" w:hAnsi="宋体" w:cs="宋体"/>
          <w:szCs w:val="21"/>
        </w:rPr>
      </w:pPr>
      <w:r>
        <w:rPr>
          <w:rFonts w:hint="eastAsia" w:ascii="宋体" w:hAnsi="宋体" w:cs="宋体"/>
          <w:szCs w:val="21"/>
        </w:rPr>
        <w:t>3. 投标产品的技术参数应尽可能提供相应的证明资料，以证明投标人响应的真实性。证明资料包括制造商公布的产品说明书、产品彩页和我国政府机构出具的产品检验和核准证件等。投标人应在</w:t>
      </w:r>
      <w:r>
        <w:rPr>
          <w:rFonts w:hint="eastAsia" w:ascii="宋体" w:hAnsi="宋体" w:cs="宋体"/>
          <w:szCs w:val="21"/>
          <w:lang w:eastAsia="zh-CN"/>
        </w:rPr>
        <w:t>“</w:t>
      </w:r>
      <w:r>
        <w:rPr>
          <w:rFonts w:hint="eastAsia" w:ascii="宋体" w:hAnsi="宋体" w:cs="宋体"/>
          <w:szCs w:val="21"/>
        </w:rPr>
        <w:t>说明</w:t>
      </w:r>
      <w:r>
        <w:rPr>
          <w:rFonts w:hint="eastAsia" w:ascii="宋体" w:hAnsi="宋体" w:cs="宋体"/>
          <w:szCs w:val="21"/>
          <w:lang w:eastAsia="zh-CN"/>
        </w:rPr>
        <w:t>”</w:t>
      </w:r>
      <w:r>
        <w:rPr>
          <w:rFonts w:hint="eastAsia" w:ascii="宋体" w:hAnsi="宋体" w:cs="宋体"/>
          <w:szCs w:val="21"/>
        </w:rPr>
        <w:t>一栏中列出技术参数的证明资料名称，并指明该证明资料在投标文件中的具体位置。</w:t>
      </w:r>
    </w:p>
    <w:p w14:paraId="481F236F">
      <w:pPr>
        <w:spacing w:line="360" w:lineRule="auto"/>
        <w:ind w:firstLine="420" w:firstLineChars="200"/>
        <w:jc w:val="left"/>
        <w:rPr>
          <w:rFonts w:ascii="宋体" w:hAnsi="宋体" w:cs="宋体"/>
          <w:szCs w:val="21"/>
        </w:rPr>
      </w:pPr>
      <w:r>
        <w:rPr>
          <w:rFonts w:hint="eastAsia" w:ascii="宋体" w:hAnsi="宋体" w:cs="宋体"/>
          <w:szCs w:val="21"/>
        </w:rPr>
        <w:t>4. 证明资料（均为原件复印件）的提供要求：</w:t>
      </w:r>
    </w:p>
    <w:p w14:paraId="114A4B14">
      <w:pPr>
        <w:spacing w:line="360" w:lineRule="auto"/>
        <w:ind w:firstLine="420" w:firstLineChars="200"/>
        <w:jc w:val="left"/>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52FA9D47">
      <w:pPr>
        <w:spacing w:line="360" w:lineRule="auto"/>
        <w:ind w:firstLine="420" w:firstLineChars="200"/>
        <w:jc w:val="left"/>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（2）我国政府机构出具的产品检验和核准证件应为证件正面、背面和附件标注的全部具体内容；产品检验和核准证件的尺寸和清晰度应该能够在电脑上被阅读、识别和判断。</w:t>
      </w:r>
    </w:p>
    <w:p w14:paraId="062CC440">
      <w:pPr>
        <w:spacing w:line="360" w:lineRule="auto"/>
        <w:ind w:firstLine="420" w:firstLineChars="200"/>
        <w:jc w:val="left"/>
        <w:rPr>
          <w:rFonts w:ascii="宋体" w:hAnsi="宋体" w:cs="宋体"/>
          <w:szCs w:val="21"/>
        </w:rPr>
      </w:pPr>
      <w:r>
        <w:rPr>
          <w:rFonts w:hint="eastAsia" w:ascii="宋体" w:hAnsi="宋体" w:cs="宋体"/>
          <w:szCs w:val="21"/>
        </w:rPr>
        <w:t>未达到以上提供要求的，评审委员会有权认定为不合格响应的，其相关分数予以扣减或作废标处理。</w:t>
      </w:r>
    </w:p>
    <w:p w14:paraId="06FEEFB3">
      <w:pPr>
        <w:spacing w:line="360" w:lineRule="auto"/>
        <w:ind w:firstLine="420" w:firstLineChars="200"/>
        <w:jc w:val="left"/>
        <w:rPr>
          <w:rFonts w:ascii="宋体" w:hAnsi="宋体" w:cs="宋体"/>
          <w:szCs w:val="21"/>
        </w:rPr>
      </w:pPr>
      <w:r>
        <w:rPr>
          <w:rFonts w:hint="eastAsia" w:ascii="宋体" w:hAnsi="宋体" w:cs="宋体"/>
          <w:szCs w:val="21"/>
        </w:rPr>
        <w:t>5. 评审委员会有权对以谋取中标为目的的技术要求模糊响应（如有意照搬照抄招标文件的技术要求）或虚假响应予以认定，并视情况经集中采购机构报区政府采购监督管理部门予以处罚。</w:t>
      </w:r>
    </w:p>
    <w:p w14:paraId="3EACBDBA">
      <w:pPr>
        <w:spacing w:line="360" w:lineRule="auto"/>
        <w:ind w:firstLine="420" w:firstLineChars="200"/>
        <w:jc w:val="left"/>
        <w:rPr>
          <w:rFonts w:ascii="宋体" w:hAnsi="宋体" w:cs="宋体"/>
          <w:szCs w:val="21"/>
        </w:rPr>
      </w:pPr>
      <w:r>
        <w:rPr>
          <w:rFonts w:hint="eastAsia" w:ascii="宋体" w:hAnsi="宋体" w:cs="宋体"/>
          <w:szCs w:val="21"/>
        </w:rPr>
        <w:t>6. 如有偏离，应在“偏离情况”栏内注明“有”，并在“说明”栏内予以说明；如无偏离，应在“偏离情况”栏内注明“无”。</w:t>
      </w:r>
    </w:p>
    <w:bookmarkEnd w:id="9"/>
    <w:p w14:paraId="1206565A">
      <w:pPr>
        <w:spacing w:line="360" w:lineRule="auto"/>
        <w:ind w:firstLine="5040" w:firstLineChars="2400"/>
        <w:jc w:val="left"/>
        <w:rPr>
          <w:rFonts w:ascii="宋体" w:hAnsi="宋体" w:cs="宋体"/>
          <w:szCs w:val="21"/>
        </w:rPr>
      </w:pPr>
      <w:r>
        <w:rPr>
          <w:rFonts w:hint="eastAsia" w:ascii="宋体" w:hAnsi="宋体" w:cs="宋体"/>
          <w:szCs w:val="21"/>
        </w:rPr>
        <w:t>投标人（公章）：</w:t>
      </w:r>
    </w:p>
    <w:p w14:paraId="2458F335">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14:paraId="456AEBDE">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14:paraId="5DE9EA51">
      <w:pPr>
        <w:widowControl/>
        <w:jc w:val="left"/>
        <w:rPr>
          <w:rFonts w:ascii="宋体" w:hAnsi="宋体"/>
          <w:b/>
          <w:sz w:val="30"/>
          <w:szCs w:val="30"/>
        </w:rPr>
      </w:pPr>
    </w:p>
    <w:p w14:paraId="39B3A1C9">
      <w:pPr>
        <w:spacing w:line="360" w:lineRule="auto"/>
        <w:jc w:val="center"/>
        <w:rPr>
          <w:rFonts w:ascii="宋体" w:hAnsi="宋体" w:cs="宋体"/>
          <w:b/>
          <w:bCs/>
          <w:sz w:val="28"/>
        </w:rPr>
      </w:pPr>
      <w:r>
        <w:rPr>
          <w:rFonts w:ascii="宋体" w:hAnsi="宋体"/>
          <w:b/>
          <w:sz w:val="30"/>
          <w:szCs w:val="30"/>
        </w:rPr>
        <w:br w:type="page"/>
      </w:r>
      <w:r>
        <w:rPr>
          <w:rFonts w:hint="eastAsia" w:ascii="宋体" w:hAnsi="宋体" w:cs="宋体"/>
          <w:b/>
          <w:bCs/>
          <w:sz w:val="28"/>
        </w:rPr>
        <w:t>商务条款偏离表</w:t>
      </w:r>
    </w:p>
    <w:p w14:paraId="1238AE86">
      <w:pPr>
        <w:spacing w:line="360" w:lineRule="auto"/>
        <w:rPr>
          <w:rFonts w:ascii="宋体" w:hAnsi="宋体" w:cs="宋体"/>
          <w:sz w:val="24"/>
          <w:u w:val="single"/>
        </w:rPr>
      </w:pPr>
      <w:r>
        <w:rPr>
          <w:rFonts w:hint="eastAsia" w:ascii="宋体" w:hAnsi="宋体" w:cs="宋体"/>
          <w:sz w:val="24"/>
        </w:rPr>
        <w:t xml:space="preserve">项目名称：                                  招标编号：                </w:t>
      </w:r>
      <w:r>
        <w:rPr>
          <w:rFonts w:hint="eastAsia" w:ascii="宋体" w:hAnsi="宋体" w:cs="宋体"/>
          <w:sz w:val="24"/>
          <w:u w:val="single"/>
        </w:rPr>
        <w:t xml:space="preserve">   </w:t>
      </w:r>
    </w:p>
    <w:tbl>
      <w:tblPr>
        <w:tblStyle w:val="18"/>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3360"/>
        <w:gridCol w:w="1928"/>
        <w:gridCol w:w="1374"/>
        <w:gridCol w:w="568"/>
      </w:tblGrid>
      <w:tr w14:paraId="31E7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6" w:type="dxa"/>
            <w:vAlign w:val="center"/>
          </w:tcPr>
          <w:p w14:paraId="1BA9F8D7">
            <w:pPr>
              <w:spacing w:line="360" w:lineRule="auto"/>
              <w:jc w:val="center"/>
              <w:rPr>
                <w:rFonts w:ascii="宋体" w:hAnsi="宋体" w:cs="宋体"/>
                <w:b/>
                <w:szCs w:val="21"/>
              </w:rPr>
            </w:pPr>
            <w:r>
              <w:rPr>
                <w:rFonts w:hint="eastAsia" w:ascii="宋体" w:hAnsi="宋体" w:cs="宋体"/>
                <w:b/>
                <w:bCs/>
                <w:kern w:val="0"/>
                <w:sz w:val="22"/>
              </w:rPr>
              <w:t>招标文件条目号</w:t>
            </w:r>
          </w:p>
        </w:tc>
        <w:tc>
          <w:tcPr>
            <w:tcW w:w="3360" w:type="dxa"/>
            <w:vAlign w:val="center"/>
          </w:tcPr>
          <w:p w14:paraId="5DB77D13">
            <w:pPr>
              <w:spacing w:line="360" w:lineRule="auto"/>
              <w:jc w:val="center"/>
              <w:rPr>
                <w:rFonts w:ascii="宋体" w:hAnsi="宋体" w:cs="宋体"/>
                <w:b/>
                <w:szCs w:val="21"/>
              </w:rPr>
            </w:pPr>
            <w:r>
              <w:rPr>
                <w:rFonts w:hint="eastAsia" w:ascii="宋体" w:hAnsi="宋体" w:cs="宋体"/>
                <w:b/>
                <w:szCs w:val="21"/>
              </w:rPr>
              <w:t>商务需求</w:t>
            </w:r>
          </w:p>
        </w:tc>
        <w:tc>
          <w:tcPr>
            <w:tcW w:w="1928" w:type="dxa"/>
            <w:vAlign w:val="center"/>
          </w:tcPr>
          <w:p w14:paraId="5003A532">
            <w:pPr>
              <w:jc w:val="center"/>
              <w:rPr>
                <w:rFonts w:ascii="宋体" w:hAnsi="宋体" w:cs="宋体"/>
                <w:b/>
                <w:szCs w:val="21"/>
              </w:rPr>
            </w:pPr>
            <w:r>
              <w:rPr>
                <w:rFonts w:hint="eastAsia" w:ascii="宋体" w:hAnsi="宋体" w:cs="宋体"/>
                <w:b/>
                <w:szCs w:val="21"/>
              </w:rPr>
              <w:t>投标响应</w:t>
            </w:r>
          </w:p>
        </w:tc>
        <w:tc>
          <w:tcPr>
            <w:tcW w:w="1374" w:type="dxa"/>
            <w:vAlign w:val="center"/>
          </w:tcPr>
          <w:p w14:paraId="6F36165E">
            <w:pPr>
              <w:jc w:val="center"/>
              <w:rPr>
                <w:rFonts w:ascii="宋体" w:hAnsi="宋体" w:cs="宋体"/>
                <w:b/>
                <w:szCs w:val="21"/>
              </w:rPr>
            </w:pPr>
            <w:r>
              <w:rPr>
                <w:rFonts w:hint="eastAsia" w:ascii="宋体" w:hAnsi="宋体" w:cs="宋体"/>
                <w:b/>
                <w:szCs w:val="21"/>
              </w:rPr>
              <w:t>偏离情况</w:t>
            </w:r>
          </w:p>
        </w:tc>
        <w:tc>
          <w:tcPr>
            <w:tcW w:w="568" w:type="dxa"/>
            <w:vAlign w:val="center"/>
          </w:tcPr>
          <w:p w14:paraId="7000C726">
            <w:pPr>
              <w:jc w:val="center"/>
              <w:rPr>
                <w:rFonts w:ascii="宋体" w:hAnsi="宋体" w:cs="宋体"/>
                <w:b/>
                <w:szCs w:val="21"/>
              </w:rPr>
            </w:pPr>
            <w:r>
              <w:rPr>
                <w:rFonts w:hint="eastAsia" w:ascii="宋体" w:hAnsi="宋体" w:cs="宋体"/>
                <w:b/>
                <w:szCs w:val="21"/>
              </w:rPr>
              <w:t>说明</w:t>
            </w:r>
          </w:p>
        </w:tc>
      </w:tr>
      <w:tr w14:paraId="01BA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936" w:type="dxa"/>
            <w:vAlign w:val="center"/>
          </w:tcPr>
          <w:p w14:paraId="5AB322CD">
            <w:pPr>
              <w:widowControl/>
              <w:jc w:val="center"/>
              <w:rPr>
                <w:rFonts w:ascii="宋体" w:hAnsi="宋体" w:cs="宋体"/>
                <w:b/>
                <w:bCs/>
                <w:szCs w:val="21"/>
              </w:rPr>
            </w:pPr>
            <w:r>
              <w:rPr>
                <w:rFonts w:hint="eastAsia" w:ascii="宋体" w:hAnsi="宋体" w:cs="宋体"/>
                <w:b/>
                <w:bCs/>
                <w:szCs w:val="21"/>
              </w:rPr>
              <w:t>1</w:t>
            </w:r>
          </w:p>
        </w:tc>
        <w:tc>
          <w:tcPr>
            <w:tcW w:w="3360" w:type="dxa"/>
            <w:vAlign w:val="center"/>
          </w:tcPr>
          <w:p w14:paraId="5084BA47">
            <w:pPr>
              <w:spacing w:line="300" w:lineRule="exact"/>
              <w:jc w:val="center"/>
              <w:rPr>
                <w:rFonts w:ascii="宋体" w:hAnsi="宋体" w:cs="宋体"/>
                <w:b/>
                <w:szCs w:val="21"/>
              </w:rPr>
            </w:pPr>
            <w:r>
              <w:rPr>
                <w:rFonts w:hint="eastAsia" w:ascii="宋体" w:hAnsi="宋体" w:cs="宋体"/>
                <w:b/>
                <w:bCs/>
                <w:kern w:val="0"/>
                <w:szCs w:val="21"/>
                <w:u w:val="single"/>
              </w:rPr>
              <w:t>请投标人自行从“招标项目需求”中“商务需求”）内容复制</w:t>
            </w:r>
          </w:p>
        </w:tc>
        <w:tc>
          <w:tcPr>
            <w:tcW w:w="1928" w:type="dxa"/>
            <w:vAlign w:val="center"/>
          </w:tcPr>
          <w:p w14:paraId="59617F07">
            <w:pPr>
              <w:spacing w:line="300" w:lineRule="exact"/>
              <w:jc w:val="center"/>
              <w:rPr>
                <w:rFonts w:ascii="宋体" w:hAnsi="宋体" w:cs="宋体"/>
                <w:b/>
                <w:bCs/>
                <w:kern w:val="0"/>
                <w:szCs w:val="21"/>
              </w:rPr>
            </w:pPr>
            <w:r>
              <w:rPr>
                <w:rFonts w:hint="eastAsia" w:ascii="宋体" w:hAnsi="宋体" w:cs="宋体"/>
                <w:b/>
                <w:bCs/>
                <w:kern w:val="0"/>
                <w:szCs w:val="21"/>
              </w:rPr>
              <w:t>投标人根据实际情况在此处进行响应</w:t>
            </w:r>
          </w:p>
        </w:tc>
        <w:tc>
          <w:tcPr>
            <w:tcW w:w="1374" w:type="dxa"/>
            <w:vAlign w:val="center"/>
          </w:tcPr>
          <w:p w14:paraId="5DDD841B">
            <w:pPr>
              <w:spacing w:line="300" w:lineRule="exact"/>
              <w:jc w:val="center"/>
              <w:rPr>
                <w:rFonts w:ascii="宋体" w:hAnsi="宋体" w:cs="宋体"/>
                <w:b/>
                <w:bCs/>
                <w:kern w:val="0"/>
                <w:szCs w:val="21"/>
              </w:rPr>
            </w:pPr>
            <w:r>
              <w:rPr>
                <w:rFonts w:hint="eastAsia" w:ascii="宋体" w:hAnsi="宋体" w:cs="宋体"/>
                <w:b/>
                <w:bCs/>
                <w:kern w:val="0"/>
                <w:szCs w:val="21"/>
              </w:rPr>
              <w:t>填“正偏离”或“无偏离”或“负偏离”</w:t>
            </w:r>
          </w:p>
        </w:tc>
        <w:tc>
          <w:tcPr>
            <w:tcW w:w="568" w:type="dxa"/>
            <w:vAlign w:val="center"/>
          </w:tcPr>
          <w:p w14:paraId="6BD02637">
            <w:pPr>
              <w:spacing w:line="360" w:lineRule="auto"/>
              <w:jc w:val="center"/>
              <w:rPr>
                <w:rFonts w:ascii="宋体" w:hAnsi="宋体" w:cs="宋体"/>
                <w:kern w:val="0"/>
                <w:szCs w:val="21"/>
              </w:rPr>
            </w:pPr>
          </w:p>
        </w:tc>
      </w:tr>
      <w:tr w14:paraId="5F3C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36" w:type="dxa"/>
            <w:vAlign w:val="center"/>
          </w:tcPr>
          <w:p w14:paraId="2318EC65">
            <w:pPr>
              <w:spacing w:line="360" w:lineRule="auto"/>
              <w:jc w:val="center"/>
              <w:rPr>
                <w:rFonts w:ascii="宋体" w:hAnsi="宋体" w:cs="宋体"/>
                <w:b/>
                <w:bCs/>
                <w:kern w:val="0"/>
                <w:szCs w:val="21"/>
              </w:rPr>
            </w:pPr>
            <w:r>
              <w:rPr>
                <w:rFonts w:hint="eastAsia" w:ascii="宋体" w:hAnsi="宋体" w:cs="宋体"/>
                <w:b/>
                <w:bCs/>
                <w:kern w:val="0"/>
                <w:szCs w:val="21"/>
              </w:rPr>
              <w:t>2</w:t>
            </w:r>
          </w:p>
        </w:tc>
        <w:tc>
          <w:tcPr>
            <w:tcW w:w="3360" w:type="dxa"/>
          </w:tcPr>
          <w:p w14:paraId="316401F0">
            <w:pPr>
              <w:spacing w:before="100" w:line="360" w:lineRule="auto"/>
              <w:rPr>
                <w:rFonts w:ascii="宋体" w:hAnsi="宋体" w:cs="宋体"/>
                <w:bCs/>
                <w:szCs w:val="21"/>
              </w:rPr>
            </w:pPr>
          </w:p>
        </w:tc>
        <w:tc>
          <w:tcPr>
            <w:tcW w:w="1928" w:type="dxa"/>
          </w:tcPr>
          <w:p w14:paraId="1A5B1ADE">
            <w:pPr>
              <w:spacing w:before="100" w:line="360" w:lineRule="auto"/>
              <w:rPr>
                <w:rFonts w:ascii="宋体" w:hAnsi="宋体" w:cs="宋体"/>
                <w:kern w:val="0"/>
                <w:szCs w:val="21"/>
              </w:rPr>
            </w:pPr>
          </w:p>
        </w:tc>
        <w:tc>
          <w:tcPr>
            <w:tcW w:w="1374" w:type="dxa"/>
          </w:tcPr>
          <w:p w14:paraId="5247E5B1">
            <w:pPr>
              <w:spacing w:before="100" w:line="360" w:lineRule="auto"/>
              <w:rPr>
                <w:rFonts w:ascii="宋体" w:hAnsi="宋体" w:cs="宋体"/>
                <w:kern w:val="0"/>
                <w:szCs w:val="21"/>
              </w:rPr>
            </w:pPr>
          </w:p>
        </w:tc>
        <w:tc>
          <w:tcPr>
            <w:tcW w:w="568" w:type="dxa"/>
          </w:tcPr>
          <w:p w14:paraId="173C6DF5">
            <w:pPr>
              <w:spacing w:before="100" w:line="360" w:lineRule="auto"/>
              <w:rPr>
                <w:rFonts w:ascii="宋体" w:hAnsi="宋体" w:cs="宋体"/>
                <w:kern w:val="0"/>
                <w:szCs w:val="21"/>
              </w:rPr>
            </w:pPr>
          </w:p>
        </w:tc>
      </w:tr>
      <w:tr w14:paraId="2C42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36" w:type="dxa"/>
            <w:vAlign w:val="center"/>
          </w:tcPr>
          <w:p w14:paraId="232C2CD5">
            <w:pPr>
              <w:spacing w:line="360" w:lineRule="auto"/>
              <w:jc w:val="center"/>
              <w:rPr>
                <w:rFonts w:ascii="宋体" w:hAnsi="宋体" w:cs="宋体"/>
                <w:b/>
                <w:bCs/>
                <w:kern w:val="0"/>
                <w:szCs w:val="21"/>
              </w:rPr>
            </w:pPr>
            <w:r>
              <w:rPr>
                <w:rFonts w:hint="eastAsia" w:ascii="宋体" w:hAnsi="宋体" w:cs="宋体"/>
                <w:b/>
                <w:bCs/>
                <w:kern w:val="0"/>
                <w:szCs w:val="21"/>
              </w:rPr>
              <w:t>3</w:t>
            </w:r>
          </w:p>
        </w:tc>
        <w:tc>
          <w:tcPr>
            <w:tcW w:w="3360" w:type="dxa"/>
          </w:tcPr>
          <w:p w14:paraId="40E802C8">
            <w:pPr>
              <w:spacing w:before="100" w:line="360" w:lineRule="auto"/>
              <w:rPr>
                <w:rFonts w:ascii="宋体" w:hAnsi="宋体" w:cs="宋体"/>
                <w:bCs/>
                <w:szCs w:val="21"/>
              </w:rPr>
            </w:pPr>
          </w:p>
        </w:tc>
        <w:tc>
          <w:tcPr>
            <w:tcW w:w="1928" w:type="dxa"/>
          </w:tcPr>
          <w:p w14:paraId="41E8CF28">
            <w:pPr>
              <w:spacing w:before="100" w:line="360" w:lineRule="auto"/>
              <w:rPr>
                <w:rFonts w:ascii="宋体" w:hAnsi="宋体" w:cs="宋体"/>
                <w:bCs/>
                <w:kern w:val="0"/>
                <w:szCs w:val="21"/>
                <w:u w:val="single"/>
              </w:rPr>
            </w:pPr>
          </w:p>
        </w:tc>
        <w:tc>
          <w:tcPr>
            <w:tcW w:w="1374" w:type="dxa"/>
          </w:tcPr>
          <w:p w14:paraId="0E9E2167">
            <w:pPr>
              <w:spacing w:before="100" w:line="360" w:lineRule="auto"/>
              <w:rPr>
                <w:rFonts w:ascii="宋体" w:hAnsi="宋体" w:cs="宋体"/>
                <w:bCs/>
                <w:kern w:val="0"/>
                <w:szCs w:val="21"/>
                <w:u w:val="single"/>
              </w:rPr>
            </w:pPr>
          </w:p>
        </w:tc>
        <w:tc>
          <w:tcPr>
            <w:tcW w:w="568" w:type="dxa"/>
          </w:tcPr>
          <w:p w14:paraId="3B471FAD">
            <w:pPr>
              <w:spacing w:before="100" w:line="360" w:lineRule="auto"/>
              <w:rPr>
                <w:rFonts w:ascii="宋体" w:hAnsi="宋体" w:cs="宋体"/>
                <w:bCs/>
                <w:kern w:val="0"/>
                <w:szCs w:val="21"/>
                <w:u w:val="single"/>
              </w:rPr>
            </w:pPr>
          </w:p>
        </w:tc>
      </w:tr>
      <w:tr w14:paraId="52DD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936" w:type="dxa"/>
            <w:vAlign w:val="center"/>
          </w:tcPr>
          <w:p w14:paraId="1EACB76D">
            <w:pPr>
              <w:spacing w:line="360" w:lineRule="auto"/>
              <w:jc w:val="center"/>
              <w:rPr>
                <w:rFonts w:ascii="宋体" w:hAnsi="宋体" w:cs="宋体"/>
                <w:b/>
                <w:bCs/>
                <w:szCs w:val="21"/>
              </w:rPr>
            </w:pPr>
            <w:r>
              <w:rPr>
                <w:rFonts w:hint="eastAsia" w:ascii="宋体" w:hAnsi="宋体" w:cs="宋体"/>
                <w:b/>
                <w:bCs/>
                <w:szCs w:val="21"/>
              </w:rPr>
              <w:t>...</w:t>
            </w:r>
          </w:p>
        </w:tc>
        <w:tc>
          <w:tcPr>
            <w:tcW w:w="3360" w:type="dxa"/>
          </w:tcPr>
          <w:p w14:paraId="0B6E69ED">
            <w:pPr>
              <w:spacing w:line="360" w:lineRule="auto"/>
              <w:rPr>
                <w:rFonts w:ascii="宋体" w:hAnsi="宋体" w:cs="宋体"/>
                <w:kern w:val="0"/>
                <w:szCs w:val="21"/>
              </w:rPr>
            </w:pPr>
          </w:p>
        </w:tc>
        <w:tc>
          <w:tcPr>
            <w:tcW w:w="1928" w:type="dxa"/>
          </w:tcPr>
          <w:p w14:paraId="07E698F6">
            <w:pPr>
              <w:spacing w:line="360" w:lineRule="auto"/>
              <w:rPr>
                <w:rFonts w:ascii="宋体" w:hAnsi="宋体" w:cs="宋体"/>
                <w:kern w:val="0"/>
                <w:szCs w:val="21"/>
              </w:rPr>
            </w:pPr>
          </w:p>
        </w:tc>
        <w:tc>
          <w:tcPr>
            <w:tcW w:w="1374" w:type="dxa"/>
          </w:tcPr>
          <w:p w14:paraId="08C2271B">
            <w:pPr>
              <w:spacing w:line="360" w:lineRule="auto"/>
              <w:rPr>
                <w:rFonts w:ascii="宋体" w:hAnsi="宋体" w:cs="宋体"/>
                <w:kern w:val="0"/>
                <w:szCs w:val="21"/>
              </w:rPr>
            </w:pPr>
          </w:p>
        </w:tc>
        <w:tc>
          <w:tcPr>
            <w:tcW w:w="568" w:type="dxa"/>
          </w:tcPr>
          <w:p w14:paraId="22B8C6F2">
            <w:pPr>
              <w:spacing w:line="360" w:lineRule="auto"/>
              <w:rPr>
                <w:rFonts w:ascii="宋体" w:hAnsi="宋体" w:cs="宋体"/>
                <w:kern w:val="0"/>
                <w:szCs w:val="21"/>
              </w:rPr>
            </w:pPr>
          </w:p>
        </w:tc>
      </w:tr>
    </w:tbl>
    <w:p w14:paraId="55DD9BE1">
      <w:pPr>
        <w:snapToGrid w:val="0"/>
        <w:rPr>
          <w:rFonts w:ascii="宋体" w:hAnsi="宋体" w:cs="宋体"/>
          <w:sz w:val="24"/>
          <w:u w:val="single"/>
        </w:rPr>
      </w:pPr>
    </w:p>
    <w:p w14:paraId="191FB182">
      <w:pPr>
        <w:spacing w:before="156" w:beforeLines="50" w:after="156" w:afterLines="50" w:line="360" w:lineRule="exact"/>
        <w:rPr>
          <w:rFonts w:ascii="宋体" w:hAnsi="宋体" w:cs="宋体"/>
          <w:szCs w:val="21"/>
        </w:rPr>
      </w:pPr>
      <w:r>
        <w:rPr>
          <w:rFonts w:hint="eastAsia" w:ascii="宋体" w:hAnsi="宋体" w:cs="宋体"/>
          <w:szCs w:val="21"/>
        </w:rPr>
        <w:t>注：1、投标人应对照招标文件商务条款（详见招标文件</w:t>
      </w:r>
      <w:r>
        <w:rPr>
          <w:rFonts w:hint="eastAsia" w:ascii="宋体" w:hAnsi="宋体" w:cs="宋体"/>
          <w:b/>
          <w:bCs/>
          <w:szCs w:val="21"/>
          <w:u w:val="single"/>
        </w:rPr>
        <w:t>“招标项目需求”</w:t>
      </w:r>
      <w:r>
        <w:rPr>
          <w:rFonts w:hint="eastAsia" w:ascii="宋体" w:hAnsi="宋体" w:cs="宋体"/>
          <w:szCs w:val="21"/>
          <w:u w:val="single"/>
        </w:rPr>
        <w:t>中“</w:t>
      </w:r>
      <w:r>
        <w:rPr>
          <w:rFonts w:hint="eastAsia" w:ascii="宋体" w:hAnsi="宋体" w:cs="宋体"/>
          <w:b/>
          <w:bCs/>
          <w:kern w:val="0"/>
          <w:szCs w:val="21"/>
          <w:u w:val="single"/>
        </w:rPr>
        <w:t>商务需求</w:t>
      </w:r>
      <w:r>
        <w:rPr>
          <w:rFonts w:hint="eastAsia" w:ascii="宋体" w:hAnsi="宋体" w:cs="宋体"/>
          <w:szCs w:val="21"/>
          <w:u w:val="single"/>
        </w:rPr>
        <w:t>”</w:t>
      </w:r>
      <w:r>
        <w:rPr>
          <w:rFonts w:hint="eastAsia" w:ascii="宋体" w:hAnsi="宋体" w:cs="宋体"/>
          <w:szCs w:val="21"/>
        </w:rPr>
        <w:t>），逐条说明已对招标文件的商务内容做出了实质性的响应，并申明与招标文件的偏差和例外；</w:t>
      </w:r>
    </w:p>
    <w:p w14:paraId="3EE8F493">
      <w:pPr>
        <w:spacing w:before="156" w:beforeLines="50" w:after="156" w:afterLines="50" w:line="360" w:lineRule="exact"/>
        <w:rPr>
          <w:rFonts w:ascii="宋体" w:hAnsi="宋体" w:cs="宋体"/>
          <w:szCs w:val="21"/>
        </w:rPr>
      </w:pPr>
      <w:r>
        <w:rPr>
          <w:rFonts w:hint="eastAsia" w:ascii="宋体" w:hAnsi="宋体" w:cs="宋体"/>
          <w:szCs w:val="21"/>
        </w:rPr>
        <w:t>2、商务要求中标注“★”的条款为实质性要求和条件条款，投标文件对此项负偏离将导致不能通过符合性审查；标注“▲”的条款为评分时的关键指标，投标文件对此项负偏离不会导致投标无效；投标文件非“★”号条款响应存在缺漏项的视作负偏离；注明提供证明材料的条款必须按要求在投标文件中提供，否则视作负偏离；投标文件的响应情况与填写的偏离情况不相符的，以响应情况为准；投标文件提供的证明材料与投标响应情况不相符的，以证明材料为准。</w:t>
      </w:r>
    </w:p>
    <w:p w14:paraId="4BA08889">
      <w:pPr>
        <w:spacing w:before="156" w:beforeLines="50" w:after="156" w:afterLines="50" w:line="360" w:lineRule="exact"/>
        <w:rPr>
          <w:rFonts w:ascii="宋体" w:hAnsi="宋体" w:cs="宋体"/>
          <w:szCs w:val="21"/>
        </w:rPr>
      </w:pPr>
      <w:r>
        <w:rPr>
          <w:rFonts w:hint="eastAsia" w:ascii="宋体" w:hAnsi="宋体" w:cs="宋体"/>
          <w:szCs w:val="21"/>
        </w:rPr>
        <w:t>3、如本表内容与具体商务方案承诺内容有矛盾，以本表为准。</w:t>
      </w:r>
    </w:p>
    <w:p w14:paraId="6B4ADAC4">
      <w:pPr>
        <w:spacing w:line="360" w:lineRule="auto"/>
        <w:ind w:firstLine="5040" w:firstLineChars="2400"/>
        <w:jc w:val="left"/>
        <w:rPr>
          <w:rFonts w:ascii="宋体" w:hAnsi="宋体" w:cs="宋体"/>
          <w:szCs w:val="21"/>
        </w:rPr>
      </w:pPr>
      <w:r>
        <w:rPr>
          <w:rFonts w:hint="eastAsia" w:ascii="宋体" w:hAnsi="宋体" w:cs="宋体"/>
          <w:szCs w:val="21"/>
        </w:rPr>
        <w:t>投标人（公章）：</w:t>
      </w:r>
    </w:p>
    <w:p w14:paraId="252A4CA7">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14:paraId="493CC260">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14:paraId="3974D4B2">
      <w:pPr>
        <w:widowControl/>
        <w:jc w:val="left"/>
        <w:rPr>
          <w:rFonts w:ascii="宋体" w:hAnsi="宋体"/>
          <w:b/>
          <w:sz w:val="30"/>
          <w:szCs w:val="30"/>
        </w:rPr>
      </w:pPr>
    </w:p>
    <w:p w14:paraId="679763B7">
      <w:pPr>
        <w:widowControl/>
        <w:jc w:val="left"/>
        <w:rPr>
          <w:rFonts w:ascii="宋体" w:hAnsi="宋体"/>
          <w:b/>
          <w:sz w:val="30"/>
          <w:szCs w:val="30"/>
        </w:rPr>
      </w:pPr>
      <w:r>
        <w:rPr>
          <w:rFonts w:ascii="宋体" w:hAnsi="宋体"/>
          <w:b/>
          <w:sz w:val="30"/>
          <w:szCs w:val="30"/>
        </w:rPr>
        <w:br w:type="page"/>
      </w:r>
    </w:p>
    <w:p w14:paraId="3602FDED">
      <w:pPr>
        <w:spacing w:line="360" w:lineRule="auto"/>
        <w:jc w:val="left"/>
        <w:rPr>
          <w:rFonts w:ascii="宋体" w:hAnsi="宋体"/>
          <w:b/>
          <w:sz w:val="30"/>
          <w:szCs w:val="30"/>
        </w:rPr>
      </w:pPr>
      <w:r>
        <w:rPr>
          <w:rFonts w:hint="eastAsia" w:ascii="宋体" w:hAnsi="宋体"/>
          <w:b/>
          <w:sz w:val="30"/>
          <w:szCs w:val="30"/>
        </w:rPr>
        <w:t>投标资质</w:t>
      </w:r>
    </w:p>
    <w:p w14:paraId="40B4B9A3">
      <w:pPr>
        <w:numPr>
          <w:ilvl w:val="0"/>
          <w:numId w:val="4"/>
        </w:numPr>
        <w:spacing w:line="360" w:lineRule="auto"/>
        <w:jc w:val="left"/>
        <w:rPr>
          <w:rFonts w:ascii="宋体" w:hAnsi="宋体"/>
          <w:b/>
          <w:sz w:val="30"/>
          <w:szCs w:val="30"/>
        </w:rPr>
      </w:pPr>
      <w:r>
        <w:rPr>
          <w:rFonts w:hint="eastAsia" w:ascii="宋体" w:hAnsi="宋体"/>
          <w:b/>
          <w:sz w:val="30"/>
          <w:szCs w:val="30"/>
        </w:rPr>
        <w:t>投标公司资质</w:t>
      </w:r>
    </w:p>
    <w:p w14:paraId="1D008C67">
      <w:pPr>
        <w:numPr>
          <w:ilvl w:val="0"/>
          <w:numId w:val="4"/>
        </w:numPr>
        <w:spacing w:line="360" w:lineRule="auto"/>
        <w:jc w:val="left"/>
        <w:rPr>
          <w:rFonts w:ascii="宋体" w:hAnsi="宋体"/>
          <w:b/>
          <w:sz w:val="30"/>
          <w:szCs w:val="30"/>
        </w:rPr>
      </w:pPr>
      <w:r>
        <w:rPr>
          <w:rFonts w:hint="eastAsia" w:ascii="宋体" w:hAnsi="宋体"/>
          <w:b/>
          <w:sz w:val="30"/>
          <w:szCs w:val="30"/>
        </w:rPr>
        <w:t>授权书</w:t>
      </w:r>
    </w:p>
    <w:p w14:paraId="1F44B91B">
      <w:pPr>
        <w:numPr>
          <w:ilvl w:val="0"/>
          <w:numId w:val="4"/>
        </w:numPr>
        <w:spacing w:line="360" w:lineRule="auto"/>
        <w:jc w:val="left"/>
        <w:rPr>
          <w:rFonts w:ascii="宋体" w:hAnsi="宋体"/>
          <w:b/>
          <w:sz w:val="30"/>
          <w:szCs w:val="30"/>
        </w:rPr>
      </w:pPr>
      <w:r>
        <w:rPr>
          <w:rFonts w:hint="eastAsia" w:ascii="宋体" w:hAnsi="宋体"/>
          <w:b/>
          <w:sz w:val="30"/>
          <w:szCs w:val="30"/>
        </w:rPr>
        <w:t>厂家资质</w:t>
      </w:r>
    </w:p>
    <w:p w14:paraId="6B859EE1">
      <w:pPr>
        <w:numPr>
          <w:ilvl w:val="0"/>
          <w:numId w:val="4"/>
        </w:numPr>
        <w:spacing w:line="360" w:lineRule="auto"/>
        <w:jc w:val="left"/>
        <w:rPr>
          <w:rFonts w:ascii="宋体" w:hAnsi="宋体"/>
          <w:b/>
          <w:sz w:val="30"/>
          <w:szCs w:val="30"/>
        </w:rPr>
      </w:pPr>
      <w:r>
        <w:rPr>
          <w:rFonts w:hint="eastAsia" w:ascii="宋体" w:hAnsi="宋体"/>
          <w:b/>
          <w:sz w:val="30"/>
          <w:szCs w:val="30"/>
        </w:rPr>
        <w:t>其它厂家证件（注册证或备案证等）</w:t>
      </w:r>
    </w:p>
    <w:p w14:paraId="0EAA1AD4">
      <w:pPr>
        <w:spacing w:line="360" w:lineRule="auto"/>
        <w:rPr>
          <w:rFonts w:ascii="宋体" w:hAnsi="宋体"/>
          <w:b/>
          <w:sz w:val="30"/>
          <w:szCs w:val="30"/>
        </w:rPr>
      </w:pPr>
    </w:p>
    <w:p w14:paraId="0EC24DA6">
      <w:pPr>
        <w:spacing w:line="360" w:lineRule="auto"/>
        <w:jc w:val="center"/>
        <w:rPr>
          <w:rFonts w:ascii="宋体" w:hAnsi="宋体"/>
          <w:b/>
          <w:sz w:val="30"/>
          <w:szCs w:val="30"/>
        </w:rPr>
      </w:pPr>
    </w:p>
    <w:p w14:paraId="7D502F54">
      <w:pPr>
        <w:widowControl/>
        <w:jc w:val="left"/>
        <w:rPr>
          <w:rFonts w:ascii="宋体" w:hAnsi="宋体"/>
          <w:b/>
          <w:sz w:val="30"/>
          <w:szCs w:val="30"/>
        </w:rPr>
      </w:pPr>
      <w:r>
        <w:rPr>
          <w:rFonts w:ascii="宋体" w:hAnsi="宋体"/>
          <w:b/>
          <w:sz w:val="30"/>
          <w:szCs w:val="30"/>
        </w:rPr>
        <w:br w:type="page"/>
      </w:r>
    </w:p>
    <w:p w14:paraId="3DE4660D">
      <w:pPr>
        <w:spacing w:line="360" w:lineRule="auto"/>
        <w:jc w:val="center"/>
        <w:rPr>
          <w:rFonts w:ascii="宋体" w:hAnsi="宋体"/>
          <w:b/>
          <w:sz w:val="30"/>
          <w:szCs w:val="30"/>
        </w:rPr>
      </w:pPr>
      <w:r>
        <w:rPr>
          <w:rFonts w:hint="eastAsia" w:ascii="宋体" w:hAnsi="宋体"/>
          <w:b/>
          <w:sz w:val="30"/>
          <w:szCs w:val="30"/>
        </w:rPr>
        <w:t>法人代表授权人委托书</w:t>
      </w:r>
    </w:p>
    <w:p w14:paraId="4C9819EB">
      <w:pPr>
        <w:spacing w:line="360" w:lineRule="auto"/>
        <w:rPr>
          <w:rFonts w:ascii="宋体" w:hAnsi="宋体"/>
          <w:sz w:val="24"/>
        </w:rPr>
      </w:pPr>
      <w:r>
        <w:rPr>
          <w:rFonts w:hint="eastAsia" w:ascii="宋体" w:hAnsi="宋体"/>
          <w:sz w:val="24"/>
        </w:rPr>
        <w:t>本授权书声明：</w:t>
      </w:r>
    </w:p>
    <w:p w14:paraId="1F548C97">
      <w:pPr>
        <w:spacing w:line="360" w:lineRule="auto"/>
        <w:rPr>
          <w:rFonts w:ascii="宋体" w:hAnsi="宋体"/>
          <w:sz w:val="24"/>
        </w:rPr>
      </w:pPr>
    </w:p>
    <w:p w14:paraId="25F695E4">
      <w:pPr>
        <w:spacing w:line="360" w:lineRule="auto"/>
        <w:ind w:firstLine="570"/>
        <w:rPr>
          <w:rFonts w:ascii="宋体" w:hAnsi="宋体"/>
          <w:sz w:val="24"/>
          <w:u w:val="single"/>
        </w:rPr>
      </w:pPr>
      <w:r>
        <w:rPr>
          <w:rFonts w:hint="eastAsia" w:ascii="宋体" w:hAnsi="宋体"/>
          <w:sz w:val="24"/>
        </w:rPr>
        <w:t>注册于</w:t>
      </w:r>
      <w:r>
        <w:rPr>
          <w:rFonts w:hint="eastAsia" w:ascii="宋体" w:hAnsi="宋体"/>
          <w:sz w:val="24"/>
          <w:u w:val="single"/>
        </w:rPr>
        <w:t xml:space="preserve">                         </w:t>
      </w:r>
      <w:r>
        <w:rPr>
          <w:rFonts w:hint="eastAsia" w:ascii="宋体" w:hAnsi="宋体"/>
          <w:sz w:val="24"/>
        </w:rPr>
        <w:t>（公司地址）公司名称：</w:t>
      </w:r>
      <w:r>
        <w:rPr>
          <w:rFonts w:hint="eastAsia" w:ascii="宋体" w:hAnsi="宋体"/>
          <w:sz w:val="24"/>
          <w:u w:val="single"/>
        </w:rPr>
        <w:t xml:space="preserve">                     </w:t>
      </w:r>
    </w:p>
    <w:p w14:paraId="76D40C1D">
      <w:pPr>
        <w:spacing w:line="360" w:lineRule="auto"/>
        <w:rPr>
          <w:rFonts w:ascii="宋体" w:hAnsi="宋体"/>
          <w:sz w:val="24"/>
          <w:u w:val="single"/>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授权委</w:t>
      </w:r>
      <w:r>
        <w:rPr>
          <w:rFonts w:hint="eastAsia" w:ascii="宋体" w:hAnsi="宋体"/>
          <w:sz w:val="24"/>
          <w:lang w:eastAsia="zh-CN"/>
        </w:rPr>
        <w:t>托人</w:t>
      </w:r>
      <w:r>
        <w:rPr>
          <w:rFonts w:hint="eastAsia" w:ascii="宋体" w:hAnsi="宋体"/>
          <w:sz w:val="24"/>
        </w:rPr>
        <w:t>（姓名、职务）</w:t>
      </w:r>
      <w:r>
        <w:rPr>
          <w:rFonts w:hint="eastAsia" w:ascii="宋体" w:hAnsi="宋体"/>
          <w:sz w:val="24"/>
          <w:u w:val="single"/>
        </w:rPr>
        <w:t xml:space="preserve">                      </w:t>
      </w:r>
    </w:p>
    <w:p w14:paraId="14B7ABEB">
      <w:pPr>
        <w:spacing w:line="360" w:lineRule="auto"/>
        <w:rPr>
          <w:rFonts w:ascii="宋体" w:hAnsi="宋体"/>
          <w:sz w:val="24"/>
        </w:rPr>
      </w:pPr>
      <w:r>
        <w:rPr>
          <w:rFonts w:hint="eastAsia" w:ascii="宋体" w:hAnsi="宋体"/>
          <w:sz w:val="24"/>
        </w:rPr>
        <w:t>为本公司的合法代理人，负责在北京中医药大学深圳医院（龙岗）</w:t>
      </w:r>
      <w:r>
        <w:rPr>
          <w:rFonts w:hint="eastAsia" w:ascii="宋体" w:hAnsi="宋体"/>
          <w:sz w:val="24"/>
          <w:lang w:eastAsia="zh-CN"/>
        </w:rPr>
        <w:t>采购</w:t>
      </w:r>
      <w:r>
        <w:rPr>
          <w:rFonts w:hint="eastAsia" w:ascii="宋体" w:hAnsi="宋体"/>
          <w:sz w:val="24"/>
        </w:rPr>
        <w:t>活动中提交投标文件、确认投标相关信息、成交确认合同</w:t>
      </w:r>
      <w:r>
        <w:rPr>
          <w:rFonts w:hint="eastAsia" w:ascii="宋体" w:hAnsi="宋体"/>
          <w:sz w:val="24"/>
          <w:lang w:eastAsia="zh-CN"/>
        </w:rPr>
        <w:t>的签订</w:t>
      </w:r>
      <w:r>
        <w:rPr>
          <w:rFonts w:hint="eastAsia" w:ascii="宋体" w:hAnsi="宋体"/>
          <w:sz w:val="24"/>
        </w:rPr>
        <w:t>、执行、完成和售后合同、售后服务等工作，并以本公司名义处理一切与有关的事务。</w:t>
      </w:r>
    </w:p>
    <w:p w14:paraId="1994AC45">
      <w:pPr>
        <w:spacing w:line="360" w:lineRule="auto"/>
        <w:rPr>
          <w:rFonts w:ascii="宋体" w:hAnsi="宋体"/>
          <w:sz w:val="24"/>
        </w:rPr>
      </w:pPr>
      <w:r>
        <w:rPr>
          <w:rFonts w:hint="eastAsia" w:ascii="宋体" w:hAnsi="宋体"/>
          <w:sz w:val="24"/>
        </w:rPr>
        <w:t xml:space="preserve">     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日签字生效，特此声明。</w:t>
      </w:r>
    </w:p>
    <w:p w14:paraId="624D885E">
      <w:pPr>
        <w:spacing w:line="360" w:lineRule="auto"/>
        <w:rPr>
          <w:rFonts w:ascii="宋体" w:hAnsi="宋体"/>
          <w:sz w:val="24"/>
          <w:u w:val="single"/>
        </w:rPr>
      </w:pPr>
      <w:r>
        <w:rPr>
          <w:rFonts w:hint="eastAsia" w:ascii="宋体" w:hAnsi="宋体"/>
          <w:sz w:val="24"/>
        </w:rPr>
        <w:t>投</w:t>
      </w:r>
      <w:r>
        <w:rPr>
          <w:rFonts w:hint="eastAsia" w:ascii="宋体" w:hAnsi="宋体"/>
          <w:sz w:val="24"/>
          <w:lang w:eastAsia="zh-CN"/>
        </w:rPr>
        <w:t>标人</w:t>
      </w:r>
      <w:r>
        <w:rPr>
          <w:rFonts w:hint="eastAsia" w:ascii="宋体" w:hAnsi="宋体"/>
          <w:sz w:val="24"/>
        </w:rPr>
        <w:t>法定代表人签字（盖章）：</w:t>
      </w:r>
      <w:r>
        <w:rPr>
          <w:rFonts w:hint="eastAsia" w:ascii="宋体" w:hAnsi="宋体"/>
          <w:sz w:val="24"/>
          <w:u w:val="single"/>
        </w:rPr>
        <w:t xml:space="preserve">                       </w:t>
      </w:r>
    </w:p>
    <w:p w14:paraId="0238C06E">
      <w:pPr>
        <w:spacing w:line="360" w:lineRule="auto"/>
        <w:rPr>
          <w:rFonts w:ascii="宋体" w:hAnsi="宋体"/>
          <w:sz w:val="24"/>
          <w:u w:val="single"/>
        </w:rPr>
      </w:pPr>
      <w:r>
        <w:rPr>
          <w:rFonts w:hint="eastAsia" w:ascii="宋体" w:hAnsi="宋体"/>
          <w:sz w:val="24"/>
        </w:rPr>
        <w:t>被授权人签字（盖章）：</w:t>
      </w:r>
      <w:r>
        <w:rPr>
          <w:rFonts w:hint="eastAsia" w:ascii="宋体" w:hAnsi="宋体"/>
          <w:sz w:val="24"/>
          <w:u w:val="single"/>
        </w:rPr>
        <w:t xml:space="preserve">                               </w:t>
      </w:r>
    </w:p>
    <w:p w14:paraId="1587CB0B">
      <w:pPr>
        <w:spacing w:line="360" w:lineRule="auto"/>
        <w:rPr>
          <w:rFonts w:ascii="宋体" w:hAnsi="宋体"/>
          <w:sz w:val="24"/>
          <w:u w:val="single"/>
        </w:rPr>
      </w:pPr>
      <w:r>
        <w:rPr>
          <w:rFonts w:hint="eastAsia" w:ascii="宋体" w:hAnsi="宋体"/>
          <w:sz w:val="24"/>
        </w:rPr>
        <w:t xml:space="preserve">投标企业公章： </w:t>
      </w:r>
      <w:r>
        <w:rPr>
          <w:rFonts w:hint="eastAsia" w:ascii="宋体" w:hAnsi="宋体"/>
          <w:sz w:val="24"/>
          <w:u w:val="single"/>
        </w:rPr>
        <w:t xml:space="preserve">                                     </w:t>
      </w:r>
    </w:p>
    <w:p w14:paraId="5FB36393">
      <w:pPr>
        <w:spacing w:line="360" w:lineRule="auto"/>
        <w:rPr>
          <w:rFonts w:ascii="宋体" w:hAnsi="宋体"/>
          <w:sz w:val="24"/>
          <w:u w:val="single"/>
        </w:rPr>
      </w:pPr>
      <w:r>
        <w:rPr>
          <w:rFonts w:hint="eastAsia"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198120</wp:posOffset>
                </wp:positionV>
                <wp:extent cx="2743200" cy="1684020"/>
                <wp:effectExtent l="5715" t="7620" r="13335" b="1333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743200" cy="1684020"/>
                        </a:xfrm>
                        <a:prstGeom prst="rect">
                          <a:avLst/>
                        </a:prstGeom>
                        <a:solidFill>
                          <a:srgbClr val="FFFFFF"/>
                        </a:solidFill>
                        <a:ln w="9525" cmpd="sng">
                          <a:solidFill>
                            <a:srgbClr val="000000"/>
                          </a:solidFill>
                          <a:miter lim="800000"/>
                        </a:ln>
                      </wps:spPr>
                      <wps:txbx>
                        <w:txbxContent>
                          <w:p w14:paraId="05F005F9">
                            <w:pPr>
                              <w:spacing w:line="360" w:lineRule="auto"/>
                              <w:ind w:right="560" w:firstLine="1036" w:firstLineChars="344"/>
                              <w:rPr>
                                <w:b/>
                                <w:sz w:val="30"/>
                                <w:szCs w:val="30"/>
                              </w:rPr>
                            </w:pPr>
                          </w:p>
                          <w:p w14:paraId="61552F2B">
                            <w:pPr>
                              <w:spacing w:line="360" w:lineRule="auto"/>
                              <w:ind w:right="560" w:firstLine="970" w:firstLineChars="345"/>
                              <w:rPr>
                                <w:b/>
                                <w:sz w:val="28"/>
                                <w:szCs w:val="28"/>
                              </w:rPr>
                            </w:pPr>
                            <w:r>
                              <w:rPr>
                                <w:rFonts w:hint="eastAsia"/>
                                <w:b/>
                                <w:sz w:val="28"/>
                                <w:szCs w:val="28"/>
                              </w:rPr>
                              <w:t>授权人（送货人）</w:t>
                            </w:r>
                          </w:p>
                          <w:p w14:paraId="49B18CCE">
                            <w:pPr>
                              <w:spacing w:line="360" w:lineRule="auto"/>
                              <w:ind w:firstLine="570"/>
                              <w:rPr>
                                <w:b/>
                                <w:sz w:val="28"/>
                                <w:szCs w:val="28"/>
                              </w:rPr>
                            </w:pPr>
                            <w:r>
                              <w:rPr>
                                <w:rFonts w:hint="eastAsia"/>
                                <w:b/>
                                <w:sz w:val="28"/>
                                <w:szCs w:val="28"/>
                              </w:rPr>
                              <w:t>居民身份证复印件粘贴处</w:t>
                            </w:r>
                          </w:p>
                          <w:p w14:paraId="6084C11E">
                            <w:pPr>
                              <w:spacing w:line="360" w:lineRule="auto"/>
                              <w:ind w:firstLine="570"/>
                              <w:jc w:val="center"/>
                              <w:rPr>
                                <w:b/>
                                <w:sz w:val="28"/>
                                <w:szCs w:val="28"/>
                              </w:rPr>
                            </w:pPr>
                            <w:r>
                              <w:rPr>
                                <w:rFonts w:hint="eastAsia"/>
                                <w:b/>
                                <w:sz w:val="28"/>
                                <w:szCs w:val="28"/>
                              </w:rPr>
                              <w:t>（加盖骑缝章）</w:t>
                            </w:r>
                          </w:p>
                          <w:p w14:paraId="30913845"/>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2pt;margin-top:15.6pt;height:132.6pt;width:216pt;z-index:251659264;mso-width-relative:page;mso-height-relative:page;" fillcolor="#FFFFFF" filled="t" stroked="t" coordsize="21600,21600" o:gfxdata="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HgHu+2AAAAAoBAAAPAAAAAAAAAAEAIAAAACIA&#10;AABkcnMvZG93bnJldi54bWxQSwECFAAUAAAACACHTuJAVU1m6kICAACGBAAADgAAAAAAAAABACAA&#10;AAAnAQAAZHJzL2Uyb0RvYy54bWxQSwUGAAAAAAYABgBZAQAA2wUAAAAA&#10;">
                <v:fill on="t" focussize="0,0"/>
                <v:stroke color="#000000" miterlimit="8" joinstyle="miter"/>
                <v:imagedata o:title=""/>
                <o:lock v:ext="edit" aspectratio="f"/>
                <v:textbox>
                  <w:txbxContent>
                    <w:p w14:paraId="05F005F9">
                      <w:pPr>
                        <w:spacing w:line="360" w:lineRule="auto"/>
                        <w:ind w:right="560" w:firstLine="1036" w:firstLineChars="344"/>
                        <w:rPr>
                          <w:b/>
                          <w:sz w:val="30"/>
                          <w:szCs w:val="30"/>
                        </w:rPr>
                      </w:pPr>
                    </w:p>
                    <w:p w14:paraId="61552F2B">
                      <w:pPr>
                        <w:spacing w:line="360" w:lineRule="auto"/>
                        <w:ind w:right="560" w:firstLine="970" w:firstLineChars="345"/>
                        <w:rPr>
                          <w:b/>
                          <w:sz w:val="28"/>
                          <w:szCs w:val="28"/>
                        </w:rPr>
                      </w:pPr>
                      <w:r>
                        <w:rPr>
                          <w:rFonts w:hint="eastAsia"/>
                          <w:b/>
                          <w:sz w:val="28"/>
                          <w:szCs w:val="28"/>
                        </w:rPr>
                        <w:t>授权人（送货人）</w:t>
                      </w:r>
                    </w:p>
                    <w:p w14:paraId="49B18CCE">
                      <w:pPr>
                        <w:spacing w:line="360" w:lineRule="auto"/>
                        <w:ind w:firstLine="570"/>
                        <w:rPr>
                          <w:b/>
                          <w:sz w:val="28"/>
                          <w:szCs w:val="28"/>
                        </w:rPr>
                      </w:pPr>
                      <w:r>
                        <w:rPr>
                          <w:rFonts w:hint="eastAsia"/>
                          <w:b/>
                          <w:sz w:val="28"/>
                          <w:szCs w:val="28"/>
                        </w:rPr>
                        <w:t>居民身份证复印件粘贴处</w:t>
                      </w:r>
                    </w:p>
                    <w:p w14:paraId="6084C11E">
                      <w:pPr>
                        <w:spacing w:line="360" w:lineRule="auto"/>
                        <w:ind w:firstLine="570"/>
                        <w:jc w:val="center"/>
                        <w:rPr>
                          <w:b/>
                          <w:sz w:val="28"/>
                          <w:szCs w:val="28"/>
                        </w:rPr>
                      </w:pPr>
                      <w:r>
                        <w:rPr>
                          <w:rFonts w:hint="eastAsia"/>
                          <w:b/>
                          <w:sz w:val="28"/>
                          <w:szCs w:val="28"/>
                        </w:rPr>
                        <w:t>（加盖骑缝章）</w:t>
                      </w:r>
                    </w:p>
                    <w:p w14:paraId="30913845"/>
                  </w:txbxContent>
                </v:textbox>
              </v:rect>
            </w:pict>
          </mc:Fallback>
        </mc:AlternateContent>
      </w:r>
      <w:r>
        <w:rPr>
          <w:rFonts w:hint="eastAsia"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198120</wp:posOffset>
                </wp:positionV>
                <wp:extent cx="2743200" cy="1684020"/>
                <wp:effectExtent l="5715" t="7620" r="13335" b="1333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743200" cy="1684020"/>
                        </a:xfrm>
                        <a:prstGeom prst="rect">
                          <a:avLst/>
                        </a:prstGeom>
                        <a:solidFill>
                          <a:srgbClr val="FFFFFF"/>
                        </a:solidFill>
                        <a:ln w="9525" cmpd="sng">
                          <a:solidFill>
                            <a:srgbClr val="000000"/>
                          </a:solidFill>
                          <a:miter lim="800000"/>
                        </a:ln>
                      </wps:spPr>
                      <wps:txbx>
                        <w:txbxContent>
                          <w:p w14:paraId="235869AE">
                            <w:pPr>
                              <w:spacing w:line="360" w:lineRule="auto"/>
                              <w:ind w:right="560" w:firstLine="1036" w:firstLineChars="344"/>
                              <w:rPr>
                                <w:b/>
                                <w:sz w:val="30"/>
                                <w:szCs w:val="30"/>
                              </w:rPr>
                            </w:pPr>
                          </w:p>
                          <w:p w14:paraId="62B904FA">
                            <w:pPr>
                              <w:spacing w:line="360" w:lineRule="auto"/>
                              <w:ind w:right="560" w:firstLine="1193" w:firstLineChars="396"/>
                              <w:rPr>
                                <w:b/>
                                <w:sz w:val="28"/>
                                <w:szCs w:val="28"/>
                              </w:rPr>
                            </w:pPr>
                            <w:r>
                              <w:rPr>
                                <w:rFonts w:hint="eastAsia"/>
                                <w:b/>
                                <w:sz w:val="30"/>
                                <w:szCs w:val="30"/>
                              </w:rPr>
                              <w:t>法人代表人</w:t>
                            </w:r>
                          </w:p>
                          <w:p w14:paraId="203E0CAD">
                            <w:pPr>
                              <w:spacing w:line="360" w:lineRule="auto"/>
                              <w:ind w:firstLine="570"/>
                              <w:rPr>
                                <w:b/>
                                <w:sz w:val="28"/>
                                <w:szCs w:val="28"/>
                              </w:rPr>
                            </w:pPr>
                            <w:r>
                              <w:rPr>
                                <w:rFonts w:hint="eastAsia"/>
                                <w:b/>
                                <w:sz w:val="28"/>
                                <w:szCs w:val="28"/>
                              </w:rPr>
                              <w:t>居民身份证复印件粘贴处</w:t>
                            </w:r>
                          </w:p>
                          <w:p w14:paraId="5CAE54CD">
                            <w:pPr>
                              <w:spacing w:line="360" w:lineRule="auto"/>
                              <w:ind w:firstLine="570"/>
                              <w:jc w:val="center"/>
                              <w:rPr>
                                <w:b/>
                                <w:sz w:val="28"/>
                                <w:szCs w:val="28"/>
                              </w:rPr>
                            </w:pPr>
                            <w:r>
                              <w:rPr>
                                <w:rFonts w:hint="eastAsia"/>
                                <w:b/>
                                <w:sz w:val="28"/>
                                <w:szCs w:val="28"/>
                              </w:rPr>
                              <w:t>（加盖骑缝章）</w:t>
                            </w:r>
                          </w:p>
                          <w:p w14:paraId="1A26B56C"/>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15.6pt;height:132.6pt;width:216pt;z-index:251660288;mso-width-relative:page;mso-height-relative:page;" fillcolor="#FFFFFF" filled="t" stroked="t" coordsize="21600,21600" o:gfxdata="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NwVTDWAAAABwEAAA8AAAAAAAAAAQAgAAAAIgAAAGRy&#10;cy9kb3ducmV2LnhtbFBLAQIUABQAAAAIAIdO4kCwpPMuQAIAAIYEAAAOAAAAAAAAAAEAIAAAACUB&#10;AABkcnMvZTJvRG9jLnhtbFBLBQYAAAAABgAGAFkBAADXBQAAAAA=&#10;">
                <v:fill on="t" focussize="0,0"/>
                <v:stroke color="#000000" miterlimit="8" joinstyle="miter"/>
                <v:imagedata o:title=""/>
                <o:lock v:ext="edit" aspectratio="f"/>
                <v:textbox>
                  <w:txbxContent>
                    <w:p w14:paraId="235869AE">
                      <w:pPr>
                        <w:spacing w:line="360" w:lineRule="auto"/>
                        <w:ind w:right="560" w:firstLine="1036" w:firstLineChars="344"/>
                        <w:rPr>
                          <w:b/>
                          <w:sz w:val="30"/>
                          <w:szCs w:val="30"/>
                        </w:rPr>
                      </w:pPr>
                    </w:p>
                    <w:p w14:paraId="62B904FA">
                      <w:pPr>
                        <w:spacing w:line="360" w:lineRule="auto"/>
                        <w:ind w:right="560" w:firstLine="1193" w:firstLineChars="396"/>
                        <w:rPr>
                          <w:b/>
                          <w:sz w:val="28"/>
                          <w:szCs w:val="28"/>
                        </w:rPr>
                      </w:pPr>
                      <w:r>
                        <w:rPr>
                          <w:rFonts w:hint="eastAsia"/>
                          <w:b/>
                          <w:sz w:val="30"/>
                          <w:szCs w:val="30"/>
                        </w:rPr>
                        <w:t>法人代表人</w:t>
                      </w:r>
                    </w:p>
                    <w:p w14:paraId="203E0CAD">
                      <w:pPr>
                        <w:spacing w:line="360" w:lineRule="auto"/>
                        <w:ind w:firstLine="570"/>
                        <w:rPr>
                          <w:b/>
                          <w:sz w:val="28"/>
                          <w:szCs w:val="28"/>
                        </w:rPr>
                      </w:pPr>
                      <w:r>
                        <w:rPr>
                          <w:rFonts w:hint="eastAsia"/>
                          <w:b/>
                          <w:sz w:val="28"/>
                          <w:szCs w:val="28"/>
                        </w:rPr>
                        <w:t>居民身份证复印件粘贴处</w:t>
                      </w:r>
                    </w:p>
                    <w:p w14:paraId="5CAE54CD">
                      <w:pPr>
                        <w:spacing w:line="360" w:lineRule="auto"/>
                        <w:ind w:firstLine="570"/>
                        <w:jc w:val="center"/>
                        <w:rPr>
                          <w:b/>
                          <w:sz w:val="28"/>
                          <w:szCs w:val="28"/>
                        </w:rPr>
                      </w:pPr>
                      <w:r>
                        <w:rPr>
                          <w:rFonts w:hint="eastAsia"/>
                          <w:b/>
                          <w:sz w:val="28"/>
                          <w:szCs w:val="28"/>
                        </w:rPr>
                        <w:t>（加盖骑缝章）</w:t>
                      </w:r>
                    </w:p>
                    <w:p w14:paraId="1A26B56C"/>
                  </w:txbxContent>
                </v:textbox>
              </v:rect>
            </w:pict>
          </mc:Fallback>
        </mc:AlternateContent>
      </w:r>
    </w:p>
    <w:p w14:paraId="4E04086C">
      <w:pPr>
        <w:spacing w:line="360" w:lineRule="auto"/>
        <w:rPr>
          <w:rFonts w:ascii="宋体" w:hAnsi="宋体"/>
          <w:sz w:val="24"/>
          <w:u w:val="single"/>
        </w:rPr>
      </w:pPr>
    </w:p>
    <w:p w14:paraId="328C3EBF">
      <w:pPr>
        <w:spacing w:line="360" w:lineRule="auto"/>
        <w:rPr>
          <w:rFonts w:ascii="宋体" w:hAnsi="宋体"/>
          <w:sz w:val="24"/>
          <w:u w:val="single"/>
        </w:rPr>
      </w:pPr>
    </w:p>
    <w:p w14:paraId="2146BD64">
      <w:pPr>
        <w:rPr>
          <w:rFonts w:ascii="宋体" w:hAnsi="宋体"/>
          <w:b/>
          <w:szCs w:val="21"/>
        </w:rPr>
      </w:pPr>
    </w:p>
    <w:p w14:paraId="7D9CCC41">
      <w:pPr>
        <w:rPr>
          <w:rFonts w:ascii="宋体" w:hAnsi="宋体"/>
          <w:szCs w:val="21"/>
        </w:rPr>
      </w:pPr>
    </w:p>
    <w:p w14:paraId="3F28769E">
      <w:pPr>
        <w:rPr>
          <w:rFonts w:ascii="宋体" w:hAnsi="宋体"/>
          <w:szCs w:val="21"/>
        </w:rPr>
      </w:pPr>
    </w:p>
    <w:p w14:paraId="44268C0B">
      <w:pPr>
        <w:rPr>
          <w:rFonts w:ascii="宋体" w:hAnsi="宋体"/>
          <w:szCs w:val="21"/>
        </w:rPr>
      </w:pPr>
    </w:p>
    <w:p w14:paraId="61237D1C">
      <w:pPr>
        <w:tabs>
          <w:tab w:val="left" w:pos="765"/>
        </w:tabs>
        <w:rPr>
          <w:rFonts w:ascii="宋体" w:hAnsi="宋体"/>
          <w:szCs w:val="21"/>
        </w:rPr>
      </w:pPr>
    </w:p>
    <w:p w14:paraId="15D59295">
      <w:pPr>
        <w:spacing w:line="360" w:lineRule="auto"/>
        <w:ind w:firstLine="480" w:firstLineChars="200"/>
        <w:rPr>
          <w:rFonts w:ascii="宋体" w:hAnsi="宋体"/>
          <w:sz w:val="24"/>
        </w:rPr>
      </w:pPr>
    </w:p>
    <w:p w14:paraId="0AE4E722">
      <w:pPr>
        <w:spacing w:line="360" w:lineRule="auto"/>
        <w:ind w:firstLine="4216" w:firstLineChars="1750"/>
        <w:rPr>
          <w:rFonts w:ascii="宋体" w:hAnsi="宋体"/>
          <w:b/>
          <w:color w:val="FF0000"/>
          <w:sz w:val="24"/>
        </w:rPr>
      </w:pPr>
    </w:p>
    <w:p w14:paraId="660E51D1">
      <w:pPr>
        <w:spacing w:line="360" w:lineRule="auto"/>
        <w:rPr>
          <w:rFonts w:ascii="宋体" w:hAnsi="宋体"/>
          <w:b/>
          <w:color w:val="FF0000"/>
          <w:sz w:val="24"/>
        </w:rPr>
      </w:pPr>
    </w:p>
    <w:p w14:paraId="5DB211EF">
      <w:pPr>
        <w:widowControl/>
        <w:jc w:val="left"/>
        <w:rPr>
          <w:rStyle w:val="27"/>
          <w:rFonts w:ascii="宋体" w:hAnsi="宋体"/>
          <w:b/>
          <w:szCs w:val="21"/>
        </w:rPr>
      </w:pPr>
      <w:r>
        <w:rPr>
          <w:rStyle w:val="27"/>
          <w:rFonts w:ascii="宋体" w:hAnsi="宋体"/>
          <w:b/>
          <w:szCs w:val="21"/>
        </w:rPr>
        <w:br w:type="page"/>
      </w:r>
    </w:p>
    <w:p w14:paraId="2C970BC8">
      <w:pPr>
        <w:rPr>
          <w:rFonts w:ascii="仿宋" w:hAnsi="仿宋" w:eastAsia="仿宋"/>
          <w:b/>
          <w:sz w:val="30"/>
          <w:szCs w:val="30"/>
        </w:rPr>
      </w:pPr>
      <w:r>
        <w:rPr>
          <w:rFonts w:ascii="仿宋" w:hAnsi="仿宋" w:eastAsia="仿宋"/>
          <w:b/>
          <w:sz w:val="30"/>
          <w:szCs w:val="30"/>
        </w:rPr>
        <w:t>政府采购投标及履约承诺函</w:t>
      </w:r>
    </w:p>
    <w:p w14:paraId="21A3F0E8">
      <w:pPr>
        <w:spacing w:line="360" w:lineRule="auto"/>
        <w:rPr>
          <w:rFonts w:ascii="仿宋" w:hAnsi="仿宋" w:eastAsia="仿宋"/>
          <w:sz w:val="28"/>
          <w:szCs w:val="28"/>
        </w:rPr>
      </w:pPr>
      <w:r>
        <w:rPr>
          <w:rFonts w:ascii="仿宋" w:hAnsi="仿宋" w:eastAsia="仿宋"/>
          <w:sz w:val="28"/>
          <w:szCs w:val="28"/>
        </w:rPr>
        <w:t>致：</w:t>
      </w:r>
      <w:r>
        <w:rPr>
          <w:rFonts w:hint="eastAsia" w:ascii="仿宋" w:hAnsi="仿宋" w:eastAsia="仿宋"/>
          <w:sz w:val="28"/>
          <w:szCs w:val="28"/>
        </w:rPr>
        <w:t>北京中医药大学深圳医院(龙岗)</w:t>
      </w:r>
    </w:p>
    <w:p w14:paraId="58E88BAF">
      <w:pPr>
        <w:spacing w:line="360" w:lineRule="auto"/>
        <w:rPr>
          <w:rFonts w:ascii="仿宋" w:hAnsi="仿宋" w:eastAsia="仿宋"/>
          <w:sz w:val="28"/>
          <w:szCs w:val="28"/>
        </w:rPr>
      </w:pPr>
      <w:r>
        <w:rPr>
          <w:rFonts w:ascii="仿宋" w:hAnsi="仿宋" w:eastAsia="仿宋"/>
          <w:sz w:val="28"/>
          <w:szCs w:val="28"/>
        </w:rPr>
        <w:t>我公司承诺：</w:t>
      </w:r>
    </w:p>
    <w:p w14:paraId="00DB1CAF">
      <w:pPr>
        <w:spacing w:line="360" w:lineRule="auto"/>
        <w:rPr>
          <w:rFonts w:ascii="仿宋" w:hAnsi="仿宋" w:eastAsia="仿宋"/>
          <w:sz w:val="28"/>
          <w:szCs w:val="28"/>
        </w:rPr>
      </w:pPr>
      <w:r>
        <w:rPr>
          <w:rFonts w:ascii="仿宋" w:hAnsi="仿宋" w:eastAsia="仿宋"/>
          <w:sz w:val="28"/>
          <w:szCs w:val="28"/>
        </w:rPr>
        <w:t>1.我公司本招标项目所提供的货物或服务未侵犯知识产权。</w:t>
      </w:r>
    </w:p>
    <w:p w14:paraId="312BEEA8">
      <w:pPr>
        <w:spacing w:line="360" w:lineRule="auto"/>
        <w:rPr>
          <w:rFonts w:ascii="仿宋" w:hAnsi="仿宋" w:eastAsia="仿宋"/>
          <w:sz w:val="28"/>
          <w:szCs w:val="28"/>
        </w:rPr>
      </w:pPr>
      <w:r>
        <w:rPr>
          <w:rFonts w:ascii="仿宋" w:hAnsi="仿宋" w:eastAsia="仿宋"/>
          <w:sz w:val="28"/>
          <w:szCs w:val="28"/>
        </w:rPr>
        <w:t>2.我公司参与本项目投标前三年内，在经营活动中没有重大违法记录。</w:t>
      </w:r>
    </w:p>
    <w:p w14:paraId="39925525">
      <w:pPr>
        <w:spacing w:line="360" w:lineRule="auto"/>
        <w:rPr>
          <w:rFonts w:ascii="仿宋" w:hAnsi="仿宋" w:eastAsia="仿宋"/>
          <w:sz w:val="28"/>
          <w:szCs w:val="28"/>
        </w:rPr>
      </w:pPr>
      <w:r>
        <w:rPr>
          <w:rFonts w:ascii="仿宋" w:hAnsi="仿宋" w:eastAsia="仿宋"/>
          <w:sz w:val="28"/>
          <w:szCs w:val="28"/>
        </w:rPr>
        <w:t>3.我公司参与本项目政府采购活动时不存在被有关部门禁止参与政府采购活动且在有效期内的情况。</w:t>
      </w:r>
    </w:p>
    <w:p w14:paraId="622B147A">
      <w:pPr>
        <w:spacing w:line="360" w:lineRule="auto"/>
        <w:rPr>
          <w:rFonts w:ascii="仿宋" w:hAnsi="仿宋" w:eastAsia="仿宋"/>
          <w:sz w:val="28"/>
          <w:szCs w:val="28"/>
        </w:rPr>
      </w:pPr>
      <w:r>
        <w:rPr>
          <w:rFonts w:ascii="仿宋" w:hAnsi="仿宋" w:eastAsia="仿宋"/>
          <w:sz w:val="28"/>
          <w:szCs w:val="28"/>
        </w:rPr>
        <w:t>4.我公司具备《中华人民共和国政府采购法》第二十二条第一款规定的六项条件。</w:t>
      </w:r>
    </w:p>
    <w:p w14:paraId="1DB3ED2C">
      <w:pPr>
        <w:spacing w:line="360" w:lineRule="auto"/>
        <w:rPr>
          <w:rFonts w:ascii="仿宋" w:hAnsi="仿宋" w:eastAsia="仿宋"/>
          <w:sz w:val="28"/>
          <w:szCs w:val="28"/>
        </w:rPr>
      </w:pPr>
      <w:r>
        <w:rPr>
          <w:rFonts w:ascii="仿宋" w:hAnsi="仿宋" w:eastAsia="仿宋"/>
          <w:sz w:val="28"/>
          <w:szCs w:val="28"/>
        </w:rPr>
        <w:t>5.我公司未被列入失信被执行人、重大税收违法案件当事人名单、政府采购严重违法失信行为记录名单</w:t>
      </w:r>
    </w:p>
    <w:p w14:paraId="223DFC1C">
      <w:pPr>
        <w:spacing w:line="360" w:lineRule="auto"/>
        <w:rPr>
          <w:rFonts w:ascii="仿宋" w:hAnsi="仿宋" w:eastAsia="仿宋"/>
          <w:sz w:val="28"/>
          <w:szCs w:val="28"/>
        </w:rPr>
      </w:pPr>
      <w:r>
        <w:rPr>
          <w:rFonts w:ascii="仿宋" w:hAnsi="仿宋" w:eastAsia="仿宋"/>
          <w:sz w:val="28"/>
          <w:szCs w:val="28"/>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14:paraId="2CF1E4DE">
      <w:pPr>
        <w:spacing w:line="360" w:lineRule="auto"/>
        <w:rPr>
          <w:rFonts w:ascii="仿宋" w:hAnsi="仿宋" w:eastAsia="仿宋"/>
          <w:sz w:val="28"/>
          <w:szCs w:val="28"/>
        </w:rPr>
      </w:pPr>
      <w:r>
        <w:rPr>
          <w:rFonts w:ascii="仿宋" w:hAnsi="仿宋" w:eastAsia="仿宋"/>
          <w:sz w:val="28"/>
          <w:szCs w:val="28"/>
        </w:rPr>
        <w:t>7.我公司如果中标，做到守信，不偷工减料，依照本项目招标文件需求内容、签署的采购合同及本公司在投标中所作的一切承诺履约。项目验收达到全部指标合格，力争优良。</w:t>
      </w:r>
    </w:p>
    <w:p w14:paraId="5B59C752">
      <w:pPr>
        <w:spacing w:line="360" w:lineRule="auto"/>
        <w:rPr>
          <w:rFonts w:ascii="仿宋" w:hAnsi="仿宋" w:eastAsia="仿宋"/>
          <w:sz w:val="28"/>
          <w:szCs w:val="28"/>
        </w:rPr>
      </w:pPr>
      <w:r>
        <w:rPr>
          <w:rFonts w:ascii="仿宋" w:hAnsi="仿宋" w:eastAsia="仿宋"/>
          <w:sz w:val="28"/>
          <w:szCs w:val="28"/>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0A61F305">
      <w:pPr>
        <w:spacing w:line="360" w:lineRule="auto"/>
        <w:rPr>
          <w:rFonts w:ascii="仿宋" w:hAnsi="仿宋" w:eastAsia="仿宋"/>
          <w:sz w:val="28"/>
          <w:szCs w:val="28"/>
        </w:rPr>
      </w:pPr>
      <w:r>
        <w:rPr>
          <w:rFonts w:ascii="仿宋" w:hAnsi="仿宋" w:eastAsia="仿宋"/>
          <w:sz w:val="28"/>
          <w:szCs w:val="28"/>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4BAE6D1D">
      <w:pPr>
        <w:spacing w:line="360" w:lineRule="auto"/>
        <w:rPr>
          <w:rFonts w:ascii="仿宋" w:hAnsi="仿宋" w:eastAsia="仿宋"/>
          <w:sz w:val="28"/>
          <w:szCs w:val="28"/>
        </w:rPr>
      </w:pPr>
      <w:r>
        <w:rPr>
          <w:rFonts w:ascii="仿宋" w:hAnsi="仿宋" w:eastAsia="仿宋"/>
          <w:sz w:val="28"/>
          <w:szCs w:val="28"/>
        </w:rPr>
        <w:t>10.我公司承诺不非法转包、分包。</w:t>
      </w:r>
    </w:p>
    <w:p w14:paraId="524270FD">
      <w:pPr>
        <w:spacing w:line="360" w:lineRule="auto"/>
        <w:rPr>
          <w:rFonts w:ascii="仿宋" w:hAnsi="仿宋" w:eastAsia="仿宋"/>
          <w:sz w:val="28"/>
          <w:szCs w:val="28"/>
        </w:rPr>
      </w:pPr>
      <w:r>
        <w:rPr>
          <w:rFonts w:ascii="仿宋" w:hAnsi="仿宋" w:eastAsia="仿宋"/>
          <w:sz w:val="28"/>
          <w:szCs w:val="28"/>
        </w:rPr>
        <w:t>以上承诺，如有违反，愿依照国家相关法律处理，并承担由此给采购人带来的损失。</w:t>
      </w:r>
    </w:p>
    <w:p w14:paraId="4295BD63">
      <w:pPr>
        <w:spacing w:line="360" w:lineRule="auto"/>
        <w:rPr>
          <w:rFonts w:eastAsia="仿宋"/>
          <w:sz w:val="28"/>
          <w:szCs w:val="28"/>
        </w:rPr>
      </w:pPr>
      <w:r>
        <w:rPr>
          <w:rFonts w:eastAsia="仿宋"/>
          <w:sz w:val="28"/>
          <w:szCs w:val="28"/>
        </w:rPr>
        <w:t>                                    </w:t>
      </w:r>
      <w:r>
        <w:rPr>
          <w:rFonts w:hint="eastAsia" w:eastAsia="仿宋"/>
          <w:sz w:val="28"/>
          <w:szCs w:val="28"/>
        </w:rPr>
        <w:t xml:space="preserve">                   </w:t>
      </w:r>
      <w:r>
        <w:rPr>
          <w:rFonts w:ascii="仿宋" w:hAnsi="仿宋" w:eastAsia="仿宋"/>
          <w:sz w:val="28"/>
          <w:szCs w:val="28"/>
        </w:rPr>
        <w:t>投标人：</w:t>
      </w:r>
      <w:r>
        <w:rPr>
          <w:rFonts w:eastAsia="仿宋"/>
          <w:sz w:val="28"/>
          <w:szCs w:val="28"/>
        </w:rPr>
        <w:t>                             </w:t>
      </w:r>
    </w:p>
    <w:p w14:paraId="0BB2F296">
      <w:pPr>
        <w:spacing w:line="360" w:lineRule="auto"/>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日</w:t>
      </w:r>
      <w:r>
        <w:rPr>
          <w:rFonts w:eastAsia="仿宋"/>
          <w:sz w:val="28"/>
          <w:szCs w:val="28"/>
        </w:rPr>
        <w:t>  </w:t>
      </w:r>
      <w:r>
        <w:rPr>
          <w:rFonts w:ascii="仿宋" w:hAnsi="仿宋" w:eastAsia="仿宋"/>
          <w:sz w:val="28"/>
          <w:szCs w:val="28"/>
        </w:rPr>
        <w:t>期：</w:t>
      </w:r>
      <w:r>
        <w:rPr>
          <w:rFonts w:eastAsia="仿宋"/>
          <w:sz w:val="28"/>
          <w:szCs w:val="28"/>
        </w:rPr>
        <w:t>      </w:t>
      </w:r>
      <w:r>
        <w:rPr>
          <w:rFonts w:ascii="仿宋" w:hAnsi="仿宋" w:eastAsia="仿宋"/>
          <w:sz w:val="28"/>
          <w:szCs w:val="28"/>
        </w:rPr>
        <w:t>年</w:t>
      </w:r>
      <w:r>
        <w:rPr>
          <w:rFonts w:eastAsia="仿宋"/>
          <w:sz w:val="28"/>
          <w:szCs w:val="28"/>
        </w:rPr>
        <w:t> </w:t>
      </w:r>
      <w:r>
        <w:rPr>
          <w:rFonts w:hint="eastAsia" w:eastAsia="仿宋"/>
          <w:sz w:val="28"/>
          <w:szCs w:val="28"/>
        </w:rPr>
        <w:t xml:space="preserve">  </w:t>
      </w:r>
      <w:r>
        <w:rPr>
          <w:rFonts w:eastAsia="仿宋"/>
          <w:sz w:val="28"/>
          <w:szCs w:val="28"/>
        </w:rPr>
        <w:t>  </w:t>
      </w:r>
      <w:r>
        <w:rPr>
          <w:rFonts w:ascii="仿宋" w:hAnsi="仿宋" w:eastAsia="仿宋"/>
          <w:sz w:val="28"/>
          <w:szCs w:val="28"/>
        </w:rPr>
        <w:t>月</w:t>
      </w:r>
      <w:r>
        <w:rPr>
          <w:rFonts w:hint="eastAsia" w:ascii="仿宋" w:hAnsi="仿宋" w:eastAsia="仿宋"/>
          <w:sz w:val="28"/>
          <w:szCs w:val="28"/>
        </w:rPr>
        <w:t xml:space="preserve">  </w:t>
      </w:r>
      <w:r>
        <w:rPr>
          <w:rFonts w:eastAsia="仿宋"/>
          <w:sz w:val="28"/>
          <w:szCs w:val="28"/>
        </w:rPr>
        <w:t>  </w:t>
      </w:r>
      <w:r>
        <w:rPr>
          <w:rFonts w:ascii="仿宋" w:hAnsi="仿宋" w:eastAsia="仿宋"/>
          <w:sz w:val="28"/>
          <w:szCs w:val="28"/>
        </w:rPr>
        <w:t>日</w:t>
      </w:r>
    </w:p>
    <w:p w14:paraId="3B7E1C25">
      <w:pPr>
        <w:pStyle w:val="8"/>
      </w:pPr>
    </w:p>
    <w:p w14:paraId="0701BD0E">
      <w:pPr>
        <w:spacing w:line="360" w:lineRule="auto"/>
        <w:rPr>
          <w:rFonts w:ascii="宋体" w:hAnsi="宋体"/>
          <w:b/>
          <w:color w:val="FF0000"/>
          <w:sz w:val="24"/>
        </w:rPr>
      </w:pPr>
    </w:p>
    <w:p w14:paraId="6616CC97">
      <w:pPr>
        <w:spacing w:line="360" w:lineRule="auto"/>
        <w:rPr>
          <w:rFonts w:ascii="宋体" w:hAnsi="宋体"/>
          <w:b/>
          <w:color w:val="FF0000"/>
          <w:sz w:val="24"/>
        </w:rPr>
      </w:pPr>
    </w:p>
    <w:p w14:paraId="5218A684">
      <w:pPr>
        <w:spacing w:line="360" w:lineRule="auto"/>
        <w:rPr>
          <w:rFonts w:ascii="宋体" w:hAnsi="宋体"/>
          <w:b/>
          <w:color w:val="FF0000"/>
          <w:sz w:val="24"/>
        </w:rPr>
      </w:pPr>
    </w:p>
    <w:p w14:paraId="00618197">
      <w:pPr>
        <w:spacing w:line="360" w:lineRule="auto"/>
        <w:rPr>
          <w:rFonts w:ascii="宋体" w:hAnsi="宋体"/>
          <w:b/>
          <w:color w:val="FF0000"/>
          <w:sz w:val="24"/>
        </w:rPr>
      </w:pPr>
    </w:p>
    <w:p w14:paraId="19F1DDE7">
      <w:pPr>
        <w:spacing w:line="360" w:lineRule="auto"/>
        <w:rPr>
          <w:rFonts w:ascii="宋体" w:hAnsi="宋体"/>
          <w:b/>
          <w:color w:val="FF0000"/>
          <w:sz w:val="24"/>
        </w:rPr>
      </w:pPr>
    </w:p>
    <w:p w14:paraId="7858B863">
      <w:pPr>
        <w:spacing w:line="360" w:lineRule="auto"/>
        <w:rPr>
          <w:rFonts w:ascii="宋体" w:hAnsi="宋体"/>
        </w:rPr>
      </w:pPr>
    </w:p>
    <w:p w14:paraId="3A5901C0">
      <w:pPr>
        <w:spacing w:line="360" w:lineRule="auto"/>
        <w:rPr>
          <w:rFonts w:ascii="宋体" w:hAnsi="宋体"/>
        </w:rPr>
      </w:pPr>
      <w:r>
        <w:rPr>
          <w:rFonts w:hint="eastAsia" w:ascii="宋体" w:hAnsi="宋体"/>
        </w:rPr>
        <w:t>（信用自查）</w:t>
      </w:r>
    </w:p>
    <w:p w14:paraId="5BCE62FD">
      <w:pPr>
        <w:widowControl/>
        <w:spacing w:line="520" w:lineRule="exact"/>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龙岗区进一步规范政商交往行为告知书</w:t>
      </w:r>
    </w:p>
    <w:p w14:paraId="17498E97">
      <w:pPr>
        <w:pStyle w:val="6"/>
        <w:spacing w:line="460" w:lineRule="exact"/>
      </w:pPr>
    </w:p>
    <w:p w14:paraId="37A2E0C2">
      <w:pPr>
        <w:widowControl/>
        <w:spacing w:line="460" w:lineRule="exact"/>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为深入构建“亲”“清”新型政商关系，努力打造尊商、亲商、助商、安商良好营商环境，龙岗</w:t>
      </w:r>
      <w:r>
        <w:rPr>
          <w:rFonts w:hint="eastAsia" w:ascii="仿宋_GB2312" w:hAnsi="宋体" w:eastAsia="仿宋_GB2312" w:cs="仿宋_GB2312"/>
          <w:color w:val="000000"/>
          <w:kern w:val="0"/>
          <w:sz w:val="31"/>
          <w:szCs w:val="31"/>
          <w:lang w:eastAsia="zh-CN" w:bidi="ar"/>
        </w:rPr>
        <w:t>区委、区政府</w:t>
      </w:r>
      <w:r>
        <w:rPr>
          <w:rFonts w:hint="eastAsia" w:ascii="仿宋_GB2312" w:hAnsi="宋体" w:eastAsia="仿宋_GB2312" w:cs="仿宋_GB2312"/>
          <w:color w:val="000000"/>
          <w:kern w:val="0"/>
          <w:sz w:val="31"/>
          <w:szCs w:val="31"/>
          <w:lang w:bidi="ar"/>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0D467F85">
      <w:pPr>
        <w:widowControl/>
        <w:spacing w:line="460" w:lineRule="exact"/>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一、不得向公职人员赠送礼品、礼金、消费卡等财物。</w:t>
      </w:r>
    </w:p>
    <w:p w14:paraId="16FC285B">
      <w:pPr>
        <w:widowControl/>
        <w:spacing w:line="460" w:lineRule="exact"/>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二、不得违规向公职人员提供宴请、旅游、娱乐等安排。</w:t>
      </w:r>
    </w:p>
    <w:p w14:paraId="4E023A6E">
      <w:pPr>
        <w:widowControl/>
        <w:spacing w:line="460" w:lineRule="exact"/>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三、不得通过打麻将等形式向公职人员输送利益。</w:t>
      </w:r>
    </w:p>
    <w:p w14:paraId="1F85305F">
      <w:pPr>
        <w:widowControl/>
        <w:spacing w:line="460" w:lineRule="exact"/>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四、不得为公职人员报销应由其个人支付的费用。</w:t>
      </w:r>
    </w:p>
    <w:p w14:paraId="76E876C9">
      <w:pPr>
        <w:widowControl/>
        <w:spacing w:line="460" w:lineRule="exact"/>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五、不得违规向公职人员及其亲友借贷款。</w:t>
      </w:r>
    </w:p>
    <w:p w14:paraId="71415312">
      <w:pPr>
        <w:widowControl/>
        <w:spacing w:line="460" w:lineRule="exact"/>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六、不得违规将车辆、住房等借给公职人员使用。</w:t>
      </w:r>
    </w:p>
    <w:p w14:paraId="32A56669">
      <w:pPr>
        <w:widowControl/>
        <w:spacing w:line="460" w:lineRule="exact"/>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七、不得在招投标中与公职人员搞暗箱操作、围标串标。</w:t>
      </w:r>
    </w:p>
    <w:p w14:paraId="61FE4166">
      <w:pPr>
        <w:widowControl/>
        <w:spacing w:line="460" w:lineRule="exact"/>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八、不得为利益相关人和公职人员牵线搭桥或者代为传递信息、传递财物。</w:t>
      </w:r>
    </w:p>
    <w:p w14:paraId="4ECD9188">
      <w:pPr>
        <w:widowControl/>
        <w:spacing w:line="460" w:lineRule="exact"/>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九、不得让公职人员在企业违规兼职取酬。</w:t>
      </w:r>
    </w:p>
    <w:p w14:paraId="697DE371">
      <w:pPr>
        <w:widowControl/>
        <w:spacing w:line="460" w:lineRule="exact"/>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十、不得为公职人员亲友违规承揽业务提供便利。</w:t>
      </w:r>
    </w:p>
    <w:p w14:paraId="7E6C400E">
      <w:pPr>
        <w:widowControl/>
        <w:spacing w:line="460" w:lineRule="exact"/>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0DD1AC4A">
      <w:pPr>
        <w:pStyle w:val="6"/>
        <w:spacing w:line="460" w:lineRule="exact"/>
        <w:ind w:firstLine="640" w:firstLineChars="200"/>
      </w:pPr>
    </w:p>
    <w:p w14:paraId="31B36794">
      <w:pPr>
        <w:widowControl/>
        <w:spacing w:line="460" w:lineRule="exact"/>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本人已知晓上述告知内容，并愿意遵照执行（签名）：</w:t>
      </w:r>
    </w:p>
    <w:p w14:paraId="4DD59A8C">
      <w:pPr>
        <w:spacing w:line="360" w:lineRule="auto"/>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 xml:space="preserve">                                      2024年</w:t>
      </w:r>
      <w:r>
        <w:rPr>
          <w:rFonts w:hint="eastAsia" w:ascii="仿宋_GB2312" w:hAnsi="宋体" w:cs="仿宋_GB2312"/>
          <w:color w:val="000000"/>
          <w:kern w:val="0"/>
          <w:sz w:val="31"/>
          <w:szCs w:val="31"/>
          <w:lang w:bidi="ar"/>
        </w:rPr>
        <w:t xml:space="preserve">  </w:t>
      </w:r>
      <w:r>
        <w:rPr>
          <w:rFonts w:hint="eastAsia" w:ascii="仿宋_GB2312" w:hAnsi="宋体" w:eastAsia="仿宋_GB2312" w:cs="仿宋_GB2312"/>
          <w:color w:val="000000"/>
          <w:kern w:val="0"/>
          <w:sz w:val="31"/>
          <w:szCs w:val="31"/>
          <w:lang w:bidi="ar"/>
        </w:rPr>
        <w:t>月</w:t>
      </w:r>
      <w:r>
        <w:rPr>
          <w:rFonts w:hint="eastAsia" w:ascii="仿宋_GB2312" w:hAnsi="宋体" w:cs="仿宋_GB2312"/>
          <w:color w:val="000000"/>
          <w:kern w:val="0"/>
          <w:sz w:val="31"/>
          <w:szCs w:val="31"/>
          <w:lang w:bidi="ar"/>
        </w:rPr>
        <w:t xml:space="preserve">  </w:t>
      </w:r>
      <w:r>
        <w:rPr>
          <w:rFonts w:hint="eastAsia" w:ascii="仿宋_GB2312" w:hAnsi="宋体" w:eastAsia="仿宋_GB2312" w:cs="仿宋_GB2312"/>
          <w:color w:val="000000"/>
          <w:kern w:val="0"/>
          <w:sz w:val="31"/>
          <w:szCs w:val="31"/>
          <w:lang w:bidi="ar"/>
        </w:rPr>
        <w:t>日</w:t>
      </w:r>
    </w:p>
    <w:p w14:paraId="4888426C">
      <w:pPr>
        <w:widowControl/>
        <w:jc w:val="left"/>
        <w:rPr>
          <w:rFonts w:ascii="仿宋_GB2312" w:hAnsi="宋体" w:eastAsia="仿宋_GB2312" w:cs="仿宋_GB2312"/>
          <w:color w:val="000000"/>
          <w:kern w:val="0"/>
          <w:sz w:val="31"/>
          <w:szCs w:val="31"/>
          <w:lang w:bidi="ar"/>
        </w:rPr>
      </w:pPr>
      <w:r>
        <w:rPr>
          <w:rFonts w:ascii="仿宋_GB2312" w:hAnsi="宋体" w:eastAsia="仿宋_GB2312" w:cs="仿宋_GB2312"/>
          <w:color w:val="000000"/>
          <w:kern w:val="0"/>
          <w:sz w:val="31"/>
          <w:szCs w:val="31"/>
          <w:lang w:bidi="ar"/>
        </w:rPr>
        <w:br w:type="page"/>
      </w:r>
    </w:p>
    <w:p w14:paraId="65C3C1B7">
      <w:pPr>
        <w:rPr>
          <w:rFonts w:ascii="仿宋" w:hAnsi="仿宋" w:eastAsia="仿宋" w:cs="仿宋"/>
          <w:b/>
          <w:sz w:val="32"/>
        </w:rPr>
      </w:pPr>
      <w:r>
        <w:rPr>
          <w:rFonts w:ascii="仿宋" w:hAnsi="仿宋" w:eastAsia="仿宋" w:cs="仿宋"/>
          <w:b/>
          <w:sz w:val="32"/>
        </w:rPr>
        <w:t>合同模板</w:t>
      </w:r>
    </w:p>
    <w:p w14:paraId="67B952E9">
      <w:pPr>
        <w:rPr>
          <w:rFonts w:ascii="仿宋" w:hAnsi="仿宋" w:cs="仿宋"/>
        </w:rPr>
      </w:pPr>
      <w:r>
        <w:rPr>
          <w:rFonts w:hint="eastAsia" w:ascii="仿宋" w:hAnsi="仿宋" w:eastAsia="仿宋" w:cs="仿宋"/>
          <w:sz w:val="24"/>
          <w:szCs w:val="28"/>
        </w:rPr>
        <w:t>合同编号：</w:t>
      </w:r>
    </w:p>
    <w:p w14:paraId="103A1D51">
      <w:pPr>
        <w:jc w:val="center"/>
        <w:rPr>
          <w:rFonts w:ascii="仿宋" w:hAnsi="仿宋" w:eastAsia="仿宋" w:cs="仿宋"/>
          <w:b/>
          <w:bCs/>
          <w:sz w:val="32"/>
          <w:szCs w:val="32"/>
        </w:rPr>
      </w:pPr>
    </w:p>
    <w:p w14:paraId="2C4F5028">
      <w:pPr>
        <w:jc w:val="center"/>
        <w:rPr>
          <w:rFonts w:ascii="仿宋" w:hAnsi="仿宋" w:eastAsia="仿宋" w:cs="仿宋"/>
          <w:b/>
          <w:bCs/>
          <w:sz w:val="32"/>
          <w:szCs w:val="32"/>
        </w:rPr>
      </w:pPr>
    </w:p>
    <w:p w14:paraId="761FCB95">
      <w:pPr>
        <w:jc w:val="center"/>
        <w:rPr>
          <w:rFonts w:ascii="仿宋" w:hAnsi="仿宋" w:eastAsia="仿宋" w:cs="仿宋"/>
          <w:b/>
          <w:bCs/>
          <w:sz w:val="44"/>
          <w:szCs w:val="44"/>
        </w:rPr>
      </w:pPr>
      <w:ins w:id="0" w:author="千与千寻" w:date="2023-11-30T09:23:00Z">
        <w:r>
          <w:rPr>
            <w:rFonts w:hint="eastAsia" w:ascii="仿宋" w:hAnsi="仿宋" w:eastAsia="仿宋" w:cs="仿宋"/>
            <w:b/>
            <w:bCs/>
            <w:sz w:val="44"/>
            <w:szCs w:val="44"/>
            <w:highlight w:val="yellow"/>
          </w:rPr>
          <w:t>XXX</w:t>
        </w:r>
      </w:ins>
      <w:r>
        <w:rPr>
          <w:rFonts w:hint="eastAsia" w:ascii="仿宋" w:hAnsi="仿宋" w:eastAsia="仿宋" w:cs="仿宋"/>
          <w:b/>
          <w:bCs/>
          <w:sz w:val="44"/>
          <w:szCs w:val="44"/>
          <w:lang w:eastAsia="zh-Hans"/>
        </w:rPr>
        <w:t>项目</w:t>
      </w:r>
      <w:r>
        <w:rPr>
          <w:rFonts w:hint="eastAsia" w:ascii="仿宋" w:hAnsi="仿宋" w:eastAsia="仿宋" w:cs="仿宋"/>
          <w:b/>
          <w:bCs/>
          <w:sz w:val="44"/>
          <w:szCs w:val="44"/>
        </w:rPr>
        <w:t>合同书</w:t>
      </w:r>
    </w:p>
    <w:p w14:paraId="68D3CB0C">
      <w:pPr>
        <w:jc w:val="center"/>
        <w:rPr>
          <w:rFonts w:ascii="仿宋" w:hAnsi="仿宋" w:eastAsia="仿宋" w:cs="仿宋"/>
          <w:b/>
          <w:bCs/>
          <w:sz w:val="44"/>
          <w:szCs w:val="44"/>
        </w:rPr>
      </w:pPr>
      <w:r>
        <w:rPr>
          <w:rFonts w:hint="eastAsia" w:ascii="仿宋" w:hAnsi="仿宋" w:eastAsia="仿宋" w:cs="仿宋"/>
          <w:b/>
          <w:bCs/>
          <w:sz w:val="44"/>
          <w:szCs w:val="44"/>
        </w:rPr>
        <w:t>项目编号：</w:t>
      </w:r>
    </w:p>
    <w:p w14:paraId="2083BCC5">
      <w:pPr>
        <w:rPr>
          <w:rFonts w:ascii="仿宋" w:hAnsi="仿宋" w:eastAsia="仿宋" w:cs="仿宋"/>
        </w:rPr>
      </w:pPr>
    </w:p>
    <w:p w14:paraId="4B2B3B51">
      <w:pPr>
        <w:rPr>
          <w:rFonts w:ascii="仿宋" w:hAnsi="仿宋" w:eastAsia="仿宋" w:cs="仿宋"/>
        </w:rPr>
      </w:pPr>
    </w:p>
    <w:p w14:paraId="6C368B08">
      <w:pPr>
        <w:rPr>
          <w:rFonts w:ascii="仿宋" w:hAnsi="仿宋" w:eastAsia="仿宋" w:cs="仿宋"/>
        </w:rPr>
      </w:pPr>
    </w:p>
    <w:p w14:paraId="74B3F54F">
      <w:pPr>
        <w:ind w:firstLine="210" w:firstLineChars="100"/>
        <w:rPr>
          <w:rFonts w:ascii="仿宋" w:hAnsi="仿宋" w:eastAsia="仿宋" w:cs="仿宋"/>
        </w:rPr>
      </w:pPr>
    </w:p>
    <w:p w14:paraId="497891A4">
      <w:pPr>
        <w:ind w:firstLine="210" w:firstLineChars="100"/>
        <w:rPr>
          <w:rFonts w:ascii="仿宋" w:hAnsi="仿宋" w:eastAsia="仿宋" w:cs="仿宋"/>
        </w:rPr>
      </w:pPr>
    </w:p>
    <w:p w14:paraId="7DBB5ACB">
      <w:pPr>
        <w:ind w:firstLine="210" w:firstLineChars="100"/>
        <w:rPr>
          <w:rFonts w:ascii="仿宋" w:hAnsi="仿宋" w:eastAsia="仿宋" w:cs="仿宋"/>
        </w:rPr>
      </w:pPr>
    </w:p>
    <w:p w14:paraId="7417BA2B">
      <w:pPr>
        <w:ind w:firstLine="210" w:firstLineChars="100"/>
        <w:rPr>
          <w:rFonts w:ascii="仿宋" w:hAnsi="仿宋" w:eastAsia="仿宋" w:cs="仿宋"/>
        </w:rPr>
      </w:pPr>
    </w:p>
    <w:p w14:paraId="5E1FC46A">
      <w:pPr>
        <w:ind w:firstLine="210" w:firstLineChars="100"/>
        <w:rPr>
          <w:rFonts w:ascii="仿宋" w:hAnsi="仿宋" w:eastAsia="仿宋" w:cs="仿宋"/>
        </w:rPr>
      </w:pPr>
    </w:p>
    <w:p w14:paraId="69333C98">
      <w:pPr>
        <w:ind w:firstLine="210" w:firstLineChars="100"/>
        <w:rPr>
          <w:rFonts w:ascii="仿宋" w:hAnsi="仿宋" w:eastAsia="仿宋" w:cs="仿宋"/>
        </w:rPr>
      </w:pPr>
    </w:p>
    <w:p w14:paraId="3BECB73A">
      <w:pPr>
        <w:ind w:firstLine="210" w:firstLineChars="100"/>
        <w:rPr>
          <w:rFonts w:ascii="仿宋" w:hAnsi="仿宋" w:eastAsia="仿宋" w:cs="仿宋"/>
        </w:rPr>
      </w:pPr>
    </w:p>
    <w:p w14:paraId="0C5FFD0E">
      <w:pPr>
        <w:ind w:firstLine="210" w:firstLineChars="100"/>
        <w:rPr>
          <w:rFonts w:ascii="仿宋" w:hAnsi="仿宋" w:eastAsia="仿宋" w:cs="仿宋"/>
        </w:rPr>
      </w:pPr>
    </w:p>
    <w:p w14:paraId="1176DB55">
      <w:pPr>
        <w:ind w:firstLine="210" w:firstLineChars="100"/>
        <w:rPr>
          <w:rFonts w:ascii="仿宋" w:hAnsi="仿宋" w:eastAsia="仿宋" w:cs="仿宋"/>
        </w:rPr>
      </w:pPr>
    </w:p>
    <w:p w14:paraId="77038431">
      <w:pPr>
        <w:ind w:firstLine="210" w:firstLineChars="100"/>
        <w:rPr>
          <w:rFonts w:ascii="仿宋" w:hAnsi="仿宋" w:eastAsia="仿宋" w:cs="仿宋"/>
        </w:rPr>
      </w:pPr>
    </w:p>
    <w:p w14:paraId="062D4098">
      <w:pPr>
        <w:rPr>
          <w:rFonts w:ascii="仿宋" w:hAnsi="仿宋" w:eastAsia="仿宋" w:cs="仿宋"/>
        </w:rPr>
      </w:pPr>
    </w:p>
    <w:p w14:paraId="61365F50">
      <w:pPr>
        <w:rPr>
          <w:rFonts w:ascii="仿宋" w:hAnsi="仿宋" w:eastAsia="仿宋" w:cs="仿宋"/>
        </w:rPr>
      </w:pPr>
    </w:p>
    <w:p w14:paraId="43AECC76">
      <w:pPr>
        <w:rPr>
          <w:rFonts w:ascii="仿宋" w:hAnsi="仿宋" w:eastAsia="仿宋" w:cs="仿宋"/>
        </w:rPr>
      </w:pPr>
    </w:p>
    <w:p w14:paraId="51DBD640">
      <w:pPr>
        <w:spacing w:line="360" w:lineRule="auto"/>
        <w:ind w:firstLine="1205" w:firstLineChars="500"/>
        <w:rPr>
          <w:rFonts w:ascii="仿宋" w:hAnsi="仿宋" w:eastAsia="仿宋" w:cs="仿宋"/>
          <w:b/>
          <w:bCs/>
          <w:sz w:val="24"/>
        </w:rPr>
      </w:pPr>
    </w:p>
    <w:p w14:paraId="047004AD">
      <w:pPr>
        <w:spacing w:line="360" w:lineRule="auto"/>
        <w:ind w:firstLine="1205" w:firstLineChars="500"/>
        <w:rPr>
          <w:rFonts w:ascii="仿宋" w:hAnsi="仿宋" w:eastAsia="仿宋" w:cs="仿宋"/>
          <w:b/>
          <w:bCs/>
          <w:sz w:val="24"/>
        </w:rPr>
      </w:pPr>
    </w:p>
    <w:p w14:paraId="0F0304DD">
      <w:pPr>
        <w:spacing w:line="360" w:lineRule="auto"/>
        <w:ind w:firstLine="1205" w:firstLineChars="500"/>
        <w:rPr>
          <w:rFonts w:ascii="仿宋" w:hAnsi="仿宋" w:eastAsia="仿宋" w:cs="仿宋"/>
          <w:b/>
          <w:bCs/>
          <w:sz w:val="24"/>
        </w:rPr>
      </w:pPr>
    </w:p>
    <w:p w14:paraId="483A2BC4">
      <w:pPr>
        <w:spacing w:line="360" w:lineRule="auto"/>
        <w:ind w:firstLine="1205" w:firstLineChars="500"/>
        <w:rPr>
          <w:rFonts w:ascii="仿宋" w:hAnsi="仿宋" w:eastAsia="仿宋" w:cs="仿宋"/>
          <w:b/>
          <w:bCs/>
          <w:sz w:val="24"/>
        </w:rPr>
      </w:pPr>
    </w:p>
    <w:p w14:paraId="233AAFFC">
      <w:pPr>
        <w:spacing w:line="360" w:lineRule="auto"/>
        <w:ind w:firstLine="1205" w:firstLineChars="500"/>
        <w:rPr>
          <w:rFonts w:ascii="仿宋" w:hAnsi="仿宋" w:eastAsia="仿宋" w:cs="仿宋"/>
          <w:b/>
          <w:bCs/>
          <w:sz w:val="24"/>
        </w:rPr>
      </w:pPr>
    </w:p>
    <w:p w14:paraId="6B5B83EA">
      <w:pPr>
        <w:spacing w:line="360" w:lineRule="auto"/>
        <w:ind w:firstLine="1606" w:firstLineChars="500"/>
        <w:rPr>
          <w:rFonts w:ascii="仿宋" w:hAnsi="仿宋" w:eastAsia="仿宋" w:cs="仿宋"/>
          <w:b/>
          <w:bCs/>
          <w:sz w:val="32"/>
          <w:szCs w:val="32"/>
        </w:rPr>
      </w:pPr>
      <w:r>
        <w:rPr>
          <w:rFonts w:hint="eastAsia" w:ascii="仿宋" w:hAnsi="仿宋" w:eastAsia="仿宋" w:cs="仿宋"/>
          <w:b/>
          <w:bCs/>
          <w:sz w:val="32"/>
          <w:szCs w:val="32"/>
        </w:rPr>
        <w:t>甲方：北京中医药大学深圳医院（龙岗）</w:t>
      </w:r>
    </w:p>
    <w:p w14:paraId="481A0220">
      <w:pPr>
        <w:spacing w:line="360" w:lineRule="auto"/>
        <w:ind w:firstLine="1606" w:firstLineChars="500"/>
        <w:rPr>
          <w:rFonts w:ascii="仿宋" w:hAnsi="仿宋" w:eastAsia="仿宋" w:cs="仿宋"/>
          <w:sz w:val="32"/>
          <w:szCs w:val="32"/>
          <w:highlight w:val="yellow"/>
        </w:rPr>
      </w:pPr>
      <w:r>
        <w:rPr>
          <w:rFonts w:hint="eastAsia" w:ascii="仿宋" w:hAnsi="仿宋" w:eastAsia="仿宋" w:cs="仿宋"/>
          <w:b/>
          <w:bCs/>
          <w:sz w:val="32"/>
          <w:szCs w:val="32"/>
        </w:rPr>
        <w:t>乙方：</w:t>
      </w:r>
      <w:r>
        <w:rPr>
          <w:rFonts w:hint="eastAsia" w:ascii="仿宋" w:hAnsi="仿宋" w:eastAsia="仿宋" w:cs="仿宋"/>
          <w:b/>
          <w:bCs/>
          <w:sz w:val="32"/>
          <w:szCs w:val="32"/>
          <w:highlight w:val="yellow"/>
        </w:rPr>
        <w:t>深圳市xxx有限公司</w:t>
      </w:r>
    </w:p>
    <w:p w14:paraId="251C9383">
      <w:pPr>
        <w:rPr>
          <w:rFonts w:ascii="仿宋" w:hAnsi="仿宋" w:eastAsia="仿宋" w:cs="仿宋"/>
        </w:rPr>
      </w:pPr>
    </w:p>
    <w:p w14:paraId="7E355647">
      <w:pPr>
        <w:rPr>
          <w:rFonts w:ascii="仿宋" w:hAnsi="仿宋" w:eastAsia="仿宋" w:cs="仿宋"/>
        </w:rPr>
      </w:pPr>
    </w:p>
    <w:p w14:paraId="0C2655AE">
      <w:pPr>
        <w:rPr>
          <w:rFonts w:ascii="仿宋" w:hAnsi="仿宋" w:eastAsia="仿宋" w:cs="仿宋"/>
        </w:rPr>
      </w:pPr>
    </w:p>
    <w:p w14:paraId="6058E99B">
      <w:pPr>
        <w:rPr>
          <w:rFonts w:ascii="仿宋" w:hAnsi="仿宋" w:eastAsia="仿宋" w:cs="仿宋"/>
        </w:rPr>
      </w:pPr>
    </w:p>
    <w:p w14:paraId="52085CC5">
      <w:pPr>
        <w:pStyle w:val="55"/>
        <w:ind w:firstLine="0"/>
        <w:rPr>
          <w:rFonts w:ascii="仿宋" w:hAnsi="仿宋" w:eastAsia="仿宋" w:cs="仿宋"/>
        </w:rPr>
      </w:pPr>
    </w:p>
    <w:p w14:paraId="660EEA65">
      <w:pPr>
        <w:pStyle w:val="2"/>
        <w:keepNext w:val="0"/>
        <w:keepLines w:val="0"/>
        <w:numPr>
          <w:ilvl w:val="0"/>
          <w:numId w:val="5"/>
        </w:numPr>
        <w:spacing w:before="120" w:beforeAutospacing="0" w:after="120" w:afterAutospacing="0" w:line="240" w:lineRule="auto"/>
        <w:rPr>
          <w:rFonts w:hint="default" w:ascii="仿宋" w:hAnsi="仿宋" w:eastAsia="仿宋" w:cs="仿宋"/>
          <w:b w:val="0"/>
          <w:bCs w:val="0"/>
          <w:sz w:val="24"/>
          <w:szCs w:val="24"/>
        </w:rPr>
      </w:pPr>
      <w:r>
        <w:rPr>
          <w:rFonts w:ascii="仿宋" w:hAnsi="仿宋" w:eastAsia="仿宋" w:cs="仿宋"/>
          <w:sz w:val="24"/>
          <w:szCs w:val="24"/>
        </w:rPr>
        <w:t>建设内容</w:t>
      </w:r>
    </w:p>
    <w:p w14:paraId="5F4C3707">
      <w:pPr>
        <w:spacing w:line="360" w:lineRule="auto"/>
        <w:rPr>
          <w:rFonts w:ascii="仿宋" w:hAnsi="仿宋" w:eastAsia="仿宋" w:cs="仿宋"/>
          <w:sz w:val="24"/>
        </w:rPr>
      </w:pPr>
      <w:r>
        <w:rPr>
          <w:rFonts w:hint="eastAsia" w:ascii="仿宋" w:hAnsi="仿宋" w:eastAsia="仿宋" w:cs="仿宋"/>
          <w:sz w:val="24"/>
        </w:rPr>
        <w:t>1.1项目地点：北京中医药大学深圳医院（龙岗）</w:t>
      </w:r>
    </w:p>
    <w:p w14:paraId="1580E1A4">
      <w:pPr>
        <w:spacing w:line="360" w:lineRule="auto"/>
        <w:rPr>
          <w:rFonts w:ascii="仿宋" w:hAnsi="仿宋" w:eastAsia="仿宋" w:cs="仿宋"/>
          <w:sz w:val="24"/>
        </w:rPr>
      </w:pPr>
      <w:r>
        <w:rPr>
          <w:rFonts w:hint="eastAsia" w:ascii="仿宋" w:hAnsi="仿宋" w:eastAsia="仿宋" w:cs="仿宋"/>
          <w:sz w:val="24"/>
        </w:rPr>
        <w:t>1.2服务方式：</w:t>
      </w:r>
    </w:p>
    <w:p w14:paraId="16593ED8">
      <w:pPr>
        <w:spacing w:line="360" w:lineRule="auto"/>
        <w:rPr>
          <w:rFonts w:ascii="仿宋" w:hAnsi="仿宋" w:eastAsia="仿宋" w:cs="仿宋"/>
          <w:sz w:val="24"/>
        </w:rPr>
      </w:pPr>
      <w:r>
        <w:rPr>
          <w:rFonts w:hint="eastAsia" w:ascii="仿宋" w:hAnsi="仿宋" w:eastAsia="仿宋" w:cs="仿宋"/>
          <w:sz w:val="24"/>
        </w:rPr>
        <w:t>1.3建设内容：</w:t>
      </w:r>
    </w:p>
    <w:p w14:paraId="08B9B28A">
      <w:pPr>
        <w:spacing w:line="360" w:lineRule="auto"/>
        <w:rPr>
          <w:rFonts w:ascii="仿宋" w:hAnsi="仿宋" w:eastAsia="仿宋" w:cs="仿宋"/>
          <w:sz w:val="24"/>
          <w:highlight w:val="yellow"/>
        </w:rPr>
      </w:pPr>
      <w:r>
        <w:rPr>
          <w:rFonts w:hint="eastAsia" w:ascii="仿宋" w:hAnsi="仿宋" w:eastAsia="仿宋" w:cs="仿宋"/>
          <w:sz w:val="24"/>
          <w:highlight w:val="yellow"/>
        </w:rPr>
        <w:t xml:space="preserve">                                                             </w:t>
      </w:r>
    </w:p>
    <w:p w14:paraId="66EB2884">
      <w:pPr>
        <w:pStyle w:val="2"/>
        <w:keepNext w:val="0"/>
        <w:keepLines w:val="0"/>
        <w:numPr>
          <w:ilvl w:val="0"/>
          <w:numId w:val="5"/>
        </w:numPr>
        <w:spacing w:before="120" w:beforeAutospacing="0" w:after="120" w:afterAutospacing="0" w:line="240" w:lineRule="auto"/>
        <w:rPr>
          <w:rFonts w:hint="default" w:ascii="仿宋" w:hAnsi="仿宋" w:eastAsia="仿宋" w:cs="仿宋"/>
          <w:b w:val="0"/>
          <w:bCs w:val="0"/>
          <w:sz w:val="24"/>
          <w:szCs w:val="24"/>
        </w:rPr>
      </w:pPr>
      <w:r>
        <w:rPr>
          <w:rFonts w:ascii="仿宋" w:hAnsi="仿宋" w:eastAsia="仿宋" w:cs="仿宋"/>
          <w:sz w:val="24"/>
          <w:szCs w:val="24"/>
        </w:rPr>
        <w:t>服务期限</w:t>
      </w:r>
    </w:p>
    <w:p w14:paraId="0A9FC893">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rPr>
        <w:t>本项目建设周期为自签订本合同之日起1个月内完成。自验收合格之日起乙方向甲方提供X年质保期。</w:t>
      </w:r>
    </w:p>
    <w:p w14:paraId="49E500F5">
      <w:pPr>
        <w:pStyle w:val="8"/>
        <w:rPr>
          <w:rFonts w:ascii="仿宋" w:hAnsi="仿宋" w:eastAsia="仿宋" w:cs="仿宋"/>
          <w:sz w:val="24"/>
        </w:rPr>
      </w:pPr>
      <w:r>
        <w:rPr>
          <w:rFonts w:hint="eastAsia" w:ascii="仿宋" w:hAnsi="仿宋" w:eastAsia="仿宋" w:cs="仿宋"/>
          <w:sz w:val="24"/>
          <w:highlight w:val="yellow"/>
        </w:rPr>
        <w:t xml:space="preserve">  </w:t>
      </w:r>
      <w:r>
        <w:rPr>
          <w:rFonts w:hint="eastAsia" w:ascii="仿宋" w:hAnsi="仿宋" w:eastAsia="仿宋" w:cs="仿宋"/>
          <w:sz w:val="24"/>
        </w:rPr>
        <w:t xml:space="preserve">  质保期内非因用户的人为原因而出现质量问题，由乙方负责包修、包换或者包退，并承担修理、调换或退换的实际费用。乙方不能修理或不能调换，按不能交货处理。</w:t>
      </w:r>
    </w:p>
    <w:p w14:paraId="7DDB52A2">
      <w:pPr>
        <w:pStyle w:val="2"/>
        <w:keepNext w:val="0"/>
        <w:keepLines w:val="0"/>
        <w:numPr>
          <w:ilvl w:val="0"/>
          <w:numId w:val="5"/>
        </w:numPr>
        <w:spacing w:before="120" w:beforeAutospacing="0" w:after="120" w:afterAutospacing="0" w:line="240" w:lineRule="auto"/>
        <w:rPr>
          <w:rFonts w:hint="default" w:ascii="仿宋" w:hAnsi="仿宋" w:eastAsia="仿宋" w:cs="仿宋"/>
          <w:b w:val="0"/>
          <w:bCs w:val="0"/>
          <w:sz w:val="24"/>
          <w:szCs w:val="24"/>
        </w:rPr>
      </w:pPr>
      <w:r>
        <w:rPr>
          <w:rFonts w:ascii="仿宋" w:hAnsi="仿宋" w:eastAsia="仿宋" w:cs="仿宋"/>
          <w:sz w:val="24"/>
          <w:szCs w:val="24"/>
        </w:rPr>
        <w:t>质量标准</w:t>
      </w:r>
    </w:p>
    <w:p w14:paraId="720583E5">
      <w:pPr>
        <w:spacing w:line="360" w:lineRule="auto"/>
        <w:rPr>
          <w:rFonts w:ascii="仿宋" w:hAnsi="仿宋" w:eastAsia="仿宋" w:cs="仿宋"/>
          <w:sz w:val="24"/>
        </w:rPr>
      </w:pPr>
      <w:r>
        <w:rPr>
          <w:rFonts w:hint="eastAsia" w:ascii="仿宋" w:hAnsi="仿宋" w:eastAsia="仿宋" w:cs="仿宋"/>
          <w:sz w:val="24"/>
        </w:rPr>
        <w:t>质量标准：按照深圳市电子政务项目检测验收规范验收标准达到合格。</w:t>
      </w:r>
    </w:p>
    <w:p w14:paraId="5AFF50BD">
      <w:pPr>
        <w:pStyle w:val="2"/>
        <w:keepNext w:val="0"/>
        <w:keepLines w:val="0"/>
        <w:numPr>
          <w:ilvl w:val="0"/>
          <w:numId w:val="5"/>
        </w:numPr>
        <w:spacing w:before="120" w:beforeAutospacing="0" w:after="120" w:afterAutospacing="0" w:line="240" w:lineRule="auto"/>
        <w:rPr>
          <w:rFonts w:hint="default" w:ascii="仿宋" w:hAnsi="仿宋" w:eastAsia="仿宋" w:cs="仿宋"/>
          <w:b w:val="0"/>
          <w:bCs w:val="0"/>
          <w:sz w:val="24"/>
          <w:szCs w:val="24"/>
        </w:rPr>
      </w:pPr>
      <w:r>
        <w:rPr>
          <w:rFonts w:ascii="仿宋" w:hAnsi="仿宋" w:eastAsia="仿宋" w:cs="仿宋"/>
          <w:sz w:val="24"/>
          <w:szCs w:val="24"/>
        </w:rPr>
        <w:t>合同总金额及构成方式</w:t>
      </w:r>
    </w:p>
    <w:p w14:paraId="3608C733">
      <w:pPr>
        <w:spacing w:line="360" w:lineRule="auto"/>
        <w:rPr>
          <w:rFonts w:ascii="仿宋" w:hAnsi="仿宋" w:eastAsia="仿宋" w:cs="仿宋"/>
          <w:b/>
          <w:bCs/>
          <w:sz w:val="24"/>
        </w:rPr>
      </w:pPr>
      <w:r>
        <w:rPr>
          <w:rFonts w:hint="eastAsia" w:ascii="仿宋" w:hAnsi="仿宋" w:eastAsia="仿宋" w:cs="仿宋"/>
          <w:sz w:val="24"/>
        </w:rPr>
        <w:t>1、合同总金额（大写）</w:t>
      </w:r>
      <w:r>
        <w:rPr>
          <w:rFonts w:hint="eastAsia" w:ascii="仿宋" w:hAnsi="仿宋" w:eastAsia="仿宋" w:cs="仿宋"/>
          <w:b/>
          <w:bCs/>
          <w:sz w:val="24"/>
          <w:highlight w:val="yellow"/>
        </w:rPr>
        <w:t>壹拾肆万玖仟元整（¥149000.00元）（含税）。</w:t>
      </w:r>
    </w:p>
    <w:p w14:paraId="03BD8B6B">
      <w:pPr>
        <w:spacing w:line="360" w:lineRule="auto"/>
        <w:rPr>
          <w:rFonts w:ascii="仿宋" w:hAnsi="仿宋" w:eastAsia="仿宋" w:cs="仿宋"/>
          <w:sz w:val="24"/>
        </w:rPr>
      </w:pPr>
      <w:r>
        <w:rPr>
          <w:rFonts w:hint="eastAsia" w:ascii="仿宋" w:hAnsi="仿宋" w:eastAsia="仿宋" w:cs="仿宋"/>
          <w:sz w:val="24"/>
        </w:rPr>
        <w:t>2、合同总金额的构成方式：</w:t>
      </w:r>
    </w:p>
    <w:p w14:paraId="2F812344">
      <w:pPr>
        <w:spacing w:line="360" w:lineRule="auto"/>
        <w:ind w:firstLine="480" w:firstLineChars="200"/>
        <w:rPr>
          <w:rFonts w:ascii="仿宋" w:hAnsi="仿宋" w:eastAsia="仿宋" w:cs="仿宋"/>
          <w:b/>
          <w:bCs/>
          <w:sz w:val="24"/>
          <w:highlight w:val="yellow"/>
        </w:rPr>
      </w:pPr>
      <w:r>
        <w:rPr>
          <w:rFonts w:hint="eastAsia" w:ascii="仿宋" w:hAnsi="仿宋" w:eastAsia="仿宋" w:cs="仿宋"/>
          <w:sz w:val="24"/>
          <w:highlight w:val="yellow"/>
        </w:rPr>
        <w:t>1）预付款支付条件和金额：合同自签订之日起30个工作日内甲方向乙方支付预付款为合同总额的50％，即人民币：</w:t>
      </w:r>
      <w:r>
        <w:rPr>
          <w:rFonts w:hint="eastAsia" w:ascii="仿宋" w:hAnsi="仿宋" w:eastAsia="仿宋" w:cs="仿宋"/>
          <w:b/>
          <w:bCs/>
          <w:sz w:val="24"/>
          <w:highlight w:val="yellow"/>
        </w:rPr>
        <w:t>柒万肆仟伍佰元整(¥74500.00元)。</w:t>
      </w:r>
    </w:p>
    <w:p w14:paraId="3B9EA115">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rPr>
        <w:t>2）验收款支付条件和金额：</w:t>
      </w:r>
      <w:ins w:id="1" w:author="千与千寻" w:date="2023-08-29T08:05:00Z">
        <w:r>
          <w:rPr>
            <w:rFonts w:hint="eastAsia" w:ascii="仿宋" w:hAnsi="仿宋" w:eastAsia="仿宋" w:cs="仿宋"/>
            <w:sz w:val="24"/>
            <w:highlight w:val="yellow"/>
          </w:rPr>
          <w:t>接</w:t>
        </w:r>
      </w:ins>
      <w:r>
        <w:rPr>
          <w:rFonts w:hint="eastAsia" w:ascii="仿宋" w:hAnsi="仿宋" w:eastAsia="仿宋" w:cs="仿宋"/>
          <w:sz w:val="24"/>
          <w:highlight w:val="yellow"/>
        </w:rPr>
        <w:t>口全部开发完成并上线使用达到最终验收后（以验收报告为依据）30个工作日内，甲方支付验收款，付款金额为合同总价的50%，即人民币：</w:t>
      </w:r>
      <w:r>
        <w:rPr>
          <w:rFonts w:hint="eastAsia" w:ascii="仿宋" w:hAnsi="仿宋" w:eastAsia="仿宋" w:cs="仿宋"/>
          <w:b/>
          <w:bCs/>
          <w:sz w:val="24"/>
          <w:highlight w:val="yellow"/>
        </w:rPr>
        <w:t>柒万肆仟伍佰元整(¥74500.00元)。</w:t>
      </w:r>
    </w:p>
    <w:p w14:paraId="092812E2">
      <w:pPr>
        <w:spacing w:line="360" w:lineRule="auto"/>
        <w:ind w:firstLine="480" w:firstLineChars="200"/>
        <w:rPr>
          <w:rFonts w:ascii="仿宋" w:hAnsi="仿宋" w:eastAsia="仿宋" w:cs="仿宋"/>
          <w:sz w:val="24"/>
        </w:rPr>
      </w:pPr>
      <w:r>
        <w:rPr>
          <w:rFonts w:hint="eastAsia" w:ascii="仿宋" w:hAnsi="仿宋" w:eastAsia="仿宋" w:cs="仿宋"/>
          <w:sz w:val="24"/>
        </w:rPr>
        <w:t>3）发票：乙方应在甲方每次付款前开具合法有效的发票，甲方收到乙方合法的增值税发票后，根据双方约定时间支付款项。由于乙方逾期未提供合法有效的增值税发票，甲方有权拒绝付款，直至票据齐全，且不视为甲方违约。</w:t>
      </w:r>
    </w:p>
    <w:p w14:paraId="3CD46986">
      <w:pPr>
        <w:spacing w:line="360" w:lineRule="auto"/>
        <w:rPr>
          <w:rFonts w:ascii="仿宋" w:hAnsi="仿宋" w:eastAsia="仿宋" w:cs="仿宋"/>
          <w:sz w:val="24"/>
        </w:rPr>
      </w:pPr>
      <w:r>
        <w:rPr>
          <w:rFonts w:hint="eastAsia" w:ascii="仿宋" w:hAnsi="仿宋" w:eastAsia="仿宋" w:cs="仿宋"/>
          <w:sz w:val="24"/>
        </w:rPr>
        <w:t>3、收款账户：乙方以本合同落款处载明的乙方银行账户作为指定收款账户，如有更换，应提前7天书面通知甲方。</w:t>
      </w:r>
    </w:p>
    <w:p w14:paraId="1FFE34DD">
      <w:pPr>
        <w:pStyle w:val="2"/>
        <w:keepNext w:val="0"/>
        <w:keepLines w:val="0"/>
        <w:numPr>
          <w:ilvl w:val="0"/>
          <w:numId w:val="5"/>
        </w:numPr>
        <w:spacing w:before="120" w:beforeAutospacing="0" w:after="120" w:afterAutospacing="0" w:line="240" w:lineRule="auto"/>
        <w:rPr>
          <w:rFonts w:hint="default" w:ascii="仿宋" w:hAnsi="仿宋" w:eastAsia="仿宋" w:cs="仿宋"/>
          <w:b w:val="0"/>
          <w:bCs w:val="0"/>
          <w:sz w:val="24"/>
          <w:szCs w:val="24"/>
        </w:rPr>
      </w:pPr>
      <w:r>
        <w:rPr>
          <w:rFonts w:ascii="仿宋" w:hAnsi="仿宋" w:eastAsia="仿宋" w:cs="仿宋"/>
          <w:sz w:val="24"/>
          <w:szCs w:val="24"/>
        </w:rPr>
        <w:t>甲乙双方责任</w:t>
      </w:r>
    </w:p>
    <w:p w14:paraId="0B41CDD2">
      <w:pPr>
        <w:spacing w:line="360" w:lineRule="auto"/>
        <w:rPr>
          <w:rFonts w:ascii="仿宋" w:hAnsi="仿宋" w:eastAsia="仿宋" w:cs="仿宋"/>
          <w:sz w:val="24"/>
        </w:rPr>
      </w:pPr>
      <w:r>
        <w:rPr>
          <w:rFonts w:hint="eastAsia" w:ascii="仿宋" w:hAnsi="仿宋" w:eastAsia="仿宋" w:cs="仿宋"/>
          <w:sz w:val="24"/>
        </w:rPr>
        <w:t>1、甲方责任</w:t>
      </w:r>
    </w:p>
    <w:p w14:paraId="198A6478">
      <w:pPr>
        <w:spacing w:line="360" w:lineRule="auto"/>
        <w:rPr>
          <w:rFonts w:ascii="仿宋" w:hAnsi="仿宋" w:eastAsia="仿宋" w:cs="仿宋"/>
          <w:sz w:val="24"/>
        </w:rPr>
      </w:pPr>
      <w:r>
        <w:rPr>
          <w:rFonts w:hint="eastAsia" w:ascii="仿宋" w:hAnsi="仿宋" w:eastAsia="仿宋" w:cs="仿宋"/>
          <w:sz w:val="24"/>
        </w:rPr>
        <w:t>1）负责本项目涉及机构及科室的协调工作；</w:t>
      </w:r>
    </w:p>
    <w:p w14:paraId="44B96937">
      <w:pPr>
        <w:spacing w:line="360" w:lineRule="auto"/>
        <w:rPr>
          <w:rFonts w:ascii="仿宋" w:hAnsi="仿宋" w:eastAsia="仿宋" w:cs="仿宋"/>
          <w:sz w:val="24"/>
        </w:rPr>
      </w:pPr>
      <w:r>
        <w:rPr>
          <w:rFonts w:hint="eastAsia" w:ascii="仿宋" w:hAnsi="仿宋" w:eastAsia="仿宋" w:cs="仿宋"/>
          <w:sz w:val="24"/>
        </w:rPr>
        <w:t>2）负责提供本项目必要的工作环境、相关设备、文档资料以及数据；</w:t>
      </w:r>
    </w:p>
    <w:p w14:paraId="645903D6">
      <w:pPr>
        <w:spacing w:line="360" w:lineRule="auto"/>
        <w:rPr>
          <w:rFonts w:ascii="仿宋" w:hAnsi="仿宋" w:eastAsia="仿宋" w:cs="仿宋"/>
          <w:sz w:val="24"/>
        </w:rPr>
      </w:pPr>
      <w:r>
        <w:rPr>
          <w:rFonts w:hint="eastAsia" w:ascii="仿宋" w:hAnsi="仿宋" w:eastAsia="仿宋" w:cs="仿宋"/>
          <w:sz w:val="24"/>
        </w:rPr>
        <w:t>3）当乙方按照合同要求完成阶段工作并提交确认申请后，甲方须在7个工作日内组织完成审核，并以书面的方式确认；</w:t>
      </w:r>
    </w:p>
    <w:p w14:paraId="7B4EED32">
      <w:pPr>
        <w:spacing w:line="360" w:lineRule="auto"/>
        <w:rPr>
          <w:rFonts w:ascii="仿宋" w:hAnsi="仿宋" w:eastAsia="仿宋" w:cs="仿宋"/>
          <w:sz w:val="24"/>
        </w:rPr>
      </w:pPr>
      <w:r>
        <w:rPr>
          <w:rFonts w:hint="eastAsia" w:ascii="仿宋" w:hAnsi="仿宋" w:eastAsia="仿宋" w:cs="仿宋"/>
          <w:sz w:val="24"/>
        </w:rPr>
        <w:t>4）当乙方提交本项目阶段付款申请以及相应数额的发票后，甲方须在30个工作日内审核通过并按照合同约定支付相应款项；</w:t>
      </w:r>
    </w:p>
    <w:p w14:paraId="7838228E">
      <w:pPr>
        <w:spacing w:line="360" w:lineRule="auto"/>
        <w:rPr>
          <w:rFonts w:ascii="仿宋" w:hAnsi="仿宋" w:eastAsia="仿宋" w:cs="仿宋"/>
          <w:sz w:val="24"/>
        </w:rPr>
      </w:pPr>
      <w:r>
        <w:rPr>
          <w:rFonts w:hint="eastAsia" w:ascii="仿宋" w:hAnsi="仿宋" w:eastAsia="仿宋" w:cs="仿宋"/>
          <w:sz w:val="24"/>
        </w:rPr>
        <w:t>2、 乙方责任：</w:t>
      </w:r>
    </w:p>
    <w:p w14:paraId="6BDD11B5">
      <w:pPr>
        <w:spacing w:line="360" w:lineRule="auto"/>
        <w:rPr>
          <w:rFonts w:ascii="仿宋" w:hAnsi="仿宋" w:eastAsia="仿宋" w:cs="仿宋"/>
          <w:sz w:val="24"/>
        </w:rPr>
      </w:pPr>
      <w:r>
        <w:rPr>
          <w:rFonts w:hint="eastAsia" w:ascii="仿宋" w:hAnsi="仿宋" w:eastAsia="仿宋" w:cs="仿宋"/>
          <w:sz w:val="24"/>
        </w:rPr>
        <w:t>1）乙方在合同规定时间内完成软件到货和系统安装及实施工作，最后通过验收；</w:t>
      </w:r>
    </w:p>
    <w:p w14:paraId="574F1B71">
      <w:pPr>
        <w:spacing w:line="360" w:lineRule="auto"/>
        <w:rPr>
          <w:rFonts w:ascii="仿宋" w:hAnsi="仿宋" w:eastAsia="仿宋" w:cs="仿宋"/>
          <w:sz w:val="24"/>
        </w:rPr>
      </w:pPr>
      <w:r>
        <w:rPr>
          <w:rFonts w:hint="eastAsia" w:ascii="仿宋" w:hAnsi="仿宋" w:eastAsia="仿宋" w:cs="仿宋"/>
          <w:sz w:val="24"/>
        </w:rPr>
        <w:t>2）项目实施过程中，乙方须提供7*24小时响应服务，并在项目组正式进场前提供明确的服务热线号码，响应并及时处理问题；</w:t>
      </w:r>
    </w:p>
    <w:p w14:paraId="41F07F5E">
      <w:pPr>
        <w:spacing w:line="360" w:lineRule="auto"/>
        <w:rPr>
          <w:rFonts w:ascii="仿宋" w:hAnsi="仿宋" w:eastAsia="仿宋" w:cs="仿宋"/>
          <w:sz w:val="24"/>
        </w:rPr>
      </w:pPr>
      <w:r>
        <w:rPr>
          <w:rFonts w:hint="eastAsia" w:ascii="仿宋" w:hAnsi="仿宋" w:eastAsia="仿宋" w:cs="仿宋"/>
          <w:sz w:val="24"/>
        </w:rPr>
        <w:t>3）乙方尊重甲方管理制度，合理使用甲方提供的各种设施和资源。保证甲方的数据安全，如果因乙方人员原因泄露数据，追究相关违约责任。</w:t>
      </w:r>
    </w:p>
    <w:p w14:paraId="248E47E8">
      <w:pPr>
        <w:spacing w:line="360" w:lineRule="auto"/>
        <w:rPr>
          <w:rFonts w:ascii="仿宋" w:hAnsi="仿宋" w:eastAsia="仿宋" w:cs="仿宋"/>
          <w:sz w:val="24"/>
        </w:rPr>
      </w:pPr>
      <w:r>
        <w:rPr>
          <w:rFonts w:hint="eastAsia" w:ascii="仿宋" w:hAnsi="仿宋" w:eastAsia="仿宋" w:cs="仿宋"/>
          <w:sz w:val="24"/>
        </w:rPr>
        <w:t>4）对于合同附件列明的项目，乙方负责对甲方操作人员进行培训，使得甲方本项目操作人员能独立操作。</w:t>
      </w:r>
    </w:p>
    <w:p w14:paraId="0D303291">
      <w:pPr>
        <w:spacing w:line="360" w:lineRule="auto"/>
        <w:rPr>
          <w:rFonts w:ascii="仿宋" w:hAnsi="仿宋" w:eastAsia="仿宋" w:cs="仿宋"/>
          <w:sz w:val="24"/>
        </w:rPr>
      </w:pPr>
      <w:r>
        <w:rPr>
          <w:rFonts w:hint="eastAsia" w:ascii="仿宋" w:hAnsi="仿宋" w:eastAsia="仿宋" w:cs="仿宋"/>
          <w:sz w:val="24"/>
        </w:rPr>
        <w:t>5）乙方不得将本合同项下的服务内容全部或部分委托、转让、转包或分包给第三方完成。</w:t>
      </w:r>
    </w:p>
    <w:p w14:paraId="36EA45AC">
      <w:pPr>
        <w:pStyle w:val="8"/>
        <w:rPr>
          <w:rFonts w:eastAsia="仿宋"/>
          <w:highlight w:val="yellow"/>
        </w:rPr>
      </w:pPr>
      <w:r>
        <w:rPr>
          <w:rFonts w:hint="eastAsia" w:ascii="仿宋" w:hAnsi="仿宋" w:eastAsia="仿宋" w:cs="仿宋"/>
          <w:sz w:val="24"/>
        </w:rPr>
        <w:t>6）</w:t>
      </w:r>
      <w:r>
        <w:rPr>
          <w:rFonts w:hint="eastAsia" w:ascii="仿宋" w:hAnsi="仿宋" w:eastAsia="仿宋" w:cs="仿宋"/>
          <w:sz w:val="24"/>
          <w:highlight w:val="yellow"/>
        </w:rPr>
        <w:t>乙方在服务期间需免费开发数据接口与院内其他系统对接。</w:t>
      </w:r>
    </w:p>
    <w:p w14:paraId="4B8EF3AA">
      <w:pPr>
        <w:pStyle w:val="2"/>
        <w:keepNext w:val="0"/>
        <w:keepLines w:val="0"/>
        <w:numPr>
          <w:ilvl w:val="0"/>
          <w:numId w:val="5"/>
        </w:numPr>
        <w:spacing w:before="120" w:beforeAutospacing="0" w:after="120" w:afterAutospacing="0" w:line="240" w:lineRule="auto"/>
        <w:rPr>
          <w:rFonts w:hint="default" w:ascii="仿宋" w:hAnsi="仿宋" w:eastAsia="仿宋" w:cs="仿宋"/>
          <w:b w:val="0"/>
          <w:bCs w:val="0"/>
          <w:sz w:val="24"/>
          <w:szCs w:val="24"/>
        </w:rPr>
      </w:pPr>
      <w:r>
        <w:rPr>
          <w:rFonts w:ascii="仿宋" w:hAnsi="仿宋" w:eastAsia="仿宋" w:cs="仿宋"/>
          <w:sz w:val="24"/>
          <w:szCs w:val="24"/>
        </w:rPr>
        <w:t>技术服务及售后：</w:t>
      </w:r>
    </w:p>
    <w:p w14:paraId="6CB1AC5E">
      <w:pPr>
        <w:rPr>
          <w:rFonts w:ascii="仿宋" w:hAnsi="仿宋" w:eastAsia="仿宋" w:cs="仿宋"/>
          <w:sz w:val="24"/>
        </w:rPr>
      </w:pPr>
    </w:p>
    <w:p w14:paraId="3BB163FA">
      <w:pPr>
        <w:spacing w:line="360" w:lineRule="auto"/>
        <w:rPr>
          <w:rFonts w:ascii="仿宋" w:hAnsi="仿宋" w:eastAsia="仿宋" w:cs="仿宋"/>
          <w:sz w:val="24"/>
        </w:rPr>
      </w:pPr>
      <w:r>
        <w:rPr>
          <w:rFonts w:hint="eastAsia" w:ascii="仿宋" w:hAnsi="仿宋" w:eastAsia="仿宋" w:cs="仿宋"/>
          <w:sz w:val="24"/>
        </w:rPr>
        <w:t>1、在保修期间继续向甲方人员提供免费指导和培训，保修期满后应根据甲方需要提供技术培训服务，如需收费，则应按成本价收取；</w:t>
      </w:r>
    </w:p>
    <w:p w14:paraId="36E0610B">
      <w:pPr>
        <w:spacing w:line="360" w:lineRule="auto"/>
        <w:rPr>
          <w:rFonts w:ascii="仿宋" w:hAnsi="仿宋" w:eastAsia="仿宋" w:cs="仿宋"/>
          <w:sz w:val="24"/>
        </w:rPr>
      </w:pPr>
      <w:r>
        <w:rPr>
          <w:rFonts w:hint="eastAsia" w:ascii="仿宋" w:hAnsi="仿宋" w:eastAsia="仿宋" w:cs="仿宋"/>
          <w:sz w:val="24"/>
        </w:rPr>
        <w:t>2、在保修期间乙方将提供每周7×24小时电话支持服务，服务内容主要包括：改正性维护，即在软件使用过程中识别和纠正软件错误，改正软件性能缺陷；同时免费对采购单位技术人员及使用人员等进行操作培训，保证相关人员能够熟练掌握软件使用方法，以及小故障的判断与解决。如出现故障，在10小时内排查并修复，保证甲方正常使用软件。如乙方未按期响应或修复，甲方有权委托第三方进行排查修复，相关费用由乙方承担。</w:t>
      </w:r>
    </w:p>
    <w:p w14:paraId="0B6B4B2E">
      <w:pPr>
        <w:spacing w:line="360" w:lineRule="auto"/>
        <w:rPr>
          <w:rFonts w:ascii="仿宋" w:hAnsi="仿宋" w:eastAsia="仿宋" w:cs="仿宋"/>
          <w:sz w:val="24"/>
        </w:rPr>
      </w:pPr>
      <w:r>
        <w:rPr>
          <w:rFonts w:hint="eastAsia" w:ascii="仿宋" w:hAnsi="仿宋" w:eastAsia="仿宋" w:cs="仿宋"/>
          <w:sz w:val="24"/>
        </w:rPr>
        <w:t>3、系统保修期满，如果甲方继续聘请乙方对本合同所规定的系统进行维护，则双方另行签署维护协议，乙方需提供详细的维保期外服务方案，承诺提供系统维保、培训等维保期内同样的服务（具体以签订的维保合同为准），每年维保费用另行商定。</w:t>
      </w:r>
    </w:p>
    <w:p w14:paraId="5F457A21">
      <w:pPr>
        <w:pStyle w:val="2"/>
        <w:keepNext w:val="0"/>
        <w:keepLines w:val="0"/>
        <w:numPr>
          <w:ilvl w:val="0"/>
          <w:numId w:val="5"/>
        </w:numPr>
        <w:spacing w:before="120" w:beforeAutospacing="0" w:after="120" w:afterAutospacing="0" w:line="240" w:lineRule="auto"/>
        <w:rPr>
          <w:rFonts w:hint="default" w:ascii="仿宋" w:hAnsi="仿宋" w:eastAsia="仿宋" w:cs="仿宋"/>
          <w:b w:val="0"/>
          <w:bCs w:val="0"/>
          <w:sz w:val="24"/>
          <w:szCs w:val="24"/>
        </w:rPr>
      </w:pPr>
      <w:bookmarkStart w:id="10" w:name="_Toc457207900"/>
      <w:bookmarkStart w:id="11" w:name="_Toc216520215"/>
      <w:r>
        <w:rPr>
          <w:rFonts w:ascii="仿宋" w:hAnsi="仿宋" w:eastAsia="仿宋" w:cs="仿宋"/>
          <w:sz w:val="24"/>
          <w:szCs w:val="24"/>
        </w:rPr>
        <w:t>所有权、知识产权和使用权</w:t>
      </w:r>
      <w:bookmarkEnd w:id="10"/>
      <w:bookmarkEnd w:id="11"/>
    </w:p>
    <w:p w14:paraId="29F41AD2">
      <w:pPr>
        <w:spacing w:line="360" w:lineRule="auto"/>
        <w:rPr>
          <w:rFonts w:ascii="仿宋" w:hAnsi="仿宋" w:eastAsia="仿宋" w:cs="仿宋"/>
          <w:sz w:val="24"/>
        </w:rPr>
      </w:pPr>
      <w:r>
        <w:rPr>
          <w:rFonts w:hint="eastAsia" w:ascii="仿宋" w:hAnsi="仿宋" w:eastAsia="仿宋" w:cs="仿宋"/>
          <w:sz w:val="24"/>
        </w:rPr>
        <w:t>1、 乙方保证其按照合同提供的软件接口服务，不会侵犯第三方的合法权益，因乙方提供的软件与第三方产生争议的，由乙方承担全部责任，与甲方无关，且不得影响本合同的履行，给甲方造成损失的，乙方承担相应的赔偿责任。</w:t>
      </w:r>
    </w:p>
    <w:p w14:paraId="4CCB78FB">
      <w:pPr>
        <w:spacing w:line="360" w:lineRule="auto"/>
        <w:rPr>
          <w:rFonts w:ascii="仿宋" w:hAnsi="仿宋" w:eastAsia="仿宋" w:cs="仿宋"/>
          <w:sz w:val="24"/>
        </w:rPr>
      </w:pPr>
      <w:r>
        <w:rPr>
          <w:rFonts w:hint="eastAsia" w:ascii="仿宋" w:hAnsi="仿宋" w:eastAsia="仿宋" w:cs="仿宋"/>
          <w:sz w:val="24"/>
        </w:rPr>
        <w:t>2、乙方交付的产品，甲方有当然的使用权。</w:t>
      </w:r>
    </w:p>
    <w:p w14:paraId="5F499ED4">
      <w:pPr>
        <w:spacing w:line="360" w:lineRule="auto"/>
        <w:rPr>
          <w:rFonts w:ascii="仿宋" w:hAnsi="仿宋" w:eastAsia="仿宋" w:cs="仿宋"/>
          <w:sz w:val="24"/>
        </w:rPr>
      </w:pPr>
      <w:bookmarkStart w:id="12" w:name="_Toc216520219"/>
      <w:r>
        <w:rPr>
          <w:rFonts w:hint="eastAsia" w:ascii="仿宋" w:hAnsi="仿宋" w:eastAsia="仿宋" w:cs="仿宋"/>
          <w:sz w:val="24"/>
        </w:rPr>
        <w:t>3、 未经甲方书面同意，乙方不能以甲方的名义或易引起他人误以为是甲方的方式从事与本项目无关的活动。</w:t>
      </w:r>
    </w:p>
    <w:p w14:paraId="32C687F5">
      <w:pPr>
        <w:spacing w:line="360" w:lineRule="auto"/>
        <w:rPr>
          <w:rFonts w:ascii="仿宋" w:hAnsi="仿宋" w:eastAsia="仿宋" w:cs="仿宋"/>
          <w:sz w:val="24"/>
        </w:rPr>
      </w:pPr>
      <w:r>
        <w:rPr>
          <w:rFonts w:hint="eastAsia" w:ascii="仿宋" w:hAnsi="仿宋" w:eastAsia="仿宋" w:cs="仿宋"/>
          <w:sz w:val="24"/>
        </w:rPr>
        <w:t>4、非本合同约定或未经对方书面同意，非知识产权所有方不得以任何方式向第三方披露、转让或许可使用本项目有关的软件成果、专利技术、技术秘密等。</w:t>
      </w:r>
      <w:bookmarkEnd w:id="12"/>
    </w:p>
    <w:p w14:paraId="7BF13A97">
      <w:pPr>
        <w:spacing w:line="360" w:lineRule="auto"/>
        <w:rPr>
          <w:rFonts w:ascii="仿宋" w:hAnsi="仿宋" w:eastAsia="仿宋" w:cs="仿宋"/>
          <w:sz w:val="24"/>
        </w:rPr>
      </w:pPr>
      <w:r>
        <w:rPr>
          <w:rFonts w:hint="eastAsia" w:ascii="仿宋" w:hAnsi="仿宋" w:eastAsia="仿宋" w:cs="仿宋"/>
          <w:sz w:val="24"/>
        </w:rPr>
        <w:t>5、 若经甲方书面同意，乙方享有对于本项目所产生的数据挖掘、分析，以及后续的互联网运营的使用权。</w:t>
      </w:r>
    </w:p>
    <w:p w14:paraId="391C420C">
      <w:pPr>
        <w:spacing w:line="360" w:lineRule="auto"/>
        <w:rPr>
          <w:rFonts w:ascii="仿宋" w:hAnsi="仿宋" w:eastAsia="仿宋" w:cs="仿宋"/>
          <w:sz w:val="24"/>
        </w:rPr>
      </w:pPr>
      <w:r>
        <w:rPr>
          <w:rFonts w:hint="eastAsia" w:ascii="仿宋" w:hAnsi="仿宋" w:eastAsia="仿宋" w:cs="仿宋"/>
          <w:sz w:val="24"/>
        </w:rPr>
        <w:t>6、本合同项下乙方开发而产生的技术成果（包括但不限于系统、子系统或功能模块）及相关文档的知识产权归【甲乙双方</w:t>
      </w:r>
      <w:ins w:id="2" w:author="beta [2]" w:date="2023-08-25T11:57:00Z">
        <w:r>
          <w:rPr>
            <w:rFonts w:hint="eastAsia" w:ascii="仿宋" w:hAnsi="仿宋" w:eastAsia="仿宋" w:cs="仿宋"/>
            <w:sz w:val="24"/>
          </w:rPr>
          <w:t>】</w:t>
        </w:r>
      </w:ins>
      <w:r>
        <w:rPr>
          <w:rFonts w:hint="eastAsia" w:ascii="仿宋" w:hAnsi="仿宋" w:eastAsia="仿宋" w:cs="仿宋"/>
          <w:sz w:val="24"/>
        </w:rPr>
        <w:t>所有。</w:t>
      </w:r>
    </w:p>
    <w:p w14:paraId="58D163E0">
      <w:pPr>
        <w:pStyle w:val="2"/>
        <w:keepNext w:val="0"/>
        <w:keepLines w:val="0"/>
        <w:numPr>
          <w:ilvl w:val="0"/>
          <w:numId w:val="5"/>
        </w:numPr>
        <w:spacing w:before="120" w:beforeAutospacing="0" w:after="120" w:afterAutospacing="0" w:line="240" w:lineRule="auto"/>
        <w:rPr>
          <w:rFonts w:hint="default" w:ascii="仿宋" w:hAnsi="仿宋" w:eastAsia="仿宋" w:cs="仿宋"/>
          <w:b w:val="0"/>
          <w:bCs w:val="0"/>
          <w:sz w:val="24"/>
          <w:szCs w:val="24"/>
        </w:rPr>
      </w:pPr>
      <w:bookmarkStart w:id="13" w:name="_Toc216520222"/>
      <w:bookmarkStart w:id="14" w:name="_Toc457207901"/>
      <w:r>
        <w:rPr>
          <w:rFonts w:ascii="仿宋" w:hAnsi="仿宋" w:eastAsia="仿宋" w:cs="仿宋"/>
          <w:sz w:val="24"/>
          <w:szCs w:val="24"/>
        </w:rPr>
        <w:t>保密</w:t>
      </w:r>
      <w:bookmarkEnd w:id="13"/>
      <w:bookmarkEnd w:id="14"/>
    </w:p>
    <w:p w14:paraId="0B3C7C63">
      <w:pPr>
        <w:spacing w:line="360" w:lineRule="auto"/>
        <w:rPr>
          <w:rFonts w:ascii="仿宋" w:hAnsi="仿宋" w:eastAsia="仿宋" w:cs="仿宋"/>
          <w:sz w:val="24"/>
        </w:rPr>
      </w:pPr>
      <w:bookmarkStart w:id="15" w:name="_Toc216520223"/>
      <w:r>
        <w:rPr>
          <w:rFonts w:hint="eastAsia" w:ascii="仿宋" w:hAnsi="仿宋" w:eastAsia="仿宋" w:cs="仿宋"/>
          <w:sz w:val="24"/>
        </w:rPr>
        <w:t>1、 乙方应保守的秘密是指不为公众所知悉、能为权利人带来经济利益、具有实用性并经权利人采取保密措施的技术信息和经营信息，或由乙方在履行本合同过程中明确指明为秘密的、法律所认可的任何信息，以及乙方在履行本合同过程中所获得或接触到的任何甲方内部数据资料。</w:t>
      </w:r>
      <w:bookmarkEnd w:id="15"/>
    </w:p>
    <w:p w14:paraId="19DFE11A">
      <w:pPr>
        <w:spacing w:line="360" w:lineRule="auto"/>
        <w:rPr>
          <w:rFonts w:ascii="仿宋" w:hAnsi="仿宋" w:eastAsia="仿宋" w:cs="仿宋"/>
          <w:sz w:val="24"/>
        </w:rPr>
      </w:pPr>
      <w:bookmarkStart w:id="16" w:name="_Toc216520224"/>
      <w:r>
        <w:rPr>
          <w:rFonts w:hint="eastAsia" w:ascii="仿宋" w:hAnsi="仿宋" w:eastAsia="仿宋" w:cs="仿宋"/>
          <w:sz w:val="24"/>
        </w:rPr>
        <w:t>2、 乙方仅可以将该秘密用于履行其在本合同项下的义务，且只能由相关的技术人员使用。</w:t>
      </w:r>
      <w:bookmarkEnd w:id="16"/>
    </w:p>
    <w:p w14:paraId="51E05FB5">
      <w:pPr>
        <w:spacing w:line="360" w:lineRule="auto"/>
        <w:rPr>
          <w:rFonts w:ascii="仿宋" w:hAnsi="仿宋" w:eastAsia="仿宋" w:cs="仿宋"/>
          <w:sz w:val="24"/>
        </w:rPr>
      </w:pPr>
      <w:bookmarkStart w:id="17" w:name="_Toc216520225"/>
      <w:r>
        <w:rPr>
          <w:rFonts w:hint="eastAsia" w:ascii="仿宋" w:hAnsi="仿宋" w:eastAsia="仿宋" w:cs="仿宋"/>
          <w:sz w:val="24"/>
        </w:rPr>
        <w:t>3、乙方应当采取有效的保护方式防止秘密未经授权而被使用、传播或公开。</w:t>
      </w:r>
      <w:bookmarkEnd w:id="17"/>
    </w:p>
    <w:p w14:paraId="7C0F2E47">
      <w:pPr>
        <w:spacing w:line="360" w:lineRule="auto"/>
        <w:rPr>
          <w:rFonts w:ascii="仿宋" w:hAnsi="仿宋" w:eastAsia="仿宋" w:cs="仿宋"/>
          <w:sz w:val="24"/>
        </w:rPr>
      </w:pPr>
      <w:bookmarkStart w:id="18" w:name="_Toc216520226"/>
      <w:r>
        <w:rPr>
          <w:rFonts w:hint="eastAsia" w:ascii="仿宋" w:hAnsi="仿宋" w:eastAsia="仿宋" w:cs="仿宋"/>
          <w:sz w:val="24"/>
        </w:rPr>
        <w:t>4、 上述保密义务不适用以下情况：</w:t>
      </w:r>
      <w:bookmarkEnd w:id="18"/>
    </w:p>
    <w:p w14:paraId="795658D2">
      <w:pPr>
        <w:spacing w:line="360" w:lineRule="auto"/>
        <w:rPr>
          <w:rFonts w:ascii="仿宋" w:hAnsi="仿宋" w:eastAsia="仿宋" w:cs="仿宋"/>
          <w:sz w:val="24"/>
        </w:rPr>
      </w:pPr>
      <w:r>
        <w:rPr>
          <w:rFonts w:hint="eastAsia" w:ascii="仿宋" w:hAnsi="仿宋" w:eastAsia="仿宋" w:cs="仿宋"/>
          <w:sz w:val="24"/>
        </w:rPr>
        <w:t>A获取的信息已被合法公开；</w:t>
      </w:r>
    </w:p>
    <w:p w14:paraId="71AF0B0B">
      <w:pPr>
        <w:spacing w:line="360" w:lineRule="auto"/>
        <w:rPr>
          <w:rFonts w:ascii="仿宋" w:hAnsi="仿宋" w:eastAsia="仿宋" w:cs="仿宋"/>
          <w:sz w:val="24"/>
        </w:rPr>
      </w:pPr>
      <w:r>
        <w:rPr>
          <w:rFonts w:hint="eastAsia" w:ascii="仿宋" w:hAnsi="仿宋" w:eastAsia="仿宋" w:cs="仿宋"/>
          <w:sz w:val="24"/>
        </w:rPr>
        <w:t>B获得信息拥有方书面许可；</w:t>
      </w:r>
    </w:p>
    <w:p w14:paraId="36848CD1">
      <w:pPr>
        <w:spacing w:line="360" w:lineRule="auto"/>
        <w:rPr>
          <w:rFonts w:ascii="仿宋" w:hAnsi="仿宋" w:eastAsia="仿宋" w:cs="仿宋"/>
          <w:sz w:val="24"/>
        </w:rPr>
      </w:pPr>
      <w:r>
        <w:rPr>
          <w:rFonts w:hint="eastAsia" w:ascii="仿宋" w:hAnsi="仿宋" w:eastAsia="仿宋" w:cs="仿宋"/>
          <w:sz w:val="24"/>
        </w:rPr>
        <w:t>C国家</w:t>
      </w:r>
      <w:r>
        <w:rPr>
          <w:rFonts w:hint="eastAsia" w:ascii="仿宋" w:hAnsi="仿宋" w:eastAsia="仿宋" w:cs="仿宋"/>
          <w:sz w:val="24"/>
          <w:lang w:eastAsia="zh-CN"/>
        </w:rPr>
        <w:t>法律法规</w:t>
      </w:r>
      <w:r>
        <w:rPr>
          <w:rFonts w:hint="eastAsia" w:ascii="仿宋" w:hAnsi="仿宋" w:eastAsia="仿宋" w:cs="仿宋"/>
          <w:sz w:val="24"/>
        </w:rPr>
        <w:t>规定的情形。</w:t>
      </w:r>
    </w:p>
    <w:p w14:paraId="659C1A5E">
      <w:pPr>
        <w:spacing w:line="360" w:lineRule="auto"/>
        <w:rPr>
          <w:rFonts w:ascii="仿宋" w:hAnsi="仿宋" w:eastAsia="仿宋" w:cs="仿宋"/>
          <w:sz w:val="24"/>
        </w:rPr>
      </w:pPr>
      <w:bookmarkStart w:id="19" w:name="_Toc216520227"/>
      <w:r>
        <w:rPr>
          <w:rFonts w:hint="eastAsia" w:ascii="仿宋" w:hAnsi="仿宋" w:eastAsia="仿宋" w:cs="仿宋"/>
          <w:sz w:val="24"/>
        </w:rPr>
        <w:t>5、 乙方实施项目的程序应符合国家安全</w:t>
      </w:r>
      <w:r>
        <w:rPr>
          <w:rFonts w:hint="eastAsia" w:ascii="仿宋" w:hAnsi="仿宋" w:eastAsia="仿宋" w:cs="仿宋"/>
          <w:sz w:val="24"/>
          <w:lang w:eastAsia="zh-CN"/>
        </w:rPr>
        <w:t>要求</w:t>
      </w:r>
      <w:bookmarkStart w:id="32" w:name="_GoBack"/>
      <w:bookmarkEnd w:id="32"/>
      <w:r>
        <w:rPr>
          <w:rFonts w:hint="eastAsia" w:ascii="仿宋" w:hAnsi="仿宋" w:eastAsia="仿宋" w:cs="仿宋"/>
          <w:sz w:val="24"/>
        </w:rPr>
        <w:t>、保密的有关规定和标准。</w:t>
      </w:r>
    </w:p>
    <w:p w14:paraId="45FD7641">
      <w:pPr>
        <w:spacing w:line="360" w:lineRule="auto"/>
        <w:rPr>
          <w:rFonts w:ascii="仿宋" w:hAnsi="仿宋" w:eastAsia="仿宋" w:cs="仿宋"/>
          <w:sz w:val="24"/>
        </w:rPr>
      </w:pPr>
      <w:r>
        <w:rPr>
          <w:rFonts w:hint="eastAsia" w:ascii="仿宋" w:hAnsi="仿宋" w:eastAsia="仿宋" w:cs="仿宋"/>
          <w:sz w:val="24"/>
        </w:rPr>
        <w:t>6、 双方同意签订保密协议以保障上述保密条款所规定义务的有效履行。</w:t>
      </w:r>
      <w:bookmarkEnd w:id="19"/>
    </w:p>
    <w:p w14:paraId="7B8E6142">
      <w:pPr>
        <w:spacing w:line="360" w:lineRule="auto"/>
        <w:rPr>
          <w:rFonts w:ascii="仿宋" w:hAnsi="仿宋" w:eastAsia="仿宋" w:cs="仿宋"/>
          <w:sz w:val="24"/>
        </w:rPr>
      </w:pPr>
      <w:r>
        <w:rPr>
          <w:rFonts w:hint="eastAsia" w:ascii="仿宋" w:hAnsi="仿宋" w:eastAsia="仿宋" w:cs="仿宋"/>
          <w:sz w:val="24"/>
        </w:rPr>
        <w:t>7、 本合同终止后，非因上述第（四）项下的情形及甲方书面同意后，乙方不得使用、披露甲方秘密，使用形式包括但不限于自己使用、向第三人披露、出卖、允许第三人使用等，否则，乙方应承担法律责任，并赔偿因此给甲方造成的损失。</w:t>
      </w:r>
      <w:bookmarkStart w:id="20" w:name="_Toc457207902"/>
      <w:bookmarkStart w:id="21" w:name="_Toc216520229"/>
    </w:p>
    <w:p w14:paraId="080C434D">
      <w:pPr>
        <w:pStyle w:val="6"/>
        <w:ind w:firstLine="0"/>
        <w:rPr>
          <w:rFonts w:eastAsia="仿宋"/>
        </w:rPr>
      </w:pPr>
      <w:r>
        <w:rPr>
          <w:rFonts w:hint="eastAsia" w:ascii="仿宋" w:hAnsi="仿宋" w:eastAsia="仿宋" w:cs="仿宋"/>
          <w:sz w:val="24"/>
          <w:szCs w:val="24"/>
        </w:rPr>
        <w:t>本条款具有独立性，在本协议终止或解除后仍长期有效。</w:t>
      </w:r>
    </w:p>
    <w:p w14:paraId="17F4DC3D">
      <w:pPr>
        <w:pStyle w:val="2"/>
        <w:keepNext w:val="0"/>
        <w:keepLines w:val="0"/>
        <w:numPr>
          <w:ilvl w:val="0"/>
          <w:numId w:val="5"/>
        </w:numPr>
        <w:spacing w:before="120" w:beforeAutospacing="0" w:after="120" w:afterAutospacing="0" w:line="240" w:lineRule="auto"/>
        <w:rPr>
          <w:rFonts w:hint="default" w:ascii="仿宋" w:hAnsi="仿宋" w:eastAsia="仿宋" w:cs="仿宋"/>
          <w:b w:val="0"/>
          <w:bCs w:val="0"/>
          <w:sz w:val="24"/>
          <w:szCs w:val="24"/>
        </w:rPr>
      </w:pPr>
      <w:r>
        <w:rPr>
          <w:rFonts w:ascii="仿宋" w:hAnsi="仿宋" w:eastAsia="仿宋" w:cs="仿宋"/>
          <w:sz w:val="24"/>
          <w:szCs w:val="24"/>
        </w:rPr>
        <w:t>争议解决</w:t>
      </w:r>
      <w:bookmarkEnd w:id="20"/>
      <w:bookmarkEnd w:id="21"/>
    </w:p>
    <w:p w14:paraId="2FB9CAC7">
      <w:pPr>
        <w:spacing w:line="360" w:lineRule="auto"/>
        <w:rPr>
          <w:rFonts w:ascii="仿宋" w:hAnsi="仿宋" w:eastAsia="仿宋" w:cs="仿宋"/>
          <w:sz w:val="24"/>
        </w:rPr>
      </w:pPr>
      <w:bookmarkStart w:id="22" w:name="_Toc216520230"/>
      <w:r>
        <w:rPr>
          <w:rFonts w:hint="eastAsia" w:ascii="仿宋" w:hAnsi="仿宋" w:eastAsia="仿宋" w:cs="仿宋"/>
          <w:sz w:val="24"/>
        </w:rPr>
        <w:t>1、 不可抗力</w:t>
      </w:r>
      <w:bookmarkEnd w:id="22"/>
    </w:p>
    <w:p w14:paraId="198DF569">
      <w:pPr>
        <w:spacing w:line="360" w:lineRule="auto"/>
        <w:ind w:firstLine="480" w:firstLineChars="200"/>
        <w:rPr>
          <w:rFonts w:ascii="仿宋" w:hAnsi="仿宋" w:eastAsia="仿宋" w:cs="仿宋"/>
          <w:sz w:val="24"/>
        </w:rPr>
      </w:pPr>
      <w:r>
        <w:rPr>
          <w:rFonts w:hint="eastAsia" w:ascii="仿宋" w:hAnsi="仿宋" w:eastAsia="仿宋" w:cs="仿宋"/>
          <w:sz w:val="24"/>
        </w:rPr>
        <w:t>发生诸如自然灾害、战争、地震突发事件等人力不可抗力、不能预见、不能避免与不能克服的事件时，乙方应积极采取措施，减少损失，并及时报告受害情况，甲乙双方承担各自的损失；由于其中一方延迟履行合同义务后发生不可抗力的，不能免除责任；由于不可抗力，造成本合同不能正常履行，则由合同双方协商决定是否继续履行合同。</w:t>
      </w:r>
    </w:p>
    <w:p w14:paraId="670B1358">
      <w:pPr>
        <w:spacing w:line="360" w:lineRule="auto"/>
        <w:rPr>
          <w:rFonts w:ascii="仿宋" w:hAnsi="仿宋" w:eastAsia="仿宋" w:cs="仿宋"/>
          <w:sz w:val="24"/>
        </w:rPr>
      </w:pPr>
      <w:bookmarkStart w:id="23" w:name="_Toc216520231"/>
      <w:r>
        <w:rPr>
          <w:rFonts w:hint="eastAsia" w:ascii="仿宋" w:hAnsi="仿宋" w:eastAsia="仿宋" w:cs="仿宋"/>
          <w:sz w:val="24"/>
        </w:rPr>
        <w:t>2、 争议解决</w:t>
      </w:r>
      <w:bookmarkEnd w:id="23"/>
    </w:p>
    <w:p w14:paraId="344B4062">
      <w:pPr>
        <w:spacing w:line="360" w:lineRule="auto"/>
        <w:ind w:firstLine="480" w:firstLineChars="200"/>
        <w:rPr>
          <w:rFonts w:ascii="仿宋" w:hAnsi="仿宋" w:eastAsia="仿宋" w:cs="仿宋"/>
          <w:sz w:val="24"/>
        </w:rPr>
      </w:pPr>
      <w:r>
        <w:rPr>
          <w:rFonts w:hint="eastAsia" w:ascii="仿宋" w:hAnsi="仿宋" w:eastAsia="仿宋" w:cs="仿宋"/>
          <w:sz w:val="24"/>
        </w:rPr>
        <w:t>A甲乙双方就合同条款的解释或履行以及与项目密切相关的事项发生争议，应在7个工作日内友好协商解决，协商不成提交深圳市龙岗区人民法院提起诉讼；</w:t>
      </w:r>
    </w:p>
    <w:p w14:paraId="4BCC7D81">
      <w:pPr>
        <w:spacing w:line="360" w:lineRule="auto"/>
        <w:ind w:firstLine="480" w:firstLineChars="200"/>
        <w:rPr>
          <w:rFonts w:ascii="仿宋" w:hAnsi="仿宋" w:eastAsia="仿宋" w:cs="仿宋"/>
          <w:sz w:val="24"/>
        </w:rPr>
      </w:pPr>
      <w:r>
        <w:rPr>
          <w:rFonts w:hint="eastAsia" w:ascii="仿宋" w:hAnsi="仿宋" w:eastAsia="仿宋" w:cs="仿宋"/>
          <w:sz w:val="24"/>
        </w:rPr>
        <w:t>B因质量问题发生的争议，由甲乙双方共同指定的国家权威技术单位进行质量鉴定，该鉴定结论是终局的，甲乙双方应当接受；若质量符合标准的，鉴定费由甲方承担；质量不符合标准的，鉴定费由乙方承担。</w:t>
      </w:r>
      <w:bookmarkStart w:id="24" w:name="_Toc216520232"/>
    </w:p>
    <w:p w14:paraId="02DA72A9">
      <w:pPr>
        <w:pStyle w:val="2"/>
        <w:keepNext w:val="0"/>
        <w:keepLines w:val="0"/>
        <w:numPr>
          <w:ilvl w:val="0"/>
          <w:numId w:val="5"/>
        </w:numPr>
        <w:spacing w:before="120" w:beforeAutospacing="0" w:after="120" w:afterAutospacing="0" w:line="240" w:lineRule="auto"/>
        <w:rPr>
          <w:rFonts w:hint="default" w:ascii="仿宋" w:hAnsi="仿宋" w:eastAsia="仿宋" w:cs="仿宋"/>
          <w:b w:val="0"/>
          <w:bCs w:val="0"/>
          <w:sz w:val="24"/>
          <w:szCs w:val="24"/>
        </w:rPr>
      </w:pPr>
      <w:r>
        <w:rPr>
          <w:rFonts w:ascii="仿宋" w:hAnsi="仿宋" w:eastAsia="仿宋" w:cs="仿宋"/>
          <w:sz w:val="24"/>
          <w:szCs w:val="24"/>
        </w:rPr>
        <w:t>违约责任</w:t>
      </w:r>
    </w:p>
    <w:p w14:paraId="2A7C6A93">
      <w:pPr>
        <w:spacing w:line="360" w:lineRule="auto"/>
        <w:rPr>
          <w:rFonts w:ascii="仿宋" w:hAnsi="仿宋" w:eastAsia="仿宋" w:cs="仿宋"/>
          <w:sz w:val="24"/>
        </w:rPr>
      </w:pPr>
      <w:r>
        <w:rPr>
          <w:rFonts w:hint="eastAsia" w:ascii="仿宋" w:hAnsi="仿宋" w:eastAsia="仿宋" w:cs="仿宋"/>
          <w:sz w:val="24"/>
        </w:rPr>
        <w:t>1、甲方的违约责任</w:t>
      </w:r>
      <w:bookmarkEnd w:id="24"/>
    </w:p>
    <w:p w14:paraId="4ABA15D9">
      <w:pPr>
        <w:spacing w:line="360" w:lineRule="auto"/>
        <w:ind w:firstLine="480" w:firstLineChars="200"/>
        <w:rPr>
          <w:rFonts w:ascii="仿宋" w:hAnsi="仿宋" w:eastAsia="仿宋" w:cs="仿宋"/>
          <w:sz w:val="24"/>
        </w:rPr>
      </w:pPr>
      <w:r>
        <w:rPr>
          <w:rFonts w:hint="eastAsia" w:ascii="仿宋" w:hAnsi="仿宋" w:eastAsia="仿宋" w:cs="仿宋"/>
          <w:sz w:val="24"/>
        </w:rPr>
        <w:t>A如因甲方的原因未按本合同约定的项目进度完成，经甲方同意后，每延期1个工作日，允许乙方对等延期1个工作日；</w:t>
      </w:r>
    </w:p>
    <w:p w14:paraId="76D7E010">
      <w:pPr>
        <w:spacing w:line="360" w:lineRule="auto"/>
        <w:rPr>
          <w:rFonts w:ascii="仿宋" w:hAnsi="仿宋" w:eastAsia="仿宋" w:cs="仿宋"/>
          <w:sz w:val="24"/>
        </w:rPr>
      </w:pPr>
      <w:bookmarkStart w:id="25" w:name="_Toc216520233"/>
      <w:r>
        <w:rPr>
          <w:rFonts w:hint="eastAsia" w:ascii="仿宋" w:hAnsi="仿宋" w:eastAsia="仿宋" w:cs="仿宋"/>
          <w:sz w:val="24"/>
        </w:rPr>
        <w:t>2、乙方的违约责任</w:t>
      </w:r>
      <w:bookmarkEnd w:id="25"/>
    </w:p>
    <w:p w14:paraId="19C9704F">
      <w:pPr>
        <w:spacing w:line="360" w:lineRule="auto"/>
        <w:ind w:firstLine="480" w:firstLineChars="200"/>
        <w:rPr>
          <w:rFonts w:ascii="仿宋" w:hAnsi="仿宋" w:eastAsia="仿宋" w:cs="仿宋"/>
          <w:sz w:val="24"/>
        </w:rPr>
      </w:pPr>
      <w:r>
        <w:rPr>
          <w:rFonts w:hint="eastAsia" w:ascii="仿宋" w:hAnsi="仿宋" w:eastAsia="仿宋" w:cs="仿宋"/>
          <w:sz w:val="24"/>
        </w:rPr>
        <w:t>A如因乙方的原因未按本合同规定的项目阶段进度要求完成工作，每延期1个工作日，由乙方按本合同总额的0.5‰向甲方支付违约金，甲方在支付相关阶段款项时扣除。乙方延期达【60】工作日（含）以上的，甲方有权解除合同，乙方应返还甲方支付的全部款项，并向甲方支付合同总额【10】%的违约金；</w:t>
      </w:r>
    </w:p>
    <w:p w14:paraId="55B5432D">
      <w:pPr>
        <w:spacing w:line="360" w:lineRule="auto"/>
        <w:ind w:firstLine="480" w:firstLineChars="200"/>
        <w:rPr>
          <w:rFonts w:ascii="仿宋" w:hAnsi="仿宋" w:eastAsia="仿宋" w:cs="仿宋"/>
          <w:sz w:val="24"/>
        </w:rPr>
      </w:pPr>
      <w:r>
        <w:rPr>
          <w:rFonts w:hint="eastAsia" w:ascii="仿宋" w:hAnsi="仿宋" w:eastAsia="仿宋" w:cs="仿宋"/>
          <w:sz w:val="24"/>
        </w:rPr>
        <w:t>B如乙方侵害了甲方知识产权，则应负责赔偿由此而给甲方造成的经济损失，并对连带的其他法律后果承担责任；</w:t>
      </w:r>
    </w:p>
    <w:p w14:paraId="4E2F1463">
      <w:pPr>
        <w:spacing w:line="360" w:lineRule="auto"/>
        <w:ind w:firstLine="480" w:firstLineChars="200"/>
        <w:rPr>
          <w:rFonts w:ascii="仿宋" w:hAnsi="仿宋" w:eastAsia="仿宋" w:cs="仿宋"/>
          <w:sz w:val="24"/>
        </w:rPr>
      </w:pPr>
      <w:r>
        <w:rPr>
          <w:rFonts w:hint="eastAsia" w:ascii="仿宋" w:hAnsi="仿宋" w:eastAsia="仿宋" w:cs="仿宋"/>
          <w:sz w:val="24"/>
        </w:rPr>
        <w:t>C因乙方未能履行合同中规定的保密条款，造成甲方损失的，乙方应根据所造成的损失大小向甲方赔偿，甲方保留向乙方提出法律诉讼的权利；</w:t>
      </w:r>
    </w:p>
    <w:p w14:paraId="76026B19">
      <w:pPr>
        <w:spacing w:line="360" w:lineRule="auto"/>
        <w:ind w:firstLine="480" w:firstLineChars="200"/>
        <w:rPr>
          <w:rFonts w:ascii="仿宋" w:hAnsi="仿宋" w:eastAsia="仿宋" w:cs="仿宋"/>
          <w:sz w:val="24"/>
        </w:rPr>
      </w:pPr>
      <w:r>
        <w:rPr>
          <w:rFonts w:hint="eastAsia" w:ascii="仿宋" w:hAnsi="仿宋" w:eastAsia="仿宋" w:cs="仿宋"/>
          <w:sz w:val="24"/>
        </w:rPr>
        <w:t>D如乙方未能履行合同之乙方义务，甲方有权拒绝支付验收款或延长保修期，乙方应根据所造成的损失大小向甲方赔偿。造成重大损失和严重后果的，甲方有权追究乙方的法律责任；</w:t>
      </w:r>
    </w:p>
    <w:p w14:paraId="0E4F4901">
      <w:pPr>
        <w:spacing w:line="360" w:lineRule="auto"/>
        <w:ind w:firstLine="480" w:firstLineChars="200"/>
        <w:rPr>
          <w:rFonts w:ascii="仿宋" w:hAnsi="仿宋" w:eastAsia="仿宋" w:cs="仿宋"/>
          <w:sz w:val="24"/>
        </w:rPr>
      </w:pPr>
      <w:r>
        <w:rPr>
          <w:rFonts w:hint="eastAsia" w:ascii="仿宋" w:hAnsi="仿宋" w:eastAsia="仿宋" w:cs="仿宋"/>
          <w:sz w:val="24"/>
        </w:rPr>
        <w:t>E如乙方提供的服务成果存在侵犯第三方知识产权或其他合法权益的情形，乙方除了承担全部赔偿责任之外，还应按照合同总额【3】%向甲方支付违约金；</w:t>
      </w:r>
    </w:p>
    <w:p w14:paraId="5E1B97C6">
      <w:pPr>
        <w:spacing w:line="360" w:lineRule="auto"/>
        <w:ind w:firstLine="480" w:firstLineChars="200"/>
        <w:rPr>
          <w:rFonts w:ascii="仿宋" w:hAnsi="仿宋" w:eastAsia="仿宋" w:cs="仿宋"/>
          <w:sz w:val="24"/>
        </w:rPr>
      </w:pPr>
      <w:r>
        <w:rPr>
          <w:rFonts w:hint="eastAsia" w:ascii="仿宋" w:hAnsi="仿宋" w:eastAsia="仿宋" w:cs="仿宋"/>
          <w:sz w:val="24"/>
        </w:rPr>
        <w:t>F如乙方将本合同项下部分或全部工作委托、转让、转包或分包给第三方的，甲方有权解除合同，乙方应返还甲方支付的全部款项，并向甲方支付合同总额【10】%的违约金；</w:t>
      </w:r>
    </w:p>
    <w:p w14:paraId="3BF69D6E">
      <w:pPr>
        <w:spacing w:line="360" w:lineRule="auto"/>
        <w:ind w:firstLine="480" w:firstLineChars="200"/>
        <w:rPr>
          <w:rFonts w:ascii="仿宋" w:hAnsi="仿宋" w:eastAsia="仿宋" w:cs="仿宋"/>
          <w:sz w:val="24"/>
        </w:rPr>
      </w:pPr>
      <w:r>
        <w:rPr>
          <w:rFonts w:hint="eastAsia" w:ascii="仿宋" w:hAnsi="仿宋" w:eastAsia="仿宋" w:cs="仿宋"/>
          <w:sz w:val="24"/>
        </w:rPr>
        <w:t>G维护期内，如乙方无正当理由未能按合同规定及时提供本合同项下的服务，每延迟一次，乙方应当支付合同总额【3】%的违约金。</w:t>
      </w:r>
    </w:p>
    <w:p w14:paraId="4C018DB1">
      <w:pPr>
        <w:spacing w:line="360" w:lineRule="auto"/>
        <w:rPr>
          <w:rFonts w:ascii="仿宋" w:hAnsi="仿宋" w:eastAsia="仿宋" w:cs="仿宋"/>
          <w:sz w:val="24"/>
        </w:rPr>
      </w:pPr>
      <w:r>
        <w:rPr>
          <w:rFonts w:hint="eastAsia" w:ascii="仿宋" w:hAnsi="仿宋" w:eastAsia="仿宋" w:cs="仿宋"/>
          <w:sz w:val="24"/>
        </w:rPr>
        <w:t>2、因乙方违约造成甲方经济损失的，乙方除应支付违约金外，还应另行根据甲方遭受损失的实际情况进行赔偿，赔偿范围包括但不限于直接损失、间接损失、守约方因维权而产生的律师费、鉴定费、交通费、诉讼费、仲裁费、赔偿款、保全费等合理支出。</w:t>
      </w:r>
    </w:p>
    <w:p w14:paraId="5BC87F5A">
      <w:pPr>
        <w:pStyle w:val="2"/>
        <w:keepNext w:val="0"/>
        <w:keepLines w:val="0"/>
        <w:numPr>
          <w:ilvl w:val="0"/>
          <w:numId w:val="5"/>
        </w:numPr>
        <w:spacing w:before="120" w:beforeAutospacing="0" w:after="120" w:afterAutospacing="0" w:line="240" w:lineRule="auto"/>
        <w:rPr>
          <w:rFonts w:hint="default" w:ascii="仿宋" w:hAnsi="仿宋" w:eastAsia="仿宋" w:cs="仿宋"/>
          <w:b w:val="0"/>
          <w:bCs w:val="0"/>
          <w:sz w:val="24"/>
          <w:szCs w:val="24"/>
        </w:rPr>
      </w:pPr>
      <w:bookmarkStart w:id="26" w:name="_Toc457207903"/>
      <w:r>
        <w:rPr>
          <w:rFonts w:ascii="仿宋" w:hAnsi="仿宋" w:eastAsia="仿宋" w:cs="仿宋"/>
          <w:sz w:val="24"/>
          <w:szCs w:val="24"/>
        </w:rPr>
        <w:t>其他</w:t>
      </w:r>
      <w:bookmarkEnd w:id="26"/>
    </w:p>
    <w:p w14:paraId="6785A8D7">
      <w:pPr>
        <w:spacing w:line="360" w:lineRule="auto"/>
        <w:rPr>
          <w:rFonts w:ascii="仿宋" w:hAnsi="仿宋" w:eastAsia="仿宋" w:cs="仿宋"/>
          <w:sz w:val="24"/>
        </w:rPr>
      </w:pPr>
      <w:r>
        <w:rPr>
          <w:rFonts w:hint="eastAsia" w:ascii="仿宋" w:hAnsi="仿宋" w:eastAsia="仿宋" w:cs="仿宋"/>
          <w:sz w:val="24"/>
        </w:rPr>
        <w:t>1、 本合同未尽事宜，由双方协商解决，形成书面约定作为本合同组成部分。</w:t>
      </w:r>
    </w:p>
    <w:p w14:paraId="6BF8ACA3">
      <w:pPr>
        <w:spacing w:line="360" w:lineRule="auto"/>
        <w:rPr>
          <w:rFonts w:ascii="仿宋" w:hAnsi="仿宋" w:eastAsia="仿宋" w:cs="仿宋"/>
          <w:sz w:val="24"/>
        </w:rPr>
      </w:pPr>
      <w:r>
        <w:rPr>
          <w:rFonts w:hint="eastAsia" w:ascii="仿宋" w:hAnsi="仿宋" w:eastAsia="仿宋" w:cs="仿宋"/>
          <w:sz w:val="24"/>
        </w:rPr>
        <w:t>2、 本合同所有附件为本合同的不可分割部分，所涉及的内容与本合同具有同等法律效力。</w:t>
      </w:r>
    </w:p>
    <w:p w14:paraId="35B763C1">
      <w:pPr>
        <w:spacing w:line="360" w:lineRule="auto"/>
        <w:rPr>
          <w:rFonts w:ascii="仿宋" w:hAnsi="仿宋" w:eastAsia="仿宋" w:cs="仿宋"/>
          <w:sz w:val="24"/>
        </w:rPr>
      </w:pPr>
      <w:r>
        <w:rPr>
          <w:rFonts w:hint="eastAsia" w:ascii="仿宋" w:hAnsi="仿宋" w:eastAsia="仿宋" w:cs="仿宋"/>
          <w:sz w:val="24"/>
        </w:rPr>
        <w:t>3、 本项目招标文件、乙方投标文件和中标通知书均为本合同组成部分。</w:t>
      </w:r>
    </w:p>
    <w:p w14:paraId="5DA3BB15">
      <w:pPr>
        <w:spacing w:line="360" w:lineRule="auto"/>
        <w:rPr>
          <w:rFonts w:ascii="仿宋" w:hAnsi="仿宋" w:eastAsia="仿宋" w:cs="仿宋"/>
          <w:sz w:val="24"/>
        </w:rPr>
      </w:pPr>
      <w:r>
        <w:rPr>
          <w:rFonts w:hint="eastAsia" w:ascii="仿宋" w:hAnsi="仿宋" w:eastAsia="仿宋" w:cs="仿宋"/>
          <w:sz w:val="24"/>
        </w:rPr>
        <w:t>4、 当本合同及组成部分的各文件条款之间发生冲突时，以签署日期最近的文件为准。</w:t>
      </w:r>
    </w:p>
    <w:p w14:paraId="3C30F31C">
      <w:pPr>
        <w:spacing w:line="360" w:lineRule="auto"/>
        <w:rPr>
          <w:rFonts w:ascii="仿宋" w:hAnsi="仿宋" w:eastAsia="仿宋" w:cs="仿宋"/>
          <w:sz w:val="24"/>
        </w:rPr>
      </w:pPr>
      <w:r>
        <w:rPr>
          <w:rFonts w:hint="eastAsia" w:ascii="仿宋" w:hAnsi="仿宋" w:eastAsia="仿宋" w:cs="仿宋"/>
          <w:sz w:val="24"/>
        </w:rPr>
        <w:t>5、 本合同约定的权利和义务不因合同双方发生收购、兼并、重组、分立而发生变化。如果发生上述情形，则本合同约定的权利和义务随之转移至收购、兼并、重组或分立后成立的单位。</w:t>
      </w:r>
    </w:p>
    <w:p w14:paraId="7A284463">
      <w:pPr>
        <w:spacing w:line="360" w:lineRule="auto"/>
        <w:rPr>
          <w:rFonts w:ascii="仿宋" w:hAnsi="仿宋" w:eastAsia="仿宋" w:cs="仿宋"/>
          <w:sz w:val="24"/>
        </w:rPr>
      </w:pPr>
      <w:r>
        <w:rPr>
          <w:rFonts w:hint="eastAsia" w:ascii="仿宋" w:hAnsi="仿宋" w:eastAsia="仿宋" w:cs="仿宋"/>
          <w:sz w:val="24"/>
        </w:rPr>
        <w:t>6、 本合同在国家</w:t>
      </w:r>
      <w:r>
        <w:rPr>
          <w:rFonts w:hint="eastAsia" w:ascii="仿宋" w:hAnsi="仿宋" w:eastAsia="仿宋" w:cs="仿宋"/>
          <w:sz w:val="24"/>
          <w:lang w:eastAsia="zh-CN"/>
        </w:rPr>
        <w:t>法律法规</w:t>
      </w:r>
      <w:r>
        <w:rPr>
          <w:rFonts w:hint="eastAsia" w:ascii="仿宋" w:hAnsi="仿宋" w:eastAsia="仿宋" w:cs="仿宋"/>
          <w:sz w:val="24"/>
        </w:rPr>
        <w:t>和规章规定的范围内执行。当国家</w:t>
      </w:r>
      <w:r>
        <w:rPr>
          <w:rFonts w:hint="eastAsia" w:ascii="仿宋" w:hAnsi="仿宋" w:eastAsia="仿宋" w:cs="仿宋"/>
          <w:sz w:val="24"/>
          <w:lang w:eastAsia="zh-CN"/>
        </w:rPr>
        <w:t>法律法规</w:t>
      </w:r>
      <w:r>
        <w:rPr>
          <w:rFonts w:hint="eastAsia" w:ascii="仿宋" w:hAnsi="仿宋" w:eastAsia="仿宋" w:cs="仿宋"/>
          <w:sz w:val="24"/>
        </w:rPr>
        <w:t>和规章发生变化导致本合同有关条款与之抵触时，双方协商变更或废止该条款，在此情况下，双方互不承担责任。</w:t>
      </w:r>
    </w:p>
    <w:p w14:paraId="0766F1D9">
      <w:pPr>
        <w:pStyle w:val="2"/>
        <w:keepNext w:val="0"/>
        <w:keepLines w:val="0"/>
        <w:numPr>
          <w:ilvl w:val="0"/>
          <w:numId w:val="5"/>
        </w:numPr>
        <w:spacing w:before="120" w:beforeAutospacing="0" w:after="120" w:afterAutospacing="0" w:line="240" w:lineRule="auto"/>
        <w:rPr>
          <w:rFonts w:hint="default" w:ascii="仿宋" w:hAnsi="仿宋" w:eastAsia="仿宋" w:cs="仿宋"/>
          <w:b w:val="0"/>
          <w:bCs w:val="0"/>
          <w:sz w:val="24"/>
          <w:szCs w:val="24"/>
        </w:rPr>
      </w:pPr>
      <w:bookmarkStart w:id="27" w:name="_Toc457207904"/>
      <w:bookmarkStart w:id="28" w:name="_Toc216520239"/>
      <w:r>
        <w:rPr>
          <w:rFonts w:ascii="仿宋" w:hAnsi="仿宋" w:eastAsia="仿宋" w:cs="仿宋"/>
          <w:sz w:val="24"/>
          <w:szCs w:val="24"/>
        </w:rPr>
        <w:t>合同的生效、解除及有效期</w:t>
      </w:r>
      <w:bookmarkEnd w:id="27"/>
      <w:bookmarkEnd w:id="28"/>
    </w:p>
    <w:p w14:paraId="53834DCE">
      <w:pPr>
        <w:spacing w:line="360" w:lineRule="auto"/>
        <w:rPr>
          <w:rFonts w:ascii="仿宋" w:hAnsi="仿宋" w:eastAsia="仿宋" w:cs="仿宋"/>
          <w:sz w:val="24"/>
        </w:rPr>
      </w:pPr>
      <w:bookmarkStart w:id="29" w:name="_Toc216520240"/>
      <w:r>
        <w:rPr>
          <w:rFonts w:hint="eastAsia" w:ascii="仿宋" w:hAnsi="仿宋" w:eastAsia="仿宋" w:cs="仿宋"/>
          <w:sz w:val="24"/>
        </w:rPr>
        <w:t>1、合同生效</w:t>
      </w:r>
      <w:bookmarkEnd w:id="29"/>
    </w:p>
    <w:p w14:paraId="71576886">
      <w:pPr>
        <w:spacing w:line="360" w:lineRule="auto"/>
        <w:ind w:firstLine="480" w:firstLineChars="200"/>
        <w:rPr>
          <w:rFonts w:ascii="仿宋" w:hAnsi="仿宋" w:eastAsia="仿宋" w:cs="仿宋"/>
          <w:sz w:val="24"/>
        </w:rPr>
      </w:pPr>
      <w:r>
        <w:rPr>
          <w:rFonts w:hint="eastAsia" w:ascii="仿宋" w:hAnsi="仿宋" w:eastAsia="仿宋" w:cs="仿宋"/>
          <w:sz w:val="24"/>
        </w:rPr>
        <w:t>本合同自签订之日起经甲乙双方法定代表人或授权代表签字、盖章后立即生效。本合同一式四份甲乙双方各执二份均具有同等法律效力，自签订之日起生效。</w:t>
      </w:r>
    </w:p>
    <w:p w14:paraId="62FE9BB8">
      <w:pPr>
        <w:spacing w:line="360" w:lineRule="auto"/>
        <w:rPr>
          <w:rFonts w:ascii="仿宋" w:hAnsi="仿宋" w:eastAsia="仿宋" w:cs="仿宋"/>
          <w:sz w:val="24"/>
        </w:rPr>
      </w:pPr>
      <w:bookmarkStart w:id="30" w:name="_Toc216520241"/>
      <w:r>
        <w:rPr>
          <w:rFonts w:hint="eastAsia" w:ascii="仿宋" w:hAnsi="仿宋" w:eastAsia="仿宋" w:cs="仿宋"/>
          <w:sz w:val="24"/>
        </w:rPr>
        <w:t>2、 合同解除</w:t>
      </w:r>
      <w:bookmarkEnd w:id="30"/>
    </w:p>
    <w:p w14:paraId="5A989C40">
      <w:pPr>
        <w:spacing w:line="360" w:lineRule="auto"/>
        <w:ind w:firstLine="480" w:firstLineChars="200"/>
        <w:rPr>
          <w:rFonts w:ascii="仿宋" w:hAnsi="仿宋" w:eastAsia="仿宋" w:cs="仿宋"/>
          <w:sz w:val="24"/>
        </w:rPr>
      </w:pPr>
      <w:r>
        <w:rPr>
          <w:rFonts w:hint="eastAsia" w:ascii="仿宋" w:hAnsi="仿宋" w:eastAsia="仿宋" w:cs="仿宋"/>
          <w:sz w:val="24"/>
        </w:rPr>
        <w:t>如果一方发生以下任一情形，另一方有权解除合同。当事方有义务在事由发生后15个工作日内以书面方式通知对方。</w:t>
      </w:r>
    </w:p>
    <w:p w14:paraId="06B0228E">
      <w:pPr>
        <w:spacing w:line="360" w:lineRule="auto"/>
        <w:ind w:firstLine="480" w:firstLineChars="200"/>
        <w:rPr>
          <w:rFonts w:ascii="仿宋" w:hAnsi="仿宋" w:eastAsia="仿宋" w:cs="仿宋"/>
          <w:sz w:val="24"/>
        </w:rPr>
      </w:pPr>
      <w:r>
        <w:rPr>
          <w:rFonts w:hint="eastAsia" w:ascii="仿宋" w:hAnsi="仿宋" w:eastAsia="仿宋" w:cs="仿宋"/>
          <w:sz w:val="24"/>
        </w:rPr>
        <w:t>A破产、解散、被依法关闭、撤销或已进入清算阶段；</w:t>
      </w:r>
    </w:p>
    <w:p w14:paraId="1AE36410">
      <w:pPr>
        <w:spacing w:line="360" w:lineRule="auto"/>
        <w:ind w:firstLine="480" w:firstLineChars="200"/>
        <w:rPr>
          <w:rFonts w:ascii="仿宋" w:hAnsi="仿宋" w:eastAsia="仿宋" w:cs="仿宋"/>
          <w:sz w:val="24"/>
        </w:rPr>
      </w:pPr>
      <w:r>
        <w:rPr>
          <w:rFonts w:hint="eastAsia" w:ascii="仿宋" w:hAnsi="仿宋" w:eastAsia="仿宋" w:cs="仿宋"/>
          <w:sz w:val="24"/>
        </w:rPr>
        <w:t>B出现了合同约定的或法定解除事由。</w:t>
      </w:r>
    </w:p>
    <w:p w14:paraId="37F38D9E">
      <w:pPr>
        <w:spacing w:line="360" w:lineRule="auto"/>
        <w:rPr>
          <w:rFonts w:ascii="仿宋" w:hAnsi="仿宋" w:eastAsia="仿宋" w:cs="仿宋"/>
          <w:sz w:val="24"/>
        </w:rPr>
      </w:pPr>
      <w:bookmarkStart w:id="31" w:name="_Toc216520242"/>
      <w:r>
        <w:rPr>
          <w:rFonts w:hint="eastAsia" w:ascii="仿宋" w:hAnsi="仿宋" w:eastAsia="仿宋" w:cs="仿宋"/>
          <w:sz w:val="24"/>
        </w:rPr>
        <w:t>3、合同有效期</w:t>
      </w:r>
      <w:bookmarkEnd w:id="31"/>
    </w:p>
    <w:p w14:paraId="2B2C7C76">
      <w:pPr>
        <w:spacing w:line="360" w:lineRule="auto"/>
        <w:ind w:firstLine="480" w:firstLineChars="200"/>
        <w:rPr>
          <w:rFonts w:ascii="仿宋" w:hAnsi="仿宋" w:eastAsia="仿宋" w:cs="仿宋"/>
          <w:sz w:val="24"/>
        </w:rPr>
      </w:pPr>
      <w:r>
        <w:rPr>
          <w:rFonts w:hint="eastAsia" w:ascii="仿宋" w:hAnsi="仿宋" w:eastAsia="仿宋" w:cs="仿宋"/>
          <w:sz w:val="24"/>
        </w:rPr>
        <w:t>合同的有效期直至甲乙双方完成本合同全部条款要求为止。</w:t>
      </w:r>
    </w:p>
    <w:p w14:paraId="47E4996A">
      <w:pPr>
        <w:spacing w:line="360" w:lineRule="auto"/>
        <w:rPr>
          <w:rFonts w:ascii="仿宋" w:hAnsi="仿宋" w:eastAsia="仿宋" w:cs="仿宋"/>
          <w:sz w:val="24"/>
        </w:rPr>
      </w:pPr>
      <w:r>
        <w:rPr>
          <w:rFonts w:hint="eastAsia" w:ascii="仿宋" w:hAnsi="仿宋" w:eastAsia="仿宋" w:cs="仿宋"/>
          <w:sz w:val="24"/>
        </w:rPr>
        <w:t>（以下无正文）</w:t>
      </w:r>
    </w:p>
    <w:p w14:paraId="1862FD99">
      <w:pPr>
        <w:spacing w:line="360" w:lineRule="auto"/>
        <w:rPr>
          <w:rFonts w:ascii="仿宋" w:hAnsi="仿宋" w:eastAsia="仿宋" w:cs="仿宋"/>
          <w:sz w:val="24"/>
        </w:rPr>
      </w:pPr>
    </w:p>
    <w:tbl>
      <w:tblPr>
        <w:tblStyle w:val="18"/>
        <w:tblpPr w:leftFromText="180" w:rightFromText="180" w:vertAnchor="text" w:horzAnchor="margin" w:tblpY="-19"/>
        <w:tblW w:w="8560" w:type="dxa"/>
        <w:tblInd w:w="0" w:type="dxa"/>
        <w:tblLayout w:type="fixed"/>
        <w:tblCellMar>
          <w:top w:w="0" w:type="dxa"/>
          <w:left w:w="108" w:type="dxa"/>
          <w:bottom w:w="0" w:type="dxa"/>
          <w:right w:w="108" w:type="dxa"/>
        </w:tblCellMar>
      </w:tblPr>
      <w:tblGrid>
        <w:gridCol w:w="4280"/>
        <w:gridCol w:w="4280"/>
      </w:tblGrid>
      <w:tr w14:paraId="3463889D">
        <w:tblPrEx>
          <w:tblCellMar>
            <w:top w:w="0" w:type="dxa"/>
            <w:left w:w="108" w:type="dxa"/>
            <w:bottom w:w="0" w:type="dxa"/>
            <w:right w:w="108" w:type="dxa"/>
          </w:tblCellMar>
        </w:tblPrEx>
        <w:trPr>
          <w:trHeight w:val="699" w:hRule="atLeast"/>
        </w:trPr>
        <w:tc>
          <w:tcPr>
            <w:tcW w:w="4280" w:type="dxa"/>
          </w:tcPr>
          <w:p w14:paraId="7DF56D13">
            <w:pPr>
              <w:spacing w:line="360" w:lineRule="auto"/>
              <w:rPr>
                <w:rFonts w:ascii="仿宋" w:hAnsi="仿宋" w:eastAsia="仿宋" w:cs="仿宋"/>
                <w:sz w:val="24"/>
              </w:rPr>
            </w:pPr>
            <w:r>
              <w:rPr>
                <w:rFonts w:hint="eastAsia" w:ascii="仿宋" w:hAnsi="仿宋" w:eastAsia="仿宋" w:cs="仿宋"/>
                <w:sz w:val="24"/>
              </w:rPr>
              <w:t>甲方（公章）：北京中医药大学深圳医院（龙岗）</w:t>
            </w:r>
          </w:p>
        </w:tc>
        <w:tc>
          <w:tcPr>
            <w:tcW w:w="4280" w:type="dxa"/>
          </w:tcPr>
          <w:p w14:paraId="04AE3F49">
            <w:pPr>
              <w:spacing w:line="360" w:lineRule="auto"/>
              <w:rPr>
                <w:rFonts w:ascii="仿宋" w:hAnsi="仿宋" w:eastAsia="仿宋" w:cs="仿宋"/>
                <w:sz w:val="24"/>
              </w:rPr>
            </w:pPr>
            <w:r>
              <w:rPr>
                <w:rFonts w:hint="eastAsia" w:ascii="仿宋" w:hAnsi="仿宋" w:eastAsia="仿宋" w:cs="仿宋"/>
                <w:sz w:val="24"/>
              </w:rPr>
              <w:t>乙方（公章）：</w:t>
            </w:r>
          </w:p>
        </w:tc>
      </w:tr>
      <w:tr w14:paraId="7B62823D">
        <w:tblPrEx>
          <w:tblCellMar>
            <w:top w:w="0" w:type="dxa"/>
            <w:left w:w="108" w:type="dxa"/>
            <w:bottom w:w="0" w:type="dxa"/>
            <w:right w:w="108" w:type="dxa"/>
          </w:tblCellMar>
        </w:tblPrEx>
        <w:trPr>
          <w:trHeight w:val="699" w:hRule="atLeast"/>
        </w:trPr>
        <w:tc>
          <w:tcPr>
            <w:tcW w:w="4280" w:type="dxa"/>
          </w:tcPr>
          <w:p w14:paraId="50446C4F">
            <w:pPr>
              <w:spacing w:line="360" w:lineRule="auto"/>
              <w:rPr>
                <w:rFonts w:ascii="仿宋" w:hAnsi="仿宋" w:eastAsia="仿宋" w:cs="仿宋"/>
                <w:sz w:val="24"/>
              </w:rPr>
            </w:pPr>
            <w:r>
              <w:rPr>
                <w:rFonts w:hint="eastAsia" w:ascii="仿宋" w:hAnsi="仿宋" w:eastAsia="仿宋" w:cs="仿宋"/>
                <w:sz w:val="24"/>
              </w:rPr>
              <w:t>法人或代理人：</w:t>
            </w:r>
          </w:p>
        </w:tc>
        <w:tc>
          <w:tcPr>
            <w:tcW w:w="4280" w:type="dxa"/>
          </w:tcPr>
          <w:p w14:paraId="053A40CC">
            <w:pPr>
              <w:spacing w:line="360" w:lineRule="auto"/>
              <w:rPr>
                <w:rFonts w:ascii="仿宋" w:hAnsi="仿宋" w:eastAsia="仿宋" w:cs="仿宋"/>
                <w:sz w:val="24"/>
              </w:rPr>
            </w:pPr>
            <w:r>
              <w:rPr>
                <w:rFonts w:hint="eastAsia" w:ascii="仿宋" w:hAnsi="仿宋" w:eastAsia="仿宋" w:cs="仿宋"/>
                <w:sz w:val="24"/>
              </w:rPr>
              <w:t xml:space="preserve">法人或代理人： </w:t>
            </w:r>
          </w:p>
        </w:tc>
      </w:tr>
      <w:tr w14:paraId="2772FCBE">
        <w:tblPrEx>
          <w:tblCellMar>
            <w:top w:w="0" w:type="dxa"/>
            <w:left w:w="108" w:type="dxa"/>
            <w:bottom w:w="0" w:type="dxa"/>
            <w:right w:w="108" w:type="dxa"/>
          </w:tblCellMar>
        </w:tblPrEx>
        <w:trPr>
          <w:trHeight w:val="1051" w:hRule="atLeast"/>
        </w:trPr>
        <w:tc>
          <w:tcPr>
            <w:tcW w:w="4280" w:type="dxa"/>
          </w:tcPr>
          <w:p w14:paraId="1C683111">
            <w:pPr>
              <w:spacing w:line="360" w:lineRule="auto"/>
              <w:rPr>
                <w:rFonts w:ascii="仿宋" w:hAnsi="仿宋" w:eastAsia="仿宋" w:cs="仿宋"/>
                <w:sz w:val="24"/>
              </w:rPr>
            </w:pPr>
            <w:r>
              <w:rPr>
                <w:rFonts w:hint="eastAsia" w:ascii="仿宋" w:hAnsi="仿宋" w:eastAsia="仿宋" w:cs="仿宋"/>
                <w:sz w:val="24"/>
              </w:rPr>
              <w:t>开户行：</w:t>
            </w:r>
          </w:p>
        </w:tc>
        <w:tc>
          <w:tcPr>
            <w:tcW w:w="4280" w:type="dxa"/>
          </w:tcPr>
          <w:p w14:paraId="08EBBA93">
            <w:pPr>
              <w:spacing w:line="360" w:lineRule="auto"/>
              <w:rPr>
                <w:rFonts w:ascii="仿宋" w:hAnsi="仿宋" w:eastAsia="仿宋" w:cs="仿宋"/>
                <w:sz w:val="24"/>
              </w:rPr>
            </w:pPr>
            <w:r>
              <w:rPr>
                <w:rFonts w:hint="eastAsia" w:ascii="仿宋" w:hAnsi="仿宋" w:eastAsia="仿宋" w:cs="仿宋"/>
                <w:sz w:val="24"/>
              </w:rPr>
              <w:t xml:space="preserve">开户行： </w:t>
            </w:r>
          </w:p>
        </w:tc>
      </w:tr>
      <w:tr w14:paraId="771E121B">
        <w:tblPrEx>
          <w:tblCellMar>
            <w:top w:w="0" w:type="dxa"/>
            <w:left w:w="108" w:type="dxa"/>
            <w:bottom w:w="0" w:type="dxa"/>
            <w:right w:w="108" w:type="dxa"/>
          </w:tblCellMar>
        </w:tblPrEx>
        <w:trPr>
          <w:trHeight w:val="393" w:hRule="atLeast"/>
        </w:trPr>
        <w:tc>
          <w:tcPr>
            <w:tcW w:w="4280" w:type="dxa"/>
          </w:tcPr>
          <w:p w14:paraId="5E7D795C">
            <w:pPr>
              <w:spacing w:line="360" w:lineRule="auto"/>
              <w:rPr>
                <w:rFonts w:ascii="仿宋" w:hAnsi="仿宋" w:eastAsia="仿宋" w:cs="仿宋"/>
                <w:sz w:val="24"/>
              </w:rPr>
            </w:pPr>
            <w:r>
              <w:rPr>
                <w:rFonts w:hint="eastAsia" w:ascii="仿宋" w:hAnsi="仿宋" w:eastAsia="仿宋" w:cs="仿宋"/>
                <w:sz w:val="24"/>
              </w:rPr>
              <w:t>账号：</w:t>
            </w:r>
          </w:p>
        </w:tc>
        <w:tc>
          <w:tcPr>
            <w:tcW w:w="4280" w:type="dxa"/>
          </w:tcPr>
          <w:p w14:paraId="496C9360">
            <w:pPr>
              <w:spacing w:line="360" w:lineRule="auto"/>
              <w:rPr>
                <w:rFonts w:ascii="仿宋" w:hAnsi="仿宋" w:eastAsia="仿宋" w:cs="仿宋"/>
                <w:sz w:val="24"/>
              </w:rPr>
            </w:pPr>
            <w:r>
              <w:rPr>
                <w:rFonts w:hint="eastAsia" w:ascii="仿宋" w:hAnsi="仿宋" w:eastAsia="仿宋" w:cs="仿宋"/>
                <w:sz w:val="24"/>
              </w:rPr>
              <w:t>账号：</w:t>
            </w:r>
          </w:p>
        </w:tc>
      </w:tr>
    </w:tbl>
    <w:p w14:paraId="0ED6983A">
      <w:pPr>
        <w:rPr>
          <w:rFonts w:ascii="仿宋" w:hAnsi="仿宋" w:eastAsia="仿宋" w:cs="仿宋"/>
          <w:sz w:val="24"/>
        </w:rPr>
      </w:pPr>
      <w:r>
        <w:rPr>
          <w:rFonts w:hint="eastAsia" w:ascii="仿宋" w:hAnsi="仿宋" w:eastAsia="仿宋" w:cs="仿宋"/>
          <w:sz w:val="24"/>
        </w:rPr>
        <w:t>时间：   年   月   日              时间：     年     月    日</w:t>
      </w:r>
    </w:p>
    <w:p w14:paraId="71BA1CA6">
      <w:pPr>
        <w:rPr>
          <w:rFonts w:ascii="仿宋" w:hAnsi="仿宋" w:eastAsia="仿宋" w:cs="仿宋"/>
          <w:sz w:val="24"/>
        </w:rPr>
      </w:pPr>
      <w:r>
        <w:rPr>
          <w:rFonts w:hint="eastAsia" w:ascii="仿宋" w:hAnsi="仿宋" w:eastAsia="仿宋" w:cs="仿宋"/>
          <w:sz w:val="24"/>
        </w:rPr>
        <w:br w:type="page"/>
      </w:r>
    </w:p>
    <w:p w14:paraId="6220A55F">
      <w:pPr>
        <w:pStyle w:val="2"/>
        <w:rPr>
          <w:rFonts w:hint="default" w:ascii="仿宋" w:hAnsi="仿宋" w:eastAsia="仿宋" w:cs="仿宋"/>
          <w:b w:val="0"/>
          <w:bCs w:val="0"/>
          <w:sz w:val="32"/>
          <w:szCs w:val="32"/>
        </w:rPr>
      </w:pPr>
      <w:r>
        <w:rPr>
          <w:rFonts w:ascii="仿宋" w:hAnsi="仿宋" w:eastAsia="仿宋" w:cs="仿宋"/>
          <w:sz w:val="32"/>
          <w:szCs w:val="32"/>
        </w:rPr>
        <w:t xml:space="preserve">附件1:   </w:t>
      </w:r>
      <w:r>
        <w:rPr>
          <w:rStyle w:val="56"/>
          <w:rFonts w:ascii="仿宋" w:hAnsi="仿宋" w:eastAsia="仿宋" w:cs="仿宋"/>
          <w:b w:val="0"/>
          <w:sz w:val="28"/>
        </w:rPr>
        <w:t>北京中医药大学深圳医院（龙岗）</w:t>
      </w:r>
      <w:r>
        <w:rPr>
          <w:rFonts w:ascii="仿宋" w:hAnsi="仿宋" w:eastAsia="仿宋" w:cs="仿宋"/>
          <w:sz w:val="32"/>
          <w:szCs w:val="32"/>
        </w:rPr>
        <w:t>信息安全保密协议</w:t>
      </w:r>
    </w:p>
    <w:p w14:paraId="184EFA65">
      <w:pPr>
        <w:spacing w:line="520" w:lineRule="exact"/>
        <w:ind w:firstLine="482"/>
        <w:rPr>
          <w:rFonts w:ascii="仿宋" w:hAnsi="仿宋" w:eastAsia="仿宋" w:cs="仿宋"/>
          <w:sz w:val="24"/>
        </w:rPr>
      </w:pPr>
      <w:r>
        <w:rPr>
          <w:rStyle w:val="56"/>
          <w:rFonts w:hint="eastAsia" w:ascii="仿宋" w:hAnsi="仿宋" w:eastAsia="仿宋" w:cs="仿宋"/>
          <w:sz w:val="28"/>
          <w:szCs w:val="28"/>
        </w:rPr>
        <w:t>甲方：北京中医药大学深圳医院（龙岗）</w:t>
      </w:r>
    </w:p>
    <w:p w14:paraId="58744420">
      <w:pPr>
        <w:spacing w:line="520" w:lineRule="exact"/>
        <w:ind w:firstLine="482"/>
        <w:rPr>
          <w:rStyle w:val="56"/>
          <w:rFonts w:ascii="仿宋" w:hAnsi="仿宋" w:eastAsia="仿宋" w:cs="仿宋"/>
          <w:b/>
          <w:color w:val="FF0000"/>
          <w:sz w:val="28"/>
          <w:szCs w:val="28"/>
          <w:highlight w:val="yellow"/>
        </w:rPr>
      </w:pPr>
      <w:r>
        <w:rPr>
          <w:rStyle w:val="56"/>
          <w:rFonts w:hint="eastAsia" w:ascii="仿宋" w:hAnsi="仿宋" w:eastAsia="仿宋" w:cs="仿宋"/>
          <w:sz w:val="28"/>
          <w:szCs w:val="28"/>
        </w:rPr>
        <w:t>乙方：</w:t>
      </w:r>
      <w:r>
        <w:rPr>
          <w:rStyle w:val="56"/>
          <w:rFonts w:hint="eastAsia" w:ascii="仿宋" w:hAnsi="仿宋" w:eastAsia="仿宋" w:cs="仿宋"/>
          <w:sz w:val="28"/>
          <w:szCs w:val="28"/>
          <w:highlight w:val="yellow"/>
        </w:rPr>
        <w:t xml:space="preserve">                                     </w:t>
      </w:r>
    </w:p>
    <w:p w14:paraId="79336236">
      <w:pPr>
        <w:spacing w:line="520" w:lineRule="exact"/>
        <w:ind w:firstLine="480"/>
        <w:rPr>
          <w:rStyle w:val="56"/>
          <w:rFonts w:ascii="仿宋" w:hAnsi="仿宋" w:eastAsia="仿宋" w:cs="仿宋"/>
          <w:sz w:val="28"/>
          <w:szCs w:val="28"/>
        </w:rPr>
      </w:pPr>
      <w:r>
        <w:rPr>
          <w:rStyle w:val="56"/>
          <w:rFonts w:hint="eastAsia" w:ascii="仿宋" w:hAnsi="仿宋" w:eastAsia="仿宋" w:cs="仿宋"/>
          <w:sz w:val="28"/>
          <w:szCs w:val="28"/>
        </w:rPr>
        <w:t>甲、乙双方根据《中华人民共和国网络安全法》和国家、地方有关规定，达成如下网络安全保密协议：</w:t>
      </w:r>
    </w:p>
    <w:p w14:paraId="242FEA63">
      <w:pPr>
        <w:spacing w:line="520" w:lineRule="exact"/>
        <w:ind w:firstLine="482"/>
        <w:rPr>
          <w:rFonts w:ascii="仿宋" w:hAnsi="仿宋" w:eastAsia="仿宋" w:cs="仿宋"/>
          <w:b/>
          <w:sz w:val="28"/>
          <w:szCs w:val="28"/>
        </w:rPr>
      </w:pPr>
      <w:r>
        <w:rPr>
          <w:rFonts w:hint="eastAsia" w:ascii="仿宋" w:hAnsi="仿宋" w:eastAsia="仿宋" w:cs="仿宋"/>
          <w:b/>
          <w:sz w:val="28"/>
          <w:szCs w:val="28"/>
        </w:rPr>
        <w:t>第一条 总则</w:t>
      </w:r>
    </w:p>
    <w:p w14:paraId="4BFF6A24">
      <w:pPr>
        <w:spacing w:line="520" w:lineRule="exact"/>
        <w:ind w:firstLine="480"/>
        <w:rPr>
          <w:rStyle w:val="56"/>
          <w:rFonts w:ascii="仿宋" w:hAnsi="仿宋" w:eastAsia="仿宋" w:cs="仿宋"/>
          <w:sz w:val="28"/>
          <w:szCs w:val="28"/>
        </w:rPr>
      </w:pPr>
      <w:r>
        <w:rPr>
          <w:rStyle w:val="56"/>
          <w:rFonts w:hint="eastAsia" w:ascii="仿宋" w:hAnsi="仿宋" w:eastAsia="仿宋" w:cs="仿宋"/>
          <w:sz w:val="28"/>
          <w:szCs w:val="28"/>
        </w:rPr>
        <w:t>本协议各方有必要向对方提供某些专有信息（“保密信息”）。通过本协议，在甲乙双方在开展业务合作的过程中，预防乙方提供的服务及产品和人员的行为给甲方的信息安全潜在风险。</w:t>
      </w:r>
    </w:p>
    <w:p w14:paraId="4416CA2C">
      <w:pPr>
        <w:spacing w:line="520" w:lineRule="exact"/>
        <w:ind w:firstLine="482"/>
        <w:rPr>
          <w:rFonts w:ascii="仿宋" w:hAnsi="仿宋" w:eastAsia="仿宋" w:cs="仿宋"/>
          <w:b/>
          <w:sz w:val="28"/>
          <w:szCs w:val="28"/>
        </w:rPr>
      </w:pPr>
      <w:r>
        <w:rPr>
          <w:rFonts w:hint="eastAsia" w:ascii="仿宋" w:hAnsi="仿宋" w:eastAsia="仿宋" w:cs="仿宋"/>
          <w:b/>
          <w:sz w:val="28"/>
          <w:szCs w:val="28"/>
        </w:rPr>
        <w:t>第二条 协议条款</w:t>
      </w:r>
    </w:p>
    <w:p w14:paraId="163DF7D9">
      <w:pPr>
        <w:spacing w:line="520" w:lineRule="exact"/>
        <w:ind w:firstLine="480"/>
        <w:rPr>
          <w:rStyle w:val="56"/>
          <w:rFonts w:ascii="仿宋" w:hAnsi="仿宋" w:eastAsia="仿宋" w:cs="仿宋"/>
          <w:sz w:val="28"/>
          <w:szCs w:val="28"/>
        </w:rPr>
      </w:pPr>
      <w:r>
        <w:rPr>
          <w:rStyle w:val="56"/>
          <w:rFonts w:hint="eastAsia" w:ascii="仿宋" w:hAnsi="仿宋" w:eastAsia="仿宋" w:cs="仿宋"/>
          <w:sz w:val="28"/>
          <w:szCs w:val="28"/>
        </w:rPr>
        <w:t>1、甲乙双方必须遵守国家颁发的有关安全生产、技术规范、制度和规定。</w:t>
      </w:r>
    </w:p>
    <w:p w14:paraId="0B2EED6D">
      <w:pPr>
        <w:spacing w:line="520" w:lineRule="exact"/>
        <w:ind w:firstLine="480"/>
        <w:rPr>
          <w:rStyle w:val="56"/>
          <w:rFonts w:ascii="仿宋" w:hAnsi="仿宋" w:eastAsia="仿宋" w:cs="仿宋"/>
          <w:sz w:val="28"/>
          <w:szCs w:val="28"/>
        </w:rPr>
      </w:pPr>
      <w:r>
        <w:rPr>
          <w:rStyle w:val="56"/>
          <w:rFonts w:hint="eastAsia" w:ascii="仿宋" w:hAnsi="仿宋" w:eastAsia="仿宋" w:cs="仿宋"/>
          <w:sz w:val="28"/>
          <w:szCs w:val="28"/>
        </w:rPr>
        <w:t>2、甲乙双方都应有安全管理组织体制，有专职和兼职的负责人，乙方成员在为甲方提供服务或产品期间必须严格执行和遵守甲方的安全生产、防火管理的各项规定，严格遵守甲方的安全管理制度和操作规程。</w:t>
      </w:r>
    </w:p>
    <w:p w14:paraId="50A20989">
      <w:pPr>
        <w:spacing w:line="520" w:lineRule="exact"/>
        <w:ind w:firstLine="480"/>
        <w:rPr>
          <w:rStyle w:val="56"/>
          <w:rFonts w:ascii="仿宋" w:hAnsi="仿宋" w:eastAsia="仿宋" w:cs="仿宋"/>
          <w:sz w:val="28"/>
          <w:szCs w:val="28"/>
        </w:rPr>
      </w:pPr>
      <w:r>
        <w:rPr>
          <w:rStyle w:val="56"/>
          <w:rFonts w:hint="eastAsia" w:ascii="仿宋" w:hAnsi="仿宋" w:eastAsia="仿宋" w:cs="仿宋"/>
          <w:sz w:val="28"/>
          <w:szCs w:val="28"/>
        </w:rPr>
        <w:t>3、乙方不得将甲方的保密信息透露给任何第三方，而应尽力避免由于疏忽将保密信息披露给任何第三方。</w:t>
      </w:r>
    </w:p>
    <w:p w14:paraId="428BA33C">
      <w:pPr>
        <w:spacing w:line="520" w:lineRule="exact"/>
        <w:ind w:firstLine="480"/>
        <w:rPr>
          <w:rStyle w:val="56"/>
          <w:rFonts w:ascii="仿宋" w:hAnsi="仿宋" w:eastAsia="仿宋" w:cs="仿宋"/>
          <w:sz w:val="28"/>
          <w:szCs w:val="28"/>
        </w:rPr>
      </w:pPr>
      <w:r>
        <w:rPr>
          <w:rStyle w:val="56"/>
          <w:rFonts w:hint="eastAsia" w:ascii="仿宋" w:hAnsi="仿宋" w:eastAsia="仿宋" w:cs="仿宋"/>
          <w:sz w:val="28"/>
          <w:szCs w:val="28"/>
        </w:rPr>
        <w:t>4、乙方不应使用甲方的保密信息也不应在自己的组织内流通，除非是为与甲方人员或授权代表商谈、讨论和协商之需或在本协议签署后经甲方书面授权的任何目的。</w:t>
      </w:r>
    </w:p>
    <w:p w14:paraId="1F9C6A5C">
      <w:pPr>
        <w:spacing w:line="520" w:lineRule="exact"/>
        <w:ind w:firstLine="480"/>
        <w:rPr>
          <w:rStyle w:val="56"/>
          <w:rFonts w:ascii="仿宋" w:hAnsi="仿宋" w:eastAsia="仿宋" w:cs="仿宋"/>
          <w:sz w:val="28"/>
          <w:szCs w:val="28"/>
        </w:rPr>
      </w:pPr>
      <w:r>
        <w:rPr>
          <w:rStyle w:val="56"/>
          <w:rFonts w:hint="eastAsia" w:ascii="仿宋" w:hAnsi="仿宋" w:eastAsia="仿宋" w:cs="仿宋"/>
          <w:sz w:val="28"/>
          <w:szCs w:val="28"/>
        </w:rPr>
        <w:t>5、所有由甲方提供给乙方的材料，包括但不限于文件、设计和清单应仍为甲方的财产，且甲方要求时应立即归还原件和所有据此制作的副本。</w:t>
      </w:r>
    </w:p>
    <w:p w14:paraId="48392AC4">
      <w:pPr>
        <w:spacing w:line="520" w:lineRule="exact"/>
        <w:ind w:firstLine="480"/>
        <w:rPr>
          <w:rStyle w:val="56"/>
          <w:rFonts w:ascii="仿宋" w:hAnsi="仿宋" w:eastAsia="仿宋" w:cs="仿宋"/>
          <w:sz w:val="28"/>
          <w:szCs w:val="28"/>
        </w:rPr>
      </w:pPr>
      <w:r>
        <w:rPr>
          <w:rStyle w:val="56"/>
          <w:rFonts w:hint="eastAsia" w:ascii="仿宋" w:hAnsi="仿宋" w:eastAsia="仿宋" w:cs="仿宋"/>
          <w:sz w:val="28"/>
          <w:szCs w:val="28"/>
        </w:rPr>
        <w:t>6、甲方提供乙方正常的技术研究，开发条件和业务拓展的空间，努力创造有利于乙方发展的机会。</w:t>
      </w:r>
    </w:p>
    <w:p w14:paraId="18A2DEEF">
      <w:pPr>
        <w:spacing w:line="520" w:lineRule="exact"/>
        <w:ind w:firstLine="480"/>
        <w:rPr>
          <w:rStyle w:val="56"/>
          <w:rFonts w:ascii="仿宋" w:hAnsi="仿宋" w:eastAsia="仿宋" w:cs="仿宋"/>
          <w:sz w:val="28"/>
          <w:szCs w:val="28"/>
        </w:rPr>
      </w:pPr>
      <w:r>
        <w:rPr>
          <w:rStyle w:val="56"/>
          <w:rFonts w:hint="eastAsia" w:ascii="仿宋" w:hAnsi="仿宋" w:eastAsia="仿宋" w:cs="仿宋"/>
          <w:sz w:val="28"/>
          <w:szCs w:val="28"/>
        </w:rPr>
        <w:t>7、乙方承担中</w:t>
      </w:r>
      <w:r>
        <w:rPr>
          <w:rStyle w:val="56"/>
          <w:rFonts w:hint="eastAsia" w:ascii="仿宋" w:hAnsi="仿宋" w:eastAsia="仿宋" w:cs="仿宋"/>
          <w:color w:val="FF0000"/>
          <w:sz w:val="28"/>
          <w:szCs w:val="28"/>
        </w:rPr>
        <w:t>XXX</w:t>
      </w:r>
      <w:r>
        <w:rPr>
          <w:rStyle w:val="56"/>
          <w:rFonts w:hint="eastAsia" w:ascii="仿宋" w:hAnsi="仿宋" w:eastAsia="仿宋" w:cs="仿宋"/>
          <w:color w:val="FF0000"/>
          <w:sz w:val="28"/>
          <w:szCs w:val="28"/>
          <w:lang w:eastAsia="zh-Hans"/>
        </w:rPr>
        <w:t>项目</w:t>
      </w:r>
      <w:r>
        <w:rPr>
          <w:rStyle w:val="56"/>
          <w:rFonts w:hint="eastAsia" w:ascii="仿宋" w:hAnsi="仿宋" w:eastAsia="仿宋" w:cs="仿宋"/>
          <w:color w:val="FF0000"/>
          <w:sz w:val="28"/>
          <w:szCs w:val="28"/>
        </w:rPr>
        <w:t>工作</w:t>
      </w:r>
      <w:r>
        <w:rPr>
          <w:rStyle w:val="56"/>
          <w:rFonts w:hint="eastAsia" w:ascii="仿宋" w:hAnsi="仿宋" w:eastAsia="仿宋" w:cs="仿宋"/>
          <w:sz w:val="28"/>
          <w:szCs w:val="28"/>
        </w:rPr>
        <w:t>，软件编码必须规范，应杜绝如下行为：</w:t>
      </w:r>
    </w:p>
    <w:p w14:paraId="522FC411">
      <w:pPr>
        <w:spacing w:line="520" w:lineRule="exact"/>
        <w:ind w:firstLine="480"/>
        <w:rPr>
          <w:rStyle w:val="56"/>
          <w:rFonts w:ascii="仿宋" w:hAnsi="仿宋" w:eastAsia="仿宋" w:cs="仿宋"/>
          <w:sz w:val="28"/>
          <w:szCs w:val="28"/>
        </w:rPr>
      </w:pPr>
      <w:r>
        <w:rPr>
          <w:rStyle w:val="56"/>
          <w:rFonts w:hint="eastAsia" w:ascii="仿宋" w:hAnsi="仿宋" w:eastAsia="仿宋" w:cs="仿宋"/>
          <w:sz w:val="28"/>
          <w:szCs w:val="28"/>
        </w:rPr>
        <w:t>A</w:t>
      </w:r>
      <w:r>
        <w:rPr>
          <w:rStyle w:val="56"/>
          <w:rFonts w:hint="eastAsia" w:ascii="仿宋" w:hAnsi="仿宋" w:eastAsia="仿宋" w:cs="仿宋"/>
          <w:sz w:val="28"/>
          <w:szCs w:val="28"/>
          <w:lang w:eastAsia="zh-CN"/>
        </w:rPr>
        <w:t>.</w:t>
      </w:r>
      <w:r>
        <w:rPr>
          <w:rStyle w:val="56"/>
          <w:rFonts w:hint="eastAsia" w:ascii="仿宋" w:hAnsi="仿宋" w:eastAsia="仿宋" w:cs="仿宋"/>
          <w:sz w:val="28"/>
          <w:szCs w:val="28"/>
        </w:rPr>
        <w:t>内置后门</w:t>
      </w:r>
    </w:p>
    <w:p w14:paraId="08D1A64C">
      <w:pPr>
        <w:spacing w:line="520" w:lineRule="exact"/>
        <w:ind w:firstLine="480"/>
        <w:rPr>
          <w:rStyle w:val="56"/>
          <w:rFonts w:ascii="仿宋" w:hAnsi="仿宋" w:eastAsia="仿宋" w:cs="仿宋"/>
          <w:sz w:val="28"/>
          <w:szCs w:val="28"/>
        </w:rPr>
      </w:pPr>
      <w:r>
        <w:rPr>
          <w:rStyle w:val="56"/>
          <w:rFonts w:hint="eastAsia" w:ascii="仿宋" w:hAnsi="仿宋" w:eastAsia="仿宋" w:cs="仿宋"/>
          <w:sz w:val="28"/>
          <w:szCs w:val="28"/>
        </w:rPr>
        <w:t>B</w:t>
      </w:r>
      <w:r>
        <w:rPr>
          <w:rStyle w:val="56"/>
          <w:rFonts w:hint="eastAsia" w:ascii="仿宋" w:hAnsi="仿宋" w:eastAsia="仿宋" w:cs="仿宋"/>
          <w:sz w:val="28"/>
          <w:szCs w:val="28"/>
          <w:lang w:eastAsia="zh-CN"/>
        </w:rPr>
        <w:t>.</w:t>
      </w:r>
      <w:r>
        <w:rPr>
          <w:rStyle w:val="56"/>
          <w:rFonts w:hint="eastAsia" w:ascii="仿宋" w:hAnsi="仿宋" w:eastAsia="仿宋" w:cs="仿宋"/>
          <w:sz w:val="28"/>
          <w:szCs w:val="28"/>
        </w:rPr>
        <w:t>设置恶意代码和病毒代码</w:t>
      </w:r>
    </w:p>
    <w:p w14:paraId="240A7621">
      <w:pPr>
        <w:spacing w:line="520" w:lineRule="exact"/>
        <w:ind w:firstLine="480"/>
        <w:rPr>
          <w:rStyle w:val="56"/>
          <w:rFonts w:ascii="仿宋" w:hAnsi="仿宋" w:eastAsia="仿宋" w:cs="仿宋"/>
          <w:sz w:val="28"/>
          <w:szCs w:val="28"/>
        </w:rPr>
      </w:pPr>
      <w:r>
        <w:rPr>
          <w:rStyle w:val="56"/>
          <w:rFonts w:hint="eastAsia" w:ascii="仿宋" w:hAnsi="仿宋" w:eastAsia="仿宋" w:cs="仿宋"/>
          <w:sz w:val="28"/>
          <w:szCs w:val="28"/>
        </w:rPr>
        <w:t>C</w:t>
      </w:r>
      <w:r>
        <w:rPr>
          <w:rStyle w:val="56"/>
          <w:rFonts w:hint="eastAsia" w:ascii="仿宋" w:hAnsi="仿宋" w:eastAsia="仿宋" w:cs="仿宋"/>
          <w:sz w:val="28"/>
          <w:szCs w:val="28"/>
          <w:lang w:eastAsia="zh-CN"/>
        </w:rPr>
        <w:t>.</w:t>
      </w:r>
      <w:r>
        <w:rPr>
          <w:rStyle w:val="56"/>
          <w:rFonts w:hint="eastAsia" w:ascii="仿宋" w:hAnsi="仿宋" w:eastAsia="仿宋" w:cs="仿宋"/>
          <w:sz w:val="28"/>
          <w:szCs w:val="28"/>
        </w:rPr>
        <w:t>应用软件代码存在安全漏洞</w:t>
      </w:r>
    </w:p>
    <w:p w14:paraId="22C3DDD2">
      <w:pPr>
        <w:spacing w:line="520" w:lineRule="exact"/>
        <w:ind w:firstLine="480"/>
        <w:rPr>
          <w:rStyle w:val="56"/>
          <w:rFonts w:ascii="仿宋" w:hAnsi="仿宋" w:eastAsia="仿宋" w:cs="仿宋"/>
          <w:sz w:val="28"/>
          <w:szCs w:val="28"/>
        </w:rPr>
      </w:pPr>
      <w:r>
        <w:rPr>
          <w:rStyle w:val="56"/>
          <w:rFonts w:hint="eastAsia" w:ascii="仿宋" w:hAnsi="仿宋" w:eastAsia="仿宋" w:cs="仿宋"/>
          <w:sz w:val="28"/>
          <w:szCs w:val="28"/>
        </w:rPr>
        <w:t>8、乙方提供的产品（包括软硬件及独立开发的软件编码）在上线前必须有国家权威机构提供的测试证明，并按单位相关要求进行上线测试后才能投入运行。</w:t>
      </w:r>
    </w:p>
    <w:p w14:paraId="1DBF3950">
      <w:pPr>
        <w:spacing w:line="520" w:lineRule="exact"/>
        <w:ind w:firstLine="480"/>
        <w:rPr>
          <w:rStyle w:val="56"/>
          <w:rFonts w:ascii="仿宋" w:hAnsi="仿宋" w:eastAsia="仿宋" w:cs="仿宋"/>
          <w:sz w:val="28"/>
          <w:szCs w:val="28"/>
        </w:rPr>
      </w:pPr>
      <w:r>
        <w:rPr>
          <w:rStyle w:val="56"/>
          <w:rFonts w:hint="eastAsia" w:ascii="仿宋" w:hAnsi="仿宋" w:eastAsia="仿宋" w:cs="仿宋"/>
          <w:sz w:val="28"/>
          <w:szCs w:val="28"/>
        </w:rPr>
        <w:t>9、乙方未经批准、不准复印、摘抄、 随意或恶意拿走甲方秘密文件、电脑</w:t>
      </w:r>
      <w:r>
        <w:rPr>
          <w:rStyle w:val="56"/>
          <w:rFonts w:hint="eastAsia" w:ascii="仿宋" w:hAnsi="仿宋" w:eastAsia="仿宋" w:cs="仿宋"/>
          <w:sz w:val="28"/>
          <w:szCs w:val="28"/>
          <w:lang w:eastAsia="zh-CN"/>
        </w:rPr>
        <w:t>软件</w:t>
      </w:r>
      <w:r>
        <w:rPr>
          <w:rStyle w:val="56"/>
          <w:rFonts w:hint="eastAsia" w:ascii="仿宋" w:hAnsi="仿宋" w:eastAsia="仿宋" w:cs="仿宋"/>
          <w:sz w:val="28"/>
          <w:szCs w:val="28"/>
        </w:rPr>
        <w:t>、硬件等。</w:t>
      </w:r>
    </w:p>
    <w:p w14:paraId="1B96EA4D">
      <w:pPr>
        <w:spacing w:line="520" w:lineRule="exact"/>
        <w:ind w:firstLine="480"/>
        <w:rPr>
          <w:rStyle w:val="56"/>
          <w:rFonts w:ascii="仿宋" w:hAnsi="仿宋" w:eastAsia="仿宋" w:cs="仿宋"/>
          <w:sz w:val="28"/>
          <w:szCs w:val="28"/>
        </w:rPr>
      </w:pPr>
      <w:r>
        <w:rPr>
          <w:rStyle w:val="56"/>
          <w:rFonts w:hint="eastAsia" w:ascii="仿宋" w:hAnsi="仿宋" w:eastAsia="仿宋" w:cs="仿宋"/>
          <w:sz w:val="28"/>
          <w:szCs w:val="28"/>
        </w:rPr>
        <w:t>10、乙方应妥善谨慎保管和处理甲方及其客户之机密信息资料及固定资产，如有遗失应立即报告并采取补救措施挽回损失。</w:t>
      </w:r>
    </w:p>
    <w:p w14:paraId="08D23A2F">
      <w:pPr>
        <w:spacing w:line="520" w:lineRule="exact"/>
        <w:ind w:firstLine="480"/>
        <w:rPr>
          <w:rFonts w:eastAsia="仿宋"/>
        </w:rPr>
      </w:pPr>
      <w:r>
        <w:rPr>
          <w:rStyle w:val="56"/>
          <w:rFonts w:hint="eastAsia" w:ascii="仿宋" w:hAnsi="仿宋" w:eastAsia="仿宋" w:cs="仿宋"/>
          <w:sz w:val="28"/>
          <w:szCs w:val="28"/>
        </w:rPr>
        <w:t>11、乙方应配合甲方处理与产品相关的所有安全问题，如违反本协议而发生网络和信息安全事件，由违约方承担一切经济损失。乙方确保提供的产品或服务满足安全要求。若被甲方上级单位检测出乙方所提供的产品存在漏洞或服务存在安全隐患被通报，或被甲方及合作伙伴检测出漏洞或者安全隐患且收到《北京中医药大学深圳医院（龙岗）网络安全隐患整改通知书》，乙方应立即根据甲方要求进行整改，并提供相应说明，响应时间不超过自甲方发出通知开始3小时，如超过响应时间，每延迟一次，乙方向甲方支付合同总额【5%】的违约金。如乙方接到甲方通知后，不根据甲方要求进行整改，推诿拖延，每延迟一次，乙方向甲方支付合同总额【5%】的违约金。违约金于结算合同尾款时扣除，合同尾款不足扣除罚款时，乙方另外补齐差额部分。</w:t>
      </w:r>
    </w:p>
    <w:p w14:paraId="2B4B7D94">
      <w:pPr>
        <w:spacing w:line="520" w:lineRule="exact"/>
        <w:ind w:firstLine="482"/>
        <w:rPr>
          <w:rFonts w:ascii="仿宋" w:hAnsi="仿宋" w:eastAsia="仿宋" w:cs="仿宋"/>
          <w:b/>
          <w:sz w:val="28"/>
          <w:szCs w:val="28"/>
        </w:rPr>
      </w:pPr>
      <w:r>
        <w:rPr>
          <w:rFonts w:hint="eastAsia" w:ascii="仿宋" w:hAnsi="仿宋" w:eastAsia="仿宋" w:cs="仿宋"/>
          <w:b/>
          <w:sz w:val="28"/>
          <w:szCs w:val="28"/>
        </w:rPr>
        <w:t>第三条 违约责任及争议管辖</w:t>
      </w:r>
    </w:p>
    <w:p w14:paraId="51412BFB">
      <w:pPr>
        <w:spacing w:line="520" w:lineRule="exact"/>
        <w:ind w:firstLine="480"/>
        <w:rPr>
          <w:rStyle w:val="56"/>
          <w:rFonts w:ascii="仿宋" w:hAnsi="仿宋" w:eastAsia="仿宋" w:cs="仿宋"/>
          <w:sz w:val="28"/>
          <w:szCs w:val="28"/>
        </w:rPr>
      </w:pPr>
      <w:r>
        <w:rPr>
          <w:rStyle w:val="56"/>
          <w:rFonts w:hint="eastAsia" w:ascii="仿宋" w:hAnsi="仿宋" w:eastAsia="仿宋" w:cs="仿宋"/>
          <w:sz w:val="28"/>
          <w:szCs w:val="28"/>
        </w:rPr>
        <w:t>1、本协议同合同正本同日生效，甲、乙双方必须严格执行，由于违反本协议而造成事件，由违约方承担一切经济损失。</w:t>
      </w:r>
    </w:p>
    <w:p w14:paraId="58CB456E">
      <w:pPr>
        <w:spacing w:line="520" w:lineRule="exact"/>
        <w:ind w:firstLine="480"/>
        <w:rPr>
          <w:rStyle w:val="56"/>
          <w:rFonts w:ascii="仿宋" w:hAnsi="仿宋" w:eastAsia="仿宋" w:cs="仿宋"/>
          <w:sz w:val="28"/>
          <w:szCs w:val="28"/>
        </w:rPr>
      </w:pPr>
      <w:r>
        <w:rPr>
          <w:rStyle w:val="56"/>
          <w:rFonts w:hint="eastAsia" w:ascii="仿宋" w:hAnsi="仿宋" w:eastAsia="仿宋" w:cs="仿宋"/>
          <w:sz w:val="28"/>
          <w:szCs w:val="28"/>
        </w:rPr>
        <w:t>2、与本协议有关的争议，双方首先应当友好协商解决；协商不成的，向深圳市龙岗区人民法院提出起诉解决。</w:t>
      </w:r>
    </w:p>
    <w:p w14:paraId="6110AE16">
      <w:pPr>
        <w:spacing w:line="520" w:lineRule="exact"/>
        <w:ind w:firstLine="480"/>
        <w:rPr>
          <w:rStyle w:val="56"/>
          <w:rFonts w:ascii="仿宋" w:hAnsi="仿宋" w:eastAsia="仿宋" w:cs="仿宋"/>
          <w:sz w:val="28"/>
          <w:szCs w:val="28"/>
        </w:rPr>
      </w:pPr>
      <w:r>
        <w:rPr>
          <w:rStyle w:val="56"/>
          <w:rFonts w:hint="eastAsia" w:ascii="仿宋" w:hAnsi="仿宋" w:eastAsia="仿宋" w:cs="仿宋"/>
          <w:sz w:val="28"/>
          <w:szCs w:val="28"/>
        </w:rPr>
        <w:t>经签署，签字人保证是经正式授权代表签署本协议。</w:t>
      </w:r>
    </w:p>
    <w:p w14:paraId="7922A934">
      <w:pPr>
        <w:widowControl/>
        <w:spacing w:line="500" w:lineRule="exact"/>
        <w:jc w:val="left"/>
        <w:rPr>
          <w:rFonts w:ascii="仿宋" w:hAnsi="仿宋" w:eastAsia="仿宋" w:cs="仿宋"/>
          <w:sz w:val="28"/>
          <w:szCs w:val="28"/>
        </w:rPr>
      </w:pPr>
    </w:p>
    <w:p w14:paraId="716D2B5E">
      <w:pPr>
        <w:widowControl/>
        <w:spacing w:line="500" w:lineRule="exact"/>
        <w:jc w:val="left"/>
        <w:rPr>
          <w:rFonts w:ascii="仿宋" w:hAnsi="仿宋" w:eastAsia="仿宋" w:cs="仿宋"/>
          <w:sz w:val="28"/>
          <w:szCs w:val="28"/>
        </w:rPr>
      </w:pPr>
      <w:r>
        <w:rPr>
          <w:rFonts w:hint="eastAsia" w:ascii="仿宋" w:hAnsi="仿宋" w:eastAsia="仿宋" w:cs="仿宋"/>
          <w:sz w:val="28"/>
          <w:szCs w:val="28"/>
        </w:rPr>
        <w:t>甲方（盖章）：                  乙方（盖章）：</w:t>
      </w:r>
    </w:p>
    <w:p w14:paraId="08A7399E">
      <w:pPr>
        <w:widowControl/>
        <w:spacing w:line="500" w:lineRule="exact"/>
        <w:jc w:val="left"/>
        <w:rPr>
          <w:rFonts w:ascii="仿宋" w:hAnsi="仿宋" w:eastAsia="仿宋" w:cs="仿宋"/>
          <w:sz w:val="28"/>
          <w:szCs w:val="28"/>
        </w:rPr>
      </w:pPr>
    </w:p>
    <w:p w14:paraId="3A593EC7">
      <w:pPr>
        <w:widowControl/>
        <w:spacing w:line="500" w:lineRule="exact"/>
        <w:jc w:val="left"/>
        <w:rPr>
          <w:rFonts w:ascii="仿宋" w:hAnsi="仿宋" w:eastAsia="仿宋" w:cs="仿宋"/>
          <w:sz w:val="28"/>
          <w:szCs w:val="28"/>
        </w:rPr>
      </w:pPr>
      <w:r>
        <w:rPr>
          <w:rFonts w:hint="eastAsia" w:ascii="仿宋" w:hAnsi="仿宋" w:eastAsia="仿宋" w:cs="仿宋"/>
          <w:sz w:val="28"/>
          <w:szCs w:val="28"/>
        </w:rPr>
        <w:t xml:space="preserve">日期：     年    月   日        日期：    年   月  日 </w:t>
      </w:r>
    </w:p>
    <w:p w14:paraId="4271894D">
      <w:pPr>
        <w:pStyle w:val="6"/>
        <w:rPr>
          <w:rFonts w:ascii="仿宋" w:hAnsi="仿宋" w:eastAsia="仿宋" w:cs="仿宋"/>
          <w:sz w:val="28"/>
          <w:szCs w:val="28"/>
        </w:rPr>
      </w:pPr>
    </w:p>
    <w:p w14:paraId="3ADA7AEF"/>
    <w:p w14:paraId="08376B21"/>
    <w:p w14:paraId="1EC5C499"/>
    <w:p w14:paraId="0A1D3A95"/>
    <w:p w14:paraId="6F6096B6">
      <w:pPr>
        <w:spacing w:line="360" w:lineRule="auto"/>
        <w:rPr>
          <w:sz w:val="32"/>
          <w:szCs w:val="32"/>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6067B77-F820-4D4C-A3D3-54E28C24FA3E}"/>
  </w:font>
  <w:font w:name="黑体">
    <w:panose1 w:val="02010609060101010101"/>
    <w:charset w:val="86"/>
    <w:family w:val="auto"/>
    <w:pitch w:val="default"/>
    <w:sig w:usb0="800002BF" w:usb1="38CF7CFA" w:usb2="00000016" w:usb3="00000000" w:csb0="00040001" w:csb1="00000000"/>
    <w:embedRegular r:id="rId2" w:fontKey="{58B48040-F433-4250-A27A-1786AE69819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955B7BE-4490-47A5-8F98-3219930C7CF9}"/>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4" w:fontKey="{4BAD51EB-EB81-4496-A9C1-6E76CA068B58}"/>
  </w:font>
  <w:font w:name="仿宋">
    <w:panose1 w:val="02010609060101010101"/>
    <w:charset w:val="86"/>
    <w:family w:val="modern"/>
    <w:pitch w:val="default"/>
    <w:sig w:usb0="800002BF" w:usb1="38CF7CFA" w:usb2="00000016" w:usb3="00000000" w:csb0="00040001" w:csb1="00000000"/>
    <w:embedRegular r:id="rId5" w:fontKey="{04DEFAB4-50CD-432B-9016-84161CF0A696}"/>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 Yb 2gj">
    <w:altName w:val="黑体"/>
    <w:panose1 w:val="00000000000000000000"/>
    <w:charset w:val="86"/>
    <w:family w:val="auto"/>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6" w:fontKey="{88EBA8EC-D420-4FC0-A723-706E1D2941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709FE">
    <w:pPr>
      <w:pStyle w:val="1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35</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43F31">
    <w:pPr>
      <w:pStyle w:val="13"/>
      <w:pBdr>
        <w:bottom w:val="single" w:color="auto" w:sz="4" w:space="1"/>
      </w:pBd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98224">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8C242"/>
    <w:multiLevelType w:val="singleLevel"/>
    <w:tmpl w:val="1528C242"/>
    <w:lvl w:ilvl="0" w:tentative="0">
      <w:start w:val="1"/>
      <w:numFmt w:val="upperLetter"/>
      <w:lvlText w:val="%1."/>
      <w:lvlJc w:val="left"/>
      <w:pPr>
        <w:tabs>
          <w:tab w:val="left" w:pos="312"/>
        </w:tabs>
      </w:pPr>
    </w:lvl>
  </w:abstractNum>
  <w:abstractNum w:abstractNumId="1">
    <w:nsid w:val="273EB3A9"/>
    <w:multiLevelType w:val="singleLevel"/>
    <w:tmpl w:val="273EB3A9"/>
    <w:lvl w:ilvl="0" w:tentative="0">
      <w:start w:val="1"/>
      <w:numFmt w:val="chineseCounting"/>
      <w:suff w:val="nothing"/>
      <w:lvlText w:val="%1、"/>
      <w:lvlJc w:val="left"/>
      <w:pPr>
        <w:ind w:left="0" w:firstLine="420"/>
      </w:pPr>
      <w:rPr>
        <w:rFonts w:hint="eastAsia"/>
      </w:rPr>
    </w:lvl>
  </w:abstractNum>
  <w:abstractNum w:abstractNumId="2">
    <w:nsid w:val="62D1360B"/>
    <w:multiLevelType w:val="multilevel"/>
    <w:tmpl w:val="62D1360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4">
    <w:nsid w:val="734F656C"/>
    <w:multiLevelType w:val="multilevel"/>
    <w:tmpl w:val="734F656C"/>
    <w:lvl w:ilvl="0" w:tentative="0">
      <w:start w:val="1"/>
      <w:numFmt w:val="decimal"/>
      <w:suff w:val="nothing"/>
      <w:lvlText w:val="%1"/>
      <w:lvlJc w:val="left"/>
      <w:pPr>
        <w:ind w:left="630" w:hanging="420"/>
      </w:pPr>
      <w:rPr>
        <w:rFonts w:hint="eastAsia"/>
      </w:rPr>
    </w:lvl>
    <w:lvl w:ilvl="1" w:tentative="0">
      <w:start w:val="1"/>
      <w:numFmt w:val="decimal"/>
      <w:isLgl/>
      <w:lvlText w:val="%1.%2"/>
      <w:lvlJc w:val="left"/>
      <w:pPr>
        <w:ind w:left="570" w:hanging="360"/>
      </w:pPr>
      <w:rPr>
        <w:rFonts w:hint="default"/>
      </w:rPr>
    </w:lvl>
    <w:lvl w:ilvl="2" w:tentative="0">
      <w:start w:val="1"/>
      <w:numFmt w:val="decimal"/>
      <w:isLgl/>
      <w:lvlText w:val="%1.%2.%3"/>
      <w:lvlJc w:val="left"/>
      <w:pPr>
        <w:ind w:left="930" w:hanging="720"/>
      </w:pPr>
      <w:rPr>
        <w:rFonts w:hint="default"/>
      </w:rPr>
    </w:lvl>
    <w:lvl w:ilvl="3" w:tentative="0">
      <w:start w:val="1"/>
      <w:numFmt w:val="decimal"/>
      <w:isLgl/>
      <w:lvlText w:val="%1.%2.%3.%4"/>
      <w:lvlJc w:val="left"/>
      <w:pPr>
        <w:ind w:left="930" w:hanging="720"/>
      </w:pPr>
      <w:rPr>
        <w:rFonts w:hint="default"/>
      </w:rPr>
    </w:lvl>
    <w:lvl w:ilvl="4" w:tentative="0">
      <w:start w:val="1"/>
      <w:numFmt w:val="decimal"/>
      <w:isLgl/>
      <w:lvlText w:val="%1.%2.%3.%4.%5"/>
      <w:lvlJc w:val="left"/>
      <w:pPr>
        <w:ind w:left="1290" w:hanging="1080"/>
      </w:pPr>
      <w:rPr>
        <w:rFonts w:hint="default"/>
      </w:rPr>
    </w:lvl>
    <w:lvl w:ilvl="5" w:tentative="0">
      <w:start w:val="1"/>
      <w:numFmt w:val="decimal"/>
      <w:isLgl/>
      <w:lvlText w:val="%1.%2.%3.%4.%5.%6"/>
      <w:lvlJc w:val="left"/>
      <w:pPr>
        <w:ind w:left="1290" w:hanging="1080"/>
      </w:pPr>
      <w:rPr>
        <w:rFonts w:hint="default"/>
      </w:rPr>
    </w:lvl>
    <w:lvl w:ilvl="6" w:tentative="0">
      <w:start w:val="1"/>
      <w:numFmt w:val="decimal"/>
      <w:isLgl/>
      <w:lvlText w:val="%1.%2.%3.%4.%5.%6.%7"/>
      <w:lvlJc w:val="left"/>
      <w:pPr>
        <w:ind w:left="1290" w:hanging="1080"/>
      </w:pPr>
      <w:rPr>
        <w:rFonts w:hint="default"/>
      </w:rPr>
    </w:lvl>
    <w:lvl w:ilvl="7" w:tentative="0">
      <w:start w:val="1"/>
      <w:numFmt w:val="decimal"/>
      <w:isLgl/>
      <w:lvlText w:val="%1.%2.%3.%4.%5.%6.%7.%8"/>
      <w:lvlJc w:val="left"/>
      <w:pPr>
        <w:ind w:left="1650" w:hanging="1440"/>
      </w:pPr>
      <w:rPr>
        <w:rFonts w:hint="default"/>
      </w:rPr>
    </w:lvl>
    <w:lvl w:ilvl="8" w:tentative="0">
      <w:start w:val="1"/>
      <w:numFmt w:val="decimal"/>
      <w:isLgl/>
      <w:lvlText w:val="%1.%2.%3.%4.%5.%6.%7.%8.%9"/>
      <w:lvlJc w:val="left"/>
      <w:pPr>
        <w:ind w:left="1650" w:hanging="144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千与千寻">
    <w15:presenceInfo w15:providerId="None" w15:userId="千与千寻"/>
  </w15:person>
  <w15:person w15:author="beta [2]">
    <w15:presenceInfo w15:providerId="None" w15:userId="be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ZDYxZWIyMzU3ZTQ5Mzc1Y2ViMjBlY2MyYWQ5OGIifQ=="/>
  </w:docVars>
  <w:rsids>
    <w:rsidRoot w:val="003C1835"/>
    <w:rsid w:val="00005D7C"/>
    <w:rsid w:val="000127AA"/>
    <w:rsid w:val="00014D4B"/>
    <w:rsid w:val="00015594"/>
    <w:rsid w:val="00020BB7"/>
    <w:rsid w:val="00020CB6"/>
    <w:rsid w:val="00022CC8"/>
    <w:rsid w:val="00046811"/>
    <w:rsid w:val="000547DA"/>
    <w:rsid w:val="000746C9"/>
    <w:rsid w:val="00074D63"/>
    <w:rsid w:val="000842C8"/>
    <w:rsid w:val="00086465"/>
    <w:rsid w:val="00091959"/>
    <w:rsid w:val="00097582"/>
    <w:rsid w:val="000A3C95"/>
    <w:rsid w:val="000B3246"/>
    <w:rsid w:val="000B402F"/>
    <w:rsid w:val="000B6A06"/>
    <w:rsid w:val="000C3544"/>
    <w:rsid w:val="000D32AD"/>
    <w:rsid w:val="000D49E1"/>
    <w:rsid w:val="000E07F3"/>
    <w:rsid w:val="000E0B9D"/>
    <w:rsid w:val="000F0575"/>
    <w:rsid w:val="000F5B68"/>
    <w:rsid w:val="00106E12"/>
    <w:rsid w:val="00115C9E"/>
    <w:rsid w:val="00135E39"/>
    <w:rsid w:val="001370E6"/>
    <w:rsid w:val="0013782E"/>
    <w:rsid w:val="0014022B"/>
    <w:rsid w:val="00142765"/>
    <w:rsid w:val="00150EF9"/>
    <w:rsid w:val="001510A2"/>
    <w:rsid w:val="00156C4C"/>
    <w:rsid w:val="00161F71"/>
    <w:rsid w:val="001649D2"/>
    <w:rsid w:val="00166824"/>
    <w:rsid w:val="00167589"/>
    <w:rsid w:val="00170DAB"/>
    <w:rsid w:val="00174239"/>
    <w:rsid w:val="00176FAF"/>
    <w:rsid w:val="00180CE9"/>
    <w:rsid w:val="00181C0E"/>
    <w:rsid w:val="00184096"/>
    <w:rsid w:val="0019018D"/>
    <w:rsid w:val="00194A3B"/>
    <w:rsid w:val="001960A0"/>
    <w:rsid w:val="001972E6"/>
    <w:rsid w:val="001974EE"/>
    <w:rsid w:val="00197CA8"/>
    <w:rsid w:val="001B096A"/>
    <w:rsid w:val="001B573D"/>
    <w:rsid w:val="001C527D"/>
    <w:rsid w:val="001F1261"/>
    <w:rsid w:val="001F4983"/>
    <w:rsid w:val="001F56C4"/>
    <w:rsid w:val="00206442"/>
    <w:rsid w:val="00211E82"/>
    <w:rsid w:val="00213D08"/>
    <w:rsid w:val="00215A92"/>
    <w:rsid w:val="00221966"/>
    <w:rsid w:val="00232A9E"/>
    <w:rsid w:val="00245C5E"/>
    <w:rsid w:val="00251FCA"/>
    <w:rsid w:val="002564DB"/>
    <w:rsid w:val="00256C6C"/>
    <w:rsid w:val="00270639"/>
    <w:rsid w:val="00273E20"/>
    <w:rsid w:val="0028022B"/>
    <w:rsid w:val="00290597"/>
    <w:rsid w:val="002A19BE"/>
    <w:rsid w:val="002A63A3"/>
    <w:rsid w:val="002B2A1B"/>
    <w:rsid w:val="002C0897"/>
    <w:rsid w:val="002C17FB"/>
    <w:rsid w:val="002D6357"/>
    <w:rsid w:val="002E3D33"/>
    <w:rsid w:val="002E44D6"/>
    <w:rsid w:val="002E6264"/>
    <w:rsid w:val="002F3B78"/>
    <w:rsid w:val="002F7198"/>
    <w:rsid w:val="0030080D"/>
    <w:rsid w:val="003013DB"/>
    <w:rsid w:val="0030157E"/>
    <w:rsid w:val="00302092"/>
    <w:rsid w:val="00317E3F"/>
    <w:rsid w:val="00324B86"/>
    <w:rsid w:val="00324EBE"/>
    <w:rsid w:val="00325F05"/>
    <w:rsid w:val="0033219E"/>
    <w:rsid w:val="00333B02"/>
    <w:rsid w:val="00343247"/>
    <w:rsid w:val="00352570"/>
    <w:rsid w:val="00353D47"/>
    <w:rsid w:val="003550A4"/>
    <w:rsid w:val="00356086"/>
    <w:rsid w:val="003638EB"/>
    <w:rsid w:val="00364D31"/>
    <w:rsid w:val="003834F4"/>
    <w:rsid w:val="0038716A"/>
    <w:rsid w:val="003927AC"/>
    <w:rsid w:val="003A54F2"/>
    <w:rsid w:val="003A7A90"/>
    <w:rsid w:val="003B5C72"/>
    <w:rsid w:val="003B7753"/>
    <w:rsid w:val="003C1835"/>
    <w:rsid w:val="003C7DB7"/>
    <w:rsid w:val="003E03F5"/>
    <w:rsid w:val="003E6EC6"/>
    <w:rsid w:val="003F509C"/>
    <w:rsid w:val="003F70F9"/>
    <w:rsid w:val="00405615"/>
    <w:rsid w:val="00411D70"/>
    <w:rsid w:val="0041463C"/>
    <w:rsid w:val="00415520"/>
    <w:rsid w:val="00415F7F"/>
    <w:rsid w:val="00420BC9"/>
    <w:rsid w:val="0042519A"/>
    <w:rsid w:val="00427A4C"/>
    <w:rsid w:val="00433EF1"/>
    <w:rsid w:val="004356B8"/>
    <w:rsid w:val="004402EC"/>
    <w:rsid w:val="00441A81"/>
    <w:rsid w:val="004548CB"/>
    <w:rsid w:val="00455FDB"/>
    <w:rsid w:val="00460ED7"/>
    <w:rsid w:val="00465BFC"/>
    <w:rsid w:val="00466F8B"/>
    <w:rsid w:val="00470F2D"/>
    <w:rsid w:val="00472862"/>
    <w:rsid w:val="00495AA7"/>
    <w:rsid w:val="004A04D9"/>
    <w:rsid w:val="004A16C3"/>
    <w:rsid w:val="004A322A"/>
    <w:rsid w:val="004A36D7"/>
    <w:rsid w:val="004B0EC2"/>
    <w:rsid w:val="004D6074"/>
    <w:rsid w:val="004E04A5"/>
    <w:rsid w:val="004E0BAE"/>
    <w:rsid w:val="004E4E02"/>
    <w:rsid w:val="004E4F7C"/>
    <w:rsid w:val="004F3F75"/>
    <w:rsid w:val="004F406F"/>
    <w:rsid w:val="004F6BDF"/>
    <w:rsid w:val="0051562C"/>
    <w:rsid w:val="0051798E"/>
    <w:rsid w:val="0053239C"/>
    <w:rsid w:val="005439CD"/>
    <w:rsid w:val="00543A42"/>
    <w:rsid w:val="00543F4E"/>
    <w:rsid w:val="00545508"/>
    <w:rsid w:val="005646D8"/>
    <w:rsid w:val="00572B9D"/>
    <w:rsid w:val="00573B31"/>
    <w:rsid w:val="00597C71"/>
    <w:rsid w:val="005A4CE0"/>
    <w:rsid w:val="005B5330"/>
    <w:rsid w:val="005B6254"/>
    <w:rsid w:val="005B6A05"/>
    <w:rsid w:val="005E0D80"/>
    <w:rsid w:val="005F0A58"/>
    <w:rsid w:val="005F1984"/>
    <w:rsid w:val="005F4FA1"/>
    <w:rsid w:val="00600C95"/>
    <w:rsid w:val="00601DB7"/>
    <w:rsid w:val="00602838"/>
    <w:rsid w:val="00603AB6"/>
    <w:rsid w:val="00607389"/>
    <w:rsid w:val="00612A1C"/>
    <w:rsid w:val="00625BAA"/>
    <w:rsid w:val="006270C9"/>
    <w:rsid w:val="00630C01"/>
    <w:rsid w:val="006310FC"/>
    <w:rsid w:val="006355BC"/>
    <w:rsid w:val="0064304E"/>
    <w:rsid w:val="006459BF"/>
    <w:rsid w:val="006521A9"/>
    <w:rsid w:val="006525A7"/>
    <w:rsid w:val="00653CD9"/>
    <w:rsid w:val="00661E67"/>
    <w:rsid w:val="00664C2F"/>
    <w:rsid w:val="006705F4"/>
    <w:rsid w:val="00672D77"/>
    <w:rsid w:val="006747E2"/>
    <w:rsid w:val="006760B1"/>
    <w:rsid w:val="006808B9"/>
    <w:rsid w:val="00683D72"/>
    <w:rsid w:val="00684146"/>
    <w:rsid w:val="0068671C"/>
    <w:rsid w:val="006A2F08"/>
    <w:rsid w:val="006A3CF3"/>
    <w:rsid w:val="006A6210"/>
    <w:rsid w:val="006B1A82"/>
    <w:rsid w:val="006B65E0"/>
    <w:rsid w:val="006C304F"/>
    <w:rsid w:val="006E0815"/>
    <w:rsid w:val="006E0D03"/>
    <w:rsid w:val="006F32CE"/>
    <w:rsid w:val="006F4438"/>
    <w:rsid w:val="006F7851"/>
    <w:rsid w:val="00701385"/>
    <w:rsid w:val="0072021C"/>
    <w:rsid w:val="007207FE"/>
    <w:rsid w:val="00741420"/>
    <w:rsid w:val="00744D37"/>
    <w:rsid w:val="007463A5"/>
    <w:rsid w:val="00747C29"/>
    <w:rsid w:val="00752470"/>
    <w:rsid w:val="00777891"/>
    <w:rsid w:val="00780C42"/>
    <w:rsid w:val="00785EFA"/>
    <w:rsid w:val="00793721"/>
    <w:rsid w:val="0079667E"/>
    <w:rsid w:val="00796C7B"/>
    <w:rsid w:val="007A2092"/>
    <w:rsid w:val="007A630C"/>
    <w:rsid w:val="007B0D64"/>
    <w:rsid w:val="007C6089"/>
    <w:rsid w:val="007D14EE"/>
    <w:rsid w:val="007D3459"/>
    <w:rsid w:val="007D40F0"/>
    <w:rsid w:val="007D60D1"/>
    <w:rsid w:val="007D79F6"/>
    <w:rsid w:val="007E6E7F"/>
    <w:rsid w:val="00804193"/>
    <w:rsid w:val="00811A0D"/>
    <w:rsid w:val="0081209F"/>
    <w:rsid w:val="0083237C"/>
    <w:rsid w:val="0083261A"/>
    <w:rsid w:val="00841546"/>
    <w:rsid w:val="0085053C"/>
    <w:rsid w:val="00852FE8"/>
    <w:rsid w:val="00864345"/>
    <w:rsid w:val="0086469B"/>
    <w:rsid w:val="00864E1D"/>
    <w:rsid w:val="008724F0"/>
    <w:rsid w:val="00872E76"/>
    <w:rsid w:val="008756B4"/>
    <w:rsid w:val="00875E84"/>
    <w:rsid w:val="008838CF"/>
    <w:rsid w:val="008858D0"/>
    <w:rsid w:val="00891D5B"/>
    <w:rsid w:val="008A10DE"/>
    <w:rsid w:val="008A4CCF"/>
    <w:rsid w:val="008A5C66"/>
    <w:rsid w:val="008A6B6D"/>
    <w:rsid w:val="008B5E84"/>
    <w:rsid w:val="008C25AA"/>
    <w:rsid w:val="008C47DC"/>
    <w:rsid w:val="008C4A45"/>
    <w:rsid w:val="008C6665"/>
    <w:rsid w:val="008D4345"/>
    <w:rsid w:val="008D7E52"/>
    <w:rsid w:val="00910985"/>
    <w:rsid w:val="009145D3"/>
    <w:rsid w:val="009177D9"/>
    <w:rsid w:val="00917CAD"/>
    <w:rsid w:val="00917E06"/>
    <w:rsid w:val="009265C3"/>
    <w:rsid w:val="00927E7E"/>
    <w:rsid w:val="009438B8"/>
    <w:rsid w:val="009445CC"/>
    <w:rsid w:val="009449FD"/>
    <w:rsid w:val="00953DBB"/>
    <w:rsid w:val="00962514"/>
    <w:rsid w:val="00962690"/>
    <w:rsid w:val="009640FF"/>
    <w:rsid w:val="0097129A"/>
    <w:rsid w:val="009744AA"/>
    <w:rsid w:val="00980A8E"/>
    <w:rsid w:val="00992383"/>
    <w:rsid w:val="00993B1B"/>
    <w:rsid w:val="009960DB"/>
    <w:rsid w:val="009B1E62"/>
    <w:rsid w:val="009B47CF"/>
    <w:rsid w:val="009B59D1"/>
    <w:rsid w:val="009C704B"/>
    <w:rsid w:val="009D679A"/>
    <w:rsid w:val="009D6CB1"/>
    <w:rsid w:val="00A044E4"/>
    <w:rsid w:val="00A21515"/>
    <w:rsid w:val="00A21A52"/>
    <w:rsid w:val="00A32242"/>
    <w:rsid w:val="00A36BA5"/>
    <w:rsid w:val="00A37188"/>
    <w:rsid w:val="00A37D6A"/>
    <w:rsid w:val="00A4033C"/>
    <w:rsid w:val="00A47CE4"/>
    <w:rsid w:val="00A53378"/>
    <w:rsid w:val="00A568EE"/>
    <w:rsid w:val="00A64265"/>
    <w:rsid w:val="00A71A6C"/>
    <w:rsid w:val="00A842E6"/>
    <w:rsid w:val="00A860DB"/>
    <w:rsid w:val="00AA23C1"/>
    <w:rsid w:val="00AA55D4"/>
    <w:rsid w:val="00AA6196"/>
    <w:rsid w:val="00AB4FA3"/>
    <w:rsid w:val="00AC2D9D"/>
    <w:rsid w:val="00AC63A4"/>
    <w:rsid w:val="00AC6DFA"/>
    <w:rsid w:val="00AE0187"/>
    <w:rsid w:val="00AE3C0A"/>
    <w:rsid w:val="00AE6ECD"/>
    <w:rsid w:val="00B00DC5"/>
    <w:rsid w:val="00B01BD2"/>
    <w:rsid w:val="00B01EEA"/>
    <w:rsid w:val="00B06891"/>
    <w:rsid w:val="00B11F74"/>
    <w:rsid w:val="00B14DE1"/>
    <w:rsid w:val="00B22328"/>
    <w:rsid w:val="00B2298D"/>
    <w:rsid w:val="00B23909"/>
    <w:rsid w:val="00B246D9"/>
    <w:rsid w:val="00B315D2"/>
    <w:rsid w:val="00B35C0C"/>
    <w:rsid w:val="00B44545"/>
    <w:rsid w:val="00B4683E"/>
    <w:rsid w:val="00B54751"/>
    <w:rsid w:val="00B55BBE"/>
    <w:rsid w:val="00B57706"/>
    <w:rsid w:val="00B80526"/>
    <w:rsid w:val="00B866BC"/>
    <w:rsid w:val="00B90689"/>
    <w:rsid w:val="00B92704"/>
    <w:rsid w:val="00B93D7F"/>
    <w:rsid w:val="00BB3F37"/>
    <w:rsid w:val="00BC229F"/>
    <w:rsid w:val="00BE597D"/>
    <w:rsid w:val="00BF1F12"/>
    <w:rsid w:val="00BF386F"/>
    <w:rsid w:val="00BF7A1C"/>
    <w:rsid w:val="00C00680"/>
    <w:rsid w:val="00C02B53"/>
    <w:rsid w:val="00C03EB7"/>
    <w:rsid w:val="00C17831"/>
    <w:rsid w:val="00C30CC1"/>
    <w:rsid w:val="00C30F04"/>
    <w:rsid w:val="00C33976"/>
    <w:rsid w:val="00C44A01"/>
    <w:rsid w:val="00C5423D"/>
    <w:rsid w:val="00C54B72"/>
    <w:rsid w:val="00C654E0"/>
    <w:rsid w:val="00C71DDC"/>
    <w:rsid w:val="00C72252"/>
    <w:rsid w:val="00C778AA"/>
    <w:rsid w:val="00C8007E"/>
    <w:rsid w:val="00C84A4C"/>
    <w:rsid w:val="00C85782"/>
    <w:rsid w:val="00C861A6"/>
    <w:rsid w:val="00C872F1"/>
    <w:rsid w:val="00C87FD8"/>
    <w:rsid w:val="00C909D3"/>
    <w:rsid w:val="00CA0D4C"/>
    <w:rsid w:val="00CA2B4E"/>
    <w:rsid w:val="00CA5115"/>
    <w:rsid w:val="00CB23D6"/>
    <w:rsid w:val="00CC481D"/>
    <w:rsid w:val="00CD1F79"/>
    <w:rsid w:val="00CD6232"/>
    <w:rsid w:val="00CE2FE3"/>
    <w:rsid w:val="00CF4332"/>
    <w:rsid w:val="00CF5CE5"/>
    <w:rsid w:val="00D04839"/>
    <w:rsid w:val="00D15D27"/>
    <w:rsid w:val="00D27115"/>
    <w:rsid w:val="00D30D29"/>
    <w:rsid w:val="00D31E47"/>
    <w:rsid w:val="00D41306"/>
    <w:rsid w:val="00D41C10"/>
    <w:rsid w:val="00D42F72"/>
    <w:rsid w:val="00D471C9"/>
    <w:rsid w:val="00D54A7A"/>
    <w:rsid w:val="00D63662"/>
    <w:rsid w:val="00D6603A"/>
    <w:rsid w:val="00D70406"/>
    <w:rsid w:val="00D76BC8"/>
    <w:rsid w:val="00D76D6A"/>
    <w:rsid w:val="00D80F41"/>
    <w:rsid w:val="00D9368E"/>
    <w:rsid w:val="00D95518"/>
    <w:rsid w:val="00DA151B"/>
    <w:rsid w:val="00DA383A"/>
    <w:rsid w:val="00DA7B17"/>
    <w:rsid w:val="00DA7E60"/>
    <w:rsid w:val="00DB0B93"/>
    <w:rsid w:val="00DD26AE"/>
    <w:rsid w:val="00DD6945"/>
    <w:rsid w:val="00DF1B28"/>
    <w:rsid w:val="00E01D0A"/>
    <w:rsid w:val="00E10848"/>
    <w:rsid w:val="00E16F9A"/>
    <w:rsid w:val="00E26AE3"/>
    <w:rsid w:val="00E27146"/>
    <w:rsid w:val="00E456A3"/>
    <w:rsid w:val="00E524FB"/>
    <w:rsid w:val="00E5380C"/>
    <w:rsid w:val="00E53B1D"/>
    <w:rsid w:val="00E54F2E"/>
    <w:rsid w:val="00E60CD8"/>
    <w:rsid w:val="00E71A6A"/>
    <w:rsid w:val="00E80131"/>
    <w:rsid w:val="00E8406C"/>
    <w:rsid w:val="00E907A9"/>
    <w:rsid w:val="00E93AE9"/>
    <w:rsid w:val="00EA6473"/>
    <w:rsid w:val="00EA7392"/>
    <w:rsid w:val="00EB6592"/>
    <w:rsid w:val="00EB7BCE"/>
    <w:rsid w:val="00EC1414"/>
    <w:rsid w:val="00ED4C35"/>
    <w:rsid w:val="00EE1520"/>
    <w:rsid w:val="00EE1CEF"/>
    <w:rsid w:val="00EE7570"/>
    <w:rsid w:val="00EF180C"/>
    <w:rsid w:val="00F0021D"/>
    <w:rsid w:val="00F04593"/>
    <w:rsid w:val="00F11CBF"/>
    <w:rsid w:val="00F1693D"/>
    <w:rsid w:val="00F171E9"/>
    <w:rsid w:val="00F31AEC"/>
    <w:rsid w:val="00F359FE"/>
    <w:rsid w:val="00F41E87"/>
    <w:rsid w:val="00F42CD9"/>
    <w:rsid w:val="00F50C2C"/>
    <w:rsid w:val="00F51B25"/>
    <w:rsid w:val="00F745F1"/>
    <w:rsid w:val="00F776B9"/>
    <w:rsid w:val="00F808ED"/>
    <w:rsid w:val="00F84E83"/>
    <w:rsid w:val="00F85A83"/>
    <w:rsid w:val="00F957C3"/>
    <w:rsid w:val="00FA7837"/>
    <w:rsid w:val="00FA7DD6"/>
    <w:rsid w:val="00FC4A42"/>
    <w:rsid w:val="00FD204D"/>
    <w:rsid w:val="00FD517B"/>
    <w:rsid w:val="00FE33CB"/>
    <w:rsid w:val="00FE3B0E"/>
    <w:rsid w:val="00FE4AB2"/>
    <w:rsid w:val="00FF3EE8"/>
    <w:rsid w:val="00FF4EF7"/>
    <w:rsid w:val="0730794A"/>
    <w:rsid w:val="25796F45"/>
    <w:rsid w:val="3CAC5F21"/>
    <w:rsid w:val="5B5C743F"/>
    <w:rsid w:val="78A82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31"/>
    <w:qFormat/>
    <w:uiPriority w:val="0"/>
    <w:pPr>
      <w:spacing w:before="100" w:beforeAutospacing="1" w:after="100" w:afterAutospacing="1"/>
      <w:jc w:val="left"/>
      <w:outlineLvl w:val="0"/>
    </w:pPr>
    <w:rPr>
      <w:rFonts w:hint="eastAsia" w:ascii="宋体" w:hAnsi="宋体"/>
      <w:kern w:val="44"/>
      <w:sz w:val="48"/>
      <w:szCs w:val="48"/>
    </w:rPr>
  </w:style>
  <w:style w:type="paragraph" w:styleId="4">
    <w:name w:val="heading 2"/>
    <w:basedOn w:val="3"/>
    <w:next w:val="5"/>
    <w:link w:val="32"/>
    <w:qFormat/>
    <w:uiPriority w:val="0"/>
    <w:pPr>
      <w:adjustRightInd w:val="0"/>
      <w:spacing w:line="240" w:lineRule="auto"/>
      <w:jc w:val="center"/>
      <w:textAlignment w:val="baseline"/>
      <w:outlineLvl w:val="1"/>
    </w:pPr>
    <w:rPr>
      <w:rFonts w:ascii="宋体" w:hAnsi="宋体"/>
      <w:kern w:val="0"/>
      <w:sz w:val="24"/>
      <w:szCs w:val="20"/>
    </w:rPr>
  </w:style>
  <w:style w:type="paragraph" w:styleId="3">
    <w:name w:val="heading 3"/>
    <w:basedOn w:val="1"/>
    <w:next w:val="1"/>
    <w:link w:val="3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9"/>
    <w:qFormat/>
    <w:uiPriority w:val="0"/>
    <w:pPr>
      <w:ind w:firstLine="420"/>
    </w:pPr>
    <w:rPr>
      <w:rFonts w:eastAsia="仿宋_GB2312"/>
      <w:sz w:val="32"/>
      <w:szCs w:val="32"/>
    </w:rPr>
  </w:style>
  <w:style w:type="paragraph" w:styleId="7">
    <w:name w:val="annotation text"/>
    <w:basedOn w:val="1"/>
    <w:link w:val="33"/>
    <w:qFormat/>
    <w:uiPriority w:val="99"/>
    <w:pPr>
      <w:autoSpaceDE w:val="0"/>
      <w:autoSpaceDN w:val="0"/>
      <w:adjustRightInd w:val="0"/>
      <w:jc w:val="left"/>
      <w:textAlignment w:val="baseline"/>
    </w:pPr>
    <w:rPr>
      <w:rFonts w:ascii="宋体"/>
      <w:kern w:val="0"/>
      <w:sz w:val="34"/>
      <w:szCs w:val="20"/>
    </w:rPr>
  </w:style>
  <w:style w:type="paragraph" w:styleId="8">
    <w:name w:val="Body Text"/>
    <w:basedOn w:val="1"/>
    <w:next w:val="1"/>
    <w:link w:val="25"/>
    <w:qFormat/>
    <w:uiPriority w:val="99"/>
    <w:rPr>
      <w:sz w:val="30"/>
    </w:rPr>
  </w:style>
  <w:style w:type="paragraph" w:styleId="9">
    <w:name w:val="Body Text Indent"/>
    <w:basedOn w:val="1"/>
    <w:link w:val="46"/>
    <w:semiHidden/>
    <w:unhideWhenUsed/>
    <w:qFormat/>
    <w:uiPriority w:val="99"/>
    <w:pPr>
      <w:spacing w:after="120"/>
      <w:ind w:left="420" w:leftChars="200"/>
    </w:pPr>
  </w:style>
  <w:style w:type="paragraph" w:styleId="10">
    <w:name w:val="Plain Text"/>
    <w:basedOn w:val="1"/>
    <w:link w:val="29"/>
    <w:qFormat/>
    <w:uiPriority w:val="0"/>
    <w:rPr>
      <w:rFonts w:ascii="宋体" w:hAnsi="Courier New"/>
      <w:szCs w:val="20"/>
    </w:rPr>
  </w:style>
  <w:style w:type="paragraph" w:styleId="11">
    <w:name w:val="Balloon Text"/>
    <w:basedOn w:val="1"/>
    <w:link w:val="36"/>
    <w:semiHidden/>
    <w:unhideWhenUsed/>
    <w:qFormat/>
    <w:uiPriority w:val="99"/>
    <w:rPr>
      <w:sz w:val="18"/>
      <w:szCs w:val="18"/>
    </w:rPr>
  </w:style>
  <w:style w:type="paragraph" w:styleId="12">
    <w:name w:val="footer"/>
    <w:basedOn w:val="1"/>
    <w:link w:val="24"/>
    <w:unhideWhenUsed/>
    <w:qFormat/>
    <w:uiPriority w:val="0"/>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1"/>
    <w:unhideWhenUsed/>
    <w:qFormat/>
    <w:uiPriority w:val="39"/>
    <w:pPr>
      <w:spacing w:line="560" w:lineRule="exact"/>
      <w:ind w:firstLine="883" w:firstLineChars="200"/>
      <w:jc w:val="left"/>
    </w:pPr>
    <w:rPr>
      <w:rFonts w:ascii="Calibri" w:hAnsi="Calibri" w:eastAsia="楷体_GB2312" w:cstheme="minorBidi"/>
      <w:bCs/>
      <w:sz w:val="32"/>
      <w:szCs w:val="20"/>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Title"/>
    <w:basedOn w:val="1"/>
    <w:next w:val="1"/>
    <w:link w:val="39"/>
    <w:qFormat/>
    <w:uiPriority w:val="10"/>
    <w:pPr>
      <w:spacing w:before="240" w:after="60"/>
      <w:jc w:val="center"/>
      <w:outlineLvl w:val="0"/>
    </w:pPr>
    <w:rPr>
      <w:rFonts w:asciiTheme="majorHAnsi" w:hAnsiTheme="majorHAnsi" w:cstheme="majorBidi"/>
      <w:b/>
      <w:bCs/>
      <w:sz w:val="32"/>
      <w:szCs w:val="32"/>
    </w:rPr>
  </w:style>
  <w:style w:type="paragraph" w:styleId="17">
    <w:name w:val="Body Text First Indent 2"/>
    <w:basedOn w:val="9"/>
    <w:link w:val="47"/>
    <w:semiHidden/>
    <w:unhideWhenUsed/>
    <w:qFormat/>
    <w:uiPriority w:val="99"/>
    <w:pPr>
      <w:ind w:firstLine="420" w:firstLineChars="2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annotation reference"/>
    <w:basedOn w:val="20"/>
    <w:semiHidden/>
    <w:unhideWhenUsed/>
    <w:qFormat/>
    <w:uiPriority w:val="99"/>
    <w:rPr>
      <w:sz w:val="21"/>
      <w:szCs w:val="21"/>
    </w:rPr>
  </w:style>
  <w:style w:type="character" w:customStyle="1" w:styleId="23">
    <w:name w:val="页眉 Char"/>
    <w:basedOn w:val="20"/>
    <w:link w:val="13"/>
    <w:qFormat/>
    <w:uiPriority w:val="99"/>
    <w:rPr>
      <w:sz w:val="18"/>
      <w:szCs w:val="18"/>
    </w:rPr>
  </w:style>
  <w:style w:type="character" w:customStyle="1" w:styleId="24">
    <w:name w:val="页脚 Char"/>
    <w:basedOn w:val="20"/>
    <w:link w:val="12"/>
    <w:qFormat/>
    <w:uiPriority w:val="99"/>
    <w:rPr>
      <w:sz w:val="18"/>
      <w:szCs w:val="18"/>
    </w:rPr>
  </w:style>
  <w:style w:type="character" w:customStyle="1" w:styleId="25">
    <w:name w:val="正文文本 Char"/>
    <w:basedOn w:val="20"/>
    <w:link w:val="8"/>
    <w:qFormat/>
    <w:uiPriority w:val="99"/>
    <w:rPr>
      <w:rFonts w:ascii="Times New Roman" w:hAnsi="Times New Roman" w:eastAsia="宋体" w:cs="Times New Roman"/>
      <w:sz w:val="30"/>
      <w:szCs w:val="24"/>
    </w:rPr>
  </w:style>
  <w:style w:type="paragraph" w:customStyle="1" w:styleId="26">
    <w:name w:val="列出段落1"/>
    <w:basedOn w:val="1"/>
    <w:link w:val="42"/>
    <w:qFormat/>
    <w:uiPriority w:val="0"/>
    <w:pPr>
      <w:ind w:firstLine="420" w:firstLineChars="200"/>
    </w:pPr>
  </w:style>
  <w:style w:type="character" w:customStyle="1" w:styleId="27">
    <w:name w:val="标题 3 Char"/>
    <w:basedOn w:val="20"/>
    <w:qFormat/>
    <w:uiPriority w:val="0"/>
    <w:rPr>
      <w:rFonts w:ascii="黑体" w:eastAsia="黑体"/>
      <w:bCs/>
      <w:sz w:val="30"/>
    </w:rPr>
  </w:style>
  <w:style w:type="paragraph" w:customStyle="1" w:styleId="28">
    <w:name w:val="表格文字"/>
    <w:basedOn w:val="1"/>
    <w:qFormat/>
    <w:uiPriority w:val="0"/>
    <w:pPr>
      <w:spacing w:before="25" w:after="25"/>
      <w:jc w:val="left"/>
    </w:pPr>
    <w:rPr>
      <w:bCs/>
      <w:spacing w:val="10"/>
      <w:kern w:val="0"/>
      <w:sz w:val="24"/>
    </w:rPr>
  </w:style>
  <w:style w:type="character" w:customStyle="1" w:styleId="29">
    <w:name w:val="纯文本 Char"/>
    <w:basedOn w:val="20"/>
    <w:link w:val="10"/>
    <w:qFormat/>
    <w:uiPriority w:val="0"/>
    <w:rPr>
      <w:rFonts w:ascii="宋体" w:hAnsi="Courier New" w:eastAsia="宋体" w:cs="Times New Roman"/>
      <w:szCs w:val="20"/>
    </w:rPr>
  </w:style>
  <w:style w:type="paragraph" w:customStyle="1" w:styleId="30">
    <w:name w:val="列表段落1"/>
    <w:basedOn w:val="1"/>
    <w:qFormat/>
    <w:uiPriority w:val="1"/>
    <w:pPr>
      <w:ind w:firstLine="420" w:firstLineChars="200"/>
    </w:pPr>
    <w:rPr>
      <w:szCs w:val="22"/>
    </w:rPr>
  </w:style>
  <w:style w:type="character" w:customStyle="1" w:styleId="31">
    <w:name w:val="标题 1 Char"/>
    <w:basedOn w:val="20"/>
    <w:link w:val="2"/>
    <w:qFormat/>
    <w:uiPriority w:val="0"/>
    <w:rPr>
      <w:rFonts w:ascii="宋体" w:hAnsi="宋体" w:eastAsia="宋体" w:cs="Times New Roman"/>
      <w:b/>
      <w:bCs/>
      <w:kern w:val="44"/>
      <w:sz w:val="48"/>
      <w:szCs w:val="48"/>
    </w:rPr>
  </w:style>
  <w:style w:type="character" w:customStyle="1" w:styleId="32">
    <w:name w:val="标题 2 Char"/>
    <w:basedOn w:val="20"/>
    <w:link w:val="4"/>
    <w:qFormat/>
    <w:uiPriority w:val="0"/>
    <w:rPr>
      <w:rFonts w:ascii="宋体" w:hAnsi="宋体" w:eastAsia="宋体" w:cs="Times New Roman"/>
      <w:b/>
      <w:bCs/>
      <w:kern w:val="0"/>
      <w:sz w:val="24"/>
      <w:szCs w:val="20"/>
    </w:rPr>
  </w:style>
  <w:style w:type="character" w:customStyle="1" w:styleId="33">
    <w:name w:val="批注文字 Char"/>
    <w:basedOn w:val="20"/>
    <w:link w:val="7"/>
    <w:qFormat/>
    <w:uiPriority w:val="99"/>
    <w:rPr>
      <w:rFonts w:ascii="宋体" w:hAnsi="Times New Roman" w:eastAsia="宋体" w:cs="Times New Roman"/>
      <w:kern w:val="0"/>
      <w:sz w:val="34"/>
      <w:szCs w:val="20"/>
    </w:rPr>
  </w:style>
  <w:style w:type="character" w:customStyle="1" w:styleId="34">
    <w:name w:val="标题 3 Char1"/>
    <w:basedOn w:val="20"/>
    <w:link w:val="3"/>
    <w:semiHidden/>
    <w:qFormat/>
    <w:uiPriority w:val="9"/>
    <w:rPr>
      <w:rFonts w:ascii="Times New Roman" w:hAnsi="Times New Roman" w:eastAsia="宋体" w:cs="Times New Roman"/>
      <w:b/>
      <w:bCs/>
      <w:sz w:val="32"/>
      <w:szCs w:val="32"/>
    </w:rPr>
  </w:style>
  <w:style w:type="character" w:customStyle="1" w:styleId="35">
    <w:name w:val="标题 4 Char"/>
    <w:basedOn w:val="20"/>
    <w:link w:val="5"/>
    <w:semiHidden/>
    <w:qFormat/>
    <w:uiPriority w:val="9"/>
    <w:rPr>
      <w:rFonts w:asciiTheme="majorHAnsi" w:hAnsiTheme="majorHAnsi" w:eastAsiaTheme="majorEastAsia" w:cstheme="majorBidi"/>
      <w:b/>
      <w:bCs/>
      <w:sz w:val="28"/>
      <w:szCs w:val="28"/>
    </w:rPr>
  </w:style>
  <w:style w:type="character" w:customStyle="1" w:styleId="36">
    <w:name w:val="批注框文本 Char"/>
    <w:basedOn w:val="20"/>
    <w:link w:val="11"/>
    <w:semiHidden/>
    <w:qFormat/>
    <w:uiPriority w:val="99"/>
    <w:rPr>
      <w:rFonts w:ascii="Times New Roman" w:hAnsi="Times New Roman" w:eastAsia="宋体" w:cs="Times New Roman"/>
      <w:kern w:val="2"/>
      <w:sz w:val="18"/>
      <w:szCs w:val="18"/>
    </w:rPr>
  </w:style>
  <w:style w:type="paragraph" w:styleId="37">
    <w:name w:val="List Paragraph"/>
    <w:basedOn w:val="1"/>
    <w:unhideWhenUsed/>
    <w:qFormat/>
    <w:uiPriority w:val="34"/>
    <w:pPr>
      <w:ind w:firstLine="420" w:firstLineChars="200"/>
    </w:pPr>
  </w:style>
  <w:style w:type="paragraph" w:customStyle="1" w:styleId="38">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character" w:customStyle="1" w:styleId="39">
    <w:name w:val="标题 Char"/>
    <w:basedOn w:val="20"/>
    <w:link w:val="16"/>
    <w:qFormat/>
    <w:uiPriority w:val="10"/>
    <w:rPr>
      <w:rFonts w:eastAsia="宋体" w:asciiTheme="majorHAnsi" w:hAnsiTheme="majorHAnsi" w:cstheme="majorBidi"/>
      <w:b/>
      <w:bCs/>
      <w:kern w:val="2"/>
      <w:sz w:val="32"/>
      <w:szCs w:val="32"/>
    </w:rPr>
  </w:style>
  <w:style w:type="character" w:customStyle="1" w:styleId="40">
    <w:name w:val="0表格正文 字符"/>
    <w:basedOn w:val="20"/>
    <w:link w:val="41"/>
    <w:qFormat/>
    <w:locked/>
    <w:uiPriority w:val="0"/>
    <w:rPr>
      <w:rFonts w:ascii="宋体" w:hAnsi="宋体" w:eastAsia="宋体" w:cs="宋体"/>
      <w:sz w:val="21"/>
      <w:szCs w:val="21"/>
      <w:shd w:val="clear" w:color="auto" w:fill="FFFFFF"/>
    </w:rPr>
  </w:style>
  <w:style w:type="paragraph" w:customStyle="1" w:styleId="41">
    <w:name w:val="0表格正文"/>
    <w:basedOn w:val="1"/>
    <w:link w:val="40"/>
    <w:qFormat/>
    <w:uiPriority w:val="0"/>
    <w:pPr>
      <w:widowControl/>
      <w:shd w:val="clear" w:color="auto" w:fill="FFFFFF"/>
      <w:adjustRightInd w:val="0"/>
      <w:snapToGrid w:val="0"/>
      <w:jc w:val="left"/>
    </w:pPr>
    <w:rPr>
      <w:rFonts w:ascii="宋体" w:hAnsi="宋体" w:cs="宋体"/>
      <w:kern w:val="0"/>
      <w:szCs w:val="21"/>
    </w:rPr>
  </w:style>
  <w:style w:type="character" w:customStyle="1" w:styleId="42">
    <w:name w:val="列表段落 字符"/>
    <w:link w:val="26"/>
    <w:qFormat/>
    <w:locked/>
    <w:uiPriority w:val="0"/>
    <w:rPr>
      <w:rFonts w:ascii="Times New Roman" w:hAnsi="Times New Roman" w:eastAsia="宋体" w:cs="Times New Roman"/>
      <w:kern w:val="2"/>
      <w:sz w:val="21"/>
      <w:szCs w:val="24"/>
    </w:rPr>
  </w:style>
  <w:style w:type="paragraph" w:customStyle="1" w:styleId="4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44">
    <w:name w:val="Ｒ07-!正! Char Char"/>
    <w:link w:val="45"/>
    <w:qFormat/>
    <w:locked/>
    <w:uiPriority w:val="0"/>
    <w:rPr>
      <w:rFonts w:ascii="宋体" w:hAnsi="宋体" w:eastAsia="宋体" w:cs="宋体"/>
      <w:spacing w:val="8"/>
      <w:kern w:val="2"/>
      <w:sz w:val="24"/>
      <w:szCs w:val="24"/>
    </w:rPr>
  </w:style>
  <w:style w:type="paragraph" w:customStyle="1" w:styleId="45">
    <w:name w:val="Ｒ07-!正!"/>
    <w:link w:val="44"/>
    <w:qFormat/>
    <w:uiPriority w:val="0"/>
    <w:pPr>
      <w:wordWrap w:val="0"/>
      <w:snapToGrid w:val="0"/>
      <w:spacing w:line="360" w:lineRule="auto"/>
      <w:ind w:firstLine="512" w:firstLineChars="200"/>
    </w:pPr>
    <w:rPr>
      <w:rFonts w:ascii="宋体" w:hAnsi="宋体" w:eastAsia="宋体" w:cs="宋体"/>
      <w:spacing w:val="8"/>
      <w:kern w:val="2"/>
      <w:sz w:val="24"/>
      <w:szCs w:val="24"/>
      <w:lang w:val="en-US" w:eastAsia="zh-CN" w:bidi="ar-SA"/>
    </w:rPr>
  </w:style>
  <w:style w:type="character" w:customStyle="1" w:styleId="46">
    <w:name w:val="正文文本缩进 Char"/>
    <w:basedOn w:val="20"/>
    <w:link w:val="9"/>
    <w:semiHidden/>
    <w:qFormat/>
    <w:uiPriority w:val="99"/>
    <w:rPr>
      <w:rFonts w:ascii="Times New Roman" w:hAnsi="Times New Roman" w:eastAsia="宋体" w:cs="Times New Roman"/>
      <w:kern w:val="2"/>
      <w:sz w:val="21"/>
      <w:szCs w:val="24"/>
    </w:rPr>
  </w:style>
  <w:style w:type="character" w:customStyle="1" w:styleId="47">
    <w:name w:val="正文首行缩进 2 Char"/>
    <w:basedOn w:val="46"/>
    <w:link w:val="17"/>
    <w:semiHidden/>
    <w:qFormat/>
    <w:uiPriority w:val="99"/>
    <w:rPr>
      <w:rFonts w:ascii="Times New Roman" w:hAnsi="Times New Roman" w:eastAsia="宋体" w:cs="Times New Roman"/>
      <w:kern w:val="2"/>
      <w:sz w:val="21"/>
      <w:szCs w:val="24"/>
    </w:rPr>
  </w:style>
  <w:style w:type="paragraph" w:customStyle="1" w:styleId="48">
    <w:name w:val="正文1"/>
    <w:qFormat/>
    <w:uiPriority w:val="0"/>
    <w:pPr>
      <w:widowControl w:val="0"/>
      <w:adjustRightInd w:val="0"/>
      <w:spacing w:line="360" w:lineRule="atLeast"/>
      <w:jc w:val="both"/>
      <w:textAlignment w:val="baseline"/>
    </w:pPr>
    <w:rPr>
      <w:rFonts w:ascii="宋体" w:hAnsi="Calibri" w:eastAsia="宋体" w:cs="Times New Roman"/>
      <w:sz w:val="24"/>
      <w:lang w:val="en-US" w:eastAsia="zh-CN" w:bidi="ar-SA"/>
    </w:rPr>
  </w:style>
  <w:style w:type="character" w:customStyle="1" w:styleId="49">
    <w:name w:val="richtext"/>
    <w:basedOn w:val="20"/>
    <w:qFormat/>
    <w:uiPriority w:val="0"/>
  </w:style>
  <w:style w:type="character" w:customStyle="1" w:styleId="50">
    <w:name w:val="font01"/>
    <w:basedOn w:val="20"/>
    <w:qFormat/>
    <w:uiPriority w:val="0"/>
    <w:rPr>
      <w:rFonts w:hint="eastAsia" w:ascii="宋体" w:hAnsi="宋体" w:eastAsia="宋体" w:cs="宋体"/>
      <w:color w:val="000000"/>
      <w:sz w:val="24"/>
      <w:szCs w:val="24"/>
      <w:u w:val="none"/>
    </w:rPr>
  </w:style>
  <w:style w:type="character" w:customStyle="1" w:styleId="51">
    <w:name w:val="font21"/>
    <w:basedOn w:val="20"/>
    <w:qFormat/>
    <w:uiPriority w:val="0"/>
    <w:rPr>
      <w:rFonts w:ascii="等线" w:hAnsi="等线" w:eastAsia="等线" w:cs="等线"/>
      <w:color w:val="000000"/>
      <w:sz w:val="24"/>
      <w:szCs w:val="24"/>
      <w:u w:val="none"/>
    </w:rPr>
  </w:style>
  <w:style w:type="paragraph" w:customStyle="1" w:styleId="52">
    <w:name w:val="Table Text"/>
    <w:basedOn w:val="1"/>
    <w:semiHidden/>
    <w:qFormat/>
    <w:uiPriority w:val="0"/>
    <w:rPr>
      <w:rFonts w:ascii="宋体" w:hAnsi="宋体" w:cs="宋体"/>
      <w:sz w:val="24"/>
      <w:lang w:eastAsia="en-US"/>
    </w:rPr>
  </w:style>
  <w:style w:type="table" w:customStyle="1" w:styleId="53">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54">
    <w:name w:val="Other|1"/>
    <w:basedOn w:val="1"/>
    <w:qFormat/>
    <w:uiPriority w:val="0"/>
    <w:pPr>
      <w:spacing w:line="451" w:lineRule="auto"/>
      <w:ind w:firstLine="400"/>
      <w:jc w:val="left"/>
    </w:pPr>
    <w:rPr>
      <w:rFonts w:ascii="宋体" w:hAnsi="宋体" w:cs="宋体"/>
      <w:kern w:val="0"/>
      <w:sz w:val="22"/>
      <w:szCs w:val="20"/>
      <w:lang w:val="zh-TW" w:eastAsia="zh-TW" w:bidi="zh-TW"/>
    </w:rPr>
  </w:style>
  <w:style w:type="paragraph" w:customStyle="1" w:styleId="55">
    <w:name w:val="正 文"/>
    <w:qFormat/>
    <w:uiPriority w:val="99"/>
    <w:pPr>
      <w:spacing w:after="200" w:line="360" w:lineRule="auto"/>
      <w:ind w:firstLine="420"/>
      <w:outlineLvl w:val="0"/>
    </w:pPr>
    <w:rPr>
      <w:rFonts w:ascii="Arial" w:hAnsi="Arial" w:eastAsia="宋体" w:cs="Arial"/>
      <w:bCs/>
      <w:sz w:val="24"/>
      <w:szCs w:val="21"/>
      <w:lang w:val="en-US" w:eastAsia="zh-CN" w:bidi="ar-SA"/>
    </w:rPr>
  </w:style>
  <w:style w:type="character" w:customStyle="1" w:styleId="56">
    <w:name w:val="NormalCharacter"/>
    <w:qFormat/>
    <w:uiPriority w:val="0"/>
  </w:style>
  <w:style w:type="table" w:customStyle="1" w:styleId="57">
    <w:name w:val="网格型1"/>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8">
    <w:name w:val="NEU正文"/>
    <w:basedOn w:val="1"/>
    <w:autoRedefine/>
    <w:qFormat/>
    <w:uiPriority w:val="0"/>
    <w:rPr>
      <w:rFonts w:ascii="宋体" w:hAnsi="宋体" w:cs="宋体"/>
      <w:kern w:val="0"/>
    </w:rPr>
  </w:style>
  <w:style w:type="character" w:customStyle="1" w:styleId="59">
    <w:name w:val="正文缩进 Char"/>
    <w:basedOn w:val="20"/>
    <w:link w:val="6"/>
    <w:qFormat/>
    <w:uiPriority w:val="0"/>
    <w:rPr>
      <w:rFonts w:ascii="Times New Roman" w:hAnsi="Times New Roman" w:eastAsia="仿宋_GB2312" w:cs="Times New Roman"/>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1060</Words>
  <Characters>1079</Characters>
  <Lines>139</Lines>
  <Paragraphs>39</Paragraphs>
  <TotalTime>20</TotalTime>
  <ScaleCrop>false</ScaleCrop>
  <LinksUpToDate>false</LinksUpToDate>
  <CharactersWithSpaces>1135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2022-07-14T08:45:00Z</dcterms:created>
  <dc:creator>Windows 用户</dc:creator>
  <cp:lastModifiedBy>admin</cp:lastModifiedBy>
  <cp:lastPrinted>2024-06-05T06:12:00Z</cp:lastPrinted>
  <dcterms:modified xsi:type="dcterms:W3CDTF">2025-01-15T11:44:21Z</dcterms:modified>
  <cp:revision>310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47DB4CAF91114C02845204DF55156003</vt:lpwstr>
  </property>
  <property fmtid="{D5CDD505-2E9C-101B-9397-08002B2CF9AE}" pid="4" name="KSOTemplateDocerSaveRecord">
    <vt:lpwstr>eyJoZGlkIjoiYTY4ZmFiZjU4OTczNTI5NmUwMzA4OWZmNGQyNWZmMDIiLCJ1c2VySWQiOiIzNTIzOTg1OTgifQ==</vt:lpwstr>
  </property>
</Properties>
</file>