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FED829">
      <w:pPr>
        <w:spacing w:line="560" w:lineRule="exact"/>
        <w:rPr>
          <w:rFonts w:ascii="方正小标宋_GBK" w:hAnsi="方正小标宋_GBK" w:eastAsia="方正小标宋_GBK" w:cs="方正小标宋_GBK"/>
          <w:color w:val="auto"/>
          <w:sz w:val="24"/>
          <w:u w:val="none"/>
        </w:rPr>
      </w:pPr>
      <w:bookmarkStart w:id="0" w:name="_GoBack"/>
      <w:bookmarkEnd w:id="0"/>
    </w:p>
    <w:p w14:paraId="0856C038">
      <w:pPr>
        <w:spacing w:line="560" w:lineRule="exact"/>
        <w:rPr>
          <w:rFonts w:ascii="仿宋_GB2312" w:eastAsia="仿宋_GB2312"/>
          <w:color w:val="auto"/>
          <w:sz w:val="44"/>
          <w:szCs w:val="44"/>
          <w:u w:val="none"/>
        </w:rPr>
      </w:pPr>
    </w:p>
    <w:p w14:paraId="5A96DA0F">
      <w:pPr>
        <w:spacing w:line="560" w:lineRule="exact"/>
        <w:rPr>
          <w:rFonts w:ascii="仿宋_GB2312" w:eastAsia="仿宋_GB2312"/>
          <w:color w:val="auto"/>
          <w:sz w:val="44"/>
          <w:szCs w:val="44"/>
          <w:u w:val="none"/>
        </w:rPr>
      </w:pPr>
    </w:p>
    <w:p w14:paraId="49698B43">
      <w:pPr>
        <w:spacing w:line="560" w:lineRule="exact"/>
        <w:rPr>
          <w:rFonts w:ascii="仿宋_GB2312" w:eastAsia="仿宋_GB2312"/>
          <w:color w:val="auto"/>
          <w:sz w:val="44"/>
          <w:szCs w:val="44"/>
          <w:u w:val="none"/>
        </w:rPr>
      </w:pPr>
    </w:p>
    <w:p w14:paraId="39204EBD">
      <w:pPr>
        <w:spacing w:line="560" w:lineRule="exact"/>
        <w:rPr>
          <w:rFonts w:ascii="仿宋_GB2312" w:eastAsia="仿宋_GB2312"/>
          <w:color w:val="auto"/>
          <w:sz w:val="44"/>
          <w:szCs w:val="44"/>
          <w:u w:val="none"/>
        </w:rPr>
      </w:pPr>
    </w:p>
    <w:p w14:paraId="6BC09496">
      <w:pPr>
        <w:spacing w:line="560" w:lineRule="exact"/>
        <w:jc w:val="center"/>
        <w:rPr>
          <w:rFonts w:ascii="方正小标宋_GBK" w:hAnsi="方正小标宋_GBK" w:eastAsia="方正小标宋_GBK" w:cs="方正小标宋_GBK"/>
          <w:color w:val="auto"/>
          <w:sz w:val="44"/>
          <w:szCs w:val="44"/>
          <w:u w:val="none"/>
        </w:rPr>
      </w:pPr>
      <w:r>
        <w:rPr>
          <w:rFonts w:hint="eastAsia" w:ascii="方正小标宋_GBK" w:hAnsi="方正小标宋_GBK" w:eastAsia="方正小标宋_GBK" w:cs="方正小标宋_GBK"/>
          <w:color w:val="auto"/>
          <w:sz w:val="44"/>
          <w:szCs w:val="44"/>
          <w:u w:val="none"/>
          <w:lang w:eastAsia="zh-CN"/>
        </w:rPr>
        <w:t>2023年</w:t>
      </w:r>
      <w:r>
        <w:rPr>
          <w:rFonts w:hint="eastAsia" w:ascii="方正小标宋_GBK" w:hAnsi="方正小标宋_GBK" w:eastAsia="方正小标宋_GBK" w:cs="方正小标宋_GBK"/>
          <w:color w:val="auto"/>
          <w:sz w:val="44"/>
          <w:szCs w:val="44"/>
          <w:u w:val="none"/>
        </w:rPr>
        <w:t>度部门整体绩效自评报告</w:t>
      </w:r>
    </w:p>
    <w:p w14:paraId="1AF6F403">
      <w:pPr>
        <w:spacing w:line="560" w:lineRule="exact"/>
        <w:rPr>
          <w:rFonts w:ascii="仿宋_GB2312" w:eastAsia="仿宋_GB2312"/>
          <w:color w:val="auto"/>
          <w:sz w:val="32"/>
          <w:szCs w:val="32"/>
          <w:u w:val="none"/>
        </w:rPr>
      </w:pPr>
    </w:p>
    <w:p w14:paraId="093A239C">
      <w:pPr>
        <w:pStyle w:val="13"/>
        <w:rPr>
          <w:color w:val="auto"/>
          <w:u w:val="none"/>
        </w:rPr>
      </w:pPr>
    </w:p>
    <w:p w14:paraId="0CA68A08">
      <w:pPr>
        <w:spacing w:line="560" w:lineRule="exact"/>
        <w:rPr>
          <w:rFonts w:ascii="仿宋_GB2312" w:eastAsia="仿宋_GB2312"/>
          <w:color w:val="auto"/>
          <w:sz w:val="32"/>
          <w:szCs w:val="32"/>
          <w:u w:val="none"/>
        </w:rPr>
      </w:pPr>
    </w:p>
    <w:p w14:paraId="3FA4FAF9">
      <w:pPr>
        <w:spacing w:line="560" w:lineRule="exact"/>
        <w:rPr>
          <w:rFonts w:ascii="仿宋_GB2312" w:eastAsia="仿宋_GB2312"/>
          <w:color w:val="auto"/>
          <w:sz w:val="32"/>
          <w:szCs w:val="32"/>
          <w:u w:val="none"/>
        </w:rPr>
      </w:pPr>
    </w:p>
    <w:p w14:paraId="0102162A">
      <w:pPr>
        <w:spacing w:line="560" w:lineRule="exact"/>
        <w:rPr>
          <w:rFonts w:ascii="仿宋_GB2312" w:eastAsia="仿宋_GB2312"/>
          <w:color w:val="auto"/>
          <w:sz w:val="32"/>
          <w:szCs w:val="32"/>
          <w:u w:val="none"/>
        </w:rPr>
      </w:pPr>
    </w:p>
    <w:p w14:paraId="40C1B583">
      <w:pPr>
        <w:spacing w:line="560" w:lineRule="exact"/>
        <w:rPr>
          <w:rFonts w:ascii="仿宋_GB2312" w:eastAsia="仿宋_GB2312"/>
          <w:color w:val="auto"/>
          <w:sz w:val="32"/>
          <w:szCs w:val="32"/>
          <w:u w:val="none"/>
        </w:rPr>
      </w:pPr>
    </w:p>
    <w:p w14:paraId="6B859166">
      <w:pPr>
        <w:spacing w:line="560" w:lineRule="exact"/>
        <w:rPr>
          <w:rFonts w:ascii="仿宋_GB2312" w:eastAsia="仿宋_GB2312"/>
          <w:color w:val="auto"/>
          <w:sz w:val="32"/>
          <w:szCs w:val="32"/>
          <w:u w:val="none"/>
        </w:rPr>
      </w:pPr>
    </w:p>
    <w:p w14:paraId="0525AC1E">
      <w:pPr>
        <w:spacing w:line="560" w:lineRule="exact"/>
        <w:ind w:firstLine="1760" w:firstLineChars="550"/>
        <w:rPr>
          <w:rFonts w:ascii="仿宋_GB2312" w:eastAsia="仿宋_GB2312"/>
          <w:color w:val="auto"/>
          <w:sz w:val="32"/>
          <w:szCs w:val="32"/>
          <w:u w:val="none"/>
        </w:rPr>
      </w:pPr>
      <w:r>
        <w:rPr>
          <w:rFonts w:hint="eastAsia" w:ascii="仿宋_GB2312" w:eastAsia="仿宋_GB2312"/>
          <w:color w:val="auto"/>
          <w:sz w:val="32"/>
          <w:szCs w:val="32"/>
          <w:u w:val="none"/>
        </w:rPr>
        <w:t>单位名称（公章）：深圳市龙岗区龙城高级中学(教育集团)宝龙外国语学校</w:t>
      </w:r>
    </w:p>
    <w:p w14:paraId="5DBF3F97">
      <w:pPr>
        <w:spacing w:line="560" w:lineRule="exact"/>
        <w:ind w:firstLine="1760" w:firstLineChars="550"/>
        <w:rPr>
          <w:rFonts w:ascii="仿宋_GB2312" w:eastAsia="仿宋_GB2312"/>
          <w:color w:val="auto"/>
          <w:sz w:val="32"/>
          <w:szCs w:val="32"/>
          <w:u w:val="none"/>
        </w:rPr>
      </w:pPr>
      <w:r>
        <w:rPr>
          <w:rFonts w:hint="eastAsia" w:ascii="仿宋_GB2312" w:eastAsia="仿宋_GB2312"/>
          <w:color w:val="auto"/>
          <w:sz w:val="32"/>
          <w:szCs w:val="32"/>
          <w:u w:val="none"/>
        </w:rPr>
        <w:t>填报人：樊素华</w:t>
      </w:r>
    </w:p>
    <w:p w14:paraId="136377C5">
      <w:pPr>
        <w:spacing w:line="560" w:lineRule="exact"/>
        <w:ind w:firstLine="1760" w:firstLineChars="550"/>
        <w:rPr>
          <w:rFonts w:ascii="仿宋_GB2312" w:eastAsia="仿宋_GB2312"/>
          <w:color w:val="auto"/>
          <w:sz w:val="32"/>
          <w:szCs w:val="32"/>
          <w:u w:val="none"/>
        </w:rPr>
      </w:pPr>
      <w:r>
        <w:rPr>
          <w:rFonts w:hint="eastAsia" w:ascii="仿宋_GB2312" w:eastAsia="仿宋_GB2312"/>
          <w:color w:val="auto"/>
          <w:sz w:val="32"/>
          <w:szCs w:val="32"/>
          <w:u w:val="none"/>
        </w:rPr>
        <w:t>联系电话：0755</w:t>
      </w:r>
      <w:r>
        <w:rPr>
          <w:rFonts w:hint="eastAsia" w:ascii="仿宋_GB2312" w:eastAsia="仿宋_GB2312"/>
          <w:color w:val="auto"/>
          <w:sz w:val="32"/>
          <w:szCs w:val="32"/>
          <w:u w:val="none"/>
          <w:lang w:val="en-US" w:eastAsia="zh-CN"/>
        </w:rPr>
        <w:t>-</w:t>
      </w:r>
      <w:r>
        <w:rPr>
          <w:rFonts w:hint="eastAsia" w:ascii="仿宋_GB2312" w:eastAsia="仿宋_GB2312"/>
          <w:color w:val="auto"/>
          <w:sz w:val="32"/>
          <w:szCs w:val="32"/>
          <w:u w:val="none"/>
        </w:rPr>
        <w:t>84828310</w:t>
      </w:r>
    </w:p>
    <w:p w14:paraId="3295EFA2">
      <w:pPr>
        <w:spacing w:line="560" w:lineRule="exact"/>
        <w:jc w:val="center"/>
        <w:rPr>
          <w:rFonts w:ascii="仿宋_GB2312" w:eastAsia="仿宋_GB2312"/>
          <w:color w:val="auto"/>
          <w:sz w:val="32"/>
          <w:szCs w:val="32"/>
          <w:u w:val="none"/>
        </w:rPr>
      </w:pPr>
    </w:p>
    <w:p w14:paraId="25DD8526">
      <w:pPr>
        <w:spacing w:line="560" w:lineRule="exact"/>
        <w:jc w:val="center"/>
        <w:rPr>
          <w:rFonts w:ascii="宋体" w:hAnsi="宋体"/>
          <w:color w:val="auto"/>
          <w:sz w:val="44"/>
          <w:szCs w:val="44"/>
          <w:u w:val="none"/>
        </w:rPr>
      </w:pPr>
    </w:p>
    <w:p w14:paraId="3D586FA7">
      <w:pPr>
        <w:spacing w:line="560" w:lineRule="exact"/>
        <w:jc w:val="center"/>
        <w:rPr>
          <w:rFonts w:ascii="宋体" w:hAnsi="宋体"/>
          <w:color w:val="auto"/>
          <w:sz w:val="44"/>
          <w:szCs w:val="44"/>
          <w:u w:val="none"/>
        </w:rPr>
      </w:pPr>
    </w:p>
    <w:p w14:paraId="61F06240">
      <w:pPr>
        <w:spacing w:line="560" w:lineRule="exact"/>
        <w:rPr>
          <w:rFonts w:ascii="宋体" w:hAnsi="宋体"/>
          <w:color w:val="auto"/>
          <w:sz w:val="44"/>
          <w:szCs w:val="44"/>
          <w:u w:val="none"/>
        </w:rPr>
      </w:pPr>
    </w:p>
    <w:p w14:paraId="0BD80695">
      <w:pPr>
        <w:spacing w:line="560" w:lineRule="exact"/>
        <w:rPr>
          <w:color w:val="auto"/>
          <w:u w:val="none"/>
        </w:rPr>
      </w:pPr>
    </w:p>
    <w:p w14:paraId="49413A39">
      <w:pPr>
        <w:rPr>
          <w:rFonts w:hint="eastAsia" w:ascii="仿宋_GB2312" w:hAnsi="仿宋_GB2312" w:eastAsia="仿宋_GB2312" w:cs="仿宋_GB2312"/>
          <w:color w:val="FF0000"/>
          <w:kern w:val="2"/>
          <w:sz w:val="32"/>
          <w:szCs w:val="32"/>
          <w:u w:val="none"/>
          <w:lang w:val="en-US" w:eastAsia="zh-CN" w:bidi="ar-SA"/>
        </w:rPr>
      </w:pPr>
      <w:r>
        <w:rPr>
          <w:rFonts w:hint="eastAsia" w:ascii="仿宋_GB2312" w:hAnsi="仿宋_GB2312" w:eastAsia="仿宋_GB2312" w:cs="仿宋_GB2312"/>
          <w:color w:val="auto"/>
          <w:sz w:val="32"/>
          <w:u w:val="none"/>
        </w:rPr>
        <w:br w:type="page"/>
      </w:r>
    </w:p>
    <w:p w14:paraId="0EEC091A">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一、单位基本情况</w:t>
      </w:r>
    </w:p>
    <w:p w14:paraId="6401F206">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u w:val="none"/>
          <w:lang w:val="en-US" w:eastAsia="zh-CN"/>
        </w:rPr>
      </w:pPr>
      <w:r>
        <w:rPr>
          <w:rFonts w:hint="eastAsia" w:ascii="楷体_GB2312" w:hAnsi="楷体_GB2312" w:eastAsia="楷体_GB2312" w:cs="楷体_GB2312"/>
          <w:color w:val="auto"/>
          <w:sz w:val="32"/>
          <w:szCs w:val="32"/>
          <w:u w:val="none"/>
        </w:rPr>
        <w:t>（一）单位主要职能</w:t>
      </w:r>
    </w:p>
    <w:p w14:paraId="607CF4C6">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28"/>
          <w:szCs w:val="28"/>
          <w:u w:val="none"/>
          <w:lang w:val="en-US" w:eastAsia="zh-CN"/>
        </w:rPr>
      </w:pPr>
      <w:r>
        <w:rPr>
          <w:rFonts w:hint="eastAsia" w:ascii="仿宋_GB2312" w:hAnsi="仿宋_GB2312" w:eastAsia="仿宋_GB2312" w:cs="仿宋_GB2312"/>
          <w:color w:val="auto"/>
          <w:sz w:val="32"/>
          <w:szCs w:val="32"/>
          <w:u w:val="none"/>
        </w:rPr>
        <w:t>深圳市龙岗区龙城高级中学(教育集团)宝龙外国语学校（以下简称“</w:t>
      </w:r>
      <w:r>
        <w:rPr>
          <w:rFonts w:hint="eastAsia" w:ascii="仿宋_GB2312" w:hAnsi="仿宋_GB2312" w:eastAsia="仿宋_GB2312" w:cs="仿宋_GB2312"/>
          <w:color w:val="auto"/>
          <w:sz w:val="32"/>
          <w:szCs w:val="32"/>
          <w:u w:val="none"/>
          <w:lang w:eastAsia="zh-CN"/>
        </w:rPr>
        <w:t>我校</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val="en-US" w:eastAsia="zh-CN"/>
        </w:rPr>
        <w:t>的</w:t>
      </w:r>
      <w:r>
        <w:rPr>
          <w:rFonts w:hint="eastAsia" w:ascii="仿宋_GB2312" w:hAnsi="仿宋_GB2312" w:eastAsia="仿宋_GB2312" w:cs="仿宋_GB2312"/>
          <w:color w:val="auto"/>
          <w:sz w:val="32"/>
          <w:szCs w:val="32"/>
          <w:u w:val="none"/>
        </w:rPr>
        <w:t>主要职责</w:t>
      </w:r>
      <w:r>
        <w:rPr>
          <w:rFonts w:hint="eastAsia" w:ascii="仿宋_GB2312" w:hAnsi="仿宋_GB2312" w:eastAsia="仿宋_GB2312" w:cs="仿宋_GB2312"/>
          <w:color w:val="auto"/>
          <w:sz w:val="32"/>
          <w:szCs w:val="32"/>
          <w:u w:val="none"/>
          <w:lang w:val="en-US" w:eastAsia="zh-CN"/>
        </w:rPr>
        <w:t>是</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val="en-US" w:eastAsia="zh-CN"/>
        </w:rPr>
        <w:t>我单位贯彻执行国家、省、市财政、税收、财务、会计管理等方面的法律、法规和政策，本单位作为执行主体，将认真落实单位预算主体责任，着力提升本单位财务管理工作水平，依法对本单位预算的真实性、完整性、合规性负责，并严格执行部门预算，切实提高资金使用效益；规范预算支出，提高预算约束性；加快落实部门预算执行，强化财政支出监督机制；严控一般行政性支出，坚持厉行勤俭节约；加强政府采购管理，严格执行资产配置标准；进一步完善预算绩效管理，建立长效机制。</w:t>
      </w:r>
    </w:p>
    <w:p w14:paraId="2B95C268">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u w:val="none"/>
          <w:lang w:val="en-US" w:eastAsia="zh-CN"/>
        </w:rPr>
      </w:pPr>
      <w:r>
        <w:rPr>
          <w:rFonts w:hint="eastAsia" w:ascii="楷体_GB2312" w:hAnsi="楷体_GB2312" w:eastAsia="楷体_GB2312" w:cs="楷体_GB2312"/>
          <w:color w:val="auto"/>
          <w:sz w:val="32"/>
          <w:szCs w:val="32"/>
          <w:u w:val="none"/>
        </w:rPr>
        <w:t>（二）年度总体工作和重点工作任务</w:t>
      </w:r>
    </w:p>
    <w:p w14:paraId="7FA1078F">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eastAsia="zh-CN"/>
        </w:rPr>
        <w:t>2023年</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rPr>
        <w:t>年度总体工作和重点工作任务</w:t>
      </w:r>
      <w:r>
        <w:rPr>
          <w:rFonts w:hint="eastAsia" w:ascii="仿宋_GB2312" w:hAnsi="仿宋_GB2312" w:eastAsia="仿宋_GB2312" w:cs="仿宋_GB2312"/>
          <w:color w:val="auto"/>
          <w:sz w:val="32"/>
          <w:szCs w:val="32"/>
          <w:highlight w:val="none"/>
          <w:u w:val="none"/>
          <w:lang w:val="en-US" w:eastAsia="zh-CN"/>
        </w:rPr>
        <w:t>是</w:t>
      </w:r>
      <w:r>
        <w:rPr>
          <w:rFonts w:hint="eastAsia" w:ascii="仿宋_GB2312" w:hAnsi="仿宋_GB2312" w:eastAsia="仿宋_GB2312" w:cs="仿宋_GB2312"/>
          <w:color w:val="auto"/>
          <w:sz w:val="32"/>
          <w:szCs w:val="32"/>
          <w:u w:val="none"/>
          <w:lang w:val="en-US" w:eastAsia="zh-CN"/>
        </w:rPr>
        <w:t>：</w:t>
      </w:r>
    </w:p>
    <w:p w14:paraId="4E29F32A">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1.规范预算支出，提高预算约束性；</w:t>
      </w:r>
    </w:p>
    <w:p w14:paraId="3D7063DC">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2.严格执行一般行政性支出，坚持厉行勤俭节约、反对铺张浪费，继续严控“三公经费”；</w:t>
      </w:r>
    </w:p>
    <w:p w14:paraId="194F0F1E">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3.加强政府采购管理，严格执行资产配置标准。</w:t>
      </w:r>
    </w:p>
    <w:p w14:paraId="75B3ACFE">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color w:val="auto"/>
          <w:lang w:eastAsia="zh-CN"/>
        </w:rPr>
      </w:pPr>
      <w:r>
        <w:rPr>
          <w:rFonts w:hint="eastAsia" w:ascii="仿宋_GB2312" w:hAnsi="仿宋_GB2312" w:eastAsia="仿宋_GB2312" w:cs="仿宋_GB2312"/>
          <w:color w:val="auto"/>
          <w:sz w:val="32"/>
          <w:szCs w:val="32"/>
          <w:u w:val="none"/>
          <w:lang w:val="en-US" w:eastAsia="zh-CN"/>
        </w:rPr>
        <w:t>4.提高部门预算执行力和财政资金使用效益。</w:t>
      </w:r>
    </w:p>
    <w:p w14:paraId="09562EB8">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u w:val="none"/>
        </w:rPr>
      </w:pPr>
      <w:r>
        <w:rPr>
          <w:rFonts w:hint="eastAsia" w:ascii="楷体_GB2312" w:hAnsi="楷体_GB2312" w:eastAsia="楷体_GB2312" w:cs="楷体_GB2312"/>
          <w:color w:val="auto"/>
          <w:sz w:val="32"/>
          <w:szCs w:val="32"/>
          <w:u w:val="none"/>
        </w:rPr>
        <w:t>（三）</w:t>
      </w:r>
      <w:r>
        <w:rPr>
          <w:rFonts w:hint="eastAsia" w:ascii="楷体_GB2312" w:hAnsi="楷体_GB2312" w:eastAsia="楷体_GB2312" w:cs="楷体_GB2312"/>
          <w:color w:val="auto"/>
          <w:sz w:val="32"/>
          <w:szCs w:val="32"/>
          <w:u w:val="none"/>
          <w:lang w:eastAsia="zh-CN"/>
        </w:rPr>
        <w:t>2023年</w:t>
      </w:r>
      <w:r>
        <w:rPr>
          <w:rFonts w:hint="eastAsia" w:ascii="楷体_GB2312" w:hAnsi="楷体_GB2312" w:eastAsia="楷体_GB2312" w:cs="楷体_GB2312"/>
          <w:color w:val="auto"/>
          <w:sz w:val="32"/>
          <w:szCs w:val="32"/>
          <w:u w:val="none"/>
        </w:rPr>
        <w:t>部门预算编制情况</w:t>
      </w:r>
    </w:p>
    <w:p w14:paraId="0305D275">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2023年</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rPr>
        <w:t>根据财政部门有关预算编制的规定，完成了年度部门预算编报工作，当年度部门预算基本达到合理规范要求；同时结合</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lang w:val="en-US" w:eastAsia="zh-CN"/>
        </w:rPr>
        <w:t>当年度</w:t>
      </w:r>
      <w:r>
        <w:rPr>
          <w:rFonts w:hint="eastAsia" w:ascii="仿宋_GB2312" w:hAnsi="仿宋_GB2312" w:eastAsia="仿宋_GB2312" w:cs="仿宋_GB2312"/>
          <w:color w:val="auto"/>
          <w:sz w:val="32"/>
          <w:szCs w:val="32"/>
          <w:highlight w:val="none"/>
          <w:u w:val="none"/>
        </w:rPr>
        <w:t>的工作安排和年度主要任务设置了完整明确的绩效目标和绩效指标。具体情况如下：</w:t>
      </w:r>
    </w:p>
    <w:p w14:paraId="21D2C86E">
      <w:pPr>
        <w:pStyle w:val="3"/>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u w:val="none"/>
        </w:rPr>
      </w:pPr>
      <w:r>
        <w:rPr>
          <w:rFonts w:hint="eastAsia" w:ascii="仿宋_GB2312" w:hAnsi="仿宋_GB2312" w:eastAsia="仿宋_GB2312" w:cs="仿宋_GB2312"/>
          <w:b/>
          <w:bCs/>
          <w:color w:val="auto"/>
          <w:sz w:val="32"/>
          <w:szCs w:val="32"/>
          <w:u w:val="none"/>
        </w:rPr>
        <w:t>1.预算编制及安排情况</w:t>
      </w:r>
    </w:p>
    <w:p w14:paraId="5A5F8FD4">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（1）预算编制合理性</w:t>
      </w:r>
    </w:p>
    <w:p w14:paraId="30029677">
      <w:pPr>
        <w:pStyle w:val="10"/>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b/>
          <w:bCs/>
          <w:color w:val="auto"/>
          <w:sz w:val="32"/>
          <w:szCs w:val="32"/>
          <w:u w:val="none"/>
          <w:lang w:bidi="ar"/>
        </w:rPr>
        <w:t>一是部门整体支出年初预算安排。</w:t>
      </w:r>
      <w:r>
        <w:rPr>
          <w:rFonts w:hint="eastAsia" w:ascii="仿宋_GB2312" w:hAnsi="仿宋_GB2312" w:eastAsia="仿宋_GB2312" w:cs="仿宋_GB2312"/>
          <w:color w:val="auto"/>
          <w:sz w:val="32"/>
          <w:szCs w:val="32"/>
          <w:u w:val="none"/>
          <w:lang w:val="en-US" w:eastAsia="zh-CN"/>
        </w:rPr>
        <w:t>2023年深圳市龙岗区龙城高级中学(教育集团)宝龙外国语学校部门预算收入10,973.67万元，比2022年增加1,407.29万元，增长14.71%。2023年部门预算支出10,973.67万元，比2022年增加1,407.29万元，增长14.71%。预算收支增加主要原因：一是编制人数比2022年增加22人；二是学生人数比2022年增加400人；三是班级比2022年多了8个班。</w:t>
      </w:r>
    </w:p>
    <w:p w14:paraId="281EAC9F">
      <w:pPr>
        <w:pStyle w:val="10"/>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bCs/>
          <w:color w:val="auto"/>
          <w:sz w:val="32"/>
          <w:szCs w:val="32"/>
          <w:u w:val="none"/>
        </w:rPr>
        <w:t>二是部门整体支出预算调整情况。</w:t>
      </w:r>
      <w:r>
        <w:rPr>
          <w:rFonts w:hint="eastAsia" w:ascii="仿宋_GB2312" w:hAnsi="仿宋_GB2312" w:eastAsia="仿宋_GB2312" w:cs="仿宋_GB2312"/>
          <w:color w:val="auto"/>
          <w:sz w:val="32"/>
          <w:szCs w:val="32"/>
          <w:highlight w:val="none"/>
          <w:u w:val="none"/>
          <w:lang w:eastAsia="zh-CN"/>
        </w:rPr>
        <w:t>2023年</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rPr>
        <w:t>根据年度履职需要，对部门整体支出预算进行了相应的调整，整体支出预算总规模调整为11,802.52万元，比年初预算增加828.8</w:t>
      </w:r>
      <w:r>
        <w:rPr>
          <w:rFonts w:hint="eastAsia" w:ascii="仿宋_GB2312" w:hAnsi="仿宋_GB2312" w:eastAsia="仿宋_GB2312" w:cs="仿宋_GB2312"/>
          <w:color w:val="auto"/>
          <w:sz w:val="32"/>
          <w:szCs w:val="32"/>
          <w:highlight w:val="none"/>
          <w:u w:val="none"/>
          <w:lang w:val="en-US" w:eastAsia="zh-CN"/>
        </w:rPr>
        <w:t>5</w:t>
      </w:r>
      <w:r>
        <w:rPr>
          <w:rFonts w:hint="eastAsia" w:ascii="仿宋_GB2312" w:hAnsi="仿宋_GB2312" w:eastAsia="仿宋_GB2312" w:cs="仿宋_GB2312"/>
          <w:color w:val="auto"/>
          <w:sz w:val="32"/>
          <w:szCs w:val="32"/>
          <w:highlight w:val="none"/>
          <w:u w:val="none"/>
        </w:rPr>
        <w:t>万元，增长7.55%，其中人员经费增加329.3</w:t>
      </w:r>
      <w:r>
        <w:rPr>
          <w:rFonts w:hint="eastAsia" w:ascii="仿宋_GB2312" w:hAnsi="仿宋_GB2312" w:eastAsia="仿宋_GB2312" w:cs="仿宋_GB2312"/>
          <w:color w:val="auto"/>
          <w:sz w:val="32"/>
          <w:szCs w:val="32"/>
          <w:highlight w:val="none"/>
          <w:u w:val="none"/>
          <w:lang w:val="en-US" w:eastAsia="zh-CN"/>
        </w:rPr>
        <w:t>0</w:t>
      </w:r>
      <w:r>
        <w:rPr>
          <w:rFonts w:hint="eastAsia" w:ascii="仿宋_GB2312" w:hAnsi="仿宋_GB2312" w:eastAsia="仿宋_GB2312" w:cs="仿宋_GB2312"/>
          <w:color w:val="auto"/>
          <w:sz w:val="32"/>
          <w:szCs w:val="32"/>
          <w:highlight w:val="none"/>
          <w:u w:val="none"/>
        </w:rPr>
        <w:t>万元、公用经费减少</w:t>
      </w:r>
      <w:r>
        <w:rPr>
          <w:rFonts w:hint="eastAsia" w:ascii="仿宋_GB2312" w:hAnsi="仿宋_GB2312" w:eastAsia="仿宋_GB2312" w:cs="仿宋_GB2312"/>
          <w:color w:val="auto"/>
          <w:sz w:val="32"/>
          <w:szCs w:val="32"/>
          <w:highlight w:val="none"/>
          <w:u w:val="none"/>
          <w:lang w:val="en-US" w:eastAsia="zh-CN"/>
        </w:rPr>
        <w:t>1</w:t>
      </w:r>
      <w:r>
        <w:rPr>
          <w:rFonts w:hint="eastAsia" w:ascii="仿宋_GB2312" w:hAnsi="仿宋_GB2312" w:eastAsia="仿宋_GB2312" w:cs="仿宋_GB2312"/>
          <w:color w:val="auto"/>
          <w:sz w:val="32"/>
          <w:szCs w:val="32"/>
          <w:highlight w:val="none"/>
          <w:u w:val="none"/>
        </w:rPr>
        <w:t>万元、项目支出增加500.5</w:t>
      </w:r>
      <w:r>
        <w:rPr>
          <w:rFonts w:hint="eastAsia" w:ascii="仿宋_GB2312" w:hAnsi="仿宋_GB2312" w:eastAsia="仿宋_GB2312" w:cs="仿宋_GB2312"/>
          <w:color w:val="auto"/>
          <w:sz w:val="32"/>
          <w:szCs w:val="32"/>
          <w:highlight w:val="none"/>
          <w:u w:val="none"/>
          <w:lang w:val="en-US" w:eastAsia="zh-CN"/>
        </w:rPr>
        <w:t>4</w:t>
      </w:r>
      <w:r>
        <w:rPr>
          <w:rFonts w:hint="eastAsia" w:ascii="仿宋_GB2312" w:hAnsi="仿宋_GB2312" w:eastAsia="仿宋_GB2312" w:cs="仿宋_GB2312"/>
          <w:color w:val="auto"/>
          <w:sz w:val="32"/>
          <w:szCs w:val="32"/>
          <w:highlight w:val="none"/>
          <w:u w:val="none"/>
        </w:rPr>
        <w:t>万元。</w:t>
      </w:r>
    </w:p>
    <w:p w14:paraId="1488D6E5">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yellow"/>
          <w:u w:val="none"/>
          <w:lang w:val="en-US" w:eastAsia="zh-CN"/>
        </w:rPr>
      </w:pPr>
      <w:r>
        <w:rPr>
          <w:rFonts w:hint="eastAsia" w:ascii="仿宋_GB2312" w:hAnsi="仿宋_GB2312" w:eastAsia="仿宋_GB2312" w:cs="仿宋_GB2312"/>
          <w:color w:val="auto"/>
          <w:sz w:val="32"/>
          <w:szCs w:val="32"/>
          <w:u w:val="none"/>
        </w:rPr>
        <w:t>（2）预算编制规范性</w:t>
      </w:r>
    </w:p>
    <w:p w14:paraId="3642C99F">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lang w:val="en-US" w:eastAsia="zh-CN"/>
        </w:rPr>
        <w:t>按照《2023年龙岗区预算和2023-2025年中期财政规划编制方案》的相关要求和规定时限，结合</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lang w:val="en-US" w:eastAsia="zh-CN"/>
        </w:rPr>
        <w:t>中长期发展规划及年度工作计划，合理、规范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Hans"/>
        </w:rPr>
        <w:t>有</w:t>
      </w:r>
      <w:r>
        <w:rPr>
          <w:rFonts w:hint="eastAsia" w:ascii="仿宋_GB2312" w:hAnsi="仿宋_GB2312" w:eastAsia="仿宋_GB2312" w:cs="仿宋_GB2312"/>
          <w:color w:val="auto"/>
          <w:sz w:val="32"/>
          <w:szCs w:val="32"/>
          <w:highlight w:val="none"/>
          <w:lang w:val="en-US" w:eastAsia="zh-CN"/>
        </w:rPr>
        <w:t>序开展2023年部门预算编制“一上”“二上”工作</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做到科学合理、统筹兼顾、突出重点</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凡未经事前绩效评估的项目，一律不准纳入项目库、一律不予安排预算；着重对</w:t>
      </w:r>
      <w:r>
        <w:rPr>
          <w:rFonts w:hint="eastAsia" w:ascii="仿宋_GB2312" w:hAnsi="仿宋_GB2312" w:eastAsia="仿宋_GB2312" w:cs="仿宋_GB2312"/>
          <w:color w:val="auto"/>
          <w:sz w:val="32"/>
          <w:szCs w:val="32"/>
          <w:highlight w:val="none"/>
          <w:lang w:val="en-US" w:eastAsia="zh-Hans"/>
        </w:rPr>
        <w:t>新</w:t>
      </w:r>
      <w:r>
        <w:rPr>
          <w:rFonts w:hint="eastAsia" w:ascii="仿宋_GB2312" w:hAnsi="仿宋_GB2312" w:eastAsia="仿宋_GB2312" w:cs="仿宋_GB2312"/>
          <w:color w:val="auto"/>
          <w:sz w:val="32"/>
          <w:szCs w:val="32"/>
          <w:highlight w:val="none"/>
          <w:lang w:val="en-US" w:eastAsia="zh-CN"/>
        </w:rPr>
        <w:t>申报项目依据充分性、工作内容完整性、经费测算科学性、绩效目标设定合理性等</w:t>
      </w:r>
      <w:r>
        <w:rPr>
          <w:rFonts w:hint="eastAsia" w:ascii="仿宋_GB2312" w:hAnsi="仿宋_GB2312" w:eastAsia="仿宋_GB2312" w:cs="仿宋_GB2312"/>
          <w:color w:val="auto"/>
          <w:sz w:val="32"/>
          <w:szCs w:val="32"/>
          <w:lang w:val="en-US" w:eastAsia="zh-CN"/>
        </w:rPr>
        <w:t>进行审核。同时，按照省、市有关厉行节约的要求，严控“三公”经费以及会议、差旅和培训等一般公务支出预算。</w:t>
      </w:r>
      <w:r>
        <w:rPr>
          <w:rFonts w:hint="eastAsia" w:ascii="仿宋_GB2312" w:hAnsi="仿宋_GB2312" w:eastAsia="仿宋_GB2312" w:cs="仿宋_GB2312"/>
          <w:color w:val="000000"/>
          <w:sz w:val="32"/>
          <w:szCs w:val="32"/>
          <w:lang w:val="en-US" w:eastAsia="zh-Hans"/>
        </w:rPr>
        <w:t>预算编制</w:t>
      </w:r>
      <w:r>
        <w:rPr>
          <w:rFonts w:hint="eastAsia" w:ascii="仿宋_GB2312" w:hAnsi="仿宋_GB2312" w:eastAsia="仿宋_GB2312" w:cs="仿宋_GB2312"/>
          <w:color w:val="auto"/>
          <w:sz w:val="32"/>
          <w:szCs w:val="32"/>
          <w:lang w:val="en-US" w:eastAsia="zh-CN"/>
        </w:rPr>
        <w:t>符合2023</w:t>
      </w:r>
      <w:r>
        <w:rPr>
          <w:rFonts w:hint="eastAsia" w:ascii="仿宋_GB2312" w:hAnsi="仿宋_GB2312" w:eastAsia="仿宋_GB2312" w:cs="仿宋_GB2312"/>
          <w:color w:val="auto"/>
          <w:sz w:val="32"/>
          <w:szCs w:val="32"/>
          <w:lang w:val="en-US" w:eastAsia="zh-Hans"/>
        </w:rPr>
        <w:t>年度</w:t>
      </w:r>
      <w:r>
        <w:rPr>
          <w:rFonts w:hint="eastAsia" w:ascii="仿宋_GB2312" w:hAnsi="仿宋_GB2312" w:eastAsia="仿宋_GB2312" w:cs="仿宋_GB2312"/>
          <w:color w:val="auto"/>
          <w:sz w:val="32"/>
          <w:szCs w:val="32"/>
          <w:lang w:val="en-US" w:eastAsia="zh-CN"/>
        </w:rPr>
        <w:t>财政部门当年度关于预算编制的各项原则和要求，符合专项资金预算编制、项目库管理、新增项目事前绩效评估等要求。</w:t>
      </w:r>
    </w:p>
    <w:p w14:paraId="19AAD51A">
      <w:pPr>
        <w:pStyle w:val="3"/>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highlight w:val="yellow"/>
          <w:u w:val="none"/>
          <w:lang w:val="en-US" w:eastAsia="zh-CN"/>
        </w:rPr>
      </w:pPr>
      <w:r>
        <w:rPr>
          <w:rFonts w:hint="eastAsia" w:ascii="仿宋_GB2312" w:hAnsi="仿宋_GB2312" w:eastAsia="仿宋_GB2312" w:cs="仿宋_GB2312"/>
          <w:b/>
          <w:bCs/>
          <w:color w:val="auto"/>
          <w:sz w:val="32"/>
          <w:szCs w:val="32"/>
          <w:u w:val="none"/>
        </w:rPr>
        <w:t>2.绩效目标设置情况</w:t>
      </w:r>
    </w:p>
    <w:p w14:paraId="149253BC">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yellow"/>
          <w:u w:val="none"/>
          <w:lang w:val="en-US" w:eastAsia="zh-CN"/>
        </w:rPr>
      </w:pPr>
      <w:r>
        <w:rPr>
          <w:rFonts w:hint="eastAsia" w:ascii="仿宋_GB2312" w:hAnsi="仿宋_GB2312" w:eastAsia="仿宋_GB2312" w:cs="仿宋_GB2312"/>
          <w:color w:val="auto"/>
          <w:sz w:val="32"/>
          <w:szCs w:val="32"/>
          <w:u w:val="none"/>
        </w:rPr>
        <w:t>（1）绩效目标完整性</w:t>
      </w:r>
    </w:p>
    <w:p w14:paraId="23931E74">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2023年</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rPr>
        <w:t>在智慧财政系统中开展部门预算项目和部门整体支出绩效目标编审工作，按照财政部门对预算绩效管理工作的要求，做好</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rPr>
        <w:t>所申报的</w:t>
      </w:r>
      <w:r>
        <w:rPr>
          <w:rFonts w:hint="eastAsia" w:ascii="仿宋_GB2312" w:hAnsi="仿宋_GB2312" w:eastAsia="仿宋_GB2312" w:cs="仿宋_GB2312"/>
          <w:color w:val="auto"/>
          <w:sz w:val="32"/>
          <w:szCs w:val="32"/>
          <w:highlight w:val="none"/>
          <w:u w:val="none"/>
          <w:lang w:val="en-US" w:eastAsia="zh-CN"/>
        </w:rPr>
        <w:t>28</w:t>
      </w:r>
      <w:r>
        <w:rPr>
          <w:rFonts w:hint="eastAsia" w:ascii="仿宋_GB2312" w:hAnsi="仿宋_GB2312" w:eastAsia="仿宋_GB2312" w:cs="仿宋_GB2312"/>
          <w:color w:val="auto"/>
          <w:sz w:val="32"/>
          <w:szCs w:val="32"/>
          <w:highlight w:val="none"/>
          <w:u w:val="none"/>
        </w:rPr>
        <w:t>个二级预算项目和部门整体支出的绩效目标编报工作。</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rPr>
        <w:t>认真梳理各项目内容，根据项目立项依据及项目实际，分析项目申报的必要性及可行性，完成绩效目标、绩效指标编报工作，按时在智慧财政系统提交绩效目标申报表</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绩效目标做到与部门预算同步编制，绩效管理覆盖全面。</w:t>
      </w:r>
    </w:p>
    <w:p w14:paraId="5FFE24DB">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（2）绩效目标明确性</w:t>
      </w:r>
    </w:p>
    <w:p w14:paraId="65ED938A">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rPr>
        <w:t>根据上年度绩效评价结果不断更新与完善本单位</w:t>
      </w:r>
      <w:r>
        <w:rPr>
          <w:rFonts w:hint="eastAsia" w:ascii="仿宋_GB2312" w:hAnsi="仿宋_GB2312" w:eastAsia="仿宋_GB2312" w:cs="仿宋_GB2312"/>
          <w:color w:val="auto"/>
          <w:sz w:val="32"/>
          <w:szCs w:val="32"/>
          <w:highlight w:val="none"/>
          <w:u w:val="none"/>
          <w:lang w:eastAsia="zh-CN"/>
        </w:rPr>
        <w:t>2023年</w:t>
      </w:r>
      <w:r>
        <w:rPr>
          <w:rFonts w:hint="eastAsia" w:ascii="仿宋_GB2312" w:hAnsi="仿宋_GB2312" w:eastAsia="仿宋_GB2312" w:cs="仿宋_GB2312"/>
          <w:color w:val="auto"/>
          <w:sz w:val="32"/>
          <w:szCs w:val="32"/>
          <w:highlight w:val="none"/>
          <w:u w:val="none"/>
        </w:rPr>
        <w:t>项目支出绩效指标，在编制</w:t>
      </w:r>
      <w:r>
        <w:rPr>
          <w:rFonts w:hint="eastAsia" w:ascii="仿宋_GB2312" w:hAnsi="仿宋_GB2312" w:eastAsia="仿宋_GB2312" w:cs="仿宋_GB2312"/>
          <w:color w:val="auto"/>
          <w:sz w:val="32"/>
          <w:szCs w:val="32"/>
          <w:highlight w:val="none"/>
          <w:u w:val="none"/>
          <w:lang w:eastAsia="zh-CN"/>
        </w:rPr>
        <w:t>2023年</w:t>
      </w:r>
      <w:r>
        <w:rPr>
          <w:rFonts w:hint="eastAsia" w:ascii="仿宋_GB2312" w:hAnsi="仿宋_GB2312" w:eastAsia="仿宋_GB2312" w:cs="仿宋_GB2312"/>
          <w:color w:val="auto"/>
          <w:sz w:val="32"/>
          <w:szCs w:val="32"/>
          <w:highlight w:val="none"/>
          <w:u w:val="none"/>
        </w:rPr>
        <w:t>绩效指标时，从项目的产出和效益方面，分解项目年度任务，根据项目</w:t>
      </w:r>
      <w:r>
        <w:rPr>
          <w:rFonts w:hint="eastAsia" w:ascii="仿宋_GB2312" w:hAnsi="仿宋_GB2312" w:eastAsia="仿宋_GB2312" w:cs="仿宋_GB2312"/>
          <w:color w:val="auto"/>
          <w:sz w:val="32"/>
          <w:szCs w:val="32"/>
          <w:highlight w:val="none"/>
          <w:u w:val="none"/>
          <w:lang w:eastAsia="zh-CN"/>
        </w:rPr>
        <w:t>2023年</w:t>
      </w:r>
      <w:r>
        <w:rPr>
          <w:rFonts w:hint="eastAsia" w:ascii="仿宋_GB2312" w:hAnsi="仿宋_GB2312" w:eastAsia="仿宋_GB2312" w:cs="仿宋_GB2312"/>
          <w:color w:val="auto"/>
          <w:sz w:val="32"/>
          <w:szCs w:val="32"/>
          <w:highlight w:val="none"/>
          <w:u w:val="none"/>
        </w:rPr>
        <w:t>预算资金用途设立指标，绩效指标设置与预算资金量相匹配，但个别指标设置</w:t>
      </w:r>
      <w:r>
        <w:rPr>
          <w:rFonts w:hint="eastAsia" w:ascii="仿宋_GB2312" w:hAnsi="仿宋_GB2312" w:eastAsia="仿宋_GB2312" w:cs="仿宋_GB2312"/>
          <w:color w:val="auto"/>
          <w:sz w:val="32"/>
          <w:szCs w:val="32"/>
          <w:highlight w:val="none"/>
          <w:u w:val="none"/>
          <w:lang w:val="en-US" w:eastAsia="zh-CN"/>
        </w:rPr>
        <w:t>存在</w:t>
      </w:r>
      <w:r>
        <w:rPr>
          <w:rFonts w:hint="eastAsia" w:ascii="仿宋_GB2312" w:hAnsi="仿宋_GB2312" w:eastAsia="仿宋_GB2312" w:cs="仿宋_GB2312"/>
          <w:color w:val="auto"/>
          <w:sz w:val="32"/>
          <w:szCs w:val="32"/>
          <w:highlight w:val="none"/>
          <w:u w:val="none"/>
        </w:rPr>
        <w:t>不</w:t>
      </w:r>
      <w:r>
        <w:rPr>
          <w:rFonts w:hint="eastAsia" w:ascii="仿宋_GB2312" w:hAnsi="仿宋_GB2312" w:eastAsia="仿宋_GB2312" w:cs="仿宋_GB2312"/>
          <w:color w:val="auto"/>
          <w:sz w:val="32"/>
          <w:szCs w:val="32"/>
          <w:highlight w:val="none"/>
          <w:u w:val="none"/>
          <w:lang w:val="en-US" w:eastAsia="zh-CN"/>
        </w:rPr>
        <w:t>够</w:t>
      </w:r>
      <w:r>
        <w:rPr>
          <w:rFonts w:hint="eastAsia" w:ascii="仿宋_GB2312" w:hAnsi="仿宋_GB2312" w:eastAsia="仿宋_GB2312" w:cs="仿宋_GB2312"/>
          <w:color w:val="auto"/>
          <w:sz w:val="32"/>
          <w:szCs w:val="32"/>
          <w:highlight w:val="none"/>
          <w:u w:val="none"/>
        </w:rPr>
        <w:t>明确</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不</w:t>
      </w:r>
      <w:r>
        <w:rPr>
          <w:rFonts w:hint="eastAsia" w:ascii="仿宋_GB2312" w:hAnsi="仿宋_GB2312" w:eastAsia="仿宋_GB2312" w:cs="仿宋_GB2312"/>
          <w:color w:val="auto"/>
          <w:sz w:val="32"/>
          <w:szCs w:val="32"/>
          <w:highlight w:val="none"/>
          <w:u w:val="none"/>
          <w:lang w:val="en-US" w:eastAsia="zh-CN"/>
        </w:rPr>
        <w:t>够</w:t>
      </w:r>
      <w:r>
        <w:rPr>
          <w:rFonts w:hint="eastAsia" w:ascii="仿宋_GB2312" w:hAnsi="仿宋_GB2312" w:eastAsia="仿宋_GB2312" w:cs="仿宋_GB2312"/>
          <w:color w:val="auto"/>
          <w:sz w:val="32"/>
          <w:szCs w:val="32"/>
          <w:highlight w:val="none"/>
          <w:u w:val="none"/>
        </w:rPr>
        <w:t>清晰</w:t>
      </w:r>
      <w:r>
        <w:rPr>
          <w:rFonts w:hint="eastAsia" w:ascii="仿宋_GB2312" w:hAnsi="仿宋_GB2312" w:eastAsia="仿宋_GB2312" w:cs="仿宋_GB2312"/>
          <w:color w:val="auto"/>
          <w:sz w:val="32"/>
          <w:szCs w:val="32"/>
          <w:highlight w:val="none"/>
          <w:u w:val="none"/>
          <w:lang w:val="en-US" w:eastAsia="zh-CN"/>
        </w:rPr>
        <w:t>，</w:t>
      </w:r>
      <w:r>
        <w:rPr>
          <w:rFonts w:hint="eastAsia" w:ascii="仿宋_GB2312" w:hAnsi="仿宋_GB2312" w:eastAsia="仿宋_GB2312" w:cs="仿宋_GB2312"/>
          <w:color w:val="auto"/>
          <w:sz w:val="32"/>
          <w:szCs w:val="32"/>
          <w:highlight w:val="none"/>
          <w:u w:val="none"/>
        </w:rPr>
        <w:t>绩效指标的目标值不符合项目实际情况</w:t>
      </w:r>
      <w:r>
        <w:rPr>
          <w:rFonts w:hint="eastAsia" w:ascii="仿宋_GB2312" w:hAnsi="仿宋_GB2312" w:eastAsia="仿宋_GB2312" w:cs="仿宋_GB2312"/>
          <w:color w:val="auto"/>
          <w:sz w:val="32"/>
          <w:szCs w:val="32"/>
          <w:highlight w:val="none"/>
          <w:u w:val="none"/>
          <w:lang w:val="en-US" w:eastAsia="zh-CN"/>
        </w:rPr>
        <w:t>的问题</w:t>
      </w:r>
      <w:r>
        <w:rPr>
          <w:rFonts w:hint="eastAsia" w:ascii="仿宋_GB2312" w:hAnsi="仿宋_GB2312" w:eastAsia="仿宋_GB2312" w:cs="仿宋_GB2312"/>
          <w:color w:val="auto"/>
          <w:sz w:val="32"/>
          <w:szCs w:val="32"/>
          <w:highlight w:val="none"/>
          <w:u w:val="none"/>
        </w:rPr>
        <w:t>。</w:t>
      </w:r>
    </w:p>
    <w:p w14:paraId="2E2E048B">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u w:val="none"/>
        </w:rPr>
      </w:pPr>
      <w:r>
        <w:rPr>
          <w:rFonts w:hint="eastAsia" w:ascii="楷体_GB2312" w:hAnsi="楷体_GB2312" w:eastAsia="楷体_GB2312" w:cs="楷体_GB2312"/>
          <w:color w:val="auto"/>
          <w:sz w:val="32"/>
          <w:szCs w:val="32"/>
          <w:u w:val="none"/>
        </w:rPr>
        <w:t>（四）</w:t>
      </w:r>
      <w:r>
        <w:rPr>
          <w:rFonts w:hint="eastAsia" w:ascii="楷体_GB2312" w:hAnsi="楷体_GB2312" w:eastAsia="楷体_GB2312" w:cs="楷体_GB2312"/>
          <w:color w:val="auto"/>
          <w:sz w:val="32"/>
          <w:szCs w:val="32"/>
          <w:u w:val="none"/>
          <w:lang w:eastAsia="zh-CN"/>
        </w:rPr>
        <w:t>2023年</w:t>
      </w:r>
      <w:r>
        <w:rPr>
          <w:rFonts w:hint="eastAsia" w:ascii="楷体_GB2312" w:hAnsi="楷体_GB2312" w:eastAsia="楷体_GB2312" w:cs="楷体_GB2312"/>
          <w:color w:val="auto"/>
          <w:sz w:val="32"/>
          <w:szCs w:val="32"/>
          <w:u w:val="none"/>
        </w:rPr>
        <w:t>部门预算执行情况</w:t>
      </w:r>
    </w:p>
    <w:p w14:paraId="3CBF2CED">
      <w:pPr>
        <w:pStyle w:val="3"/>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u w:val="none"/>
        </w:rPr>
      </w:pPr>
      <w:r>
        <w:rPr>
          <w:rFonts w:hint="eastAsia" w:ascii="仿宋_GB2312" w:hAnsi="仿宋_GB2312" w:eastAsia="仿宋_GB2312" w:cs="仿宋_GB2312"/>
          <w:b/>
          <w:bCs/>
          <w:color w:val="auto"/>
          <w:sz w:val="32"/>
          <w:szCs w:val="32"/>
          <w:u w:val="none"/>
        </w:rPr>
        <w:t>1.资金管理</w:t>
      </w:r>
    </w:p>
    <w:p w14:paraId="4FFAF664">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lang w:eastAsia="zh-Hans"/>
        </w:rPr>
      </w:pP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1</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eastAsia="zh-Hans"/>
        </w:rPr>
        <w:t>政府采购方面。</w:t>
      </w:r>
      <w:r>
        <w:rPr>
          <w:rFonts w:hint="eastAsia" w:ascii="仿宋_GB2312" w:hAnsi="仿宋_GB2312" w:eastAsia="仿宋_GB2312" w:cs="仿宋_GB2312"/>
          <w:color w:val="auto"/>
          <w:sz w:val="32"/>
          <w:szCs w:val="32"/>
          <w:highlight w:val="none"/>
          <w:u w:val="none"/>
          <w:lang w:eastAsia="zh-CN"/>
        </w:rPr>
        <w:t>2023年</w:t>
      </w:r>
      <w:r>
        <w:rPr>
          <w:rFonts w:hint="eastAsia" w:ascii="仿宋_GB2312" w:hAnsi="仿宋_GB2312" w:eastAsia="仿宋_GB2312" w:cs="仿宋_GB2312"/>
          <w:color w:val="auto"/>
          <w:sz w:val="32"/>
          <w:szCs w:val="32"/>
          <w:highlight w:val="none"/>
          <w:u w:val="none"/>
          <w:lang w:eastAsia="zh-Hans"/>
        </w:rPr>
        <w:t>，</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lang w:eastAsia="zh-Hans"/>
        </w:rPr>
        <w:t>按照《中华人民共和国政府采购法实施条例》《深圳经济特区政府采购条例》《深圳市政府集中采购目录及限额标准》《政府自行采购管理办法》等文件开展采购工作，保障了政府采购政策功能的执行和落实。</w:t>
      </w:r>
      <w:r>
        <w:rPr>
          <w:rFonts w:hint="eastAsia" w:ascii="仿宋_GB2312" w:hAnsi="仿宋_GB2312" w:eastAsia="仿宋_GB2312" w:cs="仿宋_GB2312"/>
          <w:color w:val="auto"/>
          <w:sz w:val="32"/>
          <w:szCs w:val="32"/>
          <w:highlight w:val="none"/>
          <w:u w:val="none"/>
          <w:lang w:val="en-US" w:eastAsia="zh-CN"/>
        </w:rPr>
        <w:t>当</w:t>
      </w:r>
      <w:r>
        <w:rPr>
          <w:rFonts w:hint="eastAsia" w:ascii="仿宋_GB2312" w:hAnsi="仿宋_GB2312" w:eastAsia="仿宋_GB2312" w:cs="仿宋_GB2312"/>
          <w:color w:val="auto"/>
          <w:sz w:val="32"/>
          <w:szCs w:val="32"/>
          <w:highlight w:val="none"/>
          <w:u w:val="none"/>
          <w:lang w:eastAsia="zh-Hans"/>
        </w:rPr>
        <w:t>年度</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lang w:eastAsia="zh-Hans"/>
        </w:rPr>
        <w:t>申报采购计划金额为</w:t>
      </w:r>
      <w:r>
        <w:rPr>
          <w:rFonts w:hint="eastAsia" w:ascii="仿宋_GB2312" w:hAnsi="仿宋_GB2312" w:eastAsia="仿宋_GB2312" w:cs="仿宋_GB2312"/>
          <w:color w:val="auto"/>
          <w:sz w:val="32"/>
          <w:szCs w:val="32"/>
          <w:highlight w:val="none"/>
          <w:u w:val="none"/>
          <w:lang w:val="en-US" w:eastAsia="zh-CN"/>
        </w:rPr>
        <w:t>997.01</w:t>
      </w:r>
      <w:r>
        <w:rPr>
          <w:rFonts w:hint="eastAsia" w:ascii="仿宋_GB2312" w:hAnsi="仿宋_GB2312" w:eastAsia="仿宋_GB2312" w:cs="仿宋_GB2312"/>
          <w:color w:val="auto"/>
          <w:sz w:val="32"/>
          <w:szCs w:val="32"/>
          <w:highlight w:val="none"/>
          <w:u w:val="none"/>
          <w:lang w:eastAsia="zh-Hans"/>
        </w:rPr>
        <w:t>万元，实际采购金额为</w:t>
      </w:r>
      <w:r>
        <w:rPr>
          <w:rFonts w:hint="eastAsia" w:ascii="仿宋_GB2312" w:hAnsi="仿宋_GB2312" w:eastAsia="仿宋_GB2312" w:cs="仿宋_GB2312"/>
          <w:color w:val="auto"/>
          <w:sz w:val="32"/>
          <w:szCs w:val="32"/>
          <w:highlight w:val="none"/>
          <w:u w:val="none"/>
          <w:lang w:val="en-US" w:eastAsia="zh-CN"/>
        </w:rPr>
        <w:t>994.80</w:t>
      </w:r>
      <w:r>
        <w:rPr>
          <w:rFonts w:hint="eastAsia" w:ascii="仿宋_GB2312" w:hAnsi="仿宋_GB2312" w:eastAsia="仿宋_GB2312" w:cs="仿宋_GB2312"/>
          <w:color w:val="auto"/>
          <w:sz w:val="32"/>
          <w:szCs w:val="32"/>
          <w:highlight w:val="none"/>
          <w:u w:val="none"/>
          <w:lang w:eastAsia="zh-Hans"/>
        </w:rPr>
        <w:t>万元，政府采购执行率为</w:t>
      </w:r>
      <w:r>
        <w:rPr>
          <w:rFonts w:hint="eastAsia" w:ascii="仿宋_GB2312" w:hAnsi="仿宋_GB2312" w:eastAsia="仿宋_GB2312" w:cs="仿宋_GB2312"/>
          <w:color w:val="auto"/>
          <w:sz w:val="32"/>
          <w:szCs w:val="32"/>
          <w:highlight w:val="none"/>
          <w:u w:val="none"/>
          <w:lang w:val="en-US" w:eastAsia="zh-CN"/>
        </w:rPr>
        <w:t>99.78</w:t>
      </w:r>
      <w:r>
        <w:rPr>
          <w:rFonts w:hint="eastAsia" w:ascii="仿宋_GB2312" w:hAnsi="仿宋_GB2312" w:eastAsia="仿宋_GB2312" w:cs="仿宋_GB2312"/>
          <w:color w:val="auto"/>
          <w:sz w:val="32"/>
          <w:szCs w:val="32"/>
          <w:highlight w:val="none"/>
          <w:u w:val="none"/>
          <w:lang w:eastAsia="zh-Hans"/>
        </w:rPr>
        <w:t>%，政府采购执行情况较好。</w:t>
      </w:r>
    </w:p>
    <w:p w14:paraId="2CDEB2FA">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2</w:t>
      </w:r>
      <w:r>
        <w:rPr>
          <w:rFonts w:hint="eastAsia" w:ascii="仿宋_GB2312" w:hAnsi="仿宋_GB2312" w:eastAsia="仿宋_GB2312" w:cs="仿宋_GB2312"/>
          <w:color w:val="auto"/>
          <w:sz w:val="32"/>
          <w:szCs w:val="32"/>
          <w:highlight w:val="none"/>
          <w:u w:val="none"/>
          <w:lang w:eastAsia="zh-CN"/>
        </w:rPr>
        <w:t>）财务管理方面。2023年，我校按照《财务管理办法》的规定及流程进行资金支付、会计核算，不存在超范围、超标准、虚列支出与截留、挤占、挪用资金的情况。同时，我校按照区财政部门的规定进行指标调整、调剂，累计调整资金</w:t>
      </w:r>
      <w:r>
        <w:rPr>
          <w:rFonts w:hint="eastAsia" w:ascii="仿宋_GB2312" w:hAnsi="仿宋_GB2312" w:eastAsia="仿宋_GB2312" w:cs="仿宋_GB2312"/>
          <w:color w:val="auto"/>
          <w:sz w:val="32"/>
          <w:szCs w:val="32"/>
          <w:highlight w:val="none"/>
          <w:u w:val="none"/>
        </w:rPr>
        <w:t>828.8</w:t>
      </w:r>
      <w:r>
        <w:rPr>
          <w:rFonts w:hint="eastAsia" w:ascii="仿宋_GB2312" w:hAnsi="仿宋_GB2312" w:eastAsia="仿宋_GB2312" w:cs="仿宋_GB2312"/>
          <w:color w:val="auto"/>
          <w:sz w:val="32"/>
          <w:szCs w:val="32"/>
          <w:highlight w:val="none"/>
          <w:u w:val="none"/>
          <w:lang w:val="en-US" w:eastAsia="zh-CN"/>
        </w:rPr>
        <w:t>5</w:t>
      </w:r>
      <w:r>
        <w:rPr>
          <w:rFonts w:hint="eastAsia" w:ascii="仿宋_GB2312" w:hAnsi="仿宋_GB2312" w:eastAsia="仿宋_GB2312" w:cs="仿宋_GB2312"/>
          <w:color w:val="auto"/>
          <w:sz w:val="32"/>
          <w:szCs w:val="32"/>
          <w:highlight w:val="none"/>
          <w:u w:val="none"/>
          <w:lang w:eastAsia="zh-CN"/>
        </w:rPr>
        <w:t>万元，调整幅度控制在部门预算总规模10%以内，预算</w:t>
      </w:r>
      <w:r>
        <w:rPr>
          <w:rFonts w:hint="eastAsia" w:ascii="仿宋_GB2312" w:hAnsi="仿宋_GB2312" w:eastAsia="仿宋_GB2312" w:cs="仿宋_GB2312"/>
          <w:color w:val="auto"/>
          <w:sz w:val="32"/>
          <w:szCs w:val="32"/>
          <w:highlight w:val="none"/>
          <w:u w:val="none"/>
          <w:lang w:val="en-US" w:eastAsia="zh-CN"/>
        </w:rPr>
        <w:t>执行</w:t>
      </w:r>
      <w:r>
        <w:rPr>
          <w:rFonts w:hint="eastAsia" w:ascii="仿宋_GB2312" w:hAnsi="仿宋_GB2312" w:eastAsia="仿宋_GB2312" w:cs="仿宋_GB2312"/>
          <w:color w:val="auto"/>
          <w:sz w:val="32"/>
          <w:szCs w:val="32"/>
          <w:highlight w:val="none"/>
          <w:u w:val="none"/>
          <w:lang w:eastAsia="zh-CN"/>
        </w:rPr>
        <w:t>管理</w:t>
      </w:r>
      <w:r>
        <w:rPr>
          <w:rFonts w:hint="eastAsia" w:ascii="仿宋_GB2312" w:hAnsi="仿宋_GB2312" w:eastAsia="仿宋_GB2312" w:cs="仿宋_GB2312"/>
          <w:color w:val="auto"/>
          <w:sz w:val="32"/>
          <w:szCs w:val="32"/>
          <w:highlight w:val="none"/>
          <w:u w:val="none"/>
          <w:lang w:val="en-US" w:eastAsia="zh-CN"/>
        </w:rPr>
        <w:t>与控制水平较高</w:t>
      </w:r>
      <w:r>
        <w:rPr>
          <w:rFonts w:hint="eastAsia" w:ascii="仿宋_GB2312" w:hAnsi="仿宋_GB2312" w:eastAsia="仿宋_GB2312" w:cs="仿宋_GB2312"/>
          <w:color w:val="auto"/>
          <w:sz w:val="32"/>
          <w:szCs w:val="32"/>
          <w:highlight w:val="none"/>
          <w:u w:val="none"/>
          <w:lang w:eastAsia="zh-CN"/>
        </w:rPr>
        <w:t>。</w:t>
      </w:r>
    </w:p>
    <w:p w14:paraId="117A7608">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u w:val="none"/>
        </w:rPr>
      </w:pPr>
      <w:r>
        <w:rPr>
          <w:rFonts w:hint="eastAsia" w:ascii="仿宋_GB2312" w:hAnsi="仿宋_GB2312" w:eastAsia="仿宋_GB2312" w:cs="仿宋_GB2312"/>
          <w:bCs/>
          <w:color w:val="auto"/>
          <w:sz w:val="32"/>
          <w:szCs w:val="32"/>
          <w:u w:val="none"/>
        </w:rPr>
        <w:t>（3）预决算信息公开方面。按照上级有关要求，</w:t>
      </w:r>
      <w:r>
        <w:rPr>
          <w:rFonts w:hint="eastAsia" w:ascii="仿宋_GB2312" w:hAnsi="仿宋_GB2312" w:eastAsia="仿宋_GB2312" w:cs="仿宋_GB2312"/>
          <w:color w:val="auto"/>
          <w:sz w:val="32"/>
          <w:szCs w:val="32"/>
          <w:u w:val="none"/>
          <w:lang w:eastAsia="zh-CN"/>
        </w:rPr>
        <w:t>我校</w:t>
      </w:r>
      <w:r>
        <w:rPr>
          <w:rFonts w:hint="eastAsia" w:ascii="仿宋_GB2312" w:hAnsi="仿宋_GB2312" w:eastAsia="仿宋_GB2312" w:cs="仿宋_GB2312"/>
          <w:color w:val="auto"/>
          <w:sz w:val="32"/>
          <w:szCs w:val="32"/>
          <w:u w:val="none"/>
        </w:rPr>
        <w:t>分别于</w:t>
      </w:r>
      <w:r>
        <w:rPr>
          <w:rFonts w:hint="eastAsia" w:ascii="仿宋_GB2312" w:hAnsi="仿宋_GB2312" w:eastAsia="仿宋_GB2312" w:cs="仿宋_GB2312"/>
          <w:color w:val="auto"/>
          <w:sz w:val="32"/>
          <w:szCs w:val="32"/>
          <w:u w:val="none"/>
          <w:lang w:eastAsia="zh-CN"/>
        </w:rPr>
        <w:t>2023年</w:t>
      </w:r>
      <w:r>
        <w:rPr>
          <w:rFonts w:hint="eastAsia" w:ascii="仿宋_GB2312" w:hAnsi="仿宋_GB2312" w:eastAsia="仿宋_GB2312" w:cs="仿宋_GB2312"/>
          <w:color w:val="auto"/>
          <w:sz w:val="32"/>
          <w:szCs w:val="32"/>
          <w:highlight w:val="none"/>
          <w:u w:val="none"/>
          <w:lang w:val="en-US" w:eastAsia="zh-CN"/>
        </w:rPr>
        <w:t>2</w:t>
      </w:r>
      <w:r>
        <w:rPr>
          <w:rFonts w:hint="eastAsia" w:ascii="仿宋_GB2312" w:hAnsi="仿宋_GB2312" w:eastAsia="仿宋_GB2312" w:cs="仿宋_GB2312"/>
          <w:color w:val="auto"/>
          <w:sz w:val="32"/>
          <w:szCs w:val="32"/>
          <w:highlight w:val="none"/>
          <w:u w:val="none"/>
        </w:rPr>
        <w:t>月、</w:t>
      </w:r>
      <w:r>
        <w:rPr>
          <w:rFonts w:hint="eastAsia" w:ascii="仿宋_GB2312" w:hAnsi="仿宋_GB2312" w:eastAsia="仿宋_GB2312" w:cs="仿宋_GB2312"/>
          <w:color w:val="auto"/>
          <w:sz w:val="32"/>
          <w:szCs w:val="32"/>
          <w:highlight w:val="none"/>
          <w:u w:val="none"/>
          <w:lang w:val="en-US" w:eastAsia="zh-CN"/>
        </w:rPr>
        <w:t>12</w:t>
      </w:r>
      <w:r>
        <w:rPr>
          <w:rFonts w:hint="eastAsia" w:ascii="仿宋_GB2312" w:hAnsi="仿宋_GB2312" w:eastAsia="仿宋_GB2312" w:cs="仿宋_GB2312"/>
          <w:color w:val="auto"/>
          <w:sz w:val="32"/>
          <w:szCs w:val="32"/>
          <w:highlight w:val="none"/>
          <w:u w:val="none"/>
        </w:rPr>
        <w:t>月将</w:t>
      </w:r>
      <w:r>
        <w:rPr>
          <w:rFonts w:hint="eastAsia" w:ascii="仿宋_GB2312" w:hAnsi="仿宋_GB2312" w:eastAsia="仿宋_GB2312" w:cs="仿宋_GB2312"/>
          <w:color w:val="auto"/>
          <w:sz w:val="32"/>
          <w:szCs w:val="32"/>
          <w:highlight w:val="none"/>
          <w:u w:val="none"/>
          <w:lang w:eastAsia="zh-CN"/>
        </w:rPr>
        <w:t>2023年</w:t>
      </w:r>
      <w:r>
        <w:rPr>
          <w:rFonts w:hint="eastAsia" w:ascii="仿宋_GB2312" w:hAnsi="仿宋_GB2312" w:eastAsia="仿宋_GB2312" w:cs="仿宋_GB2312"/>
          <w:color w:val="auto"/>
          <w:sz w:val="32"/>
          <w:szCs w:val="32"/>
          <w:highlight w:val="none"/>
          <w:u w:val="none"/>
        </w:rPr>
        <w:t>部门预算及</w:t>
      </w:r>
      <w:r>
        <w:rPr>
          <w:rFonts w:hint="eastAsia" w:ascii="仿宋_GB2312" w:hAnsi="仿宋_GB2312" w:eastAsia="仿宋_GB2312" w:cs="仿宋_GB2312"/>
          <w:color w:val="auto"/>
          <w:sz w:val="32"/>
          <w:szCs w:val="32"/>
          <w:highlight w:val="none"/>
          <w:u w:val="none"/>
          <w:lang w:eastAsia="zh-CN"/>
        </w:rPr>
        <w:t>2022年</w:t>
      </w:r>
      <w:r>
        <w:rPr>
          <w:rFonts w:hint="eastAsia" w:ascii="仿宋_GB2312" w:hAnsi="仿宋_GB2312" w:eastAsia="仿宋_GB2312" w:cs="仿宋_GB2312"/>
          <w:color w:val="auto"/>
          <w:sz w:val="32"/>
          <w:szCs w:val="32"/>
          <w:highlight w:val="none"/>
          <w:u w:val="none"/>
        </w:rPr>
        <w:t>部门决算相关材料汇报至</w:t>
      </w:r>
      <w:r>
        <w:rPr>
          <w:rFonts w:hint="eastAsia" w:ascii="仿宋_GB2312" w:hAnsi="仿宋_GB2312" w:eastAsia="仿宋_GB2312" w:cs="仿宋_GB2312"/>
          <w:color w:val="auto"/>
          <w:sz w:val="32"/>
          <w:szCs w:val="32"/>
          <w:highlight w:val="none"/>
          <w:u w:val="none"/>
          <w:lang w:val="en-US" w:eastAsia="zh-CN"/>
        </w:rPr>
        <w:t>上级部门</w:t>
      </w:r>
      <w:r>
        <w:rPr>
          <w:rFonts w:hint="eastAsia" w:ascii="仿宋_GB2312" w:hAnsi="仿宋_GB2312" w:eastAsia="仿宋_GB2312" w:cs="仿宋_GB2312"/>
          <w:color w:val="auto"/>
          <w:sz w:val="32"/>
          <w:szCs w:val="32"/>
          <w:highlight w:val="none"/>
          <w:u w:val="none"/>
        </w:rPr>
        <w:t>，并由</w:t>
      </w:r>
      <w:r>
        <w:rPr>
          <w:rFonts w:hint="eastAsia" w:ascii="仿宋_GB2312" w:hAnsi="仿宋_GB2312" w:eastAsia="仿宋_GB2312" w:cs="仿宋_GB2312"/>
          <w:color w:val="auto"/>
          <w:sz w:val="32"/>
          <w:szCs w:val="32"/>
          <w:highlight w:val="none"/>
          <w:u w:val="none"/>
          <w:lang w:val="en-US" w:eastAsia="zh-CN"/>
        </w:rPr>
        <w:t>上级部门</w:t>
      </w:r>
      <w:r>
        <w:rPr>
          <w:rFonts w:hint="eastAsia" w:ascii="仿宋_GB2312" w:hAnsi="仿宋_GB2312" w:eastAsia="仿宋_GB2312" w:cs="仿宋_GB2312"/>
          <w:bCs/>
          <w:color w:val="auto"/>
          <w:sz w:val="32"/>
          <w:szCs w:val="32"/>
          <w:highlight w:val="none"/>
          <w:u w:val="none"/>
        </w:rPr>
        <w:t>统一在区政府在线网站进行公开，公开信息完整</w:t>
      </w:r>
      <w:r>
        <w:rPr>
          <w:rFonts w:hint="eastAsia" w:ascii="仿宋_GB2312" w:hAnsi="仿宋_GB2312" w:eastAsia="仿宋_GB2312" w:cs="仿宋_GB2312"/>
          <w:bCs/>
          <w:color w:val="auto"/>
          <w:sz w:val="32"/>
          <w:szCs w:val="32"/>
          <w:u w:val="none"/>
        </w:rPr>
        <w:t>且内容清晰，有效保障了预决算管理公开的透明度。</w:t>
      </w:r>
    </w:p>
    <w:p w14:paraId="14B3F209">
      <w:pPr>
        <w:pStyle w:val="3"/>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highlight w:val="yellow"/>
          <w:u w:val="none"/>
          <w:lang w:val="en-US" w:eastAsia="zh-CN"/>
        </w:rPr>
      </w:pPr>
      <w:r>
        <w:rPr>
          <w:rFonts w:hint="eastAsia" w:ascii="仿宋_GB2312" w:hAnsi="仿宋_GB2312" w:eastAsia="仿宋_GB2312" w:cs="仿宋_GB2312"/>
          <w:b/>
          <w:bCs/>
          <w:color w:val="auto"/>
          <w:sz w:val="32"/>
          <w:szCs w:val="32"/>
          <w:u w:val="none"/>
        </w:rPr>
        <w:t>2.项目管理</w:t>
      </w:r>
    </w:p>
    <w:p w14:paraId="4A2E015B">
      <w:pPr>
        <w:pStyle w:val="5"/>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（1）项目实施程序</w:t>
      </w:r>
    </w:p>
    <w:p w14:paraId="3C32F514">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rPr>
        <w:t>所有项目支出均严格按照预算编制的程序和要求，提供相关文件依据、测算标准向</w:t>
      </w:r>
      <w:r>
        <w:rPr>
          <w:rFonts w:hint="eastAsia" w:ascii="仿宋_GB2312" w:hAnsi="仿宋_GB2312" w:eastAsia="仿宋_GB2312" w:cs="仿宋_GB2312"/>
          <w:color w:val="auto"/>
          <w:sz w:val="32"/>
          <w:szCs w:val="32"/>
          <w:highlight w:val="none"/>
          <w:u w:val="none"/>
          <w:lang w:val="en-US" w:eastAsia="zh-CN"/>
        </w:rPr>
        <w:t>区教育局</w:t>
      </w:r>
      <w:r>
        <w:rPr>
          <w:rFonts w:hint="eastAsia" w:ascii="仿宋_GB2312" w:hAnsi="仿宋_GB2312" w:eastAsia="仿宋_GB2312" w:cs="仿宋_GB2312"/>
          <w:color w:val="auto"/>
          <w:sz w:val="32"/>
          <w:szCs w:val="32"/>
          <w:highlight w:val="none"/>
          <w:u w:val="none"/>
        </w:rPr>
        <w:t>申请设立，经</w:t>
      </w:r>
      <w:r>
        <w:rPr>
          <w:rFonts w:hint="eastAsia" w:ascii="仿宋_GB2312" w:hAnsi="仿宋_GB2312" w:eastAsia="仿宋_GB2312" w:cs="仿宋_GB2312"/>
          <w:color w:val="auto"/>
          <w:sz w:val="32"/>
          <w:szCs w:val="32"/>
          <w:highlight w:val="none"/>
          <w:u w:val="none"/>
          <w:lang w:val="en-US" w:eastAsia="zh-CN"/>
        </w:rPr>
        <w:t>区</w:t>
      </w:r>
      <w:r>
        <w:rPr>
          <w:rFonts w:hint="eastAsia" w:ascii="仿宋_GB2312" w:hAnsi="仿宋_GB2312" w:eastAsia="仿宋_GB2312" w:cs="仿宋_GB2312"/>
          <w:color w:val="auto"/>
          <w:sz w:val="32"/>
          <w:szCs w:val="32"/>
          <w:highlight w:val="none"/>
          <w:u w:val="none"/>
        </w:rPr>
        <w:t>人代会通过后，由财政部门正式批复下达。项目的设立、调整程序符合相关管理办法；项目招投标、建设、验收等关键环节均能严格把关，有效保障项目的正常开展。</w:t>
      </w:r>
    </w:p>
    <w:p w14:paraId="478D9E3F">
      <w:pPr>
        <w:pStyle w:val="5"/>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（2）项目监管</w:t>
      </w:r>
    </w:p>
    <w:p w14:paraId="6EE7AC8B">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lang w:eastAsia="zh-Hans"/>
        </w:rPr>
      </w:pPr>
      <w:r>
        <w:rPr>
          <w:rFonts w:hint="eastAsia" w:ascii="仿宋_GB2312" w:hAnsi="仿宋_GB2312" w:eastAsia="仿宋_GB2312" w:cs="仿宋_GB2312"/>
          <w:color w:val="auto"/>
          <w:sz w:val="32"/>
          <w:szCs w:val="32"/>
          <w:u w:val="none"/>
        </w:rPr>
        <w:t>项目实施过程中</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rPr>
        <w:t>对项目实施进度按要求进行跟踪监控</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动态调整，及时掌握项目实际情况，对于发现的问题积极予以解决，确保项目按时按质按量完成。对属于政府采购范围内的项目，执行过程中严格按照规定履行相关采购程序，与合格供应商签署服务合同，制订履约评价体系，及时对服务情</w:t>
      </w:r>
      <w:r>
        <w:rPr>
          <w:rFonts w:hint="eastAsia" w:ascii="仿宋_GB2312" w:hAnsi="仿宋_GB2312" w:eastAsia="仿宋_GB2312" w:cs="仿宋_GB2312"/>
          <w:color w:val="auto"/>
          <w:sz w:val="32"/>
          <w:szCs w:val="32"/>
          <w:u w:val="none"/>
        </w:rPr>
        <w:t>况进行检查、监控、督促，对服务效果进行阶段性验收及竣工验收评价。</w:t>
      </w:r>
    </w:p>
    <w:p w14:paraId="100332B1">
      <w:pPr>
        <w:pStyle w:val="4"/>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3.资产管理</w:t>
      </w:r>
    </w:p>
    <w:p w14:paraId="72E0A0E7">
      <w:pPr>
        <w:pStyle w:val="5"/>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（1）资产管理安全性</w:t>
      </w:r>
    </w:p>
    <w:p w14:paraId="477408FB">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jc w:val="both"/>
        <w:textAlignment w:val="auto"/>
        <w:rPr>
          <w:rFonts w:hint="eastAsia" w:ascii="仿宋_GB2312" w:hAnsi="仿宋_GB2312" w:eastAsia="仿宋_GB2312" w:cs="仿宋_GB2312"/>
          <w:color w:val="auto"/>
          <w:sz w:val="32"/>
          <w:szCs w:val="32"/>
          <w:highlight w:val="none"/>
          <w:lang w:eastAsia="zh-Hans"/>
        </w:rPr>
      </w:pPr>
      <w:r>
        <w:rPr>
          <w:rFonts w:hint="eastAsia" w:ascii="仿宋_GB2312" w:hAnsi="仿宋_GB2312" w:eastAsia="仿宋_GB2312" w:cs="仿宋_GB2312"/>
          <w:b/>
          <w:bCs/>
          <w:color w:val="000000"/>
          <w:sz w:val="32"/>
          <w:szCs w:val="32"/>
          <w:lang w:val="en-US" w:eastAsia="zh-Hans"/>
        </w:rPr>
        <w:t>一是</w:t>
      </w:r>
      <w:r>
        <w:rPr>
          <w:rFonts w:hint="eastAsia" w:ascii="仿宋_GB2312" w:hAnsi="仿宋_GB2312" w:eastAsia="仿宋_GB2312" w:cs="仿宋_GB2312"/>
          <w:b/>
          <w:bCs/>
          <w:color w:val="000000"/>
          <w:sz w:val="32"/>
          <w:szCs w:val="32"/>
        </w:rPr>
        <w:t>资产配置合理、保管完整，账实相符</w:t>
      </w:r>
      <w:r>
        <w:rPr>
          <w:rFonts w:hint="eastAsia" w:ascii="仿宋_GB2312" w:hAnsi="仿宋_GB2312" w:eastAsia="仿宋_GB2312" w:cs="仿宋_GB2312"/>
          <w:b/>
          <w:bCs/>
          <w:color w:val="000000"/>
          <w:sz w:val="32"/>
          <w:szCs w:val="32"/>
          <w:lang w:val="en-US" w:eastAsia="zh-Hans"/>
        </w:rPr>
        <w:t>方面</w:t>
      </w:r>
      <w:r>
        <w:rPr>
          <w:rFonts w:hint="eastAsia" w:ascii="仿宋_GB2312" w:hAnsi="仿宋_GB2312" w:eastAsia="仿宋_GB2312" w:cs="仿宋_GB2312"/>
          <w:b/>
          <w:bCs/>
          <w:color w:val="000000"/>
          <w:sz w:val="32"/>
          <w:szCs w:val="32"/>
          <w:lang w:eastAsia="zh-Hans"/>
        </w:rPr>
        <w:t>。</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lang w:val="en-US" w:eastAsia="zh-Hans"/>
        </w:rPr>
        <w:t>资产使用严格按照</w:t>
      </w:r>
      <w:r>
        <w:rPr>
          <w:rFonts w:hint="eastAsia" w:ascii="仿宋_GB2312" w:hAnsi="仿宋_GB2312" w:eastAsia="仿宋_GB2312" w:cs="仿宋_GB2312"/>
          <w:color w:val="auto"/>
          <w:sz w:val="32"/>
          <w:szCs w:val="32"/>
          <w:highlight w:val="none"/>
        </w:rPr>
        <w:t>《行政事业单位国有资产使用管理的暂行办法》</w:t>
      </w:r>
      <w:r>
        <w:rPr>
          <w:rFonts w:hint="eastAsia" w:ascii="仿宋_GB2312" w:hAnsi="仿宋_GB2312" w:eastAsia="仿宋_GB2312" w:cs="仿宋_GB2312"/>
          <w:color w:val="auto"/>
          <w:sz w:val="32"/>
          <w:szCs w:val="32"/>
          <w:highlight w:val="none"/>
          <w:lang w:val="en-US" w:eastAsia="zh-Hans"/>
        </w:rPr>
        <w:t>执行</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资产日常管理实行“谁使用</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谁负责”的原则</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资产购置</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验收</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入库</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领用</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退库及变更等环节</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严格按照相关流程审批</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及时办理资产入账手续</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同时不定期组织开展资产清查工作</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各业务部门积极参与配合</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保障资产“账实相符”“账账相符”</w:t>
      </w:r>
      <w:r>
        <w:rPr>
          <w:rFonts w:hint="eastAsia" w:ascii="仿宋_GB2312" w:hAnsi="仿宋_GB2312" w:eastAsia="仿宋_GB2312" w:cs="仿宋_GB2312"/>
          <w:color w:val="auto"/>
          <w:sz w:val="32"/>
          <w:szCs w:val="32"/>
          <w:highlight w:val="none"/>
          <w:lang w:eastAsia="zh-Hans"/>
        </w:rPr>
        <w:t>。</w:t>
      </w:r>
    </w:p>
    <w:p w14:paraId="5E81CCF5">
      <w:pPr>
        <w:pStyle w:val="10"/>
        <w:keepNext w:val="0"/>
        <w:keepLines w:val="0"/>
        <w:pageBreakBefore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color w:val="auto"/>
          <w:sz w:val="32"/>
          <w:szCs w:val="32"/>
          <w:highlight w:val="yellow"/>
          <w:u w:val="none"/>
        </w:rPr>
      </w:pPr>
      <w:r>
        <w:rPr>
          <w:rFonts w:hint="eastAsia" w:ascii="仿宋_GB2312" w:hAnsi="仿宋_GB2312" w:eastAsia="仿宋_GB2312" w:cs="仿宋_GB2312"/>
          <w:b/>
          <w:bCs/>
          <w:color w:val="000000"/>
          <w:sz w:val="32"/>
          <w:szCs w:val="32"/>
          <w:lang w:val="en-US" w:eastAsia="zh-Hans"/>
        </w:rPr>
        <w:t>二是资产处置规范方面。</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lang w:val="en-US" w:eastAsia="zh-Hans"/>
        </w:rPr>
        <w:t>资产处理严格按照</w:t>
      </w:r>
      <w:r>
        <w:rPr>
          <w:rFonts w:hint="eastAsia" w:ascii="仿宋_GB2312" w:hAnsi="仿宋_GB2312" w:eastAsia="仿宋_GB2312" w:cs="仿宋_GB2312"/>
          <w:color w:val="auto"/>
          <w:sz w:val="32"/>
          <w:szCs w:val="32"/>
          <w:highlight w:val="none"/>
          <w:lang w:val="en-US" w:eastAsia="zh-CN"/>
        </w:rPr>
        <w:t>区财政</w:t>
      </w:r>
      <w:r>
        <w:rPr>
          <w:rFonts w:hint="eastAsia" w:ascii="仿宋_GB2312" w:hAnsi="仿宋_GB2312" w:eastAsia="仿宋_GB2312" w:cs="仿宋_GB2312"/>
          <w:color w:val="auto"/>
          <w:sz w:val="32"/>
          <w:szCs w:val="32"/>
          <w:highlight w:val="none"/>
          <w:lang w:val="en-US" w:eastAsia="zh-Hans"/>
        </w:rPr>
        <w:t>的要求，严格履行审批手续，经</w:t>
      </w:r>
      <w:r>
        <w:rPr>
          <w:rFonts w:hint="eastAsia" w:ascii="仿宋_GB2312" w:hAnsi="仿宋_GB2312" w:eastAsia="仿宋_GB2312" w:cs="仿宋_GB2312"/>
          <w:color w:val="auto"/>
          <w:sz w:val="32"/>
          <w:szCs w:val="32"/>
          <w:highlight w:val="none"/>
          <w:lang w:val="en-US" w:eastAsia="zh-CN"/>
        </w:rPr>
        <w:t>区</w:t>
      </w:r>
      <w:r>
        <w:rPr>
          <w:rFonts w:hint="eastAsia" w:ascii="仿宋_GB2312" w:hAnsi="仿宋_GB2312" w:eastAsia="仿宋_GB2312" w:cs="仿宋_GB2312"/>
          <w:color w:val="auto"/>
          <w:sz w:val="32"/>
          <w:szCs w:val="32"/>
          <w:highlight w:val="none"/>
          <w:lang w:val="en-US" w:eastAsia="zh-Hans"/>
        </w:rPr>
        <w:t>财政局审核同意后，随即完成资产处置工作</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同步更新资产管理系统数据</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做到“账卡相符”</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同时</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办理好资产销账工作</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做到“账实相符”“账账相符”</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年度，我</w:t>
      </w:r>
      <w:r>
        <w:rPr>
          <w:rFonts w:hint="eastAsia" w:ascii="仿宋_GB2312" w:hAnsi="仿宋_GB2312" w:eastAsia="仿宋_GB2312" w:cs="仿宋_GB2312"/>
          <w:color w:val="auto"/>
          <w:sz w:val="32"/>
          <w:szCs w:val="32"/>
          <w:highlight w:val="none"/>
          <w:lang w:val="en-US" w:eastAsia="zh-CN"/>
        </w:rPr>
        <w:t>校未产生国有资产有偿使用及处置收入</w:t>
      </w:r>
      <w:r>
        <w:rPr>
          <w:rFonts w:hint="eastAsia" w:ascii="仿宋_GB2312" w:hAnsi="仿宋_GB2312" w:eastAsia="仿宋_GB2312" w:cs="仿宋_GB2312"/>
          <w:b w:val="0"/>
          <w:bCs w:val="0"/>
          <w:color w:val="auto"/>
          <w:kern w:val="2"/>
          <w:sz w:val="32"/>
          <w:szCs w:val="32"/>
          <w:highlight w:val="none"/>
          <w:lang w:val="en-US" w:eastAsia="zh-Hans" w:bidi="ar-SA"/>
        </w:rPr>
        <w:t>。</w:t>
      </w:r>
    </w:p>
    <w:p w14:paraId="68A90007">
      <w:pPr>
        <w:pStyle w:val="5"/>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（2）固定资产利用率</w:t>
      </w:r>
    </w:p>
    <w:p w14:paraId="518001E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2"/>
          <w:sz w:val="32"/>
          <w:szCs w:val="32"/>
          <w:u w:val="none"/>
          <w:lang w:val="en-US" w:eastAsia="zh-Hans" w:bidi="ar-SA"/>
        </w:rPr>
      </w:pP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rPr>
        <w:t>固定资产实行</w:t>
      </w:r>
      <w:r>
        <w:rPr>
          <w:rFonts w:hint="eastAsia" w:ascii="仿宋_GB2312" w:hAnsi="仿宋_GB2312" w:eastAsia="仿宋_GB2312" w:cs="仿宋_GB2312"/>
          <w:color w:val="auto"/>
          <w:sz w:val="32"/>
          <w:szCs w:val="32"/>
          <w:highlight w:val="none"/>
          <w:u w:val="none"/>
          <w:lang w:eastAsia="zh-Hans"/>
        </w:rPr>
        <w:t>“</w:t>
      </w:r>
      <w:r>
        <w:rPr>
          <w:rFonts w:hint="eastAsia" w:ascii="仿宋_GB2312" w:hAnsi="仿宋_GB2312" w:eastAsia="仿宋_GB2312" w:cs="仿宋_GB2312"/>
          <w:color w:val="auto"/>
          <w:sz w:val="32"/>
          <w:szCs w:val="32"/>
          <w:highlight w:val="none"/>
          <w:u w:val="none"/>
        </w:rPr>
        <w:t>统一领导、分级管理、管用结合</w:t>
      </w:r>
      <w:r>
        <w:rPr>
          <w:rFonts w:hint="eastAsia" w:ascii="仿宋_GB2312" w:hAnsi="仿宋_GB2312" w:eastAsia="仿宋_GB2312" w:cs="仿宋_GB2312"/>
          <w:color w:val="auto"/>
          <w:sz w:val="32"/>
          <w:szCs w:val="32"/>
          <w:highlight w:val="none"/>
          <w:u w:val="none"/>
          <w:lang w:eastAsia="zh-Hans"/>
        </w:rPr>
        <w:t>”</w:t>
      </w:r>
      <w:r>
        <w:rPr>
          <w:rFonts w:hint="eastAsia" w:ascii="仿宋_GB2312" w:hAnsi="仿宋_GB2312" w:eastAsia="仿宋_GB2312" w:cs="仿宋_GB2312"/>
          <w:color w:val="auto"/>
          <w:sz w:val="32"/>
          <w:szCs w:val="32"/>
          <w:highlight w:val="none"/>
          <w:u w:val="none"/>
        </w:rPr>
        <w:t>和</w:t>
      </w:r>
      <w:r>
        <w:rPr>
          <w:rFonts w:hint="eastAsia" w:ascii="仿宋_GB2312" w:hAnsi="仿宋_GB2312" w:eastAsia="仿宋_GB2312" w:cs="仿宋_GB2312"/>
          <w:color w:val="auto"/>
          <w:sz w:val="32"/>
          <w:szCs w:val="32"/>
          <w:highlight w:val="none"/>
          <w:u w:val="none"/>
          <w:lang w:eastAsia="zh-Hans"/>
        </w:rPr>
        <w:t>“</w:t>
      </w:r>
      <w:r>
        <w:rPr>
          <w:rFonts w:hint="eastAsia" w:ascii="仿宋_GB2312" w:hAnsi="仿宋_GB2312" w:eastAsia="仿宋_GB2312" w:cs="仿宋_GB2312"/>
          <w:color w:val="auto"/>
          <w:sz w:val="32"/>
          <w:szCs w:val="32"/>
          <w:highlight w:val="none"/>
          <w:u w:val="none"/>
        </w:rPr>
        <w:t>谁使用谁保管</w:t>
      </w:r>
      <w:r>
        <w:rPr>
          <w:rFonts w:hint="eastAsia" w:ascii="仿宋_GB2312" w:hAnsi="仿宋_GB2312" w:eastAsia="仿宋_GB2312" w:cs="仿宋_GB2312"/>
          <w:color w:val="auto"/>
          <w:sz w:val="32"/>
          <w:szCs w:val="32"/>
          <w:highlight w:val="none"/>
          <w:u w:val="none"/>
          <w:lang w:eastAsia="zh-Hans"/>
        </w:rPr>
        <w:t>”</w:t>
      </w:r>
      <w:r>
        <w:rPr>
          <w:rFonts w:hint="eastAsia" w:ascii="仿宋_GB2312" w:hAnsi="仿宋_GB2312" w:eastAsia="仿宋_GB2312" w:cs="仿宋_GB2312"/>
          <w:color w:val="auto"/>
          <w:sz w:val="32"/>
          <w:szCs w:val="32"/>
          <w:highlight w:val="none"/>
          <w:u w:val="none"/>
        </w:rPr>
        <w:t>的原则，每项固定资产责任到人。指定专职资产管理员专门负责固定资产管理工作，固定资产保管比较完整。建立健全资产管理机制，对资产的购置、使用、报废、处置进行了完善的管理和监控，每年及时清查闲置资产进行报废及处置，合理配备并节约、有效使用资产，提高资产使用效率。2</w:t>
      </w:r>
      <w:r>
        <w:rPr>
          <w:rFonts w:hint="eastAsia" w:ascii="仿宋_GB2312" w:hAnsi="仿宋_GB2312" w:eastAsia="仿宋_GB2312" w:cs="仿宋_GB2312"/>
          <w:color w:val="auto"/>
          <w:sz w:val="32"/>
          <w:szCs w:val="32"/>
          <w:u w:val="none"/>
        </w:rPr>
        <w:t>02</w:t>
      </w:r>
      <w:r>
        <w:rPr>
          <w:rFonts w:hint="eastAsia" w:ascii="仿宋_GB2312" w:hAnsi="仿宋_GB2312" w:eastAsia="仿宋_GB2312" w:cs="仿宋_GB2312"/>
          <w:color w:val="auto"/>
          <w:sz w:val="32"/>
          <w:szCs w:val="32"/>
          <w:u w:val="none"/>
          <w:lang w:val="en-US" w:eastAsia="zh-CN"/>
        </w:rPr>
        <w:t>3</w:t>
      </w:r>
      <w:r>
        <w:rPr>
          <w:rFonts w:hint="eastAsia" w:ascii="仿宋_GB2312" w:hAnsi="仿宋_GB2312" w:eastAsia="仿宋_GB2312" w:cs="仿宋_GB2312"/>
          <w:color w:val="auto"/>
          <w:sz w:val="32"/>
          <w:szCs w:val="32"/>
          <w:u w:val="none"/>
        </w:rPr>
        <w:t>年度</w:t>
      </w:r>
      <w:r>
        <w:rPr>
          <w:rFonts w:hint="eastAsia" w:ascii="仿宋_GB2312" w:hAnsi="仿宋_GB2312" w:eastAsia="仿宋_GB2312" w:cs="仿宋_GB2312"/>
          <w:color w:val="auto"/>
          <w:sz w:val="32"/>
          <w:szCs w:val="32"/>
          <w:u w:val="none"/>
          <w:lang w:val="en-US" w:eastAsia="zh-Hans"/>
        </w:rPr>
        <w:t>固定</w:t>
      </w:r>
      <w:r>
        <w:rPr>
          <w:rFonts w:hint="eastAsia" w:ascii="仿宋_GB2312" w:hAnsi="仿宋_GB2312" w:eastAsia="仿宋_GB2312" w:cs="仿宋_GB2312"/>
          <w:color w:val="auto"/>
          <w:sz w:val="32"/>
          <w:szCs w:val="32"/>
          <w:highlight w:val="none"/>
          <w:u w:val="none"/>
          <w:lang w:val="en-US" w:eastAsia="zh-Hans"/>
        </w:rPr>
        <w:t>资产原值总额为</w:t>
      </w:r>
      <w:r>
        <w:rPr>
          <w:rFonts w:hint="eastAsia" w:ascii="仿宋_GB2312" w:hAnsi="仿宋_GB2312" w:eastAsia="仿宋_GB2312" w:cs="仿宋_GB2312"/>
          <w:color w:val="auto"/>
          <w:sz w:val="32"/>
          <w:szCs w:val="32"/>
          <w:highlight w:val="none"/>
          <w:u w:val="none"/>
          <w:lang w:val="en-US" w:eastAsia="zh-CN"/>
        </w:rPr>
        <w:t>56,218.58</w:t>
      </w:r>
      <w:r>
        <w:rPr>
          <w:rFonts w:hint="eastAsia" w:ascii="仿宋_GB2312" w:hAnsi="仿宋_GB2312" w:eastAsia="仿宋_GB2312" w:cs="仿宋_GB2312"/>
          <w:color w:val="auto"/>
          <w:sz w:val="32"/>
          <w:szCs w:val="32"/>
          <w:highlight w:val="none"/>
          <w:u w:val="none"/>
          <w:lang w:val="en-US" w:eastAsia="zh-Hans"/>
        </w:rPr>
        <w:t>万元</w:t>
      </w:r>
      <w:r>
        <w:rPr>
          <w:rFonts w:hint="eastAsia" w:ascii="仿宋_GB2312" w:hAnsi="仿宋_GB2312" w:eastAsia="仿宋_GB2312" w:cs="仿宋_GB2312"/>
          <w:color w:val="auto"/>
          <w:sz w:val="32"/>
          <w:szCs w:val="32"/>
          <w:highlight w:val="none"/>
          <w:u w:val="none"/>
          <w:lang w:eastAsia="zh-Hans"/>
        </w:rPr>
        <w:t>，</w:t>
      </w:r>
      <w:r>
        <w:rPr>
          <w:rFonts w:hint="eastAsia" w:ascii="仿宋_GB2312" w:hAnsi="仿宋_GB2312" w:eastAsia="仿宋_GB2312" w:cs="仿宋_GB2312"/>
          <w:color w:val="auto"/>
          <w:sz w:val="32"/>
          <w:szCs w:val="32"/>
          <w:highlight w:val="none"/>
          <w:u w:val="none"/>
          <w:lang w:val="en-US" w:eastAsia="zh-Hans"/>
        </w:rPr>
        <w:t>实际在用固定资产原值总额为</w:t>
      </w:r>
      <w:r>
        <w:rPr>
          <w:rFonts w:hint="eastAsia" w:ascii="仿宋_GB2312" w:hAnsi="仿宋_GB2312" w:eastAsia="仿宋_GB2312" w:cs="仿宋_GB2312"/>
          <w:color w:val="auto"/>
          <w:sz w:val="32"/>
          <w:szCs w:val="32"/>
          <w:highlight w:val="none"/>
          <w:u w:val="none"/>
          <w:lang w:val="en-US" w:eastAsia="zh-CN"/>
        </w:rPr>
        <w:t>56,218.58</w:t>
      </w:r>
      <w:r>
        <w:rPr>
          <w:rFonts w:hint="eastAsia" w:ascii="仿宋_GB2312" w:hAnsi="仿宋_GB2312" w:eastAsia="仿宋_GB2312" w:cs="仿宋_GB2312"/>
          <w:color w:val="auto"/>
          <w:sz w:val="32"/>
          <w:szCs w:val="32"/>
          <w:highlight w:val="none"/>
          <w:u w:val="none"/>
        </w:rPr>
        <w:t>万元，</w:t>
      </w:r>
      <w:r>
        <w:rPr>
          <w:rFonts w:hint="eastAsia" w:ascii="仿宋_GB2312" w:hAnsi="仿宋_GB2312" w:eastAsia="仿宋_GB2312" w:cs="仿宋_GB2312"/>
          <w:color w:val="auto"/>
          <w:sz w:val="32"/>
          <w:szCs w:val="32"/>
          <w:highlight w:val="none"/>
          <w:u w:val="none"/>
          <w:lang w:val="en-US" w:eastAsia="zh-Hans"/>
        </w:rPr>
        <w:t>固定资产利用率</w:t>
      </w:r>
      <w:r>
        <w:rPr>
          <w:rFonts w:hint="eastAsia" w:ascii="仿宋_GB2312" w:hAnsi="仿宋_GB2312" w:eastAsia="仿宋_GB2312" w:cs="仿宋_GB2312"/>
          <w:color w:val="auto"/>
          <w:sz w:val="32"/>
          <w:szCs w:val="32"/>
          <w:highlight w:val="none"/>
          <w:u w:val="none"/>
        </w:rPr>
        <w:t>达到</w:t>
      </w:r>
      <w:r>
        <w:rPr>
          <w:rFonts w:hint="eastAsia" w:ascii="仿宋_GB2312" w:hAnsi="仿宋_GB2312" w:eastAsia="仿宋_GB2312" w:cs="仿宋_GB2312"/>
          <w:color w:val="auto"/>
          <w:sz w:val="32"/>
          <w:szCs w:val="32"/>
          <w:highlight w:val="none"/>
          <w:u w:val="none"/>
          <w:lang w:val="en-US" w:eastAsia="zh-CN"/>
        </w:rPr>
        <w:t>100</w:t>
      </w:r>
      <w:r>
        <w:rPr>
          <w:rFonts w:hint="eastAsia" w:ascii="仿宋_GB2312" w:hAnsi="仿宋_GB2312" w:eastAsia="仿宋_GB2312" w:cs="仿宋_GB2312"/>
          <w:color w:val="auto"/>
          <w:kern w:val="2"/>
          <w:sz w:val="32"/>
          <w:szCs w:val="32"/>
          <w:highlight w:val="none"/>
          <w:u w:val="none"/>
          <w:lang w:val="en-US" w:eastAsia="zh-CN" w:bidi="ar-SA"/>
        </w:rPr>
        <w:t>%</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val="en-US" w:eastAsia="zh-Hans"/>
        </w:rPr>
        <w:t>固定资产利用情况良好</w:t>
      </w:r>
      <w:r>
        <w:rPr>
          <w:rFonts w:hint="eastAsia" w:ascii="仿宋_GB2312" w:hAnsi="仿宋_GB2312" w:eastAsia="仿宋_GB2312" w:cs="仿宋_GB2312"/>
          <w:color w:val="auto"/>
          <w:sz w:val="32"/>
          <w:szCs w:val="32"/>
          <w:highlight w:val="none"/>
          <w:u w:val="none"/>
        </w:rPr>
        <w:t>。</w:t>
      </w:r>
    </w:p>
    <w:p w14:paraId="514FFC0A">
      <w:pPr>
        <w:pStyle w:val="4"/>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4.人员管理</w:t>
      </w:r>
    </w:p>
    <w:p w14:paraId="0B7C6093">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rPr>
        <w:t>截至</w:t>
      </w:r>
      <w:r>
        <w:rPr>
          <w:rFonts w:hint="eastAsia" w:ascii="仿宋_GB2312" w:hAnsi="仿宋_GB2312" w:eastAsia="仿宋_GB2312" w:cs="仿宋_GB2312"/>
          <w:color w:val="auto"/>
          <w:sz w:val="32"/>
          <w:szCs w:val="32"/>
          <w:highlight w:val="none"/>
          <w:u w:val="none"/>
          <w:lang w:eastAsia="zh-CN"/>
        </w:rPr>
        <w:t>2023年</w:t>
      </w:r>
      <w:r>
        <w:rPr>
          <w:rFonts w:hint="eastAsia" w:ascii="仿宋_GB2312" w:hAnsi="仿宋_GB2312" w:eastAsia="仿宋_GB2312" w:cs="仿宋_GB2312"/>
          <w:color w:val="auto"/>
          <w:sz w:val="32"/>
          <w:szCs w:val="32"/>
          <w:highlight w:val="none"/>
          <w:u w:val="none"/>
        </w:rPr>
        <w:t>12月31日，</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rPr>
        <w:t>核定事业编制</w:t>
      </w:r>
      <w:r>
        <w:rPr>
          <w:rFonts w:hint="eastAsia" w:ascii="仿宋_GB2312" w:hAnsi="仿宋_GB2312" w:eastAsia="仿宋_GB2312" w:cs="仿宋_GB2312"/>
          <w:color w:val="auto"/>
          <w:sz w:val="32"/>
          <w:szCs w:val="32"/>
          <w:highlight w:val="none"/>
          <w:u w:val="none"/>
          <w:lang w:val="en-US" w:eastAsia="zh-CN"/>
        </w:rPr>
        <w:t>175</w:t>
      </w:r>
      <w:r>
        <w:rPr>
          <w:rFonts w:hint="eastAsia" w:ascii="仿宋_GB2312" w:hAnsi="仿宋_GB2312" w:eastAsia="仿宋_GB2312" w:cs="仿宋_GB2312"/>
          <w:color w:val="auto"/>
          <w:sz w:val="32"/>
          <w:szCs w:val="32"/>
          <w:highlight w:val="none"/>
          <w:u w:val="none"/>
        </w:rPr>
        <w:t>人，年末在职人员</w:t>
      </w:r>
      <w:r>
        <w:rPr>
          <w:rFonts w:hint="eastAsia" w:ascii="仿宋_GB2312" w:hAnsi="仿宋_GB2312" w:eastAsia="仿宋_GB2312" w:cs="仿宋_GB2312"/>
          <w:color w:val="auto"/>
          <w:sz w:val="32"/>
          <w:szCs w:val="32"/>
          <w:highlight w:val="none"/>
          <w:u w:val="none"/>
          <w:lang w:val="en-US" w:eastAsia="zh-CN"/>
        </w:rPr>
        <w:t>175</w:t>
      </w:r>
      <w:r>
        <w:rPr>
          <w:rFonts w:hint="eastAsia" w:ascii="仿宋_GB2312" w:hAnsi="仿宋_GB2312" w:eastAsia="仿宋_GB2312" w:cs="仿宋_GB2312"/>
          <w:color w:val="auto"/>
          <w:sz w:val="32"/>
          <w:szCs w:val="32"/>
          <w:highlight w:val="none"/>
          <w:u w:val="none"/>
        </w:rPr>
        <w:t>人，其中实有事业编制</w:t>
      </w:r>
      <w:r>
        <w:rPr>
          <w:rFonts w:hint="eastAsia" w:ascii="仿宋_GB2312" w:hAnsi="仿宋_GB2312" w:eastAsia="仿宋_GB2312" w:cs="仿宋_GB2312"/>
          <w:color w:val="auto"/>
          <w:sz w:val="32"/>
          <w:szCs w:val="32"/>
          <w:highlight w:val="none"/>
          <w:u w:val="none"/>
          <w:lang w:val="en-US" w:eastAsia="zh-CN"/>
        </w:rPr>
        <w:t>175</w:t>
      </w:r>
      <w:r>
        <w:rPr>
          <w:rFonts w:hint="eastAsia" w:ascii="仿宋_GB2312" w:hAnsi="仿宋_GB2312" w:eastAsia="仿宋_GB2312" w:cs="仿宋_GB2312"/>
          <w:color w:val="auto"/>
          <w:sz w:val="32"/>
          <w:szCs w:val="32"/>
          <w:highlight w:val="none"/>
          <w:u w:val="none"/>
        </w:rPr>
        <w:t>人，其他人员</w:t>
      </w:r>
      <w:r>
        <w:rPr>
          <w:rFonts w:hint="eastAsia" w:ascii="仿宋_GB2312" w:hAnsi="仿宋_GB2312" w:eastAsia="仿宋_GB2312" w:cs="仿宋_GB2312"/>
          <w:color w:val="auto"/>
          <w:sz w:val="32"/>
          <w:szCs w:val="32"/>
          <w:highlight w:val="none"/>
          <w:u w:val="none"/>
          <w:lang w:val="en-US" w:eastAsia="zh-CN"/>
        </w:rPr>
        <w:t>0</w:t>
      </w:r>
      <w:r>
        <w:rPr>
          <w:rFonts w:hint="eastAsia" w:ascii="仿宋_GB2312" w:hAnsi="仿宋_GB2312" w:eastAsia="仿宋_GB2312" w:cs="仿宋_GB2312"/>
          <w:color w:val="auto"/>
          <w:sz w:val="32"/>
          <w:szCs w:val="32"/>
          <w:highlight w:val="none"/>
          <w:u w:val="none"/>
        </w:rPr>
        <w:t>人。财政供养人员控制率</w:t>
      </w:r>
      <w:r>
        <w:rPr>
          <w:rFonts w:hint="eastAsia" w:ascii="仿宋_GB2312" w:hAnsi="仿宋_GB2312" w:eastAsia="仿宋_GB2312" w:cs="仿宋_GB2312"/>
          <w:color w:val="auto"/>
          <w:sz w:val="32"/>
          <w:szCs w:val="32"/>
          <w:highlight w:val="none"/>
          <w:u w:val="none"/>
          <w:lang w:val="en-US" w:eastAsia="zh-CN"/>
        </w:rPr>
        <w:t>100</w:t>
      </w:r>
      <w:r>
        <w:rPr>
          <w:rFonts w:hint="eastAsia" w:ascii="仿宋_GB2312" w:hAnsi="仿宋_GB2312" w:eastAsia="仿宋_GB2312" w:cs="仿宋_GB2312"/>
          <w:color w:val="auto"/>
          <w:sz w:val="32"/>
          <w:szCs w:val="32"/>
          <w:highlight w:val="none"/>
          <w:u w:val="none"/>
        </w:rPr>
        <w:t>%，编外人员控制率</w:t>
      </w:r>
      <w:r>
        <w:rPr>
          <w:rFonts w:hint="eastAsia" w:ascii="仿宋_GB2312" w:hAnsi="仿宋_GB2312" w:eastAsia="仿宋_GB2312" w:cs="仿宋_GB2312"/>
          <w:color w:val="auto"/>
          <w:sz w:val="32"/>
          <w:szCs w:val="32"/>
          <w:highlight w:val="none"/>
          <w:u w:val="none"/>
          <w:lang w:val="en-US" w:eastAsia="zh-CN"/>
        </w:rPr>
        <w:t>0</w:t>
      </w:r>
      <w:r>
        <w:rPr>
          <w:rFonts w:hint="eastAsia" w:ascii="仿宋_GB2312" w:hAnsi="仿宋_GB2312" w:eastAsia="仿宋_GB2312" w:cs="仿宋_GB2312"/>
          <w:color w:val="auto"/>
          <w:sz w:val="32"/>
          <w:szCs w:val="32"/>
          <w:highlight w:val="none"/>
          <w:u w:val="none"/>
        </w:rPr>
        <w:t>%，财政供养人员控制情况和编外人员控制情况良好</w:t>
      </w:r>
      <w:r>
        <w:rPr>
          <w:rFonts w:hint="eastAsia" w:ascii="仿宋_GB2312" w:hAnsi="仿宋_GB2312" w:eastAsia="仿宋_GB2312" w:cs="仿宋_GB2312"/>
          <w:color w:val="auto"/>
          <w:sz w:val="32"/>
          <w:szCs w:val="32"/>
          <w:highlight w:val="none"/>
          <w:u w:val="none"/>
          <w:lang w:eastAsia="zh-CN"/>
        </w:rPr>
        <w:t>。</w:t>
      </w:r>
    </w:p>
    <w:p w14:paraId="0C99D310">
      <w:pPr>
        <w:pStyle w:val="4"/>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5.制度管理</w:t>
      </w:r>
    </w:p>
    <w:p w14:paraId="7B7B57F1">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u w:val="none"/>
        </w:rPr>
      </w:pP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u w:val="none"/>
        </w:rPr>
        <w:t>建立了《预算业务管理制度》、《收支业务管理制度》、《采购业务管理制度》、《资产业务管理制度》、《建设项目管理制度》、《合同业务管理制度》等一系列管理制度，基本涵盖内部控制预算管理、收支管理、政府采购管理、资产管理、建设项目管理、合同管理六大经济业务活动，部门职能履行与预算执行得以保障。同时，严格按照区财政</w:t>
      </w:r>
      <w:r>
        <w:rPr>
          <w:rFonts w:hint="eastAsia" w:ascii="仿宋_GB2312" w:hAnsi="仿宋_GB2312" w:eastAsia="仿宋_GB2312" w:cs="仿宋_GB2312"/>
          <w:color w:val="auto"/>
          <w:sz w:val="32"/>
          <w:szCs w:val="32"/>
          <w:u w:val="none"/>
          <w:lang w:val="en-US" w:eastAsia="zh-CN"/>
        </w:rPr>
        <w:t>部门及区教育局</w:t>
      </w:r>
      <w:r>
        <w:rPr>
          <w:rFonts w:hint="eastAsia" w:ascii="仿宋_GB2312" w:hAnsi="仿宋_GB2312" w:eastAsia="仿宋_GB2312" w:cs="仿宋_GB2312"/>
          <w:color w:val="auto"/>
          <w:sz w:val="32"/>
          <w:szCs w:val="32"/>
          <w:u w:val="none"/>
        </w:rPr>
        <w:t>要求，开展事前评估、绩效目标编报、绩效监控、绩效评价和评价结果应用等工作</w:t>
      </w:r>
      <w:r>
        <w:rPr>
          <w:rFonts w:hint="eastAsia" w:ascii="仿宋_GB2312" w:hAnsi="仿宋_GB2312" w:eastAsia="仿宋_GB2312" w:cs="仿宋_GB2312"/>
          <w:bCs/>
          <w:color w:val="auto"/>
          <w:sz w:val="32"/>
          <w:szCs w:val="32"/>
          <w:u w:val="none"/>
        </w:rPr>
        <w:t>。</w:t>
      </w:r>
    </w:p>
    <w:p w14:paraId="21D7A3FC">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二、单位主要履职绩效分析</w:t>
      </w:r>
    </w:p>
    <w:p w14:paraId="3C240DBE">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楷体_GB2312" w:hAnsi="楷体_GB2312" w:eastAsia="楷体_GB2312" w:cs="楷体_GB2312"/>
          <w:color w:val="auto"/>
          <w:sz w:val="32"/>
          <w:szCs w:val="32"/>
          <w:u w:val="none"/>
        </w:rPr>
        <w:t>（一）主要履职目标</w:t>
      </w:r>
    </w:p>
    <w:p w14:paraId="68E5B764">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2023年</w:t>
      </w:r>
      <w:r>
        <w:rPr>
          <w:rFonts w:hint="eastAsia" w:ascii="仿宋_GB2312" w:hAnsi="仿宋_GB2312" w:eastAsia="仿宋_GB2312" w:cs="仿宋_GB2312"/>
          <w:color w:val="auto"/>
          <w:sz w:val="32"/>
          <w:szCs w:val="32"/>
          <w:highlight w:val="none"/>
          <w:u w:val="none"/>
        </w:rPr>
        <w:t>度</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rPr>
        <w:t>主要履职目标如下：</w:t>
      </w:r>
    </w:p>
    <w:p w14:paraId="4D1EF5FA">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1.稳步提升校园环境</w:t>
      </w:r>
    </w:p>
    <w:p w14:paraId="35388323">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2.教学质量稳中有进</w:t>
      </w:r>
    </w:p>
    <w:p w14:paraId="302A4FA2">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3.创新建设学校课程</w:t>
      </w:r>
    </w:p>
    <w:p w14:paraId="599D2075">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4.扎实开展德育工作</w:t>
      </w:r>
    </w:p>
    <w:p w14:paraId="716F0A08">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5.助力青年教师成长</w:t>
      </w:r>
    </w:p>
    <w:p w14:paraId="5C41B5F8">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6.开放校园加强交流</w:t>
      </w:r>
    </w:p>
    <w:p w14:paraId="4A3DF323">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楷体_GB2312" w:hAnsi="楷体_GB2312" w:eastAsia="楷体_GB2312" w:cs="楷体_GB2312"/>
          <w:color w:val="auto"/>
          <w:sz w:val="32"/>
          <w:szCs w:val="32"/>
          <w:u w:val="none"/>
        </w:rPr>
        <w:t>（二）主要履职情况</w:t>
      </w:r>
    </w:p>
    <w:p w14:paraId="452EC165">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cs="仿宋_GB2312"/>
          <w:color w:val="auto"/>
          <w:sz w:val="32"/>
          <w:szCs w:val="32"/>
          <w:highlight w:val="none"/>
          <w:u w:val="none"/>
          <w:lang w:val="en-US" w:eastAsia="zh-CN"/>
        </w:rPr>
      </w:pPr>
      <w:r>
        <w:rPr>
          <w:rFonts w:hint="eastAsia" w:cs="仿宋_GB2312"/>
          <w:color w:val="auto"/>
          <w:sz w:val="32"/>
          <w:szCs w:val="32"/>
          <w:highlight w:val="none"/>
          <w:u w:val="none"/>
          <w:lang w:val="en-US" w:eastAsia="zh-CN"/>
        </w:rPr>
        <w:t>1.稳步提升校园环境</w:t>
      </w:r>
    </w:p>
    <w:p w14:paraId="77BB25A6">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cs="仿宋_GB2312"/>
          <w:color w:val="auto"/>
          <w:sz w:val="32"/>
          <w:szCs w:val="32"/>
          <w:highlight w:val="none"/>
          <w:u w:val="none"/>
          <w:lang w:val="en-US" w:eastAsia="zh-CN"/>
        </w:rPr>
      </w:pPr>
      <w:r>
        <w:rPr>
          <w:rFonts w:hint="eastAsia" w:cs="仿宋_GB2312"/>
          <w:color w:val="auto"/>
          <w:sz w:val="32"/>
          <w:szCs w:val="32"/>
          <w:highlight w:val="none"/>
          <w:u w:val="none"/>
          <w:lang w:val="en-US" w:eastAsia="zh-CN"/>
        </w:rPr>
        <w:t>学校校园环境契合教育教学行为，激发课程设计活力。我校</w:t>
      </w:r>
      <w:r>
        <w:rPr>
          <w:rFonts w:hint="default" w:cs="仿宋_GB2312"/>
          <w:color w:val="auto"/>
          <w:sz w:val="32"/>
          <w:szCs w:val="32"/>
          <w:highlight w:val="none"/>
          <w:u w:val="none"/>
          <w:lang w:val="en-US" w:eastAsia="zh-CN"/>
        </w:rPr>
        <w:t>坐落于龙岗区宝龙科技城，占地面积4.3万平方米，建筑面积8.6万平方米，</w:t>
      </w:r>
      <w:r>
        <w:rPr>
          <w:rFonts w:hint="eastAsia" w:cs="仿宋_GB2312"/>
          <w:color w:val="auto"/>
          <w:sz w:val="32"/>
          <w:szCs w:val="32"/>
          <w:highlight w:val="none"/>
          <w:u w:val="none"/>
          <w:lang w:val="en-US" w:eastAsia="zh-CN"/>
        </w:rPr>
        <w:t>校园空间</w:t>
      </w:r>
      <w:r>
        <w:rPr>
          <w:rFonts w:hint="default" w:cs="仿宋_GB2312"/>
          <w:color w:val="auto"/>
          <w:sz w:val="32"/>
          <w:szCs w:val="32"/>
          <w:highlight w:val="none"/>
          <w:u w:val="none"/>
          <w:lang w:val="en-US" w:eastAsia="zh-CN"/>
        </w:rPr>
        <w:t>规划细致、扩展</w:t>
      </w:r>
      <w:r>
        <w:rPr>
          <w:rFonts w:hint="eastAsia" w:cs="仿宋_GB2312"/>
          <w:color w:val="auto"/>
          <w:sz w:val="32"/>
          <w:szCs w:val="32"/>
          <w:highlight w:val="none"/>
          <w:u w:val="none"/>
          <w:lang w:val="en-US" w:eastAsia="zh-CN"/>
        </w:rPr>
        <w:t>潜力足</w:t>
      </w:r>
      <w:r>
        <w:rPr>
          <w:rFonts w:hint="default" w:cs="仿宋_GB2312"/>
          <w:color w:val="auto"/>
          <w:sz w:val="32"/>
          <w:szCs w:val="32"/>
          <w:highlight w:val="none"/>
          <w:u w:val="none"/>
          <w:lang w:val="en-US" w:eastAsia="zh-CN"/>
        </w:rPr>
        <w:t>，</w:t>
      </w:r>
      <w:r>
        <w:rPr>
          <w:rFonts w:hint="eastAsia" w:cs="仿宋_GB2312"/>
          <w:color w:val="auto"/>
          <w:sz w:val="32"/>
          <w:szCs w:val="32"/>
          <w:highlight w:val="none"/>
          <w:u w:val="none"/>
          <w:lang w:val="en-US" w:eastAsia="zh-CN"/>
        </w:rPr>
        <w:t>可</w:t>
      </w:r>
      <w:r>
        <w:rPr>
          <w:rFonts w:hint="default" w:cs="仿宋_GB2312"/>
          <w:color w:val="auto"/>
          <w:sz w:val="32"/>
          <w:szCs w:val="32"/>
          <w:highlight w:val="none"/>
          <w:u w:val="none"/>
          <w:lang w:val="en-US" w:eastAsia="zh-CN"/>
        </w:rPr>
        <w:t>根据</w:t>
      </w:r>
      <w:r>
        <w:rPr>
          <w:rFonts w:hint="eastAsia" w:cs="仿宋_GB2312"/>
          <w:color w:val="auto"/>
          <w:sz w:val="32"/>
          <w:szCs w:val="32"/>
          <w:highlight w:val="none"/>
          <w:u w:val="none"/>
          <w:lang w:val="en-US" w:eastAsia="zh-CN"/>
        </w:rPr>
        <w:t>学校发展情况和</w:t>
      </w:r>
      <w:r>
        <w:rPr>
          <w:rFonts w:hint="default" w:cs="仿宋_GB2312"/>
          <w:color w:val="auto"/>
          <w:sz w:val="32"/>
          <w:szCs w:val="32"/>
          <w:highlight w:val="none"/>
          <w:u w:val="none"/>
          <w:lang w:val="en-US" w:eastAsia="zh-CN"/>
        </w:rPr>
        <w:t>课程</w:t>
      </w:r>
      <w:r>
        <w:rPr>
          <w:rFonts w:hint="eastAsia" w:cs="仿宋_GB2312"/>
          <w:color w:val="auto"/>
          <w:sz w:val="32"/>
          <w:szCs w:val="32"/>
          <w:highlight w:val="none"/>
          <w:u w:val="none"/>
          <w:lang w:val="en-US" w:eastAsia="zh-CN"/>
        </w:rPr>
        <w:t>建设需求</w:t>
      </w:r>
      <w:r>
        <w:rPr>
          <w:rFonts w:hint="default" w:cs="仿宋_GB2312"/>
          <w:color w:val="auto"/>
          <w:sz w:val="32"/>
          <w:szCs w:val="32"/>
          <w:highlight w:val="none"/>
          <w:u w:val="none"/>
          <w:lang w:val="en-US" w:eastAsia="zh-CN"/>
        </w:rPr>
        <w:t>充分</w:t>
      </w:r>
      <w:r>
        <w:rPr>
          <w:rFonts w:hint="eastAsia" w:cs="仿宋_GB2312"/>
          <w:color w:val="auto"/>
          <w:sz w:val="32"/>
          <w:szCs w:val="32"/>
          <w:highlight w:val="none"/>
          <w:u w:val="none"/>
          <w:lang w:val="en-US" w:eastAsia="zh-CN"/>
        </w:rPr>
        <w:t>开发教育教学场景。宝龙外国语学校作为首批云端学校入驻校，在学校原有包含模拟法庭、课本小剧场、数学实验室、图书角等学习场景的泛在化学习社区基础上，完成数字化教学条件的提档升级。多媒体教室建设、网络全覆盖和教学设施升级为创建时时可学、处处可学的泛在化学习环境打下坚实基础。</w:t>
      </w:r>
    </w:p>
    <w:p w14:paraId="79C03688">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cs="仿宋_GB2312"/>
          <w:color w:val="auto"/>
          <w:sz w:val="32"/>
          <w:szCs w:val="32"/>
          <w:highlight w:val="none"/>
          <w:u w:val="none"/>
          <w:lang w:val="en-US" w:eastAsia="zh-CN"/>
        </w:rPr>
      </w:pPr>
      <w:r>
        <w:rPr>
          <w:rFonts w:hint="default" w:cs="仿宋_GB2312"/>
          <w:color w:val="auto"/>
          <w:sz w:val="32"/>
          <w:szCs w:val="32"/>
          <w:highlight w:val="none"/>
          <w:u w:val="none"/>
          <w:lang w:val="en-US" w:eastAsia="zh-CN"/>
        </w:rPr>
        <w:t>为推进落实“每天一节体育课”，丰富学校智慧教育资源，新年伊始，学校凭借云端体育课程线上教学和实体教学相结合的优势，在云端学校助力下完成了智慧体育区建设。先进的智慧体育设备将实现学生个性化体育运动数据的精准记录和分析，为学生推送具有针对性的线上运动技能提升课程。</w:t>
      </w:r>
    </w:p>
    <w:p w14:paraId="2233A5F3">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cs="仿宋_GB2312"/>
          <w:color w:val="auto"/>
          <w:sz w:val="32"/>
          <w:szCs w:val="32"/>
          <w:highlight w:val="none"/>
          <w:u w:val="none"/>
          <w:lang w:val="en-US" w:eastAsia="zh-CN"/>
        </w:rPr>
      </w:pPr>
      <w:r>
        <w:rPr>
          <w:rFonts w:hint="eastAsia" w:cs="仿宋_GB2312"/>
          <w:color w:val="auto"/>
          <w:sz w:val="32"/>
          <w:szCs w:val="32"/>
          <w:highlight w:val="none"/>
          <w:u w:val="none"/>
          <w:lang w:val="en-US" w:eastAsia="zh-CN"/>
        </w:rPr>
        <w:t>2.教学质量稳中有进</w:t>
      </w:r>
    </w:p>
    <w:p w14:paraId="13F6BD34">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cs="仿宋_GB2312"/>
          <w:color w:val="auto"/>
          <w:sz w:val="32"/>
          <w:szCs w:val="32"/>
          <w:highlight w:val="none"/>
          <w:u w:val="none"/>
          <w:lang w:val="en-US" w:eastAsia="zh-CN"/>
        </w:rPr>
      </w:pPr>
      <w:r>
        <w:rPr>
          <w:rFonts w:hint="default" w:cs="仿宋_GB2312"/>
          <w:color w:val="auto"/>
          <w:sz w:val="32"/>
          <w:szCs w:val="32"/>
          <w:highlight w:val="none"/>
          <w:u w:val="none"/>
          <w:lang w:val="en-US" w:eastAsia="zh-CN"/>
        </w:rPr>
        <w:t>我校原定办学规模72个班，2023年，为解决周边学生上学需求扩至83个班。在此情况下，学校教育教学质量在区域内及同期新开办学校中仍保持领先，在2023年龙岗区期末教学质量抽测中语数英三科优秀率均达90%以上。</w:t>
      </w:r>
      <w:r>
        <w:rPr>
          <w:rFonts w:hint="eastAsia" w:cs="仿宋_GB2312"/>
          <w:color w:val="auto"/>
          <w:sz w:val="32"/>
          <w:szCs w:val="32"/>
          <w:highlight w:val="none"/>
          <w:u w:val="none"/>
          <w:lang w:val="en-US" w:eastAsia="zh-CN"/>
        </w:rPr>
        <w:t>2023年学校中考成绩实现历史性突破，2023届中考优秀率18%，良好率49%。</w:t>
      </w:r>
    </w:p>
    <w:p w14:paraId="5C958692">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cs="仿宋_GB2312"/>
          <w:color w:val="auto"/>
          <w:sz w:val="32"/>
          <w:szCs w:val="32"/>
          <w:highlight w:val="none"/>
          <w:u w:val="none"/>
          <w:lang w:val="en-US" w:eastAsia="zh-CN"/>
        </w:rPr>
      </w:pPr>
      <w:r>
        <w:rPr>
          <w:rFonts w:hint="eastAsia" w:cs="仿宋_GB2312"/>
          <w:color w:val="auto"/>
          <w:sz w:val="32"/>
          <w:szCs w:val="32"/>
          <w:highlight w:val="none"/>
          <w:u w:val="none"/>
          <w:lang w:val="en-US" w:eastAsia="zh-CN"/>
        </w:rPr>
        <w:t>3.创新建设学校课程</w:t>
      </w:r>
    </w:p>
    <w:p w14:paraId="6ACF8744">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cs="仿宋_GB2312"/>
          <w:color w:val="auto"/>
          <w:sz w:val="32"/>
          <w:szCs w:val="32"/>
          <w:highlight w:val="none"/>
          <w:u w:val="none"/>
          <w:lang w:val="en-US" w:eastAsia="zh-CN"/>
        </w:rPr>
      </w:pPr>
      <w:r>
        <w:rPr>
          <w:rFonts w:hint="eastAsia" w:cs="仿宋_GB2312"/>
          <w:color w:val="auto"/>
          <w:sz w:val="32"/>
          <w:szCs w:val="32"/>
          <w:highlight w:val="none"/>
          <w:u w:val="none"/>
          <w:lang w:val="en-US" w:eastAsia="zh-CN"/>
        </w:rPr>
        <w:t>学校坚持以“赋能”为核心，为学生提供系列化与个性化相结合的多元赋能课程，创造性地实施相近学段打通走班制度，坚持双“ding”制模式，以教师开发为主，校外引进为辅，面向全体学生开设赋能课程125门，从“德能、智能、体能、技能、艺能、创能”六方面为学生精准赋能。</w:t>
      </w:r>
    </w:p>
    <w:p w14:paraId="125C13E6">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cs="仿宋_GB2312"/>
          <w:color w:val="auto"/>
          <w:sz w:val="32"/>
          <w:szCs w:val="32"/>
          <w:highlight w:val="none"/>
          <w:u w:val="none"/>
          <w:lang w:val="en-US" w:eastAsia="zh-CN"/>
        </w:rPr>
      </w:pPr>
      <w:r>
        <w:rPr>
          <w:rFonts w:hint="eastAsia" w:cs="仿宋_GB2312"/>
          <w:color w:val="auto"/>
          <w:sz w:val="32"/>
          <w:szCs w:val="32"/>
          <w:highlight w:val="none"/>
          <w:u w:val="none"/>
          <w:lang w:val="en-US" w:eastAsia="zh-CN"/>
        </w:rPr>
        <w:t>今年，学校还创新打造“线上＋线下”“教师+教授”“学校＋自然保护区”的学科融合课程。学校与福田区红树林自然保护区合作，开发《“内伶仃”博物学课程》。自2022年与国家级自然保护区的杨琼教授共同呈现《博物探索：笔记深圳湾红树林》在线课，把国家级自然保护区搬进线上课堂后，学校又两次承办龙岗区A-STEM课程展示汇报活动。</w:t>
      </w:r>
    </w:p>
    <w:p w14:paraId="535D1A9D">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cs="仿宋_GB2312"/>
          <w:color w:val="auto"/>
          <w:sz w:val="32"/>
          <w:szCs w:val="32"/>
          <w:highlight w:val="none"/>
          <w:u w:val="none"/>
          <w:lang w:val="en-US" w:eastAsia="zh-CN"/>
        </w:rPr>
      </w:pPr>
      <w:r>
        <w:rPr>
          <w:rFonts w:hint="eastAsia" w:cs="仿宋_GB2312"/>
          <w:color w:val="auto"/>
          <w:sz w:val="32"/>
          <w:szCs w:val="32"/>
          <w:highlight w:val="none"/>
          <w:u w:val="none"/>
          <w:lang w:val="en-US" w:eastAsia="zh-CN"/>
        </w:rPr>
        <w:t>2023年12月，我校33名师生代表龙岗区围绕“生态考察 多元表达”的主题，参与深圳市教育科学研究院第二届“做大自然的观察师——深圳市福田红树林国家级自然保护区现场观鸟教学全国直播活动”。此次活动通过线上+线下的方式开展，深圳教育公众号全程直播，观众人数累计突破25万，受到社会各界的关注与好评。我校作为学校代表接受深圳晚报专访，新华网、人民日报、学习强国等十家以上主流媒体进行了报道。</w:t>
      </w:r>
    </w:p>
    <w:p w14:paraId="3C9D679B">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cs="仿宋_GB2312"/>
          <w:color w:val="auto"/>
          <w:sz w:val="32"/>
          <w:szCs w:val="32"/>
          <w:highlight w:val="none"/>
          <w:u w:val="none"/>
          <w:lang w:val="en-US" w:eastAsia="zh-CN"/>
        </w:rPr>
      </w:pPr>
      <w:r>
        <w:rPr>
          <w:rFonts w:hint="eastAsia" w:cs="仿宋_GB2312"/>
          <w:color w:val="auto"/>
          <w:sz w:val="32"/>
          <w:szCs w:val="32"/>
          <w:highlight w:val="none"/>
          <w:u w:val="none"/>
          <w:lang w:val="en-US" w:eastAsia="zh-CN"/>
        </w:rPr>
        <w:t>学校充分发挥云端学校的建设经验和发展优势，成功申报深圳市未来教育基地学校（龙岗区仅两所）。在博物学课程发展建设的基础上，学校积累了较为成熟的综合实践课程建设经验，以全场最高分获评龙岗区中小学A-STEM示范校。</w:t>
      </w:r>
    </w:p>
    <w:p w14:paraId="46180899">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cs="仿宋_GB2312"/>
          <w:color w:val="auto"/>
          <w:sz w:val="32"/>
          <w:szCs w:val="32"/>
          <w:highlight w:val="none"/>
          <w:u w:val="none"/>
          <w:lang w:val="en-US" w:eastAsia="zh-CN"/>
        </w:rPr>
      </w:pPr>
      <w:r>
        <w:rPr>
          <w:rFonts w:hint="eastAsia" w:cs="仿宋_GB2312"/>
          <w:color w:val="auto"/>
          <w:sz w:val="32"/>
          <w:szCs w:val="32"/>
          <w:highlight w:val="none"/>
          <w:u w:val="none"/>
          <w:lang w:val="en-US" w:eastAsia="zh-CN"/>
        </w:rPr>
        <w:t>4.扎实开展德育工作</w:t>
      </w:r>
    </w:p>
    <w:p w14:paraId="5713B0EC">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cs="仿宋_GB2312"/>
          <w:color w:val="auto"/>
          <w:sz w:val="32"/>
          <w:szCs w:val="32"/>
          <w:highlight w:val="none"/>
          <w:u w:val="none"/>
          <w:lang w:val="en-US" w:eastAsia="zh-CN"/>
        </w:rPr>
      </w:pPr>
      <w:r>
        <w:rPr>
          <w:rFonts w:hint="eastAsia" w:cs="仿宋_GB2312"/>
          <w:color w:val="auto"/>
          <w:sz w:val="32"/>
          <w:szCs w:val="32"/>
          <w:highlight w:val="none"/>
          <w:u w:val="none"/>
          <w:lang w:val="en-US" w:eastAsia="zh-CN"/>
        </w:rPr>
        <w:t>为更好落实立德树人根本任务，切实以习近平新时代中国特色社会主义思想铸魂育人，学校团委设计“行走的思政课”学习路线，结合学生实际开展思政教育。已开展“甘坑客家小镇探索红色足迹，弘扬传统文化”及“红花岭公园缅怀先烈，参观龙岗革命武装斗争陈列展”两期活动。</w:t>
      </w:r>
    </w:p>
    <w:p w14:paraId="097609CA">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cs="仿宋_GB2312"/>
          <w:color w:val="auto"/>
          <w:sz w:val="32"/>
          <w:szCs w:val="32"/>
          <w:highlight w:val="none"/>
          <w:u w:val="none"/>
          <w:lang w:val="en-US" w:eastAsia="zh-CN"/>
        </w:rPr>
      </w:pPr>
      <w:r>
        <w:rPr>
          <w:rFonts w:hint="eastAsia" w:cs="仿宋_GB2312"/>
          <w:color w:val="auto"/>
          <w:sz w:val="32"/>
          <w:szCs w:val="32"/>
          <w:highlight w:val="none"/>
          <w:u w:val="none"/>
          <w:lang w:val="en-US" w:eastAsia="zh-CN"/>
        </w:rPr>
        <w:t>我校承办“学习二十大 争做好队员”2023年龙岗区庆祝“六一”儿童节主题队日活动，并组织开展校园首届爱心义卖。义卖共筹得善款14808.9元，全额捐赠给深圳市青少年发展基金会“帮困助弱”专项基金。</w:t>
      </w:r>
    </w:p>
    <w:p w14:paraId="55753801">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cs="仿宋_GB2312"/>
          <w:color w:val="auto"/>
          <w:sz w:val="32"/>
          <w:szCs w:val="32"/>
          <w:highlight w:val="none"/>
          <w:u w:val="none"/>
          <w:lang w:val="en-US" w:eastAsia="zh-CN"/>
        </w:rPr>
      </w:pPr>
      <w:r>
        <w:rPr>
          <w:rFonts w:hint="eastAsia" w:cs="仿宋_GB2312"/>
          <w:color w:val="auto"/>
          <w:sz w:val="32"/>
          <w:szCs w:val="32"/>
          <w:highlight w:val="none"/>
          <w:u w:val="none"/>
          <w:lang w:val="en-US" w:eastAsia="zh-CN"/>
        </w:rPr>
        <w:t>5.助力青年教师成长</w:t>
      </w:r>
    </w:p>
    <w:p w14:paraId="241628D7">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cs="仿宋_GB2312"/>
          <w:color w:val="auto"/>
          <w:sz w:val="32"/>
          <w:szCs w:val="32"/>
          <w:highlight w:val="none"/>
          <w:u w:val="none"/>
          <w:lang w:val="en-US" w:eastAsia="zh-CN"/>
        </w:rPr>
      </w:pPr>
      <w:r>
        <w:rPr>
          <w:rFonts w:hint="eastAsia" w:cs="仿宋_GB2312"/>
          <w:color w:val="auto"/>
          <w:sz w:val="32"/>
          <w:szCs w:val="32"/>
          <w:highlight w:val="none"/>
          <w:u w:val="none"/>
          <w:lang w:val="en-US" w:eastAsia="zh-CN"/>
        </w:rPr>
        <w:t>我校教龄三年以下的教师高达106人，教师占比为42.4%，青年教师的队伍非常庞大。为帮助青年教师快速成长、站稳讲台，学校启动了2023年青年教师成长营计划，为教龄三年以下的教师量身定制一系列“成长大礼包”，在教科研中心和青年教师成长营班委的努力下，目前，已经开展了师徒结对、名师引领培训、户外团建、读书沙龙、青年教师成长分享和团体心理辅导等活动，未来将会根据青年教师的成长意愿和需求，持续提供成长资源和平台，全面赋能青年教师的成长。</w:t>
      </w:r>
    </w:p>
    <w:p w14:paraId="02CA8FCF">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cs="仿宋_GB2312"/>
          <w:color w:val="auto"/>
          <w:sz w:val="32"/>
          <w:szCs w:val="32"/>
          <w:highlight w:val="none"/>
          <w:u w:val="none"/>
          <w:lang w:val="en-US" w:eastAsia="zh-CN"/>
        </w:rPr>
      </w:pPr>
      <w:r>
        <w:rPr>
          <w:rFonts w:hint="eastAsia" w:cs="仿宋_GB2312"/>
          <w:color w:val="auto"/>
          <w:sz w:val="32"/>
          <w:szCs w:val="32"/>
          <w:highlight w:val="none"/>
          <w:u w:val="none"/>
          <w:lang w:val="en-US" w:eastAsia="zh-CN"/>
        </w:rPr>
        <w:t>6.开放校园加强交流</w:t>
      </w:r>
    </w:p>
    <w:p w14:paraId="5485CB37">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cs="仿宋_GB2312"/>
          <w:color w:val="auto"/>
          <w:sz w:val="32"/>
          <w:szCs w:val="32"/>
          <w:highlight w:val="none"/>
          <w:u w:val="none"/>
          <w:lang w:val="en-US" w:eastAsia="zh-CN"/>
        </w:rPr>
      </w:pPr>
      <w:r>
        <w:rPr>
          <w:rFonts w:hint="eastAsia" w:cs="仿宋_GB2312"/>
          <w:color w:val="auto"/>
          <w:sz w:val="32"/>
          <w:szCs w:val="32"/>
          <w:highlight w:val="none"/>
          <w:u w:val="none"/>
          <w:lang w:val="en-US" w:eastAsia="zh-CN"/>
        </w:rPr>
        <w:t>2023年，学校共接待来自揭阳、潮州、河源、江西、东北、湖北、西藏、新疆等省内外领导、骨干教师到校参观交流，知名度进一步提升。宝龙外面向全国开门办学，开展多层次、宽领域的教育交流合作。</w:t>
      </w:r>
    </w:p>
    <w:p w14:paraId="3BFC0E63">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cs="仿宋_GB2312"/>
          <w:color w:val="auto"/>
          <w:sz w:val="32"/>
          <w:szCs w:val="32"/>
          <w:highlight w:val="none"/>
          <w:u w:val="none"/>
          <w:lang w:val="en-US" w:eastAsia="zh-CN"/>
        </w:rPr>
      </w:pPr>
      <w:r>
        <w:rPr>
          <w:rFonts w:hint="eastAsia" w:cs="仿宋_GB2312"/>
          <w:color w:val="auto"/>
          <w:sz w:val="32"/>
          <w:szCs w:val="32"/>
          <w:highlight w:val="none"/>
          <w:u w:val="none"/>
          <w:lang w:val="en-US" w:eastAsia="zh-CN"/>
        </w:rPr>
        <w:t>学校面向五六年级开展教学开放日活动，面向社会组织校园开放日，共计吸引7000余人次参访。围绕“德能、智能、体能、艺能、技能、创能”设置打卡点，来宾通过打卡活动深入了解学校，取得良好的社会效益。</w:t>
      </w:r>
    </w:p>
    <w:p w14:paraId="0B247D8F">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u w:val="none"/>
        </w:rPr>
      </w:pPr>
      <w:r>
        <w:rPr>
          <w:rFonts w:hint="eastAsia" w:ascii="楷体_GB2312" w:hAnsi="楷体_GB2312" w:eastAsia="楷体_GB2312" w:cs="楷体_GB2312"/>
          <w:color w:val="auto"/>
          <w:sz w:val="32"/>
          <w:szCs w:val="32"/>
          <w:u w:val="none"/>
        </w:rPr>
        <w:t>（三）单位履职绩效情况</w:t>
      </w:r>
    </w:p>
    <w:p w14:paraId="4882170A">
      <w:pPr>
        <w:pStyle w:val="4"/>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1.经济性</w:t>
      </w:r>
    </w:p>
    <w:p w14:paraId="1CB13EBE">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eastAsia="zh-CN"/>
        </w:rPr>
        <w:t>我校2023年</w:t>
      </w:r>
      <w:r>
        <w:rPr>
          <w:rFonts w:hint="eastAsia" w:ascii="仿宋_GB2312" w:hAnsi="仿宋_GB2312" w:eastAsia="仿宋_GB2312" w:cs="仿宋_GB2312"/>
          <w:color w:val="auto"/>
          <w:sz w:val="32"/>
          <w:szCs w:val="32"/>
          <w:highlight w:val="none"/>
          <w:u w:val="none"/>
        </w:rPr>
        <w:t>“三公”经费全年预算数</w:t>
      </w:r>
      <w:r>
        <w:rPr>
          <w:rFonts w:hint="eastAsia" w:ascii="仿宋_GB2312" w:hAnsi="仿宋_GB2312" w:eastAsia="仿宋_GB2312" w:cs="仿宋_GB2312"/>
          <w:color w:val="auto"/>
          <w:sz w:val="32"/>
          <w:szCs w:val="32"/>
          <w:highlight w:val="none"/>
          <w:u w:val="none"/>
          <w:lang w:val="en-US" w:eastAsia="zh-CN"/>
        </w:rPr>
        <w:t>8</w:t>
      </w:r>
      <w:r>
        <w:rPr>
          <w:rFonts w:hint="eastAsia" w:ascii="仿宋_GB2312" w:hAnsi="仿宋_GB2312" w:eastAsia="仿宋_GB2312" w:cs="仿宋_GB2312"/>
          <w:color w:val="auto"/>
          <w:sz w:val="32"/>
          <w:szCs w:val="32"/>
          <w:highlight w:val="none"/>
          <w:u w:val="none"/>
        </w:rPr>
        <w:t>万元，实际支出数</w:t>
      </w:r>
      <w:r>
        <w:rPr>
          <w:rFonts w:hint="eastAsia" w:ascii="仿宋_GB2312" w:hAnsi="仿宋_GB2312" w:eastAsia="仿宋_GB2312" w:cs="仿宋_GB2312"/>
          <w:color w:val="auto"/>
          <w:sz w:val="32"/>
          <w:szCs w:val="32"/>
          <w:highlight w:val="none"/>
          <w:u w:val="none"/>
          <w:lang w:val="en-US" w:eastAsia="zh-CN"/>
        </w:rPr>
        <w:t>7.99</w:t>
      </w:r>
      <w:r>
        <w:rPr>
          <w:rFonts w:hint="eastAsia" w:ascii="仿宋_GB2312" w:hAnsi="仿宋_GB2312" w:eastAsia="仿宋_GB2312" w:cs="仿宋_GB2312"/>
          <w:color w:val="auto"/>
          <w:sz w:val="32"/>
          <w:szCs w:val="32"/>
          <w:highlight w:val="none"/>
          <w:u w:val="none"/>
        </w:rPr>
        <w:t>万元，“三公”经费控制率为</w:t>
      </w:r>
      <w:r>
        <w:rPr>
          <w:rFonts w:hint="eastAsia" w:cs="仿宋_GB2312"/>
          <w:color w:val="auto"/>
          <w:sz w:val="32"/>
          <w:szCs w:val="32"/>
          <w:highlight w:val="none"/>
          <w:u w:val="none"/>
          <w:lang w:val="en-US" w:eastAsia="zh-CN"/>
        </w:rPr>
        <w:t>99.99</w:t>
      </w:r>
      <w:r>
        <w:rPr>
          <w:rFonts w:hint="eastAsia" w:ascii="仿宋_GB2312" w:hAnsi="仿宋_GB2312" w:eastAsia="仿宋_GB2312" w:cs="仿宋_GB2312"/>
          <w:color w:val="auto"/>
          <w:sz w:val="32"/>
          <w:szCs w:val="32"/>
          <w:highlight w:val="none"/>
          <w:u w:val="none"/>
        </w:rPr>
        <w:t>%。日常公用经费全年预算数</w:t>
      </w:r>
      <w:r>
        <w:rPr>
          <w:rFonts w:hint="eastAsia" w:ascii="仿宋_GB2312" w:hAnsi="仿宋_GB2312" w:eastAsia="仿宋_GB2312" w:cs="仿宋_GB2312"/>
          <w:color w:val="auto"/>
          <w:sz w:val="32"/>
          <w:szCs w:val="32"/>
          <w:highlight w:val="none"/>
          <w:u w:val="none"/>
          <w:lang w:val="en-US" w:eastAsia="zh-CN"/>
        </w:rPr>
        <w:t>784.77</w:t>
      </w:r>
      <w:r>
        <w:rPr>
          <w:rFonts w:hint="eastAsia" w:ascii="仿宋_GB2312" w:hAnsi="仿宋_GB2312" w:eastAsia="仿宋_GB2312" w:cs="仿宋_GB2312"/>
          <w:color w:val="auto"/>
          <w:sz w:val="32"/>
          <w:szCs w:val="32"/>
          <w:highlight w:val="none"/>
          <w:u w:val="none"/>
        </w:rPr>
        <w:t>万元，实际支出数</w:t>
      </w:r>
      <w:r>
        <w:rPr>
          <w:rFonts w:hint="eastAsia" w:ascii="仿宋_GB2312" w:hAnsi="仿宋_GB2312" w:eastAsia="仿宋_GB2312" w:cs="仿宋_GB2312"/>
          <w:color w:val="auto"/>
          <w:sz w:val="32"/>
          <w:szCs w:val="32"/>
          <w:highlight w:val="none"/>
          <w:u w:val="none"/>
          <w:lang w:val="en-US" w:eastAsia="zh-CN"/>
        </w:rPr>
        <w:t>753.67</w:t>
      </w:r>
      <w:r>
        <w:rPr>
          <w:rFonts w:hint="eastAsia" w:ascii="仿宋_GB2312" w:hAnsi="仿宋_GB2312" w:eastAsia="仿宋_GB2312" w:cs="仿宋_GB2312"/>
          <w:color w:val="auto"/>
          <w:sz w:val="32"/>
          <w:szCs w:val="32"/>
          <w:highlight w:val="none"/>
          <w:u w:val="none"/>
        </w:rPr>
        <w:t>万元，日常公用经费控制率为</w:t>
      </w:r>
      <w:r>
        <w:rPr>
          <w:rFonts w:hint="eastAsia" w:ascii="仿宋_GB2312" w:hAnsi="仿宋_GB2312" w:eastAsia="仿宋_GB2312" w:cs="仿宋_GB2312"/>
          <w:color w:val="auto"/>
          <w:sz w:val="32"/>
          <w:szCs w:val="32"/>
          <w:highlight w:val="none"/>
          <w:u w:val="none"/>
          <w:lang w:val="en-US" w:eastAsia="zh-CN"/>
        </w:rPr>
        <w:t>96.04</w:t>
      </w:r>
      <w:r>
        <w:rPr>
          <w:rFonts w:hint="eastAsia" w:ascii="仿宋_GB2312" w:hAnsi="仿宋_GB2312" w:eastAsia="仿宋_GB2312" w:cs="仿宋_GB2312"/>
          <w:color w:val="auto"/>
          <w:sz w:val="32"/>
          <w:szCs w:val="32"/>
          <w:highlight w:val="none"/>
          <w:u w:val="none"/>
        </w:rPr>
        <w:t>%，机构运转成本实际控制良好。</w:t>
      </w:r>
      <w:r>
        <w:rPr>
          <w:rFonts w:hint="eastAsia" w:ascii="仿宋_GB2312" w:hAnsi="仿宋_GB2312" w:eastAsia="仿宋_GB2312" w:cs="仿宋_GB2312"/>
          <w:color w:val="auto"/>
          <w:sz w:val="32"/>
          <w:szCs w:val="32"/>
          <w:highlight w:val="none"/>
          <w:u w:val="none"/>
          <w:lang w:val="en-US" w:eastAsia="zh-CN"/>
        </w:rPr>
        <w:tab/>
      </w:r>
    </w:p>
    <w:p w14:paraId="30646236">
      <w:pPr>
        <w:pStyle w:val="4"/>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2.效率性</w:t>
      </w:r>
    </w:p>
    <w:p w14:paraId="03117303">
      <w:pPr>
        <w:pStyle w:val="5"/>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（1）预算执行情况</w:t>
      </w:r>
    </w:p>
    <w:p w14:paraId="293A3925">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Hans"/>
        </w:rPr>
        <w:t>202</w:t>
      </w:r>
      <w:r>
        <w:rPr>
          <w:rFonts w:hint="eastAsia" w:cs="仿宋_GB2312"/>
          <w:color w:val="auto"/>
          <w:sz w:val="32"/>
          <w:szCs w:val="32"/>
          <w:highlight w:val="none"/>
          <w:u w:val="none"/>
          <w:lang w:val="en-US" w:eastAsia="zh-CN"/>
        </w:rPr>
        <w:t>3</w:t>
      </w:r>
      <w:r>
        <w:rPr>
          <w:rFonts w:hint="eastAsia" w:ascii="仿宋_GB2312" w:hAnsi="仿宋_GB2312" w:eastAsia="仿宋_GB2312" w:cs="仿宋_GB2312"/>
          <w:color w:val="auto"/>
          <w:sz w:val="32"/>
          <w:szCs w:val="32"/>
          <w:highlight w:val="none"/>
          <w:u w:val="none"/>
          <w:lang w:eastAsia="zh-Hans"/>
        </w:rPr>
        <w:t>年度，</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lang w:eastAsia="zh-Hans"/>
        </w:rPr>
        <w:t>全年预算总额</w:t>
      </w:r>
      <w:r>
        <w:rPr>
          <w:rFonts w:hint="eastAsia" w:ascii="仿宋_GB2312" w:hAnsi="仿宋_GB2312" w:eastAsia="仿宋_GB2312" w:cs="仿宋_GB2312"/>
          <w:color w:val="auto"/>
          <w:sz w:val="32"/>
          <w:szCs w:val="32"/>
          <w:highlight w:val="none"/>
          <w:u w:val="none"/>
          <w:lang w:val="en-US" w:eastAsia="zh-CN"/>
        </w:rPr>
        <w:t>11,802.52</w:t>
      </w:r>
      <w:r>
        <w:rPr>
          <w:rFonts w:hint="eastAsia" w:ascii="仿宋_GB2312" w:hAnsi="仿宋_GB2312" w:eastAsia="仿宋_GB2312" w:cs="仿宋_GB2312"/>
          <w:color w:val="auto"/>
          <w:sz w:val="32"/>
          <w:szCs w:val="32"/>
          <w:highlight w:val="none"/>
          <w:u w:val="none"/>
          <w:lang w:eastAsia="zh-Hans"/>
        </w:rPr>
        <w:t>万元，全年支出数</w:t>
      </w:r>
      <w:r>
        <w:rPr>
          <w:rFonts w:hint="eastAsia" w:ascii="仿宋_GB2312" w:hAnsi="仿宋_GB2312" w:eastAsia="仿宋_GB2312" w:cs="仿宋_GB2312"/>
          <w:color w:val="auto"/>
          <w:sz w:val="32"/>
          <w:szCs w:val="32"/>
          <w:highlight w:val="none"/>
          <w:u w:val="none"/>
          <w:lang w:val="en-US" w:eastAsia="zh-CN"/>
        </w:rPr>
        <w:t>11,667.40</w:t>
      </w:r>
      <w:r>
        <w:rPr>
          <w:rFonts w:hint="eastAsia" w:ascii="仿宋_GB2312" w:hAnsi="仿宋_GB2312" w:eastAsia="仿宋_GB2312" w:cs="仿宋_GB2312"/>
          <w:color w:val="auto"/>
          <w:sz w:val="32"/>
          <w:szCs w:val="32"/>
          <w:highlight w:val="none"/>
          <w:u w:val="none"/>
          <w:lang w:eastAsia="zh-Hans"/>
        </w:rPr>
        <w:t>万元，总执行率为</w:t>
      </w:r>
      <w:r>
        <w:rPr>
          <w:rFonts w:hint="eastAsia" w:ascii="仿宋_GB2312" w:hAnsi="仿宋_GB2312" w:eastAsia="仿宋_GB2312" w:cs="仿宋_GB2312"/>
          <w:color w:val="auto"/>
          <w:sz w:val="32"/>
          <w:szCs w:val="32"/>
          <w:highlight w:val="none"/>
          <w:u w:val="none"/>
          <w:lang w:val="en-US" w:eastAsia="zh-CN"/>
        </w:rPr>
        <w:t>98</w:t>
      </w:r>
      <w:r>
        <w:rPr>
          <w:rFonts w:hint="eastAsia" w:cs="仿宋_GB2312"/>
          <w:color w:val="auto"/>
          <w:sz w:val="32"/>
          <w:szCs w:val="32"/>
          <w:highlight w:val="none"/>
          <w:u w:val="none"/>
          <w:lang w:val="en-US" w:eastAsia="zh-CN"/>
        </w:rPr>
        <w:t>.</w:t>
      </w:r>
      <w:r>
        <w:rPr>
          <w:rFonts w:hint="eastAsia" w:ascii="仿宋_GB2312" w:hAnsi="仿宋_GB2312" w:eastAsia="仿宋_GB2312" w:cs="仿宋_GB2312"/>
          <w:color w:val="auto"/>
          <w:sz w:val="32"/>
          <w:szCs w:val="32"/>
          <w:highlight w:val="none"/>
          <w:u w:val="none"/>
          <w:lang w:val="en-US" w:eastAsia="zh-CN"/>
        </w:rPr>
        <w:t>85</w:t>
      </w:r>
      <w:r>
        <w:rPr>
          <w:rFonts w:hint="eastAsia" w:ascii="仿宋_GB2312" w:hAnsi="仿宋_GB2312" w:eastAsia="仿宋_GB2312" w:cs="仿宋_GB2312"/>
          <w:color w:val="auto"/>
          <w:sz w:val="32"/>
          <w:szCs w:val="32"/>
          <w:highlight w:val="none"/>
          <w:u w:val="none"/>
          <w:lang w:eastAsia="zh-Hans"/>
        </w:rPr>
        <w:t>%。其中财政拨款预算资金为</w:t>
      </w:r>
      <w:r>
        <w:rPr>
          <w:rFonts w:hint="eastAsia" w:ascii="仿宋_GB2312" w:hAnsi="仿宋_GB2312" w:eastAsia="仿宋_GB2312" w:cs="仿宋_GB2312"/>
          <w:color w:val="auto"/>
          <w:sz w:val="32"/>
          <w:szCs w:val="32"/>
          <w:highlight w:val="none"/>
          <w:u w:val="none"/>
          <w:lang w:val="en-US" w:eastAsia="zh-CN"/>
        </w:rPr>
        <w:t>11,478.68</w:t>
      </w:r>
      <w:r>
        <w:rPr>
          <w:rFonts w:hint="eastAsia" w:ascii="仿宋_GB2312" w:hAnsi="仿宋_GB2312" w:eastAsia="仿宋_GB2312" w:cs="仿宋_GB2312"/>
          <w:color w:val="auto"/>
          <w:sz w:val="32"/>
          <w:szCs w:val="32"/>
          <w:highlight w:val="none"/>
          <w:u w:val="none"/>
          <w:lang w:eastAsia="zh-Hans"/>
        </w:rPr>
        <w:t>万元，财政拨款支出</w:t>
      </w:r>
      <w:r>
        <w:rPr>
          <w:rFonts w:hint="eastAsia" w:ascii="仿宋_GB2312" w:hAnsi="仿宋_GB2312" w:eastAsia="仿宋_GB2312" w:cs="仿宋_GB2312"/>
          <w:color w:val="auto"/>
          <w:sz w:val="32"/>
          <w:szCs w:val="32"/>
          <w:highlight w:val="none"/>
          <w:u w:val="none"/>
          <w:lang w:val="en-US" w:eastAsia="zh-CN"/>
        </w:rPr>
        <w:t>11,371.0</w:t>
      </w:r>
      <w:r>
        <w:rPr>
          <w:rFonts w:hint="eastAsia" w:cs="仿宋_GB2312"/>
          <w:color w:val="auto"/>
          <w:sz w:val="32"/>
          <w:szCs w:val="32"/>
          <w:highlight w:val="none"/>
          <w:u w:val="none"/>
          <w:lang w:val="en-US" w:eastAsia="zh-CN"/>
        </w:rPr>
        <w:t>6</w:t>
      </w:r>
      <w:r>
        <w:rPr>
          <w:rFonts w:hint="eastAsia" w:ascii="仿宋_GB2312" w:hAnsi="仿宋_GB2312" w:eastAsia="仿宋_GB2312" w:cs="仿宋_GB2312"/>
          <w:color w:val="auto"/>
          <w:sz w:val="32"/>
          <w:szCs w:val="32"/>
          <w:highlight w:val="none"/>
          <w:u w:val="none"/>
          <w:lang w:eastAsia="zh-Hans"/>
        </w:rPr>
        <w:t>万元，年度预算执行率</w:t>
      </w:r>
      <w:r>
        <w:rPr>
          <w:rFonts w:hint="eastAsia" w:ascii="仿宋_GB2312" w:hAnsi="仿宋_GB2312" w:eastAsia="仿宋_GB2312" w:cs="仿宋_GB2312"/>
          <w:color w:val="auto"/>
          <w:sz w:val="32"/>
          <w:szCs w:val="32"/>
          <w:highlight w:val="none"/>
          <w:u w:val="none"/>
          <w:lang w:val="en-US" w:eastAsia="zh-CN"/>
        </w:rPr>
        <w:t>99.06</w:t>
      </w:r>
      <w:r>
        <w:rPr>
          <w:rFonts w:hint="eastAsia" w:ascii="仿宋_GB2312" w:hAnsi="仿宋_GB2312" w:eastAsia="仿宋_GB2312" w:cs="仿宋_GB2312"/>
          <w:color w:val="auto"/>
          <w:sz w:val="32"/>
          <w:szCs w:val="32"/>
          <w:highlight w:val="none"/>
          <w:u w:val="none"/>
          <w:lang w:eastAsia="zh-Hans"/>
        </w:rPr>
        <w:t>%，财政拨款资金执行情况按季度分析具体如下：</w:t>
      </w:r>
    </w:p>
    <w:p w14:paraId="08F7D465">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第一季度累计支出数</w:t>
      </w:r>
      <w:r>
        <w:rPr>
          <w:rFonts w:hint="eastAsia" w:ascii="仿宋_GB2312" w:hAnsi="仿宋_GB2312" w:eastAsia="仿宋_GB2312" w:cs="仿宋_GB2312"/>
          <w:color w:val="auto"/>
          <w:sz w:val="32"/>
          <w:szCs w:val="32"/>
          <w:highlight w:val="none"/>
          <w:u w:val="none"/>
          <w:lang w:val="en-US" w:eastAsia="zh-CN"/>
        </w:rPr>
        <w:t>2</w:t>
      </w:r>
      <w:r>
        <w:rPr>
          <w:rFonts w:hint="eastAsia" w:cs="仿宋_GB2312"/>
          <w:color w:val="auto"/>
          <w:sz w:val="32"/>
          <w:szCs w:val="32"/>
          <w:highlight w:val="none"/>
          <w:u w:val="none"/>
          <w:lang w:val="en-US" w:eastAsia="zh-CN"/>
        </w:rPr>
        <w:t>,</w:t>
      </w:r>
      <w:r>
        <w:rPr>
          <w:rFonts w:hint="eastAsia" w:ascii="仿宋_GB2312" w:hAnsi="仿宋_GB2312" w:eastAsia="仿宋_GB2312" w:cs="仿宋_GB2312"/>
          <w:color w:val="auto"/>
          <w:sz w:val="32"/>
          <w:szCs w:val="32"/>
          <w:highlight w:val="none"/>
          <w:u w:val="none"/>
          <w:lang w:val="en-US" w:eastAsia="zh-CN"/>
        </w:rPr>
        <w:t>305.8</w:t>
      </w:r>
      <w:r>
        <w:rPr>
          <w:rFonts w:hint="eastAsia" w:cs="仿宋_GB2312"/>
          <w:color w:val="auto"/>
          <w:sz w:val="32"/>
          <w:szCs w:val="32"/>
          <w:highlight w:val="none"/>
          <w:u w:val="none"/>
          <w:lang w:val="en-US" w:eastAsia="zh-CN"/>
        </w:rPr>
        <w:t>3</w:t>
      </w:r>
      <w:r>
        <w:rPr>
          <w:rFonts w:hint="eastAsia" w:ascii="仿宋_GB2312" w:hAnsi="仿宋_GB2312" w:eastAsia="仿宋_GB2312" w:cs="仿宋_GB2312"/>
          <w:color w:val="auto"/>
          <w:kern w:val="2"/>
          <w:sz w:val="32"/>
          <w:szCs w:val="32"/>
          <w:highlight w:val="none"/>
          <w:u w:val="none"/>
          <w:lang w:val="en-US" w:eastAsia="zh-CN" w:bidi="ar-SA"/>
        </w:rPr>
        <w:t>万</w:t>
      </w:r>
      <w:r>
        <w:rPr>
          <w:rFonts w:hint="eastAsia" w:ascii="仿宋_GB2312" w:hAnsi="仿宋_GB2312" w:eastAsia="仿宋_GB2312" w:cs="仿宋_GB2312"/>
          <w:color w:val="auto"/>
          <w:sz w:val="32"/>
          <w:szCs w:val="32"/>
          <w:highlight w:val="none"/>
          <w:u w:val="none"/>
        </w:rPr>
        <w:t>元，全年预算数</w:t>
      </w:r>
      <w:r>
        <w:rPr>
          <w:rFonts w:hint="eastAsia" w:ascii="仿宋_GB2312" w:hAnsi="仿宋_GB2312" w:eastAsia="仿宋_GB2312" w:cs="仿宋_GB2312"/>
          <w:color w:val="auto"/>
          <w:sz w:val="32"/>
          <w:szCs w:val="32"/>
          <w:highlight w:val="none"/>
          <w:u w:val="none"/>
          <w:lang w:val="en-US" w:eastAsia="zh-CN"/>
        </w:rPr>
        <w:t>11,478.68</w:t>
      </w:r>
      <w:r>
        <w:rPr>
          <w:rFonts w:hint="eastAsia" w:ascii="仿宋_GB2312" w:hAnsi="仿宋_GB2312" w:eastAsia="仿宋_GB2312" w:cs="仿宋_GB2312"/>
          <w:color w:val="auto"/>
          <w:sz w:val="32"/>
          <w:szCs w:val="32"/>
          <w:highlight w:val="none"/>
          <w:u w:val="none"/>
        </w:rPr>
        <w:t>万元，支出进度为</w:t>
      </w:r>
      <w:r>
        <w:rPr>
          <w:rFonts w:hint="eastAsia" w:cs="仿宋_GB2312"/>
          <w:color w:val="auto"/>
          <w:sz w:val="32"/>
          <w:szCs w:val="32"/>
          <w:highlight w:val="none"/>
          <w:u w:val="none"/>
          <w:lang w:val="en-US" w:eastAsia="zh-CN"/>
        </w:rPr>
        <w:t>20.09</w:t>
      </w:r>
      <w:r>
        <w:rPr>
          <w:rFonts w:hint="eastAsia" w:ascii="仿宋_GB2312" w:hAnsi="仿宋_GB2312" w:eastAsia="仿宋_GB2312" w:cs="仿宋_GB2312"/>
          <w:color w:val="auto"/>
          <w:kern w:val="2"/>
          <w:sz w:val="32"/>
          <w:szCs w:val="32"/>
          <w:highlight w:val="none"/>
          <w:u w:val="none"/>
          <w:lang w:val="en-US" w:eastAsia="zh-CN" w:bidi="ar-SA"/>
        </w:rPr>
        <w:t>%</w:t>
      </w:r>
      <w:r>
        <w:rPr>
          <w:rFonts w:hint="eastAsia" w:ascii="仿宋_GB2312" w:hAnsi="仿宋_GB2312" w:eastAsia="仿宋_GB2312" w:cs="仿宋_GB2312"/>
          <w:color w:val="auto"/>
          <w:sz w:val="32"/>
          <w:szCs w:val="32"/>
          <w:highlight w:val="none"/>
          <w:u w:val="none"/>
        </w:rPr>
        <w:t>。</w:t>
      </w:r>
    </w:p>
    <w:p w14:paraId="55180E01">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第二季度累计支出数</w:t>
      </w:r>
      <w:r>
        <w:rPr>
          <w:rFonts w:hint="eastAsia" w:ascii="仿宋_GB2312" w:hAnsi="仿宋_GB2312" w:eastAsia="仿宋_GB2312" w:cs="仿宋_GB2312"/>
          <w:color w:val="auto"/>
          <w:sz w:val="32"/>
          <w:szCs w:val="32"/>
          <w:highlight w:val="none"/>
          <w:u w:val="none"/>
          <w:lang w:val="en-US" w:eastAsia="zh-CN"/>
        </w:rPr>
        <w:t>5,438.8</w:t>
      </w:r>
      <w:r>
        <w:rPr>
          <w:rFonts w:hint="eastAsia" w:cs="仿宋_GB2312"/>
          <w:color w:val="auto"/>
          <w:sz w:val="32"/>
          <w:szCs w:val="32"/>
          <w:highlight w:val="none"/>
          <w:u w:val="none"/>
          <w:lang w:val="en-US" w:eastAsia="zh-CN"/>
        </w:rPr>
        <w:t>7</w:t>
      </w:r>
      <w:r>
        <w:rPr>
          <w:rFonts w:hint="eastAsia" w:ascii="仿宋_GB2312" w:hAnsi="仿宋_GB2312" w:eastAsia="仿宋_GB2312" w:cs="仿宋_GB2312"/>
          <w:color w:val="auto"/>
          <w:sz w:val="32"/>
          <w:szCs w:val="32"/>
          <w:highlight w:val="none"/>
          <w:u w:val="none"/>
        </w:rPr>
        <w:t>万元，全年预算数</w:t>
      </w:r>
      <w:r>
        <w:rPr>
          <w:rFonts w:hint="eastAsia" w:ascii="仿宋_GB2312" w:hAnsi="仿宋_GB2312" w:eastAsia="仿宋_GB2312" w:cs="仿宋_GB2312"/>
          <w:color w:val="auto"/>
          <w:sz w:val="32"/>
          <w:szCs w:val="32"/>
          <w:highlight w:val="none"/>
          <w:u w:val="none"/>
          <w:lang w:val="en-US" w:eastAsia="zh-CN"/>
        </w:rPr>
        <w:t>11,478.68</w:t>
      </w:r>
      <w:r>
        <w:rPr>
          <w:rFonts w:hint="eastAsia" w:ascii="仿宋_GB2312" w:hAnsi="仿宋_GB2312" w:eastAsia="仿宋_GB2312" w:cs="仿宋_GB2312"/>
          <w:color w:val="auto"/>
          <w:sz w:val="32"/>
          <w:szCs w:val="32"/>
          <w:highlight w:val="none"/>
          <w:u w:val="none"/>
        </w:rPr>
        <w:t>万元，支出进度为</w:t>
      </w:r>
      <w:r>
        <w:rPr>
          <w:rFonts w:hint="eastAsia" w:cs="仿宋_GB2312"/>
          <w:color w:val="auto"/>
          <w:sz w:val="32"/>
          <w:szCs w:val="32"/>
          <w:highlight w:val="none"/>
          <w:u w:val="none"/>
          <w:lang w:val="en-US" w:eastAsia="zh-CN"/>
        </w:rPr>
        <w:t>47.38</w:t>
      </w:r>
      <w:r>
        <w:rPr>
          <w:rFonts w:hint="eastAsia" w:ascii="仿宋_GB2312" w:hAnsi="仿宋_GB2312" w:eastAsia="仿宋_GB2312" w:cs="仿宋_GB2312"/>
          <w:color w:val="auto"/>
          <w:kern w:val="2"/>
          <w:sz w:val="32"/>
          <w:szCs w:val="32"/>
          <w:highlight w:val="none"/>
          <w:u w:val="none"/>
          <w:lang w:val="en-US" w:eastAsia="zh-CN" w:bidi="ar-SA"/>
        </w:rPr>
        <w:t>%</w:t>
      </w:r>
      <w:r>
        <w:rPr>
          <w:rFonts w:hint="eastAsia" w:ascii="仿宋_GB2312" w:hAnsi="仿宋_GB2312" w:eastAsia="仿宋_GB2312" w:cs="仿宋_GB2312"/>
          <w:color w:val="auto"/>
          <w:sz w:val="32"/>
          <w:szCs w:val="32"/>
          <w:highlight w:val="none"/>
          <w:u w:val="none"/>
        </w:rPr>
        <w:t>。</w:t>
      </w:r>
    </w:p>
    <w:p w14:paraId="3F862A76">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第三季度累计支出数</w:t>
      </w:r>
      <w:r>
        <w:rPr>
          <w:rFonts w:hint="eastAsia" w:ascii="仿宋_GB2312" w:hAnsi="仿宋_GB2312" w:eastAsia="仿宋_GB2312" w:cs="仿宋_GB2312"/>
          <w:color w:val="auto"/>
          <w:sz w:val="32"/>
          <w:szCs w:val="32"/>
          <w:highlight w:val="none"/>
          <w:u w:val="none"/>
          <w:lang w:val="en-US" w:eastAsia="zh-CN"/>
        </w:rPr>
        <w:t>8,440.5</w:t>
      </w:r>
      <w:r>
        <w:rPr>
          <w:rFonts w:hint="eastAsia" w:cs="仿宋_GB2312"/>
          <w:color w:val="auto"/>
          <w:sz w:val="32"/>
          <w:szCs w:val="32"/>
          <w:highlight w:val="none"/>
          <w:u w:val="none"/>
          <w:lang w:val="en-US" w:eastAsia="zh-CN"/>
        </w:rPr>
        <w:t>2</w:t>
      </w:r>
      <w:r>
        <w:rPr>
          <w:rFonts w:hint="eastAsia" w:ascii="仿宋_GB2312" w:hAnsi="仿宋_GB2312" w:eastAsia="仿宋_GB2312" w:cs="仿宋_GB2312"/>
          <w:color w:val="auto"/>
          <w:sz w:val="32"/>
          <w:szCs w:val="32"/>
          <w:highlight w:val="none"/>
          <w:u w:val="none"/>
        </w:rPr>
        <w:t>万元，全年预算数</w:t>
      </w:r>
      <w:r>
        <w:rPr>
          <w:rFonts w:hint="eastAsia" w:ascii="仿宋_GB2312" w:hAnsi="仿宋_GB2312" w:eastAsia="仿宋_GB2312" w:cs="仿宋_GB2312"/>
          <w:color w:val="auto"/>
          <w:sz w:val="32"/>
          <w:szCs w:val="32"/>
          <w:highlight w:val="none"/>
          <w:u w:val="none"/>
          <w:lang w:val="en-US" w:eastAsia="zh-CN"/>
        </w:rPr>
        <w:t>11,478.68</w:t>
      </w:r>
      <w:r>
        <w:rPr>
          <w:rFonts w:hint="eastAsia" w:ascii="仿宋_GB2312" w:hAnsi="仿宋_GB2312" w:eastAsia="仿宋_GB2312" w:cs="仿宋_GB2312"/>
          <w:color w:val="auto"/>
          <w:sz w:val="32"/>
          <w:szCs w:val="32"/>
          <w:highlight w:val="none"/>
          <w:u w:val="none"/>
        </w:rPr>
        <w:t>万元，支出进度为</w:t>
      </w:r>
      <w:r>
        <w:rPr>
          <w:rFonts w:hint="eastAsia" w:cs="仿宋_GB2312"/>
          <w:color w:val="auto"/>
          <w:sz w:val="32"/>
          <w:szCs w:val="32"/>
          <w:highlight w:val="none"/>
          <w:u w:val="none"/>
          <w:lang w:val="en-US" w:eastAsia="zh-CN"/>
        </w:rPr>
        <w:t>73.53</w:t>
      </w:r>
      <w:r>
        <w:rPr>
          <w:rFonts w:hint="eastAsia" w:ascii="仿宋_GB2312" w:hAnsi="仿宋_GB2312" w:eastAsia="仿宋_GB2312" w:cs="仿宋_GB2312"/>
          <w:color w:val="auto"/>
          <w:sz w:val="32"/>
          <w:szCs w:val="32"/>
          <w:highlight w:val="none"/>
          <w:u w:val="none"/>
        </w:rPr>
        <w:t>%。</w:t>
      </w:r>
    </w:p>
    <w:p w14:paraId="35955E85">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第四季度累计支出数</w:t>
      </w:r>
      <w:r>
        <w:rPr>
          <w:rFonts w:hint="eastAsia" w:ascii="仿宋_GB2312" w:hAnsi="仿宋_GB2312" w:eastAsia="仿宋_GB2312" w:cs="仿宋_GB2312"/>
          <w:color w:val="auto"/>
          <w:sz w:val="32"/>
          <w:szCs w:val="32"/>
          <w:highlight w:val="none"/>
          <w:u w:val="none"/>
          <w:lang w:val="en-US" w:eastAsia="zh-CN"/>
        </w:rPr>
        <w:t>11,371.0</w:t>
      </w:r>
      <w:r>
        <w:rPr>
          <w:rFonts w:hint="eastAsia" w:cs="仿宋_GB2312"/>
          <w:color w:val="auto"/>
          <w:sz w:val="32"/>
          <w:szCs w:val="32"/>
          <w:highlight w:val="none"/>
          <w:u w:val="none"/>
          <w:lang w:val="en-US" w:eastAsia="zh-CN"/>
        </w:rPr>
        <w:t>6</w:t>
      </w:r>
      <w:r>
        <w:rPr>
          <w:rFonts w:hint="eastAsia" w:ascii="仿宋_GB2312" w:hAnsi="仿宋_GB2312" w:eastAsia="仿宋_GB2312" w:cs="仿宋_GB2312"/>
          <w:color w:val="auto"/>
          <w:sz w:val="32"/>
          <w:szCs w:val="32"/>
          <w:highlight w:val="none"/>
          <w:u w:val="none"/>
        </w:rPr>
        <w:t>万元，全年预算数</w:t>
      </w:r>
      <w:r>
        <w:rPr>
          <w:rFonts w:hint="eastAsia" w:ascii="仿宋_GB2312" w:hAnsi="仿宋_GB2312" w:eastAsia="仿宋_GB2312" w:cs="仿宋_GB2312"/>
          <w:color w:val="auto"/>
          <w:sz w:val="32"/>
          <w:szCs w:val="32"/>
          <w:highlight w:val="none"/>
          <w:u w:val="none"/>
          <w:lang w:val="en-US" w:eastAsia="zh-CN"/>
        </w:rPr>
        <w:t>11,478.68</w:t>
      </w:r>
      <w:r>
        <w:rPr>
          <w:rFonts w:hint="eastAsia" w:ascii="仿宋_GB2312" w:hAnsi="仿宋_GB2312" w:eastAsia="仿宋_GB2312" w:cs="仿宋_GB2312"/>
          <w:color w:val="auto"/>
          <w:sz w:val="32"/>
          <w:szCs w:val="32"/>
          <w:highlight w:val="none"/>
          <w:u w:val="none"/>
        </w:rPr>
        <w:t>万元，支出进度为</w:t>
      </w:r>
      <w:r>
        <w:rPr>
          <w:rFonts w:hint="eastAsia" w:cs="仿宋_GB2312"/>
          <w:color w:val="auto"/>
          <w:sz w:val="32"/>
          <w:szCs w:val="32"/>
          <w:highlight w:val="none"/>
          <w:u w:val="none"/>
          <w:lang w:val="en-US" w:eastAsia="zh-CN"/>
        </w:rPr>
        <w:t>99.06</w:t>
      </w:r>
      <w:r>
        <w:rPr>
          <w:rFonts w:hint="eastAsia" w:ascii="仿宋_GB2312" w:hAnsi="仿宋_GB2312" w:eastAsia="仿宋_GB2312" w:cs="仿宋_GB2312"/>
          <w:color w:val="auto"/>
          <w:sz w:val="32"/>
          <w:szCs w:val="32"/>
          <w:highlight w:val="none"/>
          <w:u w:val="none"/>
        </w:rPr>
        <w:t>%。</w:t>
      </w:r>
    </w:p>
    <w:p w14:paraId="68BB3C9D">
      <w:pPr>
        <w:pStyle w:val="5"/>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yellow"/>
          <w:u w:val="none"/>
        </w:rPr>
      </w:pPr>
      <w:r>
        <w:rPr>
          <w:rFonts w:hint="eastAsia" w:ascii="仿宋_GB2312" w:hAnsi="仿宋_GB2312" w:eastAsia="仿宋_GB2312" w:cs="仿宋_GB2312"/>
          <w:color w:val="auto"/>
          <w:sz w:val="32"/>
          <w:szCs w:val="32"/>
          <w:u w:val="none"/>
        </w:rPr>
        <w:t>（2）重点工作完成情况</w:t>
      </w:r>
    </w:p>
    <w:p w14:paraId="7148D603">
      <w:pPr>
        <w:pStyle w:val="10"/>
        <w:ind w:firstLine="640"/>
      </w:pPr>
      <w:r>
        <w:rPr>
          <w:rFonts w:hint="eastAsia" w:ascii="仿宋_GB2312" w:hAnsi="Times New Roman" w:eastAsia="仿宋_GB2312" w:cs="Times New Roman"/>
          <w:sz w:val="32"/>
          <w:szCs w:val="32"/>
          <w:highlight w:val="none"/>
        </w:rPr>
        <w:t>20</w:t>
      </w:r>
      <w:r>
        <w:rPr>
          <w:rFonts w:hint="eastAsia" w:hAnsi="Times New Roman" w:cs="Times New Roman"/>
          <w:sz w:val="32"/>
          <w:szCs w:val="32"/>
          <w:highlight w:val="none"/>
          <w:lang w:val="en-US" w:eastAsia="zh-CN"/>
        </w:rPr>
        <w:t>23</w:t>
      </w:r>
      <w:r>
        <w:rPr>
          <w:rFonts w:hint="eastAsia" w:ascii="仿宋_GB2312" w:hAnsi="Times New Roman" w:eastAsia="仿宋_GB2312" w:cs="Times New Roman"/>
          <w:sz w:val="32"/>
          <w:szCs w:val="32"/>
          <w:highlight w:val="none"/>
        </w:rPr>
        <w:t>年</w:t>
      </w:r>
      <w:r>
        <w:rPr>
          <w:rFonts w:hint="eastAsia" w:hAnsi="Times New Roman" w:cs="Times New Roman"/>
          <w:sz w:val="32"/>
          <w:szCs w:val="32"/>
          <w:highlight w:val="none"/>
          <w:lang w:eastAsia="zh-CN"/>
        </w:rPr>
        <w:t>我校</w:t>
      </w:r>
      <w:r>
        <w:rPr>
          <w:rFonts w:hint="eastAsia" w:ascii="仿宋_GB2312" w:hAnsi="Times New Roman" w:eastAsia="仿宋_GB2312" w:cs="Times New Roman"/>
          <w:sz w:val="32"/>
          <w:szCs w:val="32"/>
          <w:highlight w:val="none"/>
        </w:rPr>
        <w:t>主要工作任务基本完成，各项工作均达到了设定的绩效目标，并取得较好的社会效益</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rPr>
        <w:t>同时，部门整体支出发挥资金保障作用，使得</w:t>
      </w:r>
      <w:r>
        <w:rPr>
          <w:rFonts w:hint="eastAsia" w:hAnsi="Times New Roman" w:cs="Times New Roman"/>
          <w:sz w:val="32"/>
          <w:szCs w:val="32"/>
          <w:highlight w:val="none"/>
          <w:lang w:eastAsia="zh-CN"/>
        </w:rPr>
        <w:t>我校</w:t>
      </w:r>
      <w:r>
        <w:rPr>
          <w:rFonts w:hint="eastAsia" w:ascii="仿宋_GB2312" w:hAnsi="Times New Roman" w:eastAsia="仿宋_GB2312" w:cs="Times New Roman"/>
          <w:sz w:val="32"/>
          <w:szCs w:val="32"/>
          <w:highlight w:val="none"/>
        </w:rPr>
        <w:t>各项重点工作任务保质保量完成。</w:t>
      </w:r>
    </w:p>
    <w:p w14:paraId="3A340D2A">
      <w:pPr>
        <w:pStyle w:val="5"/>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（3）项目完成情况</w:t>
      </w:r>
    </w:p>
    <w:p w14:paraId="78244C09">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2023年</w:t>
      </w:r>
      <w:r>
        <w:rPr>
          <w:rFonts w:hint="eastAsia" w:ascii="仿宋_GB2312" w:hAnsi="仿宋_GB2312" w:eastAsia="仿宋_GB2312" w:cs="仿宋_GB2312"/>
          <w:color w:val="auto"/>
          <w:sz w:val="32"/>
          <w:szCs w:val="32"/>
          <w:highlight w:val="none"/>
          <w:u w:val="none"/>
        </w:rPr>
        <w:t>度，</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lang w:bidi="ar"/>
        </w:rPr>
        <w:t>年度工作总体完成情况良好，</w:t>
      </w:r>
      <w:r>
        <w:rPr>
          <w:rFonts w:hint="eastAsia" w:ascii="仿宋_GB2312" w:hAnsi="仿宋_GB2312" w:eastAsia="仿宋_GB2312" w:cs="仿宋_GB2312"/>
          <w:color w:val="auto"/>
          <w:sz w:val="32"/>
          <w:szCs w:val="32"/>
          <w:highlight w:val="none"/>
          <w:u w:val="none"/>
        </w:rPr>
        <w:t>当年度预算安排的二级项目共</w:t>
      </w:r>
      <w:r>
        <w:rPr>
          <w:rFonts w:hint="eastAsia" w:ascii="仿宋_GB2312" w:hAnsi="仿宋_GB2312" w:eastAsia="仿宋_GB2312" w:cs="仿宋_GB2312"/>
          <w:color w:val="auto"/>
          <w:sz w:val="32"/>
          <w:szCs w:val="32"/>
          <w:highlight w:val="none"/>
          <w:u w:val="none"/>
          <w:lang w:val="en-US" w:eastAsia="zh-CN"/>
        </w:rPr>
        <w:t>28</w:t>
      </w:r>
      <w:r>
        <w:rPr>
          <w:rFonts w:hint="eastAsia" w:ascii="仿宋_GB2312" w:hAnsi="仿宋_GB2312" w:eastAsia="仿宋_GB2312" w:cs="仿宋_GB2312"/>
          <w:color w:val="auto"/>
          <w:sz w:val="32"/>
          <w:szCs w:val="32"/>
          <w:highlight w:val="none"/>
          <w:u w:val="none"/>
        </w:rPr>
        <w:t>个，均能达到工作计划、合同要求及实施方案中规定的进度要求，项目完成率达到</w:t>
      </w:r>
      <w:r>
        <w:rPr>
          <w:rFonts w:hint="eastAsia" w:ascii="仿宋_GB2312" w:hAnsi="仿宋_GB2312" w:eastAsia="仿宋_GB2312" w:cs="仿宋_GB2312"/>
          <w:color w:val="auto"/>
          <w:sz w:val="32"/>
          <w:szCs w:val="32"/>
          <w:highlight w:val="none"/>
          <w:u w:val="none"/>
          <w:lang w:val="en-US" w:eastAsia="zh-CN"/>
        </w:rPr>
        <w:t>100</w:t>
      </w:r>
      <w:r>
        <w:rPr>
          <w:rFonts w:hint="eastAsia" w:ascii="仿宋_GB2312" w:hAnsi="仿宋_GB2312" w:eastAsia="仿宋_GB2312" w:cs="仿宋_GB2312"/>
          <w:color w:val="auto"/>
          <w:sz w:val="32"/>
          <w:szCs w:val="32"/>
          <w:highlight w:val="none"/>
          <w:u w:val="none"/>
        </w:rPr>
        <w:t>%。</w:t>
      </w:r>
    </w:p>
    <w:p w14:paraId="51390BAA">
      <w:pPr>
        <w:pStyle w:val="4"/>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3.效果性</w:t>
      </w:r>
    </w:p>
    <w:p w14:paraId="27BE6DCE">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rPr>
        <w:t>本年度总体工作完成情况良好，各项指标完成情况良好，各项工作取得了新成绩，发展态势良好。</w:t>
      </w:r>
    </w:p>
    <w:p w14:paraId="43F056B2">
      <w:pPr>
        <w:pStyle w:val="4"/>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4.公平性</w:t>
      </w:r>
    </w:p>
    <w:p w14:paraId="60481486">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一是群众信访办理情况。</w:t>
      </w:r>
      <w:r>
        <w:rPr>
          <w:rFonts w:hint="eastAsia" w:ascii="仿宋_GB2312" w:hAnsi="仿宋_GB2312" w:eastAsia="仿宋_GB2312" w:cs="仿宋_GB2312"/>
          <w:color w:val="auto"/>
          <w:sz w:val="32"/>
          <w:szCs w:val="32"/>
          <w:highlight w:val="none"/>
          <w:u w:val="none"/>
          <w:lang w:eastAsia="zh-CN"/>
        </w:rPr>
        <w:t>2023年</w:t>
      </w:r>
      <w:r>
        <w:rPr>
          <w:rFonts w:hint="eastAsia" w:ascii="仿宋_GB2312" w:hAnsi="仿宋_GB2312" w:eastAsia="仿宋_GB2312" w:cs="仿宋_GB2312"/>
          <w:color w:val="auto"/>
          <w:sz w:val="32"/>
          <w:szCs w:val="32"/>
          <w:highlight w:val="none"/>
          <w:u w:val="none"/>
        </w:rPr>
        <w:t>度，</w:t>
      </w: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rPr>
        <w:t>未发生重大群体性事件。</w:t>
      </w:r>
    </w:p>
    <w:p w14:paraId="2459FE96">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highlight w:val="none"/>
          <w:u w:val="none"/>
        </w:rPr>
        <w:t>二是公众或服务对象满意度。在校园内开展的各项活动</w:t>
      </w:r>
      <w:r>
        <w:rPr>
          <w:rFonts w:hint="eastAsia" w:ascii="仿宋_GB2312" w:hAnsi="仿宋_GB2312" w:eastAsia="仿宋_GB2312" w:cs="仿宋_GB2312"/>
          <w:color w:val="auto"/>
          <w:sz w:val="32"/>
          <w:szCs w:val="32"/>
          <w:highlight w:val="none"/>
          <w:u w:val="none"/>
          <w:lang w:eastAsia="zh-CN"/>
        </w:rPr>
        <w:t>基本</w:t>
      </w:r>
      <w:r>
        <w:rPr>
          <w:rFonts w:hint="eastAsia" w:ascii="仿宋_GB2312" w:hAnsi="仿宋_GB2312" w:eastAsia="仿宋_GB2312" w:cs="仿宋_GB2312"/>
          <w:color w:val="auto"/>
          <w:sz w:val="32"/>
          <w:szCs w:val="32"/>
          <w:highlight w:val="none"/>
          <w:u w:val="none"/>
        </w:rPr>
        <w:t>得到师生们的好评及家长的认可。</w:t>
      </w:r>
      <w:r>
        <w:rPr>
          <w:rFonts w:hint="eastAsia" w:ascii="仿宋_GB2312" w:hAnsi="仿宋_GB2312" w:eastAsia="仿宋_GB2312" w:cs="仿宋_GB2312"/>
          <w:color w:val="auto"/>
          <w:sz w:val="32"/>
          <w:szCs w:val="32"/>
          <w:highlight w:val="none"/>
          <w:u w:val="none"/>
          <w:lang w:eastAsia="zh-CN"/>
        </w:rPr>
        <w:t>2023年</w:t>
      </w:r>
      <w:r>
        <w:rPr>
          <w:rFonts w:hint="eastAsia" w:ascii="仿宋_GB2312" w:hAnsi="仿宋_GB2312" w:eastAsia="仿宋_GB2312" w:cs="仿宋_GB2312"/>
          <w:color w:val="auto"/>
          <w:sz w:val="32"/>
          <w:szCs w:val="32"/>
          <w:highlight w:val="none"/>
          <w:u w:val="none"/>
        </w:rPr>
        <w:t>度未发生重大投诉事项，师生及家长基本满意。</w:t>
      </w:r>
    </w:p>
    <w:p w14:paraId="308FC776">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三、总体评价和整改措施</w:t>
      </w:r>
    </w:p>
    <w:p w14:paraId="0ED7FE48">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楷体_GB2312" w:hAnsi="楷体_GB2312" w:eastAsia="楷体_GB2312" w:cs="楷体_GB2312"/>
          <w:b w:val="0"/>
          <w:bCs w:val="0"/>
          <w:color w:val="auto"/>
          <w:sz w:val="32"/>
          <w:szCs w:val="32"/>
          <w:u w:val="none"/>
        </w:rPr>
        <w:t>（一）预算绩效管理工作主要经验和做法</w:t>
      </w:r>
    </w:p>
    <w:p w14:paraId="4195BD7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2"/>
          <w:sz w:val="32"/>
          <w:szCs w:val="32"/>
          <w:highlight w:val="none"/>
          <w:lang w:eastAsia="zh-CN" w:bidi="ar-SA"/>
        </w:rPr>
      </w:pPr>
      <w:r>
        <w:rPr>
          <w:rFonts w:hint="eastAsia" w:ascii="仿宋_GB2312" w:hAnsi="仿宋_GB2312" w:eastAsia="仿宋_GB2312" w:cs="仿宋_GB2312"/>
          <w:color w:val="auto"/>
          <w:kern w:val="2"/>
          <w:sz w:val="32"/>
          <w:szCs w:val="32"/>
          <w:highlight w:val="none"/>
          <w:lang w:val="en-US" w:eastAsia="zh-CN" w:bidi="ar-SA"/>
        </w:rPr>
        <w:t>立足绩效自评和重点绩效评价结果，坚持问题导向，有力有序推动整改，持续强化结果应用，硬化预算支出责任约束，补齐绩效管理闭环短板弱项，扎实做好绩效评价“后半篇文章”。一是推动问题整改。根据</w:t>
      </w:r>
      <w:r>
        <w:rPr>
          <w:rFonts w:hint="eastAsia" w:ascii="仿宋_GB2312" w:hAnsi="仿宋_GB2312" w:eastAsia="仿宋_GB2312" w:cs="仿宋_GB2312"/>
          <w:color w:val="auto"/>
          <w:kern w:val="2"/>
          <w:sz w:val="32"/>
          <w:szCs w:val="32"/>
          <w:highlight w:val="none"/>
          <w:lang w:val="en-US" w:eastAsia="zh-Hans" w:bidi="ar-SA"/>
        </w:rPr>
        <w:t>市财政局</w:t>
      </w:r>
      <w:r>
        <w:rPr>
          <w:rFonts w:hint="eastAsia" w:ascii="仿宋_GB2312" w:hAnsi="仿宋_GB2312" w:eastAsia="仿宋_GB2312" w:cs="仿宋_GB2312"/>
          <w:color w:val="auto"/>
          <w:kern w:val="2"/>
          <w:sz w:val="32"/>
          <w:szCs w:val="32"/>
          <w:highlight w:val="none"/>
          <w:lang w:val="en-US" w:eastAsia="zh-CN" w:bidi="ar-SA"/>
        </w:rPr>
        <w:t>工作安排，认真梳理绩效自评抽查复核和重点绩效评价发现问题清单，并向相关部门</w:t>
      </w:r>
      <w:r>
        <w:rPr>
          <w:rFonts w:hint="eastAsia" w:ascii="仿宋_GB2312" w:hAnsi="仿宋_GB2312" w:eastAsia="仿宋_GB2312" w:cs="仿宋_GB2312"/>
          <w:color w:val="auto"/>
          <w:kern w:val="2"/>
          <w:sz w:val="32"/>
          <w:szCs w:val="32"/>
          <w:highlight w:val="none"/>
          <w:lang w:val="en-US" w:eastAsia="zh-Hans" w:bidi="ar-SA"/>
        </w:rPr>
        <w:t>下发</w:t>
      </w:r>
      <w:r>
        <w:rPr>
          <w:rFonts w:hint="eastAsia" w:ascii="仿宋_GB2312" w:hAnsi="仿宋_GB2312" w:eastAsia="仿宋_GB2312" w:cs="仿宋_GB2312"/>
          <w:color w:val="auto"/>
          <w:kern w:val="2"/>
          <w:sz w:val="32"/>
          <w:szCs w:val="32"/>
          <w:highlight w:val="none"/>
          <w:lang w:val="en-US" w:eastAsia="zh-CN" w:bidi="ar-SA"/>
        </w:rPr>
        <w:t>整改通知，反馈绩效评价结果，指出相关问题，明确整改要求，限定整改时限，压实整改责任，齐抓共管，形成合力，统筹推进问题整改工作。二是强化结果运用。将绩效评价结果作为完善政策、加强管理和编制预算的重要依据</w:t>
      </w:r>
      <w:r>
        <w:rPr>
          <w:rFonts w:hint="eastAsia" w:ascii="仿宋_GB2312" w:hAnsi="仿宋_GB2312" w:eastAsia="仿宋_GB2312" w:cs="仿宋_GB2312"/>
          <w:color w:val="auto"/>
          <w:kern w:val="2"/>
          <w:sz w:val="32"/>
          <w:szCs w:val="32"/>
          <w:highlight w:val="none"/>
          <w:lang w:eastAsia="zh-CN" w:bidi="ar-SA"/>
        </w:rPr>
        <w:t>。</w:t>
      </w:r>
    </w:p>
    <w:p w14:paraId="09109D0A">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楷体_GB2312" w:hAnsi="楷体_GB2312" w:eastAsia="楷体_GB2312" w:cs="楷体_GB2312"/>
          <w:b w:val="0"/>
          <w:bCs w:val="0"/>
          <w:color w:val="auto"/>
          <w:sz w:val="32"/>
          <w:szCs w:val="32"/>
          <w:u w:val="none"/>
        </w:rPr>
        <w:t>（二）部门整体支出绩效存在问题及改进措施</w:t>
      </w:r>
    </w:p>
    <w:p w14:paraId="0276FB82">
      <w:pPr>
        <w:pStyle w:val="4"/>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1.存在问题</w:t>
      </w:r>
    </w:p>
    <w:p w14:paraId="4D6F7FC9">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CN" w:bidi="ar"/>
        </w:rPr>
      </w:pPr>
      <w:r>
        <w:rPr>
          <w:rFonts w:hint="eastAsia" w:ascii="仿宋_GB2312" w:hAnsi="仿宋_GB2312" w:eastAsia="仿宋_GB2312" w:cs="仿宋_GB2312"/>
          <w:b w:val="0"/>
          <w:bCs w:val="0"/>
          <w:color w:val="auto"/>
          <w:kern w:val="0"/>
          <w:sz w:val="32"/>
          <w:szCs w:val="32"/>
          <w:highlight w:val="none"/>
          <w:lang w:val="en-US" w:eastAsia="zh-CN" w:bidi="ar"/>
        </w:rPr>
        <w:t>（1）资金支出进度略低于序时进度，预算执行力度有待加强</w:t>
      </w:r>
    </w:p>
    <w:p w14:paraId="0DCE83B2">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CN" w:bidi="ar"/>
        </w:rPr>
      </w:pPr>
      <w:r>
        <w:rPr>
          <w:rFonts w:hint="eastAsia" w:ascii="仿宋_GB2312" w:hAnsi="仿宋_GB2312" w:eastAsia="仿宋_GB2312" w:cs="仿宋_GB2312"/>
          <w:b w:val="0"/>
          <w:bCs w:val="0"/>
          <w:color w:val="auto"/>
          <w:kern w:val="0"/>
          <w:sz w:val="32"/>
          <w:szCs w:val="32"/>
          <w:highlight w:val="none"/>
          <w:lang w:val="en-US" w:eastAsia="zh-CN" w:bidi="ar"/>
        </w:rPr>
        <w:t>根据预算执行情况表显示，我校2023年1-3月支出进度</w:t>
      </w:r>
      <w:r>
        <w:rPr>
          <w:rFonts w:hint="eastAsia" w:cs="仿宋_GB2312"/>
          <w:color w:val="auto"/>
          <w:sz w:val="32"/>
          <w:szCs w:val="32"/>
          <w:highlight w:val="none"/>
          <w:u w:val="none"/>
          <w:lang w:val="en-US" w:eastAsia="zh-CN"/>
        </w:rPr>
        <w:t>20.09</w:t>
      </w:r>
      <w:r>
        <w:rPr>
          <w:rFonts w:hint="eastAsia" w:ascii="仿宋_GB2312" w:hAnsi="仿宋_GB2312" w:eastAsia="仿宋_GB2312" w:cs="仿宋_GB2312"/>
          <w:b w:val="0"/>
          <w:bCs w:val="0"/>
          <w:color w:val="auto"/>
          <w:kern w:val="0"/>
          <w:sz w:val="32"/>
          <w:szCs w:val="32"/>
          <w:highlight w:val="none"/>
          <w:lang w:val="en-US" w:eastAsia="zh-CN" w:bidi="ar"/>
        </w:rPr>
        <w:t>%、1-6月支出进度</w:t>
      </w:r>
      <w:r>
        <w:rPr>
          <w:rFonts w:hint="eastAsia" w:cs="仿宋_GB2312"/>
          <w:color w:val="auto"/>
          <w:sz w:val="32"/>
          <w:szCs w:val="32"/>
          <w:highlight w:val="none"/>
          <w:u w:val="none"/>
          <w:lang w:val="en-US" w:eastAsia="zh-CN"/>
        </w:rPr>
        <w:t>47.38</w:t>
      </w:r>
      <w:r>
        <w:rPr>
          <w:rFonts w:hint="eastAsia" w:ascii="仿宋_GB2312" w:hAnsi="仿宋_GB2312" w:eastAsia="仿宋_GB2312" w:cs="仿宋_GB2312"/>
          <w:b w:val="0"/>
          <w:bCs w:val="0"/>
          <w:color w:val="auto"/>
          <w:kern w:val="0"/>
          <w:sz w:val="32"/>
          <w:szCs w:val="32"/>
          <w:highlight w:val="none"/>
          <w:lang w:val="en-US" w:eastAsia="zh-CN" w:bidi="ar"/>
        </w:rPr>
        <w:t>%、1-9月支出进度</w:t>
      </w:r>
      <w:r>
        <w:rPr>
          <w:rFonts w:hint="eastAsia" w:cs="仿宋_GB2312"/>
          <w:color w:val="auto"/>
          <w:sz w:val="32"/>
          <w:szCs w:val="32"/>
          <w:highlight w:val="none"/>
          <w:u w:val="none"/>
          <w:lang w:val="en-US" w:eastAsia="zh-CN"/>
        </w:rPr>
        <w:t>73.53</w:t>
      </w:r>
      <w:r>
        <w:rPr>
          <w:rFonts w:hint="eastAsia" w:ascii="仿宋_GB2312" w:hAnsi="仿宋_GB2312" w:eastAsia="仿宋_GB2312" w:cs="仿宋_GB2312"/>
          <w:b w:val="0"/>
          <w:bCs w:val="0"/>
          <w:color w:val="auto"/>
          <w:kern w:val="0"/>
          <w:sz w:val="32"/>
          <w:szCs w:val="32"/>
          <w:highlight w:val="none"/>
          <w:lang w:val="en-US" w:eastAsia="zh-CN" w:bidi="ar"/>
        </w:rPr>
        <w:t>%、1-12月支出进度</w:t>
      </w:r>
      <w:r>
        <w:rPr>
          <w:rFonts w:hint="eastAsia" w:cs="仿宋_GB2312"/>
          <w:color w:val="auto"/>
          <w:sz w:val="32"/>
          <w:szCs w:val="32"/>
          <w:highlight w:val="none"/>
          <w:u w:val="none"/>
          <w:lang w:val="en-US" w:eastAsia="zh-CN"/>
        </w:rPr>
        <w:t>99.06</w:t>
      </w:r>
      <w:r>
        <w:rPr>
          <w:rFonts w:hint="eastAsia" w:ascii="仿宋_GB2312" w:hAnsi="仿宋_GB2312" w:eastAsia="仿宋_GB2312" w:cs="仿宋_GB2312"/>
          <w:b w:val="0"/>
          <w:bCs w:val="0"/>
          <w:color w:val="auto"/>
          <w:kern w:val="0"/>
          <w:sz w:val="32"/>
          <w:szCs w:val="32"/>
          <w:highlight w:val="none"/>
          <w:lang w:val="en-US" w:eastAsia="zh-CN" w:bidi="ar"/>
        </w:rPr>
        <w:t>%，则分季预算执行率分别为80.35%、94.76%、98.04%、100%，全年平均执行率93.06%。</w:t>
      </w:r>
    </w:p>
    <w:p w14:paraId="1B7A5D70">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CN" w:bidi="ar"/>
        </w:rPr>
      </w:pPr>
      <w:r>
        <w:rPr>
          <w:rFonts w:hint="eastAsia" w:ascii="仿宋_GB2312" w:hAnsi="仿宋_GB2312" w:eastAsia="仿宋_GB2312" w:cs="仿宋_GB2312"/>
          <w:b w:val="0"/>
          <w:bCs w:val="0"/>
          <w:color w:val="auto"/>
          <w:kern w:val="0"/>
          <w:sz w:val="32"/>
          <w:szCs w:val="32"/>
          <w:highlight w:val="none"/>
          <w:lang w:val="en-US" w:eastAsia="zh-CN" w:bidi="ar"/>
        </w:rPr>
        <w:t>（2）“三公”经费、</w:t>
      </w:r>
      <w:r>
        <w:rPr>
          <w:rFonts w:hint="eastAsia" w:ascii="仿宋_GB2312" w:hAnsi="仿宋_GB2312" w:eastAsia="仿宋_GB2312" w:cs="仿宋_GB2312"/>
          <w:b w:val="0"/>
          <w:bCs w:val="0"/>
          <w:color w:val="auto"/>
          <w:kern w:val="0"/>
          <w:sz w:val="32"/>
          <w:szCs w:val="32"/>
          <w:highlight w:val="none"/>
          <w:lang w:val="en-US" w:eastAsia="zh-Hans" w:bidi="ar"/>
        </w:rPr>
        <w:t>日常公用经费控制率</w:t>
      </w:r>
      <w:r>
        <w:rPr>
          <w:rFonts w:hint="eastAsia" w:ascii="仿宋_GB2312" w:hAnsi="仿宋_GB2312" w:eastAsia="仿宋_GB2312" w:cs="仿宋_GB2312"/>
          <w:b w:val="0"/>
          <w:bCs w:val="0"/>
          <w:color w:val="auto"/>
          <w:kern w:val="0"/>
          <w:sz w:val="32"/>
          <w:szCs w:val="32"/>
          <w:highlight w:val="none"/>
          <w:lang w:val="en-US" w:eastAsia="zh-CN" w:bidi="ar"/>
        </w:rPr>
        <w:t>高</w:t>
      </w:r>
    </w:p>
    <w:p w14:paraId="00217796">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Hans" w:bidi="ar"/>
        </w:rPr>
      </w:pPr>
      <w:r>
        <w:rPr>
          <w:rFonts w:hint="eastAsia" w:ascii="仿宋_GB2312" w:hAnsi="仿宋_GB2312" w:eastAsia="仿宋_GB2312" w:cs="仿宋_GB2312"/>
          <w:color w:val="auto"/>
          <w:sz w:val="32"/>
          <w:szCs w:val="32"/>
          <w:highlight w:val="none"/>
          <w:u w:val="none"/>
          <w:lang w:eastAsia="zh-CN"/>
        </w:rPr>
        <w:t>我校2023年</w:t>
      </w:r>
      <w:r>
        <w:rPr>
          <w:rFonts w:hint="eastAsia" w:ascii="仿宋_GB2312" w:hAnsi="仿宋_GB2312" w:eastAsia="仿宋_GB2312" w:cs="仿宋_GB2312"/>
          <w:color w:val="auto"/>
          <w:sz w:val="32"/>
          <w:szCs w:val="32"/>
          <w:highlight w:val="none"/>
          <w:u w:val="none"/>
        </w:rPr>
        <w:t>“三公”经费全年预算数</w:t>
      </w:r>
      <w:r>
        <w:rPr>
          <w:rFonts w:hint="eastAsia" w:ascii="仿宋_GB2312" w:hAnsi="仿宋_GB2312" w:eastAsia="仿宋_GB2312" w:cs="仿宋_GB2312"/>
          <w:color w:val="auto"/>
          <w:sz w:val="32"/>
          <w:szCs w:val="32"/>
          <w:highlight w:val="none"/>
          <w:u w:val="none"/>
          <w:lang w:val="en-US" w:eastAsia="zh-CN"/>
        </w:rPr>
        <w:t>8</w:t>
      </w:r>
      <w:r>
        <w:rPr>
          <w:rFonts w:hint="eastAsia" w:ascii="仿宋_GB2312" w:hAnsi="仿宋_GB2312" w:eastAsia="仿宋_GB2312" w:cs="仿宋_GB2312"/>
          <w:color w:val="auto"/>
          <w:sz w:val="32"/>
          <w:szCs w:val="32"/>
          <w:highlight w:val="none"/>
          <w:u w:val="none"/>
        </w:rPr>
        <w:t>万元，实际支出数</w:t>
      </w:r>
      <w:r>
        <w:rPr>
          <w:rFonts w:hint="eastAsia" w:ascii="仿宋_GB2312" w:hAnsi="仿宋_GB2312" w:eastAsia="仿宋_GB2312" w:cs="仿宋_GB2312"/>
          <w:color w:val="auto"/>
          <w:sz w:val="32"/>
          <w:szCs w:val="32"/>
          <w:highlight w:val="none"/>
          <w:u w:val="none"/>
          <w:lang w:val="en-US" w:eastAsia="zh-CN"/>
        </w:rPr>
        <w:t>7.99</w:t>
      </w:r>
      <w:r>
        <w:rPr>
          <w:rFonts w:hint="eastAsia" w:ascii="仿宋_GB2312" w:hAnsi="仿宋_GB2312" w:eastAsia="仿宋_GB2312" w:cs="仿宋_GB2312"/>
          <w:color w:val="auto"/>
          <w:sz w:val="32"/>
          <w:szCs w:val="32"/>
          <w:highlight w:val="none"/>
          <w:u w:val="none"/>
        </w:rPr>
        <w:t>万元，“三公”经费控制率为</w:t>
      </w:r>
      <w:r>
        <w:rPr>
          <w:rFonts w:hint="eastAsia" w:cs="仿宋_GB2312"/>
          <w:color w:val="auto"/>
          <w:sz w:val="32"/>
          <w:szCs w:val="32"/>
          <w:highlight w:val="none"/>
          <w:u w:val="none"/>
          <w:lang w:val="en-US" w:eastAsia="zh-CN"/>
        </w:rPr>
        <w:t>99.99</w:t>
      </w:r>
      <w:r>
        <w:rPr>
          <w:rFonts w:hint="eastAsia" w:ascii="仿宋_GB2312" w:hAnsi="仿宋_GB2312" w:eastAsia="仿宋_GB2312" w:cs="仿宋_GB2312"/>
          <w:color w:val="auto"/>
          <w:sz w:val="32"/>
          <w:szCs w:val="32"/>
          <w:highlight w:val="none"/>
          <w:u w:val="none"/>
        </w:rPr>
        <w:t>%。日常公用经费全年预算数</w:t>
      </w:r>
      <w:r>
        <w:rPr>
          <w:rFonts w:hint="eastAsia" w:ascii="仿宋_GB2312" w:hAnsi="仿宋_GB2312" w:eastAsia="仿宋_GB2312" w:cs="仿宋_GB2312"/>
          <w:color w:val="auto"/>
          <w:sz w:val="32"/>
          <w:szCs w:val="32"/>
          <w:highlight w:val="none"/>
          <w:u w:val="none"/>
          <w:lang w:val="en-US" w:eastAsia="zh-CN"/>
        </w:rPr>
        <w:t>784.77</w:t>
      </w:r>
      <w:r>
        <w:rPr>
          <w:rFonts w:hint="eastAsia" w:ascii="仿宋_GB2312" w:hAnsi="仿宋_GB2312" w:eastAsia="仿宋_GB2312" w:cs="仿宋_GB2312"/>
          <w:color w:val="auto"/>
          <w:sz w:val="32"/>
          <w:szCs w:val="32"/>
          <w:highlight w:val="none"/>
          <w:u w:val="none"/>
        </w:rPr>
        <w:t>万元，实际支出数</w:t>
      </w:r>
      <w:r>
        <w:rPr>
          <w:rFonts w:hint="eastAsia" w:ascii="仿宋_GB2312" w:hAnsi="仿宋_GB2312" w:eastAsia="仿宋_GB2312" w:cs="仿宋_GB2312"/>
          <w:color w:val="auto"/>
          <w:sz w:val="32"/>
          <w:szCs w:val="32"/>
          <w:highlight w:val="none"/>
          <w:u w:val="none"/>
          <w:lang w:val="en-US" w:eastAsia="zh-CN"/>
        </w:rPr>
        <w:t>753.67</w:t>
      </w:r>
      <w:r>
        <w:rPr>
          <w:rFonts w:hint="eastAsia" w:ascii="仿宋_GB2312" w:hAnsi="仿宋_GB2312" w:eastAsia="仿宋_GB2312" w:cs="仿宋_GB2312"/>
          <w:color w:val="auto"/>
          <w:sz w:val="32"/>
          <w:szCs w:val="32"/>
          <w:highlight w:val="none"/>
          <w:u w:val="none"/>
        </w:rPr>
        <w:t>万元，日常公用经费控制率为</w:t>
      </w:r>
      <w:r>
        <w:rPr>
          <w:rFonts w:hint="eastAsia" w:ascii="仿宋_GB2312" w:hAnsi="仿宋_GB2312" w:eastAsia="仿宋_GB2312" w:cs="仿宋_GB2312"/>
          <w:color w:val="auto"/>
          <w:sz w:val="32"/>
          <w:szCs w:val="32"/>
          <w:highlight w:val="none"/>
          <w:u w:val="none"/>
          <w:lang w:val="en-US" w:eastAsia="zh-CN"/>
        </w:rPr>
        <w:t>96.04</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b w:val="0"/>
          <w:bCs w:val="0"/>
          <w:color w:val="auto"/>
          <w:kern w:val="0"/>
          <w:sz w:val="32"/>
          <w:szCs w:val="32"/>
          <w:highlight w:val="none"/>
          <w:lang w:eastAsia="zh-Hans" w:bidi="ar"/>
        </w:rPr>
        <w:t>高于区财政制定的</w:t>
      </w:r>
      <w:r>
        <w:rPr>
          <w:rFonts w:hint="eastAsia" w:ascii="仿宋_GB2312" w:hAnsi="仿宋_GB2312" w:eastAsia="仿宋_GB2312" w:cs="仿宋_GB2312"/>
          <w:b w:val="0"/>
          <w:bCs w:val="0"/>
          <w:color w:val="auto"/>
          <w:kern w:val="0"/>
          <w:sz w:val="32"/>
          <w:szCs w:val="32"/>
          <w:highlight w:val="none"/>
          <w:lang w:eastAsia="zh-CN" w:bidi="ar"/>
        </w:rPr>
        <w:t>“三公”经费控制率＜90%、</w:t>
      </w:r>
      <w:r>
        <w:rPr>
          <w:rFonts w:hint="eastAsia" w:ascii="仿宋_GB2312" w:hAnsi="仿宋_GB2312" w:eastAsia="仿宋_GB2312" w:cs="仿宋_GB2312"/>
          <w:b w:val="0"/>
          <w:bCs w:val="0"/>
          <w:color w:val="auto"/>
          <w:kern w:val="0"/>
          <w:sz w:val="32"/>
          <w:szCs w:val="32"/>
          <w:highlight w:val="none"/>
          <w:lang w:eastAsia="zh-Hans" w:bidi="ar"/>
        </w:rPr>
        <w:t>“公用经费控制率＜90%”</w:t>
      </w:r>
      <w:r>
        <w:rPr>
          <w:rFonts w:hint="eastAsia" w:ascii="仿宋_GB2312" w:hAnsi="仿宋_GB2312" w:eastAsia="仿宋_GB2312" w:cs="仿宋_GB2312"/>
          <w:b w:val="0"/>
          <w:bCs w:val="0"/>
          <w:color w:val="auto"/>
          <w:kern w:val="0"/>
          <w:sz w:val="32"/>
          <w:szCs w:val="32"/>
          <w:highlight w:val="none"/>
          <w:lang w:val="en-US" w:eastAsia="zh-Hans" w:bidi="ar"/>
        </w:rPr>
        <w:t>的</w:t>
      </w:r>
      <w:r>
        <w:rPr>
          <w:rFonts w:hint="eastAsia" w:ascii="仿宋_GB2312" w:hAnsi="仿宋_GB2312" w:eastAsia="仿宋_GB2312" w:cs="仿宋_GB2312"/>
          <w:b w:val="0"/>
          <w:bCs w:val="0"/>
          <w:color w:val="auto"/>
          <w:kern w:val="0"/>
          <w:sz w:val="32"/>
          <w:szCs w:val="32"/>
          <w:highlight w:val="none"/>
          <w:lang w:eastAsia="zh-Hans" w:bidi="ar"/>
        </w:rPr>
        <w:t>评分标准，</w:t>
      </w:r>
      <w:r>
        <w:rPr>
          <w:rFonts w:hint="eastAsia" w:ascii="仿宋_GB2312" w:hAnsi="仿宋_GB2312" w:eastAsia="仿宋_GB2312" w:cs="仿宋_GB2312"/>
          <w:b w:val="0"/>
          <w:bCs w:val="0"/>
          <w:color w:val="auto"/>
          <w:kern w:val="0"/>
          <w:sz w:val="32"/>
          <w:szCs w:val="32"/>
          <w:highlight w:val="none"/>
          <w:lang w:eastAsia="zh-CN" w:bidi="ar"/>
        </w:rPr>
        <w:t>“三公”经费、</w:t>
      </w:r>
      <w:r>
        <w:rPr>
          <w:rFonts w:hint="eastAsia" w:ascii="仿宋_GB2312" w:hAnsi="仿宋_GB2312" w:eastAsia="仿宋_GB2312" w:cs="仿宋_GB2312"/>
          <w:b w:val="0"/>
          <w:bCs w:val="0"/>
          <w:color w:val="auto"/>
          <w:kern w:val="0"/>
          <w:sz w:val="32"/>
          <w:szCs w:val="32"/>
          <w:highlight w:val="none"/>
          <w:lang w:val="en-US" w:eastAsia="zh-Hans" w:bidi="ar"/>
        </w:rPr>
        <w:t>日常公用经费控制方面仍有待加强</w:t>
      </w:r>
      <w:r>
        <w:rPr>
          <w:rFonts w:hint="eastAsia" w:ascii="仿宋_GB2312" w:hAnsi="仿宋_GB2312" w:eastAsia="仿宋_GB2312" w:cs="仿宋_GB2312"/>
          <w:b w:val="0"/>
          <w:bCs w:val="0"/>
          <w:color w:val="auto"/>
          <w:kern w:val="0"/>
          <w:sz w:val="32"/>
          <w:szCs w:val="32"/>
          <w:highlight w:val="none"/>
          <w:lang w:eastAsia="zh-Hans" w:bidi="ar"/>
        </w:rPr>
        <w:t>。</w:t>
      </w:r>
    </w:p>
    <w:p w14:paraId="191094C6">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lang w:val="en-US" w:eastAsia="zh-Hans"/>
        </w:rPr>
      </w:pPr>
      <w:r>
        <w:rPr>
          <w:rFonts w:hint="eastAsia" w:ascii="仿宋_GB2312" w:hAnsi="仿宋_GB2312" w:eastAsia="仿宋_GB2312" w:cs="仿宋_GB2312"/>
          <w:color w:val="auto"/>
          <w:sz w:val="32"/>
          <w:szCs w:val="32"/>
          <w:highlight w:val="none"/>
          <w:u w:val="none"/>
          <w:lang w:val="en-US" w:eastAsia="zh-CN"/>
        </w:rPr>
        <w:t>（</w:t>
      </w:r>
      <w:r>
        <w:rPr>
          <w:rFonts w:hint="eastAsia" w:cs="仿宋_GB2312"/>
          <w:color w:val="auto"/>
          <w:sz w:val="32"/>
          <w:szCs w:val="32"/>
          <w:highlight w:val="none"/>
          <w:u w:val="none"/>
          <w:lang w:val="en-US" w:eastAsia="zh-CN"/>
        </w:rPr>
        <w:t>3</w:t>
      </w:r>
      <w:r>
        <w:rPr>
          <w:rFonts w:hint="eastAsia" w:ascii="仿宋_GB2312" w:hAnsi="仿宋_GB2312" w:eastAsia="仿宋_GB2312" w:cs="仿宋_GB2312"/>
          <w:color w:val="auto"/>
          <w:sz w:val="32"/>
          <w:szCs w:val="32"/>
          <w:highlight w:val="none"/>
          <w:u w:val="none"/>
          <w:lang w:val="en-US" w:eastAsia="zh-CN"/>
        </w:rPr>
        <w:t>）</w:t>
      </w:r>
      <w:r>
        <w:rPr>
          <w:rFonts w:hint="eastAsia" w:ascii="仿宋_GB2312" w:hAnsi="仿宋_GB2312" w:eastAsia="仿宋_GB2312" w:cs="仿宋_GB2312"/>
          <w:color w:val="auto"/>
          <w:sz w:val="32"/>
          <w:szCs w:val="32"/>
          <w:highlight w:val="none"/>
          <w:u w:val="none"/>
          <w:lang w:val="en-US" w:eastAsia="zh-Hans"/>
        </w:rPr>
        <w:t>绩效目标不够明确，指标科学合理性有待提高</w:t>
      </w:r>
    </w:p>
    <w:p w14:paraId="485096AE">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我校虽然按照财政要求填报绩效目标申报表，但是部分绩效目标还有待加强，经济、生态效益绩效指标可以更加明确化，绩效指标表述有待进一步完善。</w:t>
      </w:r>
    </w:p>
    <w:p w14:paraId="05322AF3">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2.改进措施</w:t>
      </w:r>
    </w:p>
    <w:p w14:paraId="2F3C61E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bidi="ar"/>
        </w:rPr>
      </w:pPr>
      <w:r>
        <w:rPr>
          <w:rFonts w:hint="eastAsia" w:ascii="仿宋_GB2312" w:hAnsi="仿宋_GB2312" w:eastAsia="仿宋_GB2312" w:cs="仿宋_GB2312"/>
          <w:b w:val="0"/>
          <w:bCs w:val="0"/>
          <w:color w:val="auto"/>
          <w:kern w:val="0"/>
          <w:sz w:val="32"/>
          <w:szCs w:val="32"/>
          <w:highlight w:val="none"/>
          <w:lang w:val="en-US" w:eastAsia="zh-CN" w:bidi="ar"/>
        </w:rPr>
        <w:t>(1)继续推进预算执行监管力度，加快分季度支出进度</w:t>
      </w:r>
    </w:p>
    <w:p w14:paraId="5A12A4A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bidi="ar"/>
        </w:rPr>
      </w:pPr>
      <w:r>
        <w:rPr>
          <w:rFonts w:hint="eastAsia" w:ascii="仿宋_GB2312" w:hAnsi="仿宋_GB2312" w:eastAsia="仿宋_GB2312" w:cs="仿宋_GB2312"/>
          <w:b w:val="0"/>
          <w:bCs w:val="0"/>
          <w:color w:val="auto"/>
          <w:kern w:val="0"/>
          <w:sz w:val="32"/>
          <w:szCs w:val="32"/>
          <w:highlight w:val="none"/>
          <w:lang w:val="en-US" w:eastAsia="zh-Hans" w:bidi="ar"/>
        </w:rPr>
        <w:t>202</w:t>
      </w:r>
      <w:r>
        <w:rPr>
          <w:rFonts w:hint="eastAsia" w:ascii="仿宋_GB2312" w:hAnsi="仿宋_GB2312" w:eastAsia="仿宋_GB2312" w:cs="仿宋_GB2312"/>
          <w:b w:val="0"/>
          <w:bCs w:val="0"/>
          <w:color w:val="auto"/>
          <w:kern w:val="0"/>
          <w:sz w:val="32"/>
          <w:szCs w:val="32"/>
          <w:highlight w:val="none"/>
          <w:lang w:val="en-US" w:eastAsia="zh-CN" w:bidi="ar"/>
        </w:rPr>
        <w:t>3</w:t>
      </w:r>
      <w:r>
        <w:rPr>
          <w:rFonts w:hint="eastAsia" w:ascii="仿宋_GB2312" w:hAnsi="仿宋_GB2312" w:eastAsia="仿宋_GB2312" w:cs="仿宋_GB2312"/>
          <w:b w:val="0"/>
          <w:bCs w:val="0"/>
          <w:color w:val="auto"/>
          <w:kern w:val="0"/>
          <w:sz w:val="32"/>
          <w:szCs w:val="32"/>
          <w:highlight w:val="none"/>
          <w:lang w:val="en-US" w:eastAsia="zh-Hans" w:bidi="ar"/>
        </w:rPr>
        <w:t>年度</w:t>
      </w:r>
      <w:r>
        <w:rPr>
          <w:rFonts w:hint="eastAsia" w:ascii="仿宋_GB2312" w:hAnsi="仿宋_GB2312" w:eastAsia="仿宋_GB2312" w:cs="仿宋_GB2312"/>
          <w:b w:val="0"/>
          <w:bCs w:val="0"/>
          <w:color w:val="auto"/>
          <w:kern w:val="0"/>
          <w:sz w:val="32"/>
          <w:szCs w:val="32"/>
          <w:highlight w:val="none"/>
          <w:lang w:val="en-US" w:eastAsia="zh-CN" w:bidi="ar"/>
        </w:rPr>
        <w:t>我校</w:t>
      </w:r>
      <w:r>
        <w:rPr>
          <w:rFonts w:hint="eastAsia" w:ascii="仿宋_GB2312" w:hAnsi="仿宋_GB2312" w:eastAsia="仿宋_GB2312" w:cs="仿宋_GB2312"/>
          <w:b w:val="0"/>
          <w:bCs w:val="0"/>
          <w:color w:val="auto"/>
          <w:kern w:val="0"/>
          <w:sz w:val="32"/>
          <w:szCs w:val="32"/>
          <w:highlight w:val="none"/>
          <w:lang w:val="en-US" w:eastAsia="zh-Hans" w:bidi="ar"/>
        </w:rPr>
        <w:t>分季度支出进度基本能达到序时进度，但仍有进步空间。</w:t>
      </w:r>
      <w:r>
        <w:rPr>
          <w:rFonts w:hint="eastAsia" w:ascii="仿宋_GB2312" w:hAnsi="仿宋_GB2312" w:eastAsia="仿宋_GB2312" w:cs="仿宋_GB2312"/>
          <w:b w:val="0"/>
          <w:bCs w:val="0"/>
          <w:color w:val="auto"/>
          <w:kern w:val="0"/>
          <w:sz w:val="32"/>
          <w:szCs w:val="32"/>
          <w:highlight w:val="none"/>
          <w:lang w:val="en-US" w:eastAsia="zh-CN" w:bidi="ar"/>
        </w:rPr>
        <w:t>我校会继续加强预算执行监管工作，合理运用和发挥预算执行情况分析报告的作用，定时将财政支出进度进行统计分析，实现预算全程管控，并以通报的形式下发业务处室。督促未达到支出序时进度的业务处室撰写情况说明，分析支出进度缓慢原因，梳理、查找执行中的问题，认真研究提出有针对性的对策和措施，加快推进项目实施，确保实现支出目标，保障往后年度实际支出进度达到序时进度。</w:t>
      </w:r>
    </w:p>
    <w:p w14:paraId="0E05CEB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Hans" w:bidi="ar"/>
        </w:rPr>
      </w:pPr>
      <w:r>
        <w:rPr>
          <w:rFonts w:hint="eastAsia" w:ascii="仿宋_GB2312" w:hAnsi="仿宋_GB2312" w:eastAsia="仿宋_GB2312" w:cs="仿宋_GB2312"/>
          <w:b w:val="0"/>
          <w:bCs w:val="0"/>
          <w:color w:val="auto"/>
          <w:kern w:val="0"/>
          <w:sz w:val="32"/>
          <w:szCs w:val="32"/>
          <w:highlight w:val="none"/>
          <w:lang w:val="en-US" w:eastAsia="zh-CN" w:bidi="ar"/>
        </w:rPr>
        <w:t>(2)</w:t>
      </w:r>
      <w:r>
        <w:rPr>
          <w:rFonts w:hint="eastAsia" w:ascii="仿宋_GB2312" w:hAnsi="仿宋_GB2312" w:eastAsia="仿宋_GB2312" w:cs="仿宋_GB2312"/>
          <w:b w:val="0"/>
          <w:bCs w:val="0"/>
          <w:color w:val="auto"/>
          <w:kern w:val="0"/>
          <w:sz w:val="32"/>
          <w:szCs w:val="32"/>
          <w:highlight w:val="none"/>
          <w:lang w:val="en-US" w:eastAsia="zh-Hans" w:bidi="ar"/>
        </w:rPr>
        <w:t>强化公用经费支出把控，提升经费支出效益</w:t>
      </w:r>
    </w:p>
    <w:p w14:paraId="598607E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Hans" w:bidi="ar"/>
        </w:rPr>
      </w:pPr>
      <w:r>
        <w:rPr>
          <w:rFonts w:hint="eastAsia" w:ascii="仿宋_GB2312" w:hAnsi="仿宋_GB2312" w:eastAsia="仿宋_GB2312" w:cs="仿宋_GB2312"/>
          <w:b w:val="0"/>
          <w:bCs w:val="0"/>
          <w:color w:val="auto"/>
          <w:kern w:val="0"/>
          <w:sz w:val="32"/>
          <w:szCs w:val="32"/>
          <w:highlight w:val="none"/>
          <w:lang w:val="en-US" w:eastAsia="zh-Hans" w:bidi="ar"/>
        </w:rPr>
        <w:t>进一步强化公用经费支出把控，坚持从严从简，坚持总量控制，实事求是，科学设定相关标准，严格控制经费支出总额，在保证正常履职的前提下勤俭办一切活动，降低公务活动成本。梳理公用经费支出项目，判断哪一工作环节能进一步压减经费开支，从而对症下药，压减该部分经费支出，尤其严控“三公”经费支出，提升公用经费控制力度。同时，继续贯彻落实“厉行节约”，通过加强宣导，动员各处室严格贯彻“厉行节约”原则。</w:t>
      </w:r>
    </w:p>
    <w:p w14:paraId="062CDF7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Hans" w:bidi="ar"/>
        </w:rPr>
      </w:pPr>
      <w:r>
        <w:rPr>
          <w:rFonts w:hint="eastAsia" w:ascii="仿宋_GB2312" w:hAnsi="仿宋_GB2312" w:eastAsia="仿宋_GB2312" w:cs="仿宋_GB2312"/>
          <w:b w:val="0"/>
          <w:bCs w:val="0"/>
          <w:color w:val="auto"/>
          <w:kern w:val="0"/>
          <w:sz w:val="32"/>
          <w:szCs w:val="32"/>
          <w:highlight w:val="none"/>
          <w:lang w:val="en-US" w:eastAsia="zh-CN" w:bidi="ar"/>
        </w:rPr>
        <w:t>(3)</w:t>
      </w:r>
      <w:r>
        <w:rPr>
          <w:rFonts w:hint="eastAsia" w:ascii="仿宋_GB2312" w:hAnsi="仿宋_GB2312" w:eastAsia="仿宋_GB2312" w:cs="仿宋_GB2312"/>
          <w:b w:val="0"/>
          <w:bCs w:val="0"/>
          <w:color w:val="auto"/>
          <w:kern w:val="0"/>
          <w:sz w:val="32"/>
          <w:szCs w:val="32"/>
          <w:highlight w:val="none"/>
          <w:lang w:val="en-US" w:eastAsia="zh-Hans" w:bidi="ar"/>
        </w:rPr>
        <w:t>全面梳理绩效目标，增强绩效指标可衡量性</w:t>
      </w:r>
    </w:p>
    <w:p w14:paraId="1663071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Hans" w:bidi="ar"/>
        </w:rPr>
      </w:pPr>
      <w:r>
        <w:rPr>
          <w:rFonts w:hint="eastAsia" w:ascii="仿宋_GB2312" w:hAnsi="仿宋_GB2312" w:eastAsia="仿宋_GB2312" w:cs="仿宋_GB2312"/>
          <w:b w:val="0"/>
          <w:bCs w:val="0"/>
          <w:color w:val="auto"/>
          <w:kern w:val="0"/>
          <w:sz w:val="32"/>
          <w:szCs w:val="32"/>
          <w:highlight w:val="none"/>
          <w:lang w:val="en-US" w:eastAsia="zh-Hans" w:bidi="ar"/>
        </w:rPr>
        <w:t>绩效目标应与部门整体支出的方向、结构与范围相关，部门支出则围绕部门的职能进行，因此，绩效目标应与部门的职能紧密相关，应准确把握部门职能的界限，全面体现部门年度产出和效益情况。下一步在编制绩效目标时，</w:t>
      </w:r>
      <w:r>
        <w:rPr>
          <w:rFonts w:hint="eastAsia" w:ascii="仿宋_GB2312" w:hAnsi="仿宋_GB2312" w:eastAsia="仿宋_GB2312" w:cs="仿宋_GB2312"/>
          <w:b w:val="0"/>
          <w:bCs w:val="0"/>
          <w:color w:val="auto"/>
          <w:kern w:val="0"/>
          <w:sz w:val="32"/>
          <w:szCs w:val="32"/>
          <w:highlight w:val="none"/>
          <w:lang w:val="en-US" w:eastAsia="zh-CN" w:bidi="ar"/>
        </w:rPr>
        <w:t>以各部门为项目的责任主体，</w:t>
      </w:r>
      <w:r>
        <w:rPr>
          <w:rFonts w:hint="eastAsia" w:ascii="仿宋_GB2312" w:hAnsi="仿宋_GB2312" w:eastAsia="仿宋_GB2312" w:cs="仿宋_GB2312"/>
          <w:b w:val="0"/>
          <w:bCs w:val="0"/>
          <w:color w:val="auto"/>
          <w:kern w:val="0"/>
          <w:sz w:val="32"/>
          <w:szCs w:val="32"/>
          <w:highlight w:val="none"/>
          <w:lang w:val="en-US" w:eastAsia="zh-Hans" w:bidi="ar"/>
        </w:rPr>
        <w:t>全面梳理预算项目核心履职绩效指标，并在此基础上汇总梳理形成全面、明确、可量化的绩效目标，提高绩效目标量化程度。</w:t>
      </w:r>
    </w:p>
    <w:p w14:paraId="67F405D1">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color w:val="auto"/>
          <w:sz w:val="32"/>
          <w:szCs w:val="32"/>
          <w:u w:val="none"/>
        </w:rPr>
      </w:pPr>
      <w:r>
        <w:rPr>
          <w:rFonts w:hint="eastAsia" w:ascii="楷体_GB2312" w:hAnsi="楷体_GB2312" w:eastAsia="楷体_GB2312" w:cs="楷体_GB2312"/>
          <w:b w:val="0"/>
          <w:bCs w:val="0"/>
          <w:color w:val="auto"/>
          <w:sz w:val="32"/>
          <w:szCs w:val="32"/>
          <w:u w:val="none"/>
        </w:rPr>
        <w:t>（三）后续工作计划、相关建议等</w:t>
      </w:r>
    </w:p>
    <w:p w14:paraId="6B4A834F">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2024年，我校将坚定不移地以习近平新时代中国特色社会主义思想和党的二十大精神为指导，坚定不移用党的二十大精神武装头脑、指导实践、推动工作，以昂扬的精神状态和扎实的工作作风把党的二十大提出的目标任务落到实处。</w:t>
      </w:r>
    </w:p>
    <w:p w14:paraId="7F917198">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由于预算绩效管理工作开展时间较短，多数预算执行人员对预算绩效管理认识还不够到位、理解还不够充分，造成绩效评价工作还未摆脱财务考评或竣工验收的影响。因此建议采取集中学习、讲座、专题会议等方式，加大对相关人员的培训力度，进一步统一认识，充实业务知识。</w:t>
      </w:r>
    </w:p>
    <w:p w14:paraId="0C754689">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u w:val="none"/>
        </w:rPr>
      </w:pPr>
      <w:r>
        <w:rPr>
          <w:rFonts w:hint="eastAsia" w:ascii="黑体" w:hAnsi="黑体" w:eastAsia="黑体" w:cs="黑体"/>
          <w:color w:val="auto"/>
          <w:sz w:val="32"/>
          <w:szCs w:val="32"/>
          <w:highlight w:val="none"/>
          <w:u w:val="none"/>
        </w:rPr>
        <w:t>四、部门整体支出绩效评价指标评分情况</w:t>
      </w:r>
    </w:p>
    <w:p w14:paraId="6E5D5D49">
      <w:pPr>
        <w:pStyle w:val="10"/>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lang w:eastAsia="zh-CN"/>
        </w:rPr>
        <w:sectPr>
          <w:pgSz w:w="11906" w:h="16838"/>
          <w:pgMar w:top="2098" w:right="1417" w:bottom="1417" w:left="1474" w:header="851" w:footer="992" w:gutter="0"/>
          <w:cols w:space="425" w:num="1"/>
          <w:docGrid w:type="lines" w:linePitch="312" w:charSpace="0"/>
        </w:sectPr>
      </w:pPr>
      <w:r>
        <w:rPr>
          <w:rFonts w:hint="eastAsia" w:ascii="仿宋_GB2312" w:hAnsi="仿宋_GB2312" w:eastAsia="仿宋_GB2312" w:cs="仿宋_GB2312"/>
          <w:color w:val="auto"/>
          <w:sz w:val="32"/>
          <w:szCs w:val="32"/>
          <w:highlight w:val="none"/>
          <w:u w:val="none"/>
          <w:lang w:eastAsia="zh-CN"/>
        </w:rPr>
        <w:t>我校</w:t>
      </w:r>
      <w:r>
        <w:rPr>
          <w:rFonts w:hint="eastAsia" w:ascii="仿宋_GB2312" w:hAnsi="仿宋_GB2312" w:eastAsia="仿宋_GB2312" w:cs="仿宋_GB2312"/>
          <w:color w:val="auto"/>
          <w:sz w:val="32"/>
          <w:szCs w:val="32"/>
          <w:highlight w:val="none"/>
          <w:u w:val="none"/>
        </w:rPr>
        <w:t>参照《部门整体支出绩效评价共性指标体系框架（</w:t>
      </w:r>
      <w:r>
        <w:rPr>
          <w:rFonts w:hint="eastAsia" w:ascii="仿宋_GB2312" w:hAnsi="仿宋_GB2312" w:eastAsia="仿宋_GB2312" w:cs="仿宋_GB2312"/>
          <w:color w:val="auto"/>
          <w:sz w:val="32"/>
          <w:szCs w:val="32"/>
          <w:highlight w:val="none"/>
          <w:u w:val="none"/>
          <w:lang w:eastAsia="zh-CN"/>
        </w:rPr>
        <w:t>2023年</w:t>
      </w:r>
      <w:r>
        <w:rPr>
          <w:rFonts w:hint="eastAsia" w:ascii="仿宋_GB2312" w:hAnsi="仿宋_GB2312" w:eastAsia="仿宋_GB2312" w:cs="仿宋_GB2312"/>
          <w:color w:val="auto"/>
          <w:sz w:val="32"/>
          <w:szCs w:val="32"/>
          <w:highlight w:val="none"/>
          <w:u w:val="none"/>
        </w:rPr>
        <w:t>度）》进行自评，得分</w:t>
      </w:r>
      <w:r>
        <w:rPr>
          <w:rFonts w:hint="eastAsia" w:cs="仿宋_GB2312"/>
          <w:color w:val="auto"/>
          <w:sz w:val="32"/>
          <w:szCs w:val="32"/>
          <w:highlight w:val="none"/>
          <w:u w:val="none"/>
          <w:lang w:val="en-US" w:eastAsia="zh-CN"/>
        </w:rPr>
        <w:t>95.58</w:t>
      </w:r>
      <w:r>
        <w:rPr>
          <w:rFonts w:hint="eastAsia" w:ascii="仿宋_GB2312" w:hAnsi="仿宋_GB2312" w:eastAsia="仿宋_GB2312" w:cs="仿宋_GB2312"/>
          <w:color w:val="auto"/>
          <w:sz w:val="32"/>
          <w:szCs w:val="32"/>
          <w:highlight w:val="none"/>
          <w:u w:val="none"/>
        </w:rPr>
        <w:t>分，得分情况见附件《部门整体支出绩效评价共性指标体系框架（</w:t>
      </w:r>
      <w:r>
        <w:rPr>
          <w:rFonts w:hint="eastAsia" w:ascii="仿宋_GB2312" w:hAnsi="仿宋_GB2312" w:eastAsia="仿宋_GB2312" w:cs="仿宋_GB2312"/>
          <w:color w:val="auto"/>
          <w:sz w:val="32"/>
          <w:szCs w:val="32"/>
          <w:highlight w:val="none"/>
          <w:u w:val="none"/>
          <w:lang w:eastAsia="zh-CN"/>
        </w:rPr>
        <w:t>2023年</w:t>
      </w:r>
      <w:r>
        <w:rPr>
          <w:rFonts w:hint="eastAsia" w:ascii="仿宋_GB2312" w:hAnsi="仿宋_GB2312" w:eastAsia="仿宋_GB2312" w:cs="仿宋_GB2312"/>
          <w:color w:val="auto"/>
          <w:sz w:val="32"/>
          <w:szCs w:val="32"/>
          <w:highlight w:val="none"/>
          <w:u w:val="none"/>
        </w:rPr>
        <w:t>度）评分表》</w:t>
      </w:r>
      <w:r>
        <w:rPr>
          <w:rFonts w:hint="eastAsia" w:ascii="仿宋_GB2312" w:hAnsi="仿宋_GB2312" w:eastAsia="仿宋_GB2312" w:cs="仿宋_GB2312"/>
          <w:color w:val="auto"/>
          <w:sz w:val="32"/>
          <w:szCs w:val="32"/>
          <w:highlight w:val="none"/>
          <w:u w:val="none"/>
          <w:lang w:eastAsia="zh-CN"/>
        </w:rPr>
        <w:t>。</w:t>
      </w:r>
    </w:p>
    <w:p w14:paraId="594E5E8D">
      <w:pPr>
        <w:tabs>
          <w:tab w:val="center" w:pos="6979"/>
        </w:tabs>
        <w:spacing w:line="620" w:lineRule="exact"/>
        <w:jc w:val="left"/>
        <w:rPr>
          <w:rFonts w:ascii="仿宋_GB2312" w:eastAsia="仿宋_GB2312"/>
          <w:sz w:val="28"/>
          <w:szCs w:val="28"/>
        </w:rPr>
      </w:pPr>
      <w:r>
        <w:rPr>
          <w:rFonts w:hint="eastAsia" w:ascii="仿宋_GB2312" w:eastAsia="仿宋_GB2312" w:cs="仿宋_GB2312"/>
          <w:sz w:val="28"/>
          <w:szCs w:val="28"/>
        </w:rPr>
        <w:t>附件：</w:t>
      </w:r>
    </w:p>
    <w:p w14:paraId="396890BB">
      <w:pPr>
        <w:tabs>
          <w:tab w:val="center" w:pos="6979"/>
        </w:tabs>
        <w:spacing w:line="620" w:lineRule="exact"/>
        <w:jc w:val="center"/>
        <w:rPr>
          <w:sz w:val="28"/>
          <w:szCs w:val="28"/>
        </w:rPr>
      </w:pPr>
      <w:r>
        <w:rPr>
          <w:rFonts w:hint="eastAsia" w:ascii="方正小标宋简体" w:eastAsia="方正小标宋简体" w:cs="方正小标宋简体"/>
          <w:sz w:val="30"/>
          <w:szCs w:val="30"/>
        </w:rPr>
        <w:t>部门整体支出绩效评价共性指标体系框架</w:t>
      </w:r>
    </w:p>
    <w:tbl>
      <w:tblPr>
        <w:tblStyle w:val="19"/>
        <w:tblW w:w="15163" w:type="dxa"/>
        <w:tblInd w:w="0" w:type="dxa"/>
        <w:tblLayout w:type="fixed"/>
        <w:tblCellMar>
          <w:top w:w="0" w:type="dxa"/>
          <w:left w:w="108" w:type="dxa"/>
          <w:bottom w:w="0" w:type="dxa"/>
          <w:right w:w="108" w:type="dxa"/>
        </w:tblCellMar>
      </w:tblPr>
      <w:tblGrid>
        <w:gridCol w:w="577"/>
        <w:gridCol w:w="567"/>
        <w:gridCol w:w="567"/>
        <w:gridCol w:w="567"/>
        <w:gridCol w:w="851"/>
        <w:gridCol w:w="567"/>
        <w:gridCol w:w="2536"/>
        <w:gridCol w:w="5812"/>
        <w:gridCol w:w="807"/>
        <w:gridCol w:w="2312"/>
      </w:tblGrid>
      <w:tr w14:paraId="1FD16F34">
        <w:tblPrEx>
          <w:tblCellMar>
            <w:top w:w="0" w:type="dxa"/>
            <w:left w:w="108" w:type="dxa"/>
            <w:bottom w:w="0" w:type="dxa"/>
            <w:right w:w="108" w:type="dxa"/>
          </w:tblCellMar>
        </w:tblPrEx>
        <w:trPr>
          <w:trHeight w:val="180" w:hRule="atLeast"/>
          <w:tblHeader/>
        </w:trPr>
        <w:tc>
          <w:tcPr>
            <w:tcW w:w="3696" w:type="dxa"/>
            <w:gridSpan w:val="6"/>
            <w:tcBorders>
              <w:top w:val="single" w:color="auto" w:sz="4" w:space="0"/>
              <w:left w:val="single" w:color="auto" w:sz="4" w:space="0"/>
              <w:bottom w:val="single" w:color="auto" w:sz="4" w:space="0"/>
              <w:right w:val="single" w:color="auto" w:sz="4" w:space="0"/>
            </w:tcBorders>
            <w:noWrap w:val="0"/>
            <w:vAlign w:val="center"/>
          </w:tcPr>
          <w:p w14:paraId="65E54F14">
            <w:pPr>
              <w:widowControl/>
              <w:spacing w:line="320" w:lineRule="exact"/>
              <w:jc w:val="center"/>
              <w:rPr>
                <w:rFonts w:ascii="黑体" w:hAnsi="黑体" w:eastAsia="黑体"/>
                <w:kern w:val="0"/>
              </w:rPr>
            </w:pPr>
            <w:r>
              <w:rPr>
                <w:rFonts w:hint="eastAsia" w:ascii="黑体" w:hAnsi="黑体" w:eastAsia="黑体" w:cs="黑体"/>
                <w:kern w:val="0"/>
              </w:rPr>
              <w:t>评价指标</w:t>
            </w:r>
          </w:p>
        </w:tc>
        <w:tc>
          <w:tcPr>
            <w:tcW w:w="2536" w:type="dxa"/>
            <w:vMerge w:val="restart"/>
            <w:tcBorders>
              <w:top w:val="single" w:color="auto" w:sz="4" w:space="0"/>
              <w:left w:val="nil"/>
              <w:right w:val="single" w:color="auto" w:sz="4" w:space="0"/>
            </w:tcBorders>
            <w:noWrap w:val="0"/>
            <w:vAlign w:val="center"/>
          </w:tcPr>
          <w:p w14:paraId="4FC471BF">
            <w:pPr>
              <w:widowControl/>
              <w:spacing w:line="320" w:lineRule="exact"/>
              <w:jc w:val="center"/>
              <w:rPr>
                <w:rFonts w:ascii="黑体" w:hAnsi="黑体" w:eastAsia="黑体"/>
                <w:kern w:val="0"/>
              </w:rPr>
            </w:pPr>
            <w:r>
              <w:rPr>
                <w:rFonts w:hint="eastAsia" w:ascii="黑体" w:hAnsi="黑体" w:eastAsia="黑体" w:cs="黑体"/>
                <w:kern w:val="0"/>
              </w:rPr>
              <w:t>指标说明</w:t>
            </w:r>
          </w:p>
        </w:tc>
        <w:tc>
          <w:tcPr>
            <w:tcW w:w="5812" w:type="dxa"/>
            <w:vMerge w:val="restart"/>
            <w:tcBorders>
              <w:top w:val="single" w:color="auto" w:sz="4" w:space="0"/>
              <w:left w:val="nil"/>
              <w:right w:val="single" w:color="auto" w:sz="4" w:space="0"/>
            </w:tcBorders>
            <w:noWrap w:val="0"/>
            <w:vAlign w:val="center"/>
          </w:tcPr>
          <w:p w14:paraId="3A3E363B">
            <w:pPr>
              <w:widowControl/>
              <w:spacing w:line="320" w:lineRule="exact"/>
              <w:jc w:val="center"/>
              <w:rPr>
                <w:rFonts w:ascii="黑体" w:hAnsi="黑体" w:eastAsia="黑体"/>
                <w:kern w:val="0"/>
              </w:rPr>
            </w:pPr>
            <w:r>
              <w:rPr>
                <w:rFonts w:hint="eastAsia" w:ascii="黑体" w:hAnsi="黑体" w:eastAsia="黑体" w:cs="黑体"/>
                <w:kern w:val="0"/>
              </w:rPr>
              <w:t>参考评分标准</w:t>
            </w:r>
          </w:p>
        </w:tc>
        <w:tc>
          <w:tcPr>
            <w:tcW w:w="807" w:type="dxa"/>
            <w:vMerge w:val="restart"/>
            <w:tcBorders>
              <w:top w:val="single" w:color="auto" w:sz="4" w:space="0"/>
              <w:left w:val="nil"/>
              <w:right w:val="single" w:color="auto" w:sz="4" w:space="0"/>
            </w:tcBorders>
            <w:noWrap w:val="0"/>
            <w:vAlign w:val="center"/>
          </w:tcPr>
          <w:p w14:paraId="315BA94A">
            <w:pPr>
              <w:spacing w:line="320" w:lineRule="exact"/>
              <w:jc w:val="center"/>
              <w:rPr>
                <w:rFonts w:ascii="黑体" w:hAnsi="黑体" w:eastAsia="黑体" w:cs="黑体"/>
                <w:kern w:val="0"/>
              </w:rPr>
            </w:pPr>
            <w:r>
              <w:rPr>
                <w:rFonts w:hint="eastAsia" w:ascii="黑体" w:hAnsi="黑体" w:eastAsia="黑体"/>
                <w:kern w:val="0"/>
                <w:szCs w:val="21"/>
              </w:rPr>
              <w:t>得分情况</w:t>
            </w:r>
          </w:p>
        </w:tc>
        <w:tc>
          <w:tcPr>
            <w:tcW w:w="2312" w:type="dxa"/>
            <w:vMerge w:val="restart"/>
            <w:tcBorders>
              <w:top w:val="single" w:color="auto" w:sz="4" w:space="0"/>
              <w:left w:val="nil"/>
              <w:right w:val="single" w:color="auto" w:sz="4" w:space="0"/>
            </w:tcBorders>
            <w:noWrap w:val="0"/>
            <w:vAlign w:val="center"/>
          </w:tcPr>
          <w:p w14:paraId="5624A97A">
            <w:pPr>
              <w:spacing w:line="320" w:lineRule="exact"/>
              <w:jc w:val="center"/>
              <w:rPr>
                <w:rFonts w:ascii="黑体" w:hAnsi="黑体" w:eastAsia="黑体" w:cs="黑体"/>
                <w:kern w:val="0"/>
              </w:rPr>
            </w:pPr>
            <w:r>
              <w:rPr>
                <w:rFonts w:hint="eastAsia" w:ascii="黑体" w:hAnsi="黑体" w:eastAsia="黑体"/>
                <w:kern w:val="0"/>
                <w:szCs w:val="21"/>
              </w:rPr>
              <w:t>扣分</w:t>
            </w:r>
            <w:r>
              <w:rPr>
                <w:rFonts w:hint="eastAsia" w:ascii="黑体" w:hAnsi="黑体" w:eastAsia="黑体"/>
                <w:kern w:val="0"/>
              </w:rPr>
              <w:t>情况及整改情况说明</w:t>
            </w:r>
          </w:p>
        </w:tc>
      </w:tr>
      <w:tr w14:paraId="1A1C8835">
        <w:tblPrEx>
          <w:tblCellMar>
            <w:top w:w="0" w:type="dxa"/>
            <w:left w:w="108" w:type="dxa"/>
            <w:bottom w:w="0" w:type="dxa"/>
            <w:right w:w="108" w:type="dxa"/>
          </w:tblCellMar>
        </w:tblPrEx>
        <w:trPr>
          <w:trHeight w:val="463" w:hRule="atLeast"/>
          <w:tblHeader/>
        </w:trPr>
        <w:tc>
          <w:tcPr>
            <w:tcW w:w="1144" w:type="dxa"/>
            <w:gridSpan w:val="2"/>
            <w:tcBorders>
              <w:top w:val="nil"/>
              <w:left w:val="single" w:color="auto" w:sz="4" w:space="0"/>
              <w:bottom w:val="single" w:color="auto" w:sz="4" w:space="0"/>
              <w:right w:val="single" w:color="auto" w:sz="4" w:space="0"/>
            </w:tcBorders>
            <w:noWrap w:val="0"/>
            <w:vAlign w:val="center"/>
          </w:tcPr>
          <w:p w14:paraId="5255EE2A">
            <w:pPr>
              <w:widowControl/>
              <w:spacing w:line="320" w:lineRule="exact"/>
              <w:jc w:val="center"/>
              <w:rPr>
                <w:rFonts w:ascii="黑体" w:hAnsi="黑体" w:eastAsia="黑体"/>
                <w:kern w:val="0"/>
              </w:rPr>
            </w:pPr>
            <w:r>
              <w:rPr>
                <w:rFonts w:hint="eastAsia" w:ascii="黑体" w:hAnsi="黑体" w:eastAsia="黑体" w:cs="黑体"/>
                <w:kern w:val="0"/>
              </w:rPr>
              <w:t>一级指标</w:t>
            </w:r>
          </w:p>
        </w:tc>
        <w:tc>
          <w:tcPr>
            <w:tcW w:w="1134" w:type="dxa"/>
            <w:gridSpan w:val="2"/>
            <w:tcBorders>
              <w:top w:val="nil"/>
              <w:left w:val="nil"/>
              <w:bottom w:val="single" w:color="auto" w:sz="4" w:space="0"/>
              <w:right w:val="single" w:color="auto" w:sz="4" w:space="0"/>
            </w:tcBorders>
            <w:noWrap w:val="0"/>
            <w:vAlign w:val="center"/>
          </w:tcPr>
          <w:p w14:paraId="2D0B7582">
            <w:pPr>
              <w:widowControl/>
              <w:spacing w:line="320" w:lineRule="exact"/>
              <w:jc w:val="center"/>
              <w:rPr>
                <w:rFonts w:ascii="黑体" w:hAnsi="黑体" w:eastAsia="黑体"/>
                <w:kern w:val="0"/>
              </w:rPr>
            </w:pPr>
            <w:r>
              <w:rPr>
                <w:rFonts w:hint="eastAsia" w:ascii="黑体" w:hAnsi="黑体" w:eastAsia="黑体" w:cs="黑体"/>
                <w:kern w:val="0"/>
              </w:rPr>
              <w:t>二级指标</w:t>
            </w:r>
          </w:p>
        </w:tc>
        <w:tc>
          <w:tcPr>
            <w:tcW w:w="1418" w:type="dxa"/>
            <w:gridSpan w:val="2"/>
            <w:tcBorders>
              <w:top w:val="nil"/>
              <w:left w:val="nil"/>
              <w:bottom w:val="single" w:color="auto" w:sz="4" w:space="0"/>
              <w:right w:val="single" w:color="auto" w:sz="4" w:space="0"/>
            </w:tcBorders>
            <w:noWrap w:val="0"/>
            <w:vAlign w:val="center"/>
          </w:tcPr>
          <w:p w14:paraId="55756AFD">
            <w:pPr>
              <w:widowControl/>
              <w:spacing w:line="320" w:lineRule="exact"/>
              <w:jc w:val="center"/>
              <w:rPr>
                <w:rFonts w:ascii="黑体" w:hAnsi="黑体" w:eastAsia="黑体"/>
                <w:kern w:val="0"/>
              </w:rPr>
            </w:pPr>
            <w:r>
              <w:rPr>
                <w:rFonts w:hint="eastAsia" w:ascii="黑体" w:hAnsi="黑体" w:eastAsia="黑体" w:cs="黑体"/>
                <w:kern w:val="0"/>
              </w:rPr>
              <w:t>三级指标</w:t>
            </w:r>
          </w:p>
        </w:tc>
        <w:tc>
          <w:tcPr>
            <w:tcW w:w="2536" w:type="dxa"/>
            <w:vMerge w:val="continue"/>
            <w:tcBorders>
              <w:left w:val="nil"/>
              <w:right w:val="single" w:color="auto" w:sz="4" w:space="0"/>
            </w:tcBorders>
            <w:noWrap w:val="0"/>
            <w:vAlign w:val="center"/>
          </w:tcPr>
          <w:p w14:paraId="41E4DEC5">
            <w:pPr>
              <w:spacing w:line="320" w:lineRule="exact"/>
              <w:jc w:val="center"/>
              <w:rPr>
                <w:rFonts w:ascii="黑体" w:hAnsi="黑体" w:eastAsia="黑体"/>
                <w:kern w:val="0"/>
                <w:sz w:val="15"/>
                <w:szCs w:val="15"/>
              </w:rPr>
            </w:pPr>
          </w:p>
        </w:tc>
        <w:tc>
          <w:tcPr>
            <w:tcW w:w="5812" w:type="dxa"/>
            <w:vMerge w:val="continue"/>
            <w:tcBorders>
              <w:left w:val="nil"/>
              <w:right w:val="single" w:color="auto" w:sz="4" w:space="0"/>
            </w:tcBorders>
            <w:noWrap w:val="0"/>
            <w:vAlign w:val="center"/>
          </w:tcPr>
          <w:p w14:paraId="7475B1C0">
            <w:pPr>
              <w:spacing w:line="320" w:lineRule="exact"/>
              <w:jc w:val="center"/>
              <w:rPr>
                <w:rFonts w:ascii="黑体" w:hAnsi="黑体" w:eastAsia="黑体"/>
                <w:kern w:val="0"/>
                <w:sz w:val="15"/>
                <w:szCs w:val="15"/>
              </w:rPr>
            </w:pPr>
          </w:p>
        </w:tc>
        <w:tc>
          <w:tcPr>
            <w:tcW w:w="807" w:type="dxa"/>
            <w:vMerge w:val="continue"/>
            <w:tcBorders>
              <w:left w:val="nil"/>
              <w:right w:val="single" w:color="auto" w:sz="4" w:space="0"/>
            </w:tcBorders>
            <w:noWrap w:val="0"/>
            <w:vAlign w:val="top"/>
          </w:tcPr>
          <w:p w14:paraId="3D4C8705">
            <w:pPr>
              <w:spacing w:line="320" w:lineRule="exact"/>
              <w:jc w:val="center"/>
              <w:rPr>
                <w:rFonts w:ascii="黑体" w:hAnsi="黑体" w:eastAsia="黑体"/>
                <w:kern w:val="0"/>
                <w:sz w:val="15"/>
                <w:szCs w:val="15"/>
              </w:rPr>
            </w:pPr>
          </w:p>
        </w:tc>
        <w:tc>
          <w:tcPr>
            <w:tcW w:w="2312" w:type="dxa"/>
            <w:vMerge w:val="continue"/>
            <w:tcBorders>
              <w:left w:val="nil"/>
              <w:right w:val="single" w:color="auto" w:sz="4" w:space="0"/>
            </w:tcBorders>
            <w:noWrap w:val="0"/>
            <w:vAlign w:val="top"/>
          </w:tcPr>
          <w:p w14:paraId="09587252">
            <w:pPr>
              <w:spacing w:line="320" w:lineRule="exact"/>
              <w:jc w:val="center"/>
              <w:rPr>
                <w:rFonts w:ascii="黑体" w:hAnsi="黑体" w:eastAsia="黑体"/>
                <w:kern w:val="0"/>
                <w:sz w:val="15"/>
                <w:szCs w:val="15"/>
              </w:rPr>
            </w:pPr>
          </w:p>
        </w:tc>
      </w:tr>
      <w:tr w14:paraId="7429C19B">
        <w:tblPrEx>
          <w:tblCellMar>
            <w:top w:w="0" w:type="dxa"/>
            <w:left w:w="108" w:type="dxa"/>
            <w:bottom w:w="0" w:type="dxa"/>
            <w:right w:w="108" w:type="dxa"/>
          </w:tblCellMar>
        </w:tblPrEx>
        <w:trPr>
          <w:trHeight w:val="774" w:hRule="atLeast"/>
          <w:tblHeader/>
        </w:trPr>
        <w:tc>
          <w:tcPr>
            <w:tcW w:w="577" w:type="dxa"/>
            <w:tcBorders>
              <w:top w:val="nil"/>
              <w:left w:val="single" w:color="auto" w:sz="4" w:space="0"/>
              <w:bottom w:val="single" w:color="auto" w:sz="4" w:space="0"/>
              <w:right w:val="single" w:color="auto" w:sz="4" w:space="0"/>
            </w:tcBorders>
            <w:noWrap w:val="0"/>
            <w:vAlign w:val="center"/>
          </w:tcPr>
          <w:p w14:paraId="0CCEF674">
            <w:pPr>
              <w:widowControl/>
              <w:spacing w:line="320" w:lineRule="exact"/>
              <w:jc w:val="center"/>
              <w:rPr>
                <w:rFonts w:ascii="黑体" w:hAnsi="黑体" w:eastAsia="黑体"/>
                <w:kern w:val="0"/>
              </w:rPr>
            </w:pPr>
            <w:r>
              <w:rPr>
                <w:rFonts w:hint="eastAsia" w:ascii="黑体" w:hAnsi="黑体" w:eastAsia="黑体" w:cs="黑体"/>
                <w:kern w:val="0"/>
              </w:rPr>
              <w:t>名称</w:t>
            </w:r>
          </w:p>
        </w:tc>
        <w:tc>
          <w:tcPr>
            <w:tcW w:w="567" w:type="dxa"/>
            <w:tcBorders>
              <w:top w:val="nil"/>
              <w:left w:val="nil"/>
              <w:bottom w:val="single" w:color="auto" w:sz="4" w:space="0"/>
              <w:right w:val="single" w:color="auto" w:sz="4" w:space="0"/>
            </w:tcBorders>
            <w:noWrap w:val="0"/>
            <w:vAlign w:val="center"/>
          </w:tcPr>
          <w:p w14:paraId="3EF49A08">
            <w:pPr>
              <w:widowControl/>
              <w:spacing w:line="320" w:lineRule="exact"/>
              <w:jc w:val="center"/>
              <w:rPr>
                <w:rFonts w:ascii="黑体" w:hAnsi="黑体" w:eastAsia="黑体"/>
                <w:kern w:val="0"/>
              </w:rPr>
            </w:pPr>
            <w:r>
              <w:rPr>
                <w:rFonts w:hint="eastAsia" w:ascii="黑体" w:hAnsi="黑体" w:eastAsia="黑体" w:cs="黑体"/>
                <w:kern w:val="0"/>
              </w:rPr>
              <w:t>参考分值</w:t>
            </w:r>
          </w:p>
        </w:tc>
        <w:tc>
          <w:tcPr>
            <w:tcW w:w="567" w:type="dxa"/>
            <w:tcBorders>
              <w:top w:val="nil"/>
              <w:left w:val="nil"/>
              <w:bottom w:val="single" w:color="auto" w:sz="4" w:space="0"/>
              <w:right w:val="single" w:color="auto" w:sz="4" w:space="0"/>
            </w:tcBorders>
            <w:noWrap w:val="0"/>
            <w:vAlign w:val="center"/>
          </w:tcPr>
          <w:p w14:paraId="5794E998">
            <w:pPr>
              <w:widowControl/>
              <w:spacing w:line="320" w:lineRule="exact"/>
              <w:jc w:val="center"/>
              <w:rPr>
                <w:rFonts w:ascii="黑体" w:hAnsi="黑体" w:eastAsia="黑体"/>
                <w:kern w:val="0"/>
              </w:rPr>
            </w:pPr>
            <w:r>
              <w:rPr>
                <w:rFonts w:hint="eastAsia" w:ascii="黑体" w:hAnsi="黑体" w:eastAsia="黑体" w:cs="黑体"/>
                <w:kern w:val="0"/>
              </w:rPr>
              <w:t>名称</w:t>
            </w:r>
          </w:p>
        </w:tc>
        <w:tc>
          <w:tcPr>
            <w:tcW w:w="567" w:type="dxa"/>
            <w:tcBorders>
              <w:top w:val="nil"/>
              <w:left w:val="nil"/>
              <w:bottom w:val="single" w:color="auto" w:sz="4" w:space="0"/>
              <w:right w:val="single" w:color="auto" w:sz="4" w:space="0"/>
            </w:tcBorders>
            <w:noWrap w:val="0"/>
            <w:vAlign w:val="center"/>
          </w:tcPr>
          <w:p w14:paraId="09469ED7">
            <w:pPr>
              <w:widowControl/>
              <w:spacing w:line="320" w:lineRule="exact"/>
              <w:jc w:val="center"/>
              <w:rPr>
                <w:rFonts w:ascii="黑体" w:hAnsi="黑体" w:eastAsia="黑体"/>
                <w:kern w:val="0"/>
              </w:rPr>
            </w:pPr>
            <w:r>
              <w:rPr>
                <w:rFonts w:hint="eastAsia" w:ascii="黑体" w:hAnsi="黑体" w:eastAsia="黑体" w:cs="黑体"/>
                <w:kern w:val="0"/>
              </w:rPr>
              <w:t>参考分值</w:t>
            </w:r>
          </w:p>
        </w:tc>
        <w:tc>
          <w:tcPr>
            <w:tcW w:w="851" w:type="dxa"/>
            <w:tcBorders>
              <w:top w:val="nil"/>
              <w:left w:val="nil"/>
              <w:bottom w:val="single" w:color="auto" w:sz="4" w:space="0"/>
              <w:right w:val="single" w:color="auto" w:sz="4" w:space="0"/>
            </w:tcBorders>
            <w:noWrap w:val="0"/>
            <w:vAlign w:val="center"/>
          </w:tcPr>
          <w:p w14:paraId="79CB3F59">
            <w:pPr>
              <w:widowControl/>
              <w:spacing w:line="320" w:lineRule="exact"/>
              <w:jc w:val="center"/>
              <w:rPr>
                <w:rFonts w:ascii="黑体" w:hAnsi="黑体" w:eastAsia="黑体"/>
                <w:kern w:val="0"/>
              </w:rPr>
            </w:pPr>
            <w:r>
              <w:rPr>
                <w:rFonts w:hint="eastAsia" w:ascii="黑体" w:hAnsi="黑体" w:eastAsia="黑体" w:cs="黑体"/>
                <w:kern w:val="0"/>
              </w:rPr>
              <w:t>名称</w:t>
            </w:r>
          </w:p>
        </w:tc>
        <w:tc>
          <w:tcPr>
            <w:tcW w:w="567" w:type="dxa"/>
            <w:tcBorders>
              <w:top w:val="nil"/>
              <w:left w:val="nil"/>
              <w:bottom w:val="single" w:color="auto" w:sz="4" w:space="0"/>
              <w:right w:val="single" w:color="auto" w:sz="4" w:space="0"/>
            </w:tcBorders>
            <w:noWrap w:val="0"/>
            <w:vAlign w:val="center"/>
          </w:tcPr>
          <w:p w14:paraId="089402AD">
            <w:pPr>
              <w:widowControl/>
              <w:spacing w:line="320" w:lineRule="exact"/>
              <w:jc w:val="center"/>
              <w:rPr>
                <w:rFonts w:ascii="黑体" w:hAnsi="黑体" w:eastAsia="黑体"/>
                <w:kern w:val="0"/>
              </w:rPr>
            </w:pPr>
            <w:r>
              <w:rPr>
                <w:rFonts w:hint="eastAsia" w:ascii="黑体" w:hAnsi="黑体" w:eastAsia="黑体" w:cs="黑体"/>
                <w:kern w:val="0"/>
              </w:rPr>
              <w:t>参考分值</w:t>
            </w:r>
          </w:p>
        </w:tc>
        <w:tc>
          <w:tcPr>
            <w:tcW w:w="2536" w:type="dxa"/>
            <w:vMerge w:val="continue"/>
            <w:tcBorders>
              <w:left w:val="nil"/>
              <w:bottom w:val="single" w:color="auto" w:sz="4" w:space="0"/>
              <w:right w:val="single" w:color="auto" w:sz="4" w:space="0"/>
            </w:tcBorders>
            <w:noWrap w:val="0"/>
            <w:vAlign w:val="center"/>
          </w:tcPr>
          <w:p w14:paraId="003CEBD8">
            <w:pPr>
              <w:widowControl/>
              <w:spacing w:line="320" w:lineRule="exact"/>
              <w:jc w:val="center"/>
              <w:rPr>
                <w:rFonts w:ascii="黑体" w:hAnsi="黑体" w:eastAsia="黑体"/>
                <w:kern w:val="0"/>
                <w:sz w:val="15"/>
                <w:szCs w:val="15"/>
              </w:rPr>
            </w:pPr>
          </w:p>
        </w:tc>
        <w:tc>
          <w:tcPr>
            <w:tcW w:w="5812" w:type="dxa"/>
            <w:vMerge w:val="continue"/>
            <w:tcBorders>
              <w:left w:val="nil"/>
              <w:bottom w:val="single" w:color="auto" w:sz="4" w:space="0"/>
              <w:right w:val="single" w:color="auto" w:sz="4" w:space="0"/>
            </w:tcBorders>
            <w:noWrap w:val="0"/>
            <w:vAlign w:val="center"/>
          </w:tcPr>
          <w:p w14:paraId="2A4369C7">
            <w:pPr>
              <w:widowControl/>
              <w:spacing w:line="320" w:lineRule="exact"/>
              <w:jc w:val="center"/>
              <w:rPr>
                <w:rFonts w:ascii="黑体" w:hAnsi="黑体" w:eastAsia="黑体"/>
                <w:kern w:val="0"/>
                <w:sz w:val="15"/>
                <w:szCs w:val="15"/>
              </w:rPr>
            </w:pPr>
          </w:p>
        </w:tc>
        <w:tc>
          <w:tcPr>
            <w:tcW w:w="807" w:type="dxa"/>
            <w:vMerge w:val="continue"/>
            <w:tcBorders>
              <w:left w:val="nil"/>
              <w:bottom w:val="single" w:color="auto" w:sz="4" w:space="0"/>
              <w:right w:val="single" w:color="auto" w:sz="4" w:space="0"/>
            </w:tcBorders>
            <w:noWrap w:val="0"/>
            <w:vAlign w:val="top"/>
          </w:tcPr>
          <w:p w14:paraId="47E41112">
            <w:pPr>
              <w:widowControl/>
              <w:spacing w:line="320" w:lineRule="exact"/>
              <w:jc w:val="center"/>
              <w:rPr>
                <w:rFonts w:ascii="黑体" w:hAnsi="黑体" w:eastAsia="黑体"/>
                <w:kern w:val="0"/>
                <w:szCs w:val="21"/>
              </w:rPr>
            </w:pPr>
          </w:p>
        </w:tc>
        <w:tc>
          <w:tcPr>
            <w:tcW w:w="2312" w:type="dxa"/>
            <w:vMerge w:val="continue"/>
            <w:tcBorders>
              <w:left w:val="nil"/>
              <w:bottom w:val="single" w:color="auto" w:sz="4" w:space="0"/>
              <w:right w:val="single" w:color="auto" w:sz="4" w:space="0"/>
            </w:tcBorders>
            <w:noWrap w:val="0"/>
            <w:vAlign w:val="top"/>
          </w:tcPr>
          <w:p w14:paraId="0BEE7349">
            <w:pPr>
              <w:widowControl/>
              <w:spacing w:line="320" w:lineRule="exact"/>
              <w:jc w:val="center"/>
              <w:rPr>
                <w:rFonts w:ascii="黑体" w:hAnsi="黑体" w:eastAsia="黑体"/>
                <w:kern w:val="0"/>
                <w:szCs w:val="21"/>
              </w:rPr>
            </w:pPr>
          </w:p>
        </w:tc>
      </w:tr>
      <w:tr w14:paraId="1B937A22">
        <w:tblPrEx>
          <w:tblCellMar>
            <w:top w:w="0" w:type="dxa"/>
            <w:left w:w="108" w:type="dxa"/>
            <w:bottom w:w="0" w:type="dxa"/>
            <w:right w:w="108" w:type="dxa"/>
          </w:tblCellMar>
        </w:tblPrEx>
        <w:trPr>
          <w:trHeight w:val="3741" w:hRule="atLeast"/>
        </w:trPr>
        <w:tc>
          <w:tcPr>
            <w:tcW w:w="577" w:type="dxa"/>
            <w:vMerge w:val="restart"/>
            <w:tcBorders>
              <w:top w:val="nil"/>
              <w:left w:val="single" w:color="auto" w:sz="4" w:space="0"/>
              <w:bottom w:val="single" w:color="auto" w:sz="4" w:space="0"/>
              <w:right w:val="single" w:color="auto" w:sz="4" w:space="0"/>
            </w:tcBorders>
            <w:noWrap w:val="0"/>
            <w:vAlign w:val="center"/>
          </w:tcPr>
          <w:p w14:paraId="1C0EE3C2">
            <w:pPr>
              <w:widowControl/>
              <w:spacing w:line="320" w:lineRule="exact"/>
              <w:jc w:val="left"/>
              <w:rPr>
                <w:rFonts w:ascii="宋体"/>
                <w:kern w:val="0"/>
              </w:rPr>
            </w:pPr>
            <w:r>
              <w:rPr>
                <w:rFonts w:hint="eastAsia" w:ascii="宋体" w:hAnsi="宋体" w:cs="宋体"/>
                <w:kern w:val="0"/>
              </w:rPr>
              <w:t>部门决策</w:t>
            </w:r>
          </w:p>
        </w:tc>
        <w:tc>
          <w:tcPr>
            <w:tcW w:w="567" w:type="dxa"/>
            <w:vMerge w:val="restart"/>
            <w:tcBorders>
              <w:top w:val="nil"/>
              <w:left w:val="single" w:color="auto" w:sz="4" w:space="0"/>
              <w:bottom w:val="single" w:color="auto" w:sz="4" w:space="0"/>
              <w:right w:val="single" w:color="auto" w:sz="4" w:space="0"/>
            </w:tcBorders>
            <w:noWrap w:val="0"/>
            <w:vAlign w:val="center"/>
          </w:tcPr>
          <w:p w14:paraId="4F7FE822">
            <w:pPr>
              <w:widowControl/>
              <w:spacing w:line="320" w:lineRule="exact"/>
              <w:jc w:val="left"/>
              <w:rPr>
                <w:rFonts w:ascii="宋体"/>
                <w:kern w:val="0"/>
              </w:rPr>
            </w:pPr>
            <w:r>
              <w:rPr>
                <w:rFonts w:hint="default" w:ascii="宋体" w:hAnsi="宋体" w:cs="宋体"/>
                <w:kern w:val="0"/>
              </w:rPr>
              <w:t>20</w:t>
            </w:r>
          </w:p>
        </w:tc>
        <w:tc>
          <w:tcPr>
            <w:tcW w:w="567" w:type="dxa"/>
            <w:vMerge w:val="restart"/>
            <w:tcBorders>
              <w:top w:val="nil"/>
              <w:left w:val="single" w:color="auto" w:sz="4" w:space="0"/>
              <w:bottom w:val="single" w:color="auto" w:sz="4" w:space="0"/>
              <w:right w:val="single" w:color="auto" w:sz="4" w:space="0"/>
            </w:tcBorders>
            <w:noWrap w:val="0"/>
            <w:vAlign w:val="center"/>
          </w:tcPr>
          <w:p w14:paraId="4BB53A0E">
            <w:pPr>
              <w:widowControl/>
              <w:spacing w:line="320" w:lineRule="exact"/>
              <w:jc w:val="left"/>
              <w:rPr>
                <w:rFonts w:ascii="宋体"/>
                <w:kern w:val="0"/>
              </w:rPr>
            </w:pPr>
            <w:r>
              <w:rPr>
                <w:rFonts w:hint="eastAsia" w:ascii="宋体" w:hAnsi="宋体" w:cs="宋体"/>
                <w:kern w:val="0"/>
              </w:rPr>
              <w:t>预算编制</w:t>
            </w:r>
          </w:p>
        </w:tc>
        <w:tc>
          <w:tcPr>
            <w:tcW w:w="567" w:type="dxa"/>
            <w:vMerge w:val="restart"/>
            <w:tcBorders>
              <w:top w:val="nil"/>
              <w:left w:val="single" w:color="auto" w:sz="4" w:space="0"/>
              <w:bottom w:val="single" w:color="auto" w:sz="4" w:space="0"/>
              <w:right w:val="single" w:color="auto" w:sz="4" w:space="0"/>
            </w:tcBorders>
            <w:noWrap w:val="0"/>
            <w:vAlign w:val="center"/>
          </w:tcPr>
          <w:p w14:paraId="0E5E47DB">
            <w:pPr>
              <w:widowControl/>
              <w:spacing w:line="300" w:lineRule="exact"/>
              <w:jc w:val="center"/>
              <w:rPr>
                <w:rFonts w:ascii="宋体"/>
                <w:kern w:val="0"/>
              </w:rPr>
            </w:pPr>
            <w:r>
              <w:rPr>
                <w:rFonts w:ascii="宋体" w:hAnsi="宋体" w:cs="宋体"/>
                <w:kern w:val="0"/>
              </w:rPr>
              <w:t>10</w:t>
            </w:r>
          </w:p>
        </w:tc>
        <w:tc>
          <w:tcPr>
            <w:tcW w:w="851" w:type="dxa"/>
            <w:tcBorders>
              <w:top w:val="nil"/>
              <w:left w:val="nil"/>
              <w:bottom w:val="single" w:color="auto" w:sz="4" w:space="0"/>
              <w:right w:val="single" w:color="auto" w:sz="4" w:space="0"/>
            </w:tcBorders>
            <w:noWrap w:val="0"/>
            <w:vAlign w:val="center"/>
          </w:tcPr>
          <w:p w14:paraId="181155FA">
            <w:pPr>
              <w:widowControl/>
              <w:spacing w:line="300" w:lineRule="exact"/>
              <w:jc w:val="left"/>
              <w:rPr>
                <w:rFonts w:ascii="宋体"/>
                <w:kern w:val="0"/>
              </w:rPr>
            </w:pPr>
            <w:r>
              <w:rPr>
                <w:rFonts w:hint="eastAsia" w:ascii="宋体" w:hAnsi="宋体" w:cs="宋体"/>
                <w:kern w:val="0"/>
              </w:rPr>
              <w:t>预算编制合理性</w:t>
            </w:r>
          </w:p>
        </w:tc>
        <w:tc>
          <w:tcPr>
            <w:tcW w:w="567" w:type="dxa"/>
            <w:tcBorders>
              <w:top w:val="nil"/>
              <w:left w:val="nil"/>
              <w:bottom w:val="single" w:color="auto" w:sz="4" w:space="0"/>
              <w:right w:val="single" w:color="auto" w:sz="4" w:space="0"/>
            </w:tcBorders>
            <w:noWrap w:val="0"/>
            <w:vAlign w:val="center"/>
          </w:tcPr>
          <w:p w14:paraId="2916F93C">
            <w:pPr>
              <w:widowControl/>
              <w:spacing w:line="300" w:lineRule="exact"/>
              <w:jc w:val="center"/>
              <w:rPr>
                <w:rFonts w:ascii="宋体"/>
                <w:kern w:val="0"/>
              </w:rPr>
            </w:pPr>
            <w:r>
              <w:rPr>
                <w:rFonts w:ascii="宋体" w:hAnsi="宋体" w:cs="宋体"/>
                <w:kern w:val="0"/>
              </w:rPr>
              <w:t>5</w:t>
            </w:r>
          </w:p>
        </w:tc>
        <w:tc>
          <w:tcPr>
            <w:tcW w:w="2536" w:type="dxa"/>
            <w:tcBorders>
              <w:top w:val="nil"/>
              <w:left w:val="nil"/>
              <w:bottom w:val="single" w:color="auto" w:sz="4" w:space="0"/>
              <w:right w:val="single" w:color="auto" w:sz="4" w:space="0"/>
            </w:tcBorders>
            <w:noWrap w:val="0"/>
            <w:vAlign w:val="center"/>
          </w:tcPr>
          <w:p w14:paraId="49899947">
            <w:pPr>
              <w:widowControl/>
              <w:spacing w:line="300" w:lineRule="exact"/>
              <w:rPr>
                <w:rFonts w:ascii="宋体"/>
                <w:kern w:val="0"/>
              </w:rPr>
            </w:pPr>
            <w:r>
              <w:rPr>
                <w:rFonts w:hint="eastAsia" w:ascii="宋体" w:hAnsi="宋体" w:cs="宋体"/>
                <w:kern w:val="0"/>
              </w:rPr>
              <w:t>部门（单位）预算的合理性，即是否符合本部门职责、是否符合区委区政府的方针政策和工作要求，资金有无根据项目的轻重缓急进行分配。</w:t>
            </w:r>
          </w:p>
        </w:tc>
        <w:tc>
          <w:tcPr>
            <w:tcW w:w="5812" w:type="dxa"/>
            <w:tcBorders>
              <w:top w:val="nil"/>
              <w:left w:val="nil"/>
              <w:bottom w:val="single" w:color="auto" w:sz="4" w:space="0"/>
              <w:right w:val="single" w:color="auto" w:sz="4" w:space="0"/>
            </w:tcBorders>
            <w:noWrap w:val="0"/>
            <w:vAlign w:val="center"/>
          </w:tcPr>
          <w:p w14:paraId="24B672BB">
            <w:pPr>
              <w:widowControl/>
              <w:spacing w:line="300" w:lineRule="exact"/>
              <w:jc w:val="left"/>
              <w:rPr>
                <w:rFonts w:ascii="宋体"/>
                <w:kern w:val="0"/>
              </w:rPr>
            </w:pPr>
            <w:r>
              <w:rPr>
                <w:rFonts w:ascii="宋体" w:hAnsi="宋体" w:cs="宋体"/>
                <w:kern w:val="0"/>
              </w:rPr>
              <w:t xml:space="preserve">   1.</w:t>
            </w:r>
            <w:r>
              <w:rPr>
                <w:rFonts w:hint="eastAsia" w:ascii="宋体" w:hAnsi="宋体" w:cs="宋体"/>
                <w:kern w:val="0"/>
              </w:rPr>
              <w:t>部门预算编制、分配符合本部门职责、符合区委区政府方针政策和工作要求（</w:t>
            </w:r>
            <w:r>
              <w:rPr>
                <w:rFonts w:ascii="宋体" w:hAnsi="宋体" w:cs="宋体"/>
                <w:kern w:val="0"/>
              </w:rPr>
              <w:t>1</w:t>
            </w:r>
            <w:r>
              <w:rPr>
                <w:rFonts w:hint="eastAsia" w:ascii="宋体" w:hAnsi="宋体" w:cs="宋体"/>
                <w:kern w:val="0"/>
              </w:rPr>
              <w:t>分）；</w:t>
            </w:r>
            <w:r>
              <w:rPr>
                <w:rFonts w:ascii="宋体"/>
                <w:kern w:val="0"/>
              </w:rPr>
              <w:br w:type="textWrapping"/>
            </w:r>
            <w:r>
              <w:rPr>
                <w:rFonts w:ascii="宋体" w:hAnsi="宋体" w:cs="宋体"/>
                <w:kern w:val="0"/>
              </w:rPr>
              <w:t xml:space="preserve">   2.</w:t>
            </w:r>
            <w:r>
              <w:rPr>
                <w:rFonts w:hint="eastAsia" w:ascii="宋体" w:hAnsi="宋体" w:cs="宋体"/>
                <w:kern w:val="0"/>
              </w:rPr>
              <w:t>部门预算资金能根据年度工作重点，在不同项目、不同用途之间合理分配（</w:t>
            </w:r>
            <w:r>
              <w:rPr>
                <w:rFonts w:ascii="宋体" w:hAnsi="宋体" w:cs="宋体"/>
                <w:kern w:val="0"/>
              </w:rPr>
              <w:t>1</w:t>
            </w:r>
            <w:r>
              <w:rPr>
                <w:rFonts w:hint="eastAsia" w:ascii="宋体" w:hAnsi="宋体" w:cs="宋体"/>
                <w:kern w:val="0"/>
              </w:rPr>
              <w:t>分）；</w:t>
            </w:r>
            <w:r>
              <w:rPr>
                <w:rFonts w:ascii="宋体" w:hAnsi="宋体" w:cs="宋体"/>
                <w:kern w:val="0"/>
              </w:rPr>
              <w:t xml:space="preserve">                                                            </w:t>
            </w:r>
            <w:r>
              <w:rPr>
                <w:rFonts w:ascii="宋体" w:hAnsi="宋体" w:cs="宋体"/>
                <w:kern w:val="0"/>
              </w:rPr>
              <w:br w:type="textWrapping"/>
            </w:r>
            <w:r>
              <w:rPr>
                <w:rFonts w:ascii="宋体" w:hAnsi="宋体" w:cs="宋体"/>
                <w:kern w:val="0"/>
              </w:rPr>
              <w:t xml:space="preserve">   3.</w:t>
            </w:r>
            <w:r>
              <w:rPr>
                <w:rFonts w:hint="eastAsia" w:ascii="宋体" w:hAnsi="宋体" w:cs="宋体"/>
                <w:kern w:val="0"/>
              </w:rPr>
              <w:t>专项资金预算编制细化程度合理，未出现因年中调剂导致部门预决算差异过大问题（</w:t>
            </w:r>
            <w:r>
              <w:rPr>
                <w:rFonts w:ascii="宋体" w:hAnsi="宋体" w:cs="宋体"/>
                <w:kern w:val="0"/>
              </w:rPr>
              <w:t>1</w:t>
            </w:r>
            <w:r>
              <w:rPr>
                <w:rFonts w:hint="eastAsia" w:ascii="宋体" w:hAnsi="宋体" w:cs="宋体"/>
                <w:kern w:val="0"/>
              </w:rPr>
              <w:t>分）；</w:t>
            </w:r>
            <w:r>
              <w:rPr>
                <w:rFonts w:ascii="宋体" w:hAnsi="宋体" w:cs="宋体"/>
                <w:kern w:val="0"/>
              </w:rPr>
              <w:t xml:space="preserve">                                                                                       </w:t>
            </w:r>
            <w:r>
              <w:rPr>
                <w:rFonts w:ascii="宋体" w:hAnsi="宋体" w:cs="宋体"/>
                <w:kern w:val="0"/>
              </w:rPr>
              <w:br w:type="textWrapping"/>
            </w:r>
            <w:r>
              <w:rPr>
                <w:rFonts w:ascii="宋体" w:hAnsi="宋体" w:cs="宋体"/>
                <w:kern w:val="0"/>
              </w:rPr>
              <w:t xml:space="preserve">   4.</w:t>
            </w:r>
            <w:r>
              <w:rPr>
                <w:rFonts w:hint="eastAsia" w:ascii="宋体" w:hAnsi="宋体" w:cs="宋体"/>
                <w:kern w:val="0"/>
              </w:rPr>
              <w:t>功能分类和经济分类编制准确，年度中间无大量调剂，未发生项目之间频繁调剂（</w:t>
            </w:r>
            <w:r>
              <w:rPr>
                <w:rFonts w:ascii="宋体" w:hAnsi="宋体" w:cs="宋体"/>
                <w:kern w:val="0"/>
              </w:rPr>
              <w:t>1</w:t>
            </w:r>
            <w:r>
              <w:rPr>
                <w:rFonts w:hint="eastAsia" w:ascii="宋体" w:hAnsi="宋体" w:cs="宋体"/>
                <w:kern w:val="0"/>
              </w:rPr>
              <w:t>分）；</w:t>
            </w:r>
            <w:r>
              <w:rPr>
                <w:rFonts w:ascii="宋体"/>
                <w:kern w:val="0"/>
              </w:rPr>
              <w:br w:type="textWrapping"/>
            </w:r>
            <w:r>
              <w:rPr>
                <w:rFonts w:ascii="宋体" w:hAnsi="宋体" w:cs="宋体"/>
                <w:kern w:val="0"/>
              </w:rPr>
              <w:t xml:space="preserve">   5.</w:t>
            </w:r>
            <w:r>
              <w:rPr>
                <w:rFonts w:hint="eastAsia" w:ascii="宋体" w:hAnsi="宋体" w:cs="宋体"/>
                <w:kern w:val="0"/>
              </w:rPr>
              <w:t>部门预算分配不固化，能根据实际情况合理调整，不存在项目支出进度慢、完成率低、绩效较差，但连年持续安排预算等不合理的情况（</w:t>
            </w:r>
            <w:r>
              <w:rPr>
                <w:rFonts w:ascii="宋体" w:hAnsi="宋体" w:cs="宋体"/>
                <w:kern w:val="0"/>
              </w:rPr>
              <w:t>1</w:t>
            </w:r>
            <w:r>
              <w:rPr>
                <w:rFonts w:hint="eastAsia" w:ascii="宋体" w:hAnsi="宋体" w:cs="宋体"/>
                <w:kern w:val="0"/>
              </w:rPr>
              <w:t>分）。</w:t>
            </w:r>
          </w:p>
        </w:tc>
        <w:tc>
          <w:tcPr>
            <w:tcW w:w="807" w:type="dxa"/>
            <w:tcBorders>
              <w:top w:val="nil"/>
              <w:left w:val="nil"/>
              <w:bottom w:val="single" w:color="auto" w:sz="4" w:space="0"/>
              <w:right w:val="single" w:color="auto" w:sz="4" w:space="0"/>
            </w:tcBorders>
            <w:noWrap w:val="0"/>
            <w:vAlign w:val="center"/>
          </w:tcPr>
          <w:p w14:paraId="429488D3">
            <w:pPr>
              <w:widowControl/>
              <w:spacing w:line="300" w:lineRule="exact"/>
              <w:jc w:val="left"/>
              <w:rPr>
                <w:rFonts w:hint="eastAsia" w:ascii="宋体" w:hAnsi="宋体" w:eastAsia="宋体" w:cs="宋体"/>
                <w:kern w:val="0"/>
                <w:lang w:val="en-US" w:eastAsia="zh-CN"/>
              </w:rPr>
            </w:pPr>
            <w:r>
              <w:rPr>
                <w:rFonts w:hint="eastAsia" w:ascii="宋体" w:hAnsi="宋体" w:cs="宋体"/>
                <w:kern w:val="0"/>
                <w:lang w:val="en-US" w:eastAsia="zh-CN"/>
              </w:rPr>
              <w:t>5</w:t>
            </w:r>
          </w:p>
        </w:tc>
        <w:tc>
          <w:tcPr>
            <w:tcW w:w="2312" w:type="dxa"/>
            <w:tcBorders>
              <w:top w:val="nil"/>
              <w:left w:val="nil"/>
              <w:bottom w:val="single" w:color="auto" w:sz="4" w:space="0"/>
              <w:right w:val="single" w:color="auto" w:sz="4" w:space="0"/>
            </w:tcBorders>
            <w:noWrap w:val="0"/>
            <w:vAlign w:val="top"/>
          </w:tcPr>
          <w:p w14:paraId="2B93474F">
            <w:pPr>
              <w:widowControl/>
              <w:spacing w:line="300" w:lineRule="exact"/>
              <w:jc w:val="left"/>
              <w:rPr>
                <w:rFonts w:ascii="宋体" w:hAnsi="宋体" w:cs="宋体"/>
                <w:kern w:val="0"/>
              </w:rPr>
            </w:pPr>
          </w:p>
        </w:tc>
      </w:tr>
      <w:tr w14:paraId="5EAABA8A">
        <w:tblPrEx>
          <w:tblCellMar>
            <w:top w:w="0" w:type="dxa"/>
            <w:left w:w="108" w:type="dxa"/>
            <w:bottom w:w="0" w:type="dxa"/>
            <w:right w:w="108" w:type="dxa"/>
          </w:tblCellMar>
        </w:tblPrEx>
        <w:trPr>
          <w:trHeight w:val="1689" w:hRule="atLeast"/>
        </w:trPr>
        <w:tc>
          <w:tcPr>
            <w:tcW w:w="577" w:type="dxa"/>
            <w:vMerge w:val="continue"/>
            <w:tcBorders>
              <w:top w:val="nil"/>
              <w:left w:val="single" w:color="auto" w:sz="4" w:space="0"/>
              <w:bottom w:val="single" w:color="auto" w:sz="4" w:space="0"/>
              <w:right w:val="single" w:color="auto" w:sz="4" w:space="0"/>
            </w:tcBorders>
            <w:noWrap w:val="0"/>
            <w:vAlign w:val="center"/>
          </w:tcPr>
          <w:p w14:paraId="05422CD9">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0924BC3E">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66DB4D5C">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586786EC">
            <w:pPr>
              <w:widowControl/>
              <w:spacing w:line="300" w:lineRule="exact"/>
              <w:jc w:val="center"/>
              <w:rPr>
                <w:rFonts w:ascii="宋体"/>
                <w:kern w:val="0"/>
              </w:rPr>
            </w:pPr>
          </w:p>
        </w:tc>
        <w:tc>
          <w:tcPr>
            <w:tcW w:w="851" w:type="dxa"/>
            <w:tcBorders>
              <w:top w:val="nil"/>
              <w:left w:val="nil"/>
              <w:bottom w:val="single" w:color="auto" w:sz="4" w:space="0"/>
              <w:right w:val="single" w:color="auto" w:sz="4" w:space="0"/>
            </w:tcBorders>
            <w:noWrap w:val="0"/>
            <w:vAlign w:val="center"/>
          </w:tcPr>
          <w:p w14:paraId="2BD41DE2">
            <w:pPr>
              <w:widowControl/>
              <w:spacing w:line="300" w:lineRule="exact"/>
              <w:jc w:val="left"/>
              <w:rPr>
                <w:rFonts w:ascii="宋体"/>
                <w:kern w:val="0"/>
              </w:rPr>
            </w:pPr>
            <w:r>
              <w:rPr>
                <w:rFonts w:hint="eastAsia" w:ascii="宋体" w:hAnsi="宋体" w:cs="宋体"/>
                <w:kern w:val="0"/>
              </w:rPr>
              <w:t>预算编制规范性</w:t>
            </w:r>
          </w:p>
        </w:tc>
        <w:tc>
          <w:tcPr>
            <w:tcW w:w="567" w:type="dxa"/>
            <w:tcBorders>
              <w:top w:val="nil"/>
              <w:left w:val="nil"/>
              <w:bottom w:val="single" w:color="auto" w:sz="4" w:space="0"/>
              <w:right w:val="single" w:color="auto" w:sz="4" w:space="0"/>
            </w:tcBorders>
            <w:noWrap w:val="0"/>
            <w:vAlign w:val="center"/>
          </w:tcPr>
          <w:p w14:paraId="6BB969A5">
            <w:pPr>
              <w:widowControl/>
              <w:spacing w:line="300" w:lineRule="exact"/>
              <w:jc w:val="center"/>
              <w:rPr>
                <w:rFonts w:ascii="宋体"/>
                <w:kern w:val="0"/>
              </w:rPr>
            </w:pPr>
            <w:r>
              <w:rPr>
                <w:rFonts w:ascii="宋体" w:hAnsi="宋体" w:cs="宋体"/>
                <w:kern w:val="0"/>
              </w:rPr>
              <w:t>5</w:t>
            </w:r>
          </w:p>
        </w:tc>
        <w:tc>
          <w:tcPr>
            <w:tcW w:w="2536" w:type="dxa"/>
            <w:tcBorders>
              <w:top w:val="nil"/>
              <w:left w:val="nil"/>
              <w:bottom w:val="single" w:color="auto" w:sz="4" w:space="0"/>
              <w:right w:val="single" w:color="auto" w:sz="4" w:space="0"/>
            </w:tcBorders>
            <w:noWrap w:val="0"/>
            <w:vAlign w:val="center"/>
          </w:tcPr>
          <w:p w14:paraId="05CEE921">
            <w:pPr>
              <w:widowControl/>
              <w:spacing w:line="300" w:lineRule="exact"/>
              <w:rPr>
                <w:rFonts w:ascii="宋体"/>
                <w:kern w:val="0"/>
              </w:rPr>
            </w:pPr>
            <w:r>
              <w:rPr>
                <w:rFonts w:hint="eastAsia" w:ascii="宋体" w:hAnsi="宋体" w:cs="宋体"/>
                <w:kern w:val="0"/>
              </w:rPr>
              <w:t>部门（单位）预算编制是否符合财政部门当年度关于预算编制在规范性、完整性、细化程度等方面的原则和要求。</w:t>
            </w:r>
          </w:p>
        </w:tc>
        <w:tc>
          <w:tcPr>
            <w:tcW w:w="5812" w:type="dxa"/>
            <w:tcBorders>
              <w:top w:val="nil"/>
              <w:left w:val="nil"/>
              <w:bottom w:val="single" w:color="auto" w:sz="4" w:space="0"/>
              <w:right w:val="single" w:color="auto" w:sz="4" w:space="0"/>
            </w:tcBorders>
            <w:noWrap w:val="0"/>
            <w:vAlign w:val="top"/>
          </w:tcPr>
          <w:p w14:paraId="38ECD9AB">
            <w:pPr>
              <w:widowControl/>
              <w:spacing w:line="300" w:lineRule="exact"/>
              <w:ind w:firstLine="315" w:firstLineChars="150"/>
              <w:jc w:val="left"/>
              <w:rPr>
                <w:rFonts w:ascii="宋体"/>
                <w:kern w:val="0"/>
              </w:rPr>
            </w:pPr>
            <w:r>
              <w:rPr>
                <w:rFonts w:ascii="宋体" w:hAnsi="宋体" w:cs="宋体"/>
                <w:kern w:val="0"/>
              </w:rPr>
              <w:t>1.</w:t>
            </w:r>
            <w:r>
              <w:rPr>
                <w:rFonts w:hint="eastAsia" w:ascii="宋体" w:hAnsi="宋体" w:cs="宋体"/>
                <w:kern w:val="0"/>
              </w:rPr>
              <w:t>部门（单位）预算编制符合财政部门当年度关于预算编制的各项原则和要求，符合专项资金预算编制、项目库管理、新增项目事前绩效评估等要求（</w:t>
            </w:r>
            <w:r>
              <w:rPr>
                <w:rFonts w:ascii="宋体" w:hAnsi="宋体" w:cs="宋体"/>
                <w:kern w:val="0"/>
              </w:rPr>
              <w:t>5</w:t>
            </w:r>
            <w:r>
              <w:rPr>
                <w:rFonts w:hint="eastAsia" w:ascii="宋体" w:hAnsi="宋体" w:cs="宋体"/>
                <w:kern w:val="0"/>
              </w:rPr>
              <w:t>分）；</w:t>
            </w:r>
          </w:p>
          <w:p w14:paraId="17B5C77E">
            <w:pPr>
              <w:widowControl/>
              <w:spacing w:line="300" w:lineRule="exact"/>
              <w:ind w:firstLine="315" w:firstLineChars="150"/>
              <w:jc w:val="left"/>
              <w:rPr>
                <w:rFonts w:ascii="宋体"/>
                <w:kern w:val="0"/>
              </w:rPr>
            </w:pPr>
            <w:r>
              <w:rPr>
                <w:rFonts w:ascii="宋体" w:hAnsi="宋体" w:cs="宋体"/>
                <w:kern w:val="0"/>
              </w:rPr>
              <w:t>2.</w:t>
            </w:r>
            <w:r>
              <w:rPr>
                <w:rFonts w:hint="eastAsia" w:ascii="宋体" w:hAnsi="宋体" w:cs="宋体"/>
                <w:kern w:val="0"/>
              </w:rPr>
              <w:t>发现一项不符合的扣</w:t>
            </w:r>
            <w:r>
              <w:rPr>
                <w:rFonts w:ascii="宋体" w:hAnsi="宋体" w:cs="宋体"/>
                <w:kern w:val="0"/>
              </w:rPr>
              <w:t>1</w:t>
            </w:r>
            <w:r>
              <w:rPr>
                <w:rFonts w:hint="eastAsia" w:ascii="宋体" w:hAnsi="宋体" w:cs="宋体"/>
                <w:kern w:val="0"/>
              </w:rPr>
              <w:t>分，扣完为止。</w:t>
            </w:r>
          </w:p>
          <w:p w14:paraId="1C464D82">
            <w:pPr>
              <w:widowControl/>
              <w:spacing w:line="300" w:lineRule="exact"/>
              <w:ind w:firstLine="315" w:firstLineChars="150"/>
              <w:jc w:val="left"/>
              <w:rPr>
                <w:rFonts w:ascii="宋体"/>
                <w:kern w:val="0"/>
              </w:rPr>
            </w:pPr>
            <w:r>
              <w:rPr>
                <w:rFonts w:hint="eastAsia" w:ascii="宋体" w:hAnsi="宋体" w:cs="宋体"/>
                <w:kern w:val="0"/>
              </w:rPr>
              <w:t>本指标需对照相应年度由财政部门印发的部门预算编制工作方案、通知和有关制度文件，根据实际情况评分。</w:t>
            </w:r>
          </w:p>
        </w:tc>
        <w:tc>
          <w:tcPr>
            <w:tcW w:w="807" w:type="dxa"/>
            <w:tcBorders>
              <w:top w:val="nil"/>
              <w:left w:val="nil"/>
              <w:bottom w:val="single" w:color="auto" w:sz="4" w:space="0"/>
              <w:right w:val="single" w:color="auto" w:sz="4" w:space="0"/>
            </w:tcBorders>
            <w:noWrap w:val="0"/>
            <w:vAlign w:val="center"/>
          </w:tcPr>
          <w:p w14:paraId="23BDB9EF">
            <w:pPr>
              <w:widowControl/>
              <w:spacing w:line="300" w:lineRule="exact"/>
              <w:jc w:val="left"/>
              <w:rPr>
                <w:rFonts w:hint="eastAsia" w:ascii="宋体" w:hAnsi="宋体" w:eastAsia="宋体" w:cs="宋体"/>
                <w:kern w:val="0"/>
                <w:lang w:val="en-US" w:eastAsia="zh-CN"/>
              </w:rPr>
            </w:pPr>
            <w:r>
              <w:rPr>
                <w:rFonts w:hint="eastAsia" w:ascii="宋体" w:hAnsi="宋体" w:cs="宋体"/>
                <w:kern w:val="0"/>
                <w:lang w:val="en-US" w:eastAsia="zh-CN"/>
              </w:rPr>
              <w:t>5</w:t>
            </w:r>
          </w:p>
        </w:tc>
        <w:tc>
          <w:tcPr>
            <w:tcW w:w="2312" w:type="dxa"/>
            <w:tcBorders>
              <w:top w:val="nil"/>
              <w:left w:val="nil"/>
              <w:bottom w:val="single" w:color="auto" w:sz="4" w:space="0"/>
              <w:right w:val="single" w:color="auto" w:sz="4" w:space="0"/>
            </w:tcBorders>
            <w:noWrap w:val="0"/>
            <w:vAlign w:val="top"/>
          </w:tcPr>
          <w:p w14:paraId="520AA659">
            <w:pPr>
              <w:widowControl/>
              <w:spacing w:line="300" w:lineRule="exact"/>
              <w:ind w:firstLine="315" w:firstLineChars="150"/>
              <w:jc w:val="left"/>
              <w:rPr>
                <w:rFonts w:ascii="宋体" w:hAnsi="宋体" w:cs="宋体"/>
                <w:kern w:val="0"/>
              </w:rPr>
            </w:pPr>
          </w:p>
        </w:tc>
      </w:tr>
      <w:tr w14:paraId="29F2A00E">
        <w:tblPrEx>
          <w:tblCellMar>
            <w:top w:w="0" w:type="dxa"/>
            <w:left w:w="108" w:type="dxa"/>
            <w:bottom w:w="0" w:type="dxa"/>
            <w:right w:w="108" w:type="dxa"/>
          </w:tblCellMar>
        </w:tblPrEx>
        <w:trPr>
          <w:trHeight w:val="1621" w:hRule="atLeast"/>
        </w:trPr>
        <w:tc>
          <w:tcPr>
            <w:tcW w:w="577" w:type="dxa"/>
            <w:vMerge w:val="continue"/>
            <w:tcBorders>
              <w:top w:val="nil"/>
              <w:left w:val="single" w:color="auto" w:sz="4" w:space="0"/>
              <w:bottom w:val="single" w:color="auto" w:sz="4" w:space="0"/>
              <w:right w:val="single" w:color="auto" w:sz="4" w:space="0"/>
            </w:tcBorders>
            <w:noWrap w:val="0"/>
            <w:vAlign w:val="center"/>
          </w:tcPr>
          <w:p w14:paraId="50AA7B50">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3AFE3FA1">
            <w:pPr>
              <w:widowControl/>
              <w:spacing w:line="320" w:lineRule="exact"/>
              <w:jc w:val="left"/>
              <w:rPr>
                <w:rFonts w:ascii="宋体"/>
                <w:kern w:val="0"/>
              </w:rPr>
            </w:pPr>
          </w:p>
        </w:tc>
        <w:tc>
          <w:tcPr>
            <w:tcW w:w="567" w:type="dxa"/>
            <w:vMerge w:val="restart"/>
            <w:tcBorders>
              <w:top w:val="nil"/>
              <w:left w:val="single" w:color="auto" w:sz="4" w:space="0"/>
              <w:bottom w:val="single" w:color="auto" w:sz="4" w:space="0"/>
              <w:right w:val="single" w:color="auto" w:sz="4" w:space="0"/>
            </w:tcBorders>
            <w:noWrap w:val="0"/>
            <w:vAlign w:val="center"/>
          </w:tcPr>
          <w:p w14:paraId="77BD7A21">
            <w:pPr>
              <w:widowControl/>
              <w:spacing w:line="320" w:lineRule="exact"/>
              <w:jc w:val="left"/>
              <w:rPr>
                <w:rFonts w:ascii="宋体"/>
                <w:kern w:val="0"/>
              </w:rPr>
            </w:pPr>
            <w:r>
              <w:rPr>
                <w:rFonts w:hint="eastAsia" w:ascii="宋体" w:hAnsi="宋体" w:cs="宋体"/>
                <w:kern w:val="0"/>
              </w:rPr>
              <w:t>目标设置</w:t>
            </w:r>
          </w:p>
        </w:tc>
        <w:tc>
          <w:tcPr>
            <w:tcW w:w="567" w:type="dxa"/>
            <w:vMerge w:val="restart"/>
            <w:tcBorders>
              <w:top w:val="nil"/>
              <w:left w:val="single" w:color="auto" w:sz="4" w:space="0"/>
              <w:bottom w:val="single" w:color="auto" w:sz="4" w:space="0"/>
              <w:right w:val="single" w:color="auto" w:sz="4" w:space="0"/>
            </w:tcBorders>
            <w:noWrap w:val="0"/>
            <w:vAlign w:val="center"/>
          </w:tcPr>
          <w:p w14:paraId="4B688EF3">
            <w:pPr>
              <w:widowControl/>
              <w:spacing w:line="320" w:lineRule="exact"/>
              <w:jc w:val="center"/>
              <w:rPr>
                <w:rFonts w:ascii="宋体"/>
                <w:kern w:val="0"/>
              </w:rPr>
            </w:pPr>
            <w:r>
              <w:rPr>
                <w:rFonts w:hint="default" w:ascii="宋体" w:hAnsi="宋体" w:cs="宋体"/>
                <w:kern w:val="0"/>
              </w:rPr>
              <w:t>10</w:t>
            </w:r>
          </w:p>
        </w:tc>
        <w:tc>
          <w:tcPr>
            <w:tcW w:w="851" w:type="dxa"/>
            <w:tcBorders>
              <w:top w:val="nil"/>
              <w:left w:val="nil"/>
              <w:bottom w:val="single" w:color="auto" w:sz="4" w:space="0"/>
              <w:right w:val="single" w:color="auto" w:sz="4" w:space="0"/>
            </w:tcBorders>
            <w:noWrap w:val="0"/>
            <w:vAlign w:val="center"/>
          </w:tcPr>
          <w:p w14:paraId="2C5C0144">
            <w:pPr>
              <w:widowControl/>
              <w:spacing w:line="320" w:lineRule="exact"/>
              <w:jc w:val="left"/>
              <w:rPr>
                <w:rFonts w:ascii="宋体"/>
                <w:kern w:val="0"/>
              </w:rPr>
            </w:pPr>
            <w:r>
              <w:rPr>
                <w:rFonts w:hint="eastAsia" w:ascii="宋体" w:hAnsi="宋体" w:cs="宋体"/>
                <w:kern w:val="0"/>
              </w:rPr>
              <w:t>绩效目标完整性</w:t>
            </w:r>
          </w:p>
        </w:tc>
        <w:tc>
          <w:tcPr>
            <w:tcW w:w="567" w:type="dxa"/>
            <w:tcBorders>
              <w:top w:val="nil"/>
              <w:left w:val="nil"/>
              <w:bottom w:val="single" w:color="auto" w:sz="4" w:space="0"/>
              <w:right w:val="single" w:color="auto" w:sz="4" w:space="0"/>
            </w:tcBorders>
            <w:noWrap w:val="0"/>
            <w:vAlign w:val="center"/>
          </w:tcPr>
          <w:p w14:paraId="04E60950">
            <w:pPr>
              <w:widowControl/>
              <w:spacing w:line="320" w:lineRule="exact"/>
              <w:jc w:val="center"/>
              <w:rPr>
                <w:rFonts w:ascii="宋体"/>
                <w:kern w:val="0"/>
              </w:rPr>
            </w:pPr>
            <w:r>
              <w:rPr>
                <w:rFonts w:hint="default" w:ascii="宋体" w:hAnsi="宋体" w:cs="宋体"/>
                <w:kern w:val="0"/>
              </w:rPr>
              <w:t>3</w:t>
            </w:r>
          </w:p>
        </w:tc>
        <w:tc>
          <w:tcPr>
            <w:tcW w:w="2536" w:type="dxa"/>
            <w:tcBorders>
              <w:top w:val="nil"/>
              <w:left w:val="nil"/>
              <w:bottom w:val="single" w:color="auto" w:sz="4" w:space="0"/>
              <w:right w:val="single" w:color="auto" w:sz="4" w:space="0"/>
            </w:tcBorders>
            <w:noWrap w:val="0"/>
            <w:vAlign w:val="center"/>
          </w:tcPr>
          <w:p w14:paraId="564EB589">
            <w:pPr>
              <w:widowControl/>
              <w:spacing w:line="320" w:lineRule="exact"/>
              <w:rPr>
                <w:rFonts w:ascii="宋体"/>
                <w:kern w:val="0"/>
              </w:rPr>
            </w:pPr>
            <w:r>
              <w:rPr>
                <w:rFonts w:hint="eastAsia" w:ascii="宋体" w:hAnsi="宋体" w:cs="宋体"/>
                <w:kern w:val="0"/>
              </w:rPr>
              <w:t>部门（单位）是否按要求编报项目绩效目标，是否依据充分、内容完整、覆盖全面、符合实际。</w:t>
            </w:r>
          </w:p>
        </w:tc>
        <w:tc>
          <w:tcPr>
            <w:tcW w:w="5812" w:type="dxa"/>
            <w:tcBorders>
              <w:top w:val="nil"/>
              <w:left w:val="nil"/>
              <w:bottom w:val="single" w:color="auto" w:sz="4" w:space="0"/>
              <w:right w:val="single" w:color="auto" w:sz="4" w:space="0"/>
            </w:tcBorders>
            <w:noWrap w:val="0"/>
            <w:vAlign w:val="center"/>
          </w:tcPr>
          <w:p w14:paraId="58D95E16">
            <w:pPr>
              <w:widowControl/>
              <w:spacing w:line="320" w:lineRule="exact"/>
              <w:rPr>
                <w:rFonts w:ascii="宋体"/>
                <w:kern w:val="0"/>
              </w:rPr>
            </w:pPr>
            <w:r>
              <w:rPr>
                <w:rFonts w:ascii="宋体" w:hAnsi="宋体" w:cs="宋体"/>
                <w:kern w:val="0"/>
              </w:rPr>
              <w:t xml:space="preserve">   1.</w:t>
            </w:r>
            <w:r>
              <w:rPr>
                <w:rFonts w:hint="eastAsia" w:ascii="宋体" w:hAnsi="宋体" w:cs="宋体"/>
                <w:kern w:val="0"/>
              </w:rPr>
              <w:t>部门（单位）按要求编报部门整体和项目的绩效目标，实现绩效目标全覆盖（</w:t>
            </w:r>
            <w:r>
              <w:rPr>
                <w:rFonts w:ascii="宋体" w:hAnsi="宋体" w:cs="宋体"/>
                <w:kern w:val="0"/>
              </w:rPr>
              <w:t>8</w:t>
            </w:r>
            <w:r>
              <w:rPr>
                <w:rFonts w:hint="eastAsia" w:ascii="宋体" w:hAnsi="宋体" w:cs="宋体"/>
                <w:kern w:val="0"/>
              </w:rPr>
              <w:t>分）；</w:t>
            </w:r>
          </w:p>
          <w:p w14:paraId="4DCFC4B4">
            <w:pPr>
              <w:widowControl/>
              <w:spacing w:line="320" w:lineRule="exact"/>
              <w:ind w:firstLine="315" w:firstLineChars="150"/>
              <w:rPr>
                <w:rFonts w:ascii="宋体"/>
                <w:kern w:val="0"/>
              </w:rPr>
            </w:pPr>
            <w:r>
              <w:rPr>
                <w:rFonts w:ascii="宋体" w:hAnsi="宋体" w:cs="宋体"/>
                <w:kern w:val="0"/>
              </w:rPr>
              <w:t>2.</w:t>
            </w:r>
            <w:r>
              <w:rPr>
                <w:rFonts w:hint="eastAsia" w:ascii="宋体" w:hAnsi="宋体" w:cs="宋体"/>
                <w:kern w:val="0"/>
              </w:rPr>
              <w:t>没按要求编报绩效目标或绩效目标不符合要求的，一项扣</w:t>
            </w:r>
            <w:r>
              <w:rPr>
                <w:rFonts w:ascii="宋体" w:hAnsi="宋体" w:cs="宋体"/>
                <w:kern w:val="0"/>
              </w:rPr>
              <w:t>1</w:t>
            </w:r>
            <w:r>
              <w:rPr>
                <w:rFonts w:hint="eastAsia" w:ascii="宋体" w:hAnsi="宋体" w:cs="宋体"/>
                <w:kern w:val="0"/>
              </w:rPr>
              <w:t>分，扣完为止。</w:t>
            </w:r>
          </w:p>
        </w:tc>
        <w:tc>
          <w:tcPr>
            <w:tcW w:w="807" w:type="dxa"/>
            <w:tcBorders>
              <w:top w:val="nil"/>
              <w:left w:val="nil"/>
              <w:bottom w:val="single" w:color="auto" w:sz="4" w:space="0"/>
              <w:right w:val="single" w:color="auto" w:sz="4" w:space="0"/>
            </w:tcBorders>
            <w:noWrap w:val="0"/>
            <w:vAlign w:val="center"/>
          </w:tcPr>
          <w:p w14:paraId="50D8576D">
            <w:pPr>
              <w:widowControl/>
              <w:spacing w:line="320" w:lineRule="exact"/>
              <w:jc w:val="left"/>
              <w:rPr>
                <w:rFonts w:hint="eastAsia" w:ascii="宋体" w:hAnsi="宋体" w:eastAsia="宋体" w:cs="宋体"/>
                <w:kern w:val="0"/>
                <w:lang w:val="en-US" w:eastAsia="zh-CN"/>
              </w:rPr>
            </w:pPr>
            <w:r>
              <w:rPr>
                <w:rFonts w:hint="eastAsia" w:ascii="宋体" w:hAnsi="宋体" w:cs="宋体"/>
                <w:kern w:val="0"/>
                <w:lang w:val="en-US" w:eastAsia="zh-CN"/>
              </w:rPr>
              <w:t>3</w:t>
            </w:r>
          </w:p>
        </w:tc>
        <w:tc>
          <w:tcPr>
            <w:tcW w:w="2312" w:type="dxa"/>
            <w:tcBorders>
              <w:top w:val="nil"/>
              <w:left w:val="nil"/>
              <w:bottom w:val="single" w:color="auto" w:sz="4" w:space="0"/>
              <w:right w:val="single" w:color="auto" w:sz="4" w:space="0"/>
            </w:tcBorders>
            <w:noWrap w:val="0"/>
            <w:vAlign w:val="top"/>
          </w:tcPr>
          <w:p w14:paraId="3F305E27">
            <w:pPr>
              <w:widowControl/>
              <w:spacing w:line="320" w:lineRule="exact"/>
              <w:rPr>
                <w:rFonts w:ascii="宋体" w:hAnsi="宋体" w:cs="宋体"/>
                <w:kern w:val="0"/>
              </w:rPr>
            </w:pPr>
          </w:p>
        </w:tc>
      </w:tr>
      <w:tr w14:paraId="7D8342AC">
        <w:tblPrEx>
          <w:tblCellMar>
            <w:top w:w="0" w:type="dxa"/>
            <w:left w:w="108" w:type="dxa"/>
            <w:bottom w:w="0" w:type="dxa"/>
            <w:right w:w="108" w:type="dxa"/>
          </w:tblCellMar>
        </w:tblPrEx>
        <w:trPr>
          <w:trHeight w:val="1419" w:hRule="atLeast"/>
        </w:trPr>
        <w:tc>
          <w:tcPr>
            <w:tcW w:w="577" w:type="dxa"/>
            <w:vMerge w:val="continue"/>
            <w:tcBorders>
              <w:top w:val="nil"/>
              <w:left w:val="single" w:color="auto" w:sz="4" w:space="0"/>
              <w:bottom w:val="single" w:color="auto" w:sz="4" w:space="0"/>
              <w:right w:val="single" w:color="auto" w:sz="4" w:space="0"/>
            </w:tcBorders>
            <w:noWrap w:val="0"/>
            <w:vAlign w:val="center"/>
          </w:tcPr>
          <w:p w14:paraId="0546D4FA">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4977F21B">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218347C7">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6C92B75D">
            <w:pPr>
              <w:widowControl/>
              <w:spacing w:line="320" w:lineRule="exact"/>
              <w:jc w:val="center"/>
              <w:rPr>
                <w:rFonts w:ascii="宋体"/>
                <w:kern w:val="0"/>
              </w:rPr>
            </w:pPr>
          </w:p>
        </w:tc>
        <w:tc>
          <w:tcPr>
            <w:tcW w:w="851" w:type="dxa"/>
            <w:tcBorders>
              <w:top w:val="nil"/>
              <w:left w:val="nil"/>
              <w:bottom w:val="single" w:color="auto" w:sz="4" w:space="0"/>
              <w:right w:val="single" w:color="auto" w:sz="4" w:space="0"/>
            </w:tcBorders>
            <w:noWrap w:val="0"/>
            <w:vAlign w:val="center"/>
          </w:tcPr>
          <w:p w14:paraId="3AE59049">
            <w:pPr>
              <w:widowControl/>
              <w:spacing w:line="320" w:lineRule="exact"/>
              <w:jc w:val="left"/>
              <w:rPr>
                <w:rFonts w:ascii="宋体"/>
                <w:kern w:val="0"/>
              </w:rPr>
            </w:pPr>
            <w:r>
              <w:rPr>
                <w:rFonts w:hint="eastAsia" w:ascii="宋体" w:hAnsi="宋体" w:cs="宋体"/>
                <w:kern w:val="0"/>
              </w:rPr>
              <w:t>绩效指标明确性</w:t>
            </w:r>
          </w:p>
        </w:tc>
        <w:tc>
          <w:tcPr>
            <w:tcW w:w="567" w:type="dxa"/>
            <w:tcBorders>
              <w:top w:val="nil"/>
              <w:left w:val="nil"/>
              <w:bottom w:val="single" w:color="auto" w:sz="4" w:space="0"/>
              <w:right w:val="single" w:color="auto" w:sz="4" w:space="0"/>
            </w:tcBorders>
            <w:noWrap w:val="0"/>
            <w:vAlign w:val="center"/>
          </w:tcPr>
          <w:p w14:paraId="359B8B73">
            <w:pPr>
              <w:widowControl/>
              <w:spacing w:line="320" w:lineRule="exact"/>
              <w:jc w:val="center"/>
              <w:rPr>
                <w:rFonts w:ascii="宋体"/>
                <w:kern w:val="0"/>
              </w:rPr>
            </w:pPr>
            <w:r>
              <w:rPr>
                <w:rFonts w:ascii="宋体" w:hAnsi="宋体" w:cs="宋体"/>
                <w:kern w:val="0"/>
              </w:rPr>
              <w:t>7</w:t>
            </w:r>
          </w:p>
        </w:tc>
        <w:tc>
          <w:tcPr>
            <w:tcW w:w="2536" w:type="dxa"/>
            <w:tcBorders>
              <w:top w:val="nil"/>
              <w:left w:val="nil"/>
              <w:bottom w:val="single" w:color="auto" w:sz="4" w:space="0"/>
              <w:right w:val="single" w:color="auto" w:sz="4" w:space="0"/>
            </w:tcBorders>
            <w:noWrap w:val="0"/>
            <w:vAlign w:val="center"/>
          </w:tcPr>
          <w:p w14:paraId="3F41F896">
            <w:pPr>
              <w:widowControl/>
              <w:spacing w:line="320" w:lineRule="exact"/>
              <w:rPr>
                <w:rFonts w:ascii="宋体"/>
                <w:kern w:val="0"/>
              </w:rPr>
            </w:pPr>
            <w:r>
              <w:rPr>
                <w:rFonts w:hint="eastAsia" w:ascii="宋体" w:hAnsi="宋体" w:cs="宋体"/>
                <w:kern w:val="0"/>
              </w:rPr>
              <w:t>部门（单位）设定的绩效指标是否清晰、细化、可量化，用以反映和考核部门（单位）整体绩效目标的明细化情况。</w:t>
            </w:r>
          </w:p>
        </w:tc>
        <w:tc>
          <w:tcPr>
            <w:tcW w:w="5812" w:type="dxa"/>
            <w:tcBorders>
              <w:top w:val="nil"/>
              <w:left w:val="nil"/>
              <w:bottom w:val="single" w:color="auto" w:sz="4" w:space="0"/>
              <w:right w:val="single" w:color="auto" w:sz="4" w:space="0"/>
            </w:tcBorders>
            <w:noWrap w:val="0"/>
            <w:vAlign w:val="center"/>
          </w:tcPr>
          <w:p w14:paraId="0A983CD0">
            <w:pPr>
              <w:widowControl/>
              <w:spacing w:line="320" w:lineRule="exact"/>
              <w:ind w:firstLine="420" w:firstLineChars="200"/>
              <w:rPr>
                <w:rFonts w:ascii="宋体"/>
                <w:kern w:val="0"/>
              </w:rPr>
            </w:pPr>
            <w:r>
              <w:rPr>
                <w:rFonts w:ascii="宋体" w:hAnsi="宋体" w:cs="宋体"/>
                <w:kern w:val="0"/>
              </w:rPr>
              <w:t>1.</w:t>
            </w:r>
            <w:r>
              <w:rPr>
                <w:rFonts w:hint="eastAsia" w:ascii="宋体" w:hAnsi="宋体" w:cs="宋体"/>
                <w:kern w:val="0"/>
              </w:rPr>
              <w:t>绩效指标将部门整体绩效目标细化分解为具体工作任务，与部门年度任务数或计划数相对应（</w:t>
            </w:r>
            <w:r>
              <w:rPr>
                <w:rFonts w:ascii="宋体" w:hAnsi="宋体" w:cs="宋体"/>
                <w:kern w:val="0"/>
              </w:rPr>
              <w:t>2</w:t>
            </w:r>
            <w:r>
              <w:rPr>
                <w:rFonts w:hint="eastAsia" w:ascii="宋体" w:hAnsi="宋体" w:cs="宋体"/>
                <w:kern w:val="0"/>
              </w:rPr>
              <w:t>分）；</w:t>
            </w:r>
          </w:p>
          <w:p w14:paraId="6004601B">
            <w:pPr>
              <w:widowControl/>
              <w:spacing w:line="320" w:lineRule="exact"/>
              <w:ind w:firstLine="420" w:firstLineChars="200"/>
              <w:rPr>
                <w:rFonts w:ascii="宋体"/>
                <w:kern w:val="0"/>
              </w:rPr>
            </w:pPr>
            <w:r>
              <w:rPr>
                <w:rFonts w:ascii="宋体" w:hAnsi="宋体" w:cs="宋体"/>
                <w:kern w:val="0"/>
              </w:rPr>
              <w:t>2.</w:t>
            </w:r>
            <w:r>
              <w:rPr>
                <w:rFonts w:hint="eastAsia" w:ascii="宋体" w:hAnsi="宋体" w:cs="宋体"/>
                <w:kern w:val="0"/>
              </w:rPr>
              <w:t>绩效指标中包含能够明确体现部门（单位）履职效果的社会、经济、生态效益指标（</w:t>
            </w:r>
            <w:r>
              <w:rPr>
                <w:rFonts w:ascii="宋体" w:hAnsi="宋体" w:cs="宋体"/>
                <w:kern w:val="0"/>
              </w:rPr>
              <w:t>2</w:t>
            </w:r>
            <w:r>
              <w:rPr>
                <w:rFonts w:hint="eastAsia" w:ascii="宋体" w:hAnsi="宋体" w:cs="宋体"/>
                <w:kern w:val="0"/>
              </w:rPr>
              <w:t>分）；</w:t>
            </w:r>
            <w:r>
              <w:rPr>
                <w:rFonts w:ascii="宋体"/>
                <w:kern w:val="0"/>
              </w:rPr>
              <w:br w:type="textWrapping"/>
            </w:r>
            <w:r>
              <w:rPr>
                <w:rFonts w:ascii="宋体" w:hAnsi="宋体" w:cs="宋体"/>
                <w:kern w:val="0"/>
              </w:rPr>
              <w:t xml:space="preserve">    3.</w:t>
            </w:r>
            <w:r>
              <w:rPr>
                <w:rFonts w:hint="eastAsia" w:ascii="宋体" w:hAnsi="宋体" w:cs="宋体"/>
                <w:kern w:val="0"/>
              </w:rPr>
              <w:t>绩效指标具有清晰、可衡量的指标值（</w:t>
            </w:r>
            <w:r>
              <w:rPr>
                <w:rFonts w:ascii="宋体" w:hAnsi="宋体" w:cs="宋体"/>
                <w:kern w:val="0"/>
              </w:rPr>
              <w:t>1</w:t>
            </w:r>
            <w:r>
              <w:rPr>
                <w:rFonts w:hint="eastAsia" w:ascii="宋体" w:hAnsi="宋体" w:cs="宋体"/>
                <w:kern w:val="0"/>
              </w:rPr>
              <w:t>分）；</w:t>
            </w:r>
            <w:r>
              <w:rPr>
                <w:rFonts w:ascii="宋体"/>
                <w:kern w:val="0"/>
              </w:rPr>
              <w:br w:type="textWrapping"/>
            </w:r>
            <w:r>
              <w:rPr>
                <w:rFonts w:ascii="宋体" w:hAnsi="宋体" w:cs="宋体"/>
                <w:kern w:val="0"/>
              </w:rPr>
              <w:t xml:space="preserve">    4</w:t>
            </w:r>
            <w:r>
              <w:rPr>
                <w:rFonts w:ascii="宋体" w:cs="宋体"/>
                <w:kern w:val="0"/>
              </w:rPr>
              <w:t>.</w:t>
            </w:r>
            <w:r>
              <w:rPr>
                <w:rFonts w:hint="eastAsia" w:ascii="宋体" w:hAnsi="宋体" w:cs="宋体"/>
                <w:kern w:val="0"/>
              </w:rPr>
              <w:t>绩效指标包含可量化的指标（</w:t>
            </w:r>
            <w:r>
              <w:rPr>
                <w:rFonts w:ascii="宋体" w:hAnsi="宋体" w:cs="宋体"/>
                <w:kern w:val="0"/>
              </w:rPr>
              <w:t>1</w:t>
            </w:r>
            <w:r>
              <w:rPr>
                <w:rFonts w:hint="eastAsia" w:ascii="宋体" w:hAnsi="宋体" w:cs="宋体"/>
                <w:kern w:val="0"/>
              </w:rPr>
              <w:t>分）；</w:t>
            </w:r>
          </w:p>
          <w:p w14:paraId="1360F5F3">
            <w:pPr>
              <w:widowControl/>
              <w:spacing w:line="320" w:lineRule="exact"/>
              <w:rPr>
                <w:rFonts w:ascii="宋体"/>
                <w:kern w:val="0"/>
              </w:rPr>
            </w:pPr>
            <w:r>
              <w:rPr>
                <w:rFonts w:ascii="宋体" w:hAnsi="宋体" w:cs="宋体"/>
                <w:kern w:val="0"/>
              </w:rPr>
              <w:t xml:space="preserve">    5</w:t>
            </w:r>
            <w:r>
              <w:rPr>
                <w:rFonts w:ascii="宋体" w:cs="宋体"/>
                <w:kern w:val="0"/>
              </w:rPr>
              <w:t>.</w:t>
            </w:r>
            <w:r>
              <w:rPr>
                <w:rFonts w:hint="eastAsia" w:ascii="宋体" w:hAnsi="宋体" w:cs="宋体"/>
                <w:kern w:val="0"/>
              </w:rPr>
              <w:t>绩效目标的目标值测算能提供相关依据或符合客观实际情况（</w:t>
            </w:r>
            <w:r>
              <w:rPr>
                <w:rFonts w:ascii="宋体" w:hAnsi="宋体" w:cs="宋体"/>
                <w:kern w:val="0"/>
              </w:rPr>
              <w:t>1</w:t>
            </w:r>
            <w:r>
              <w:rPr>
                <w:rFonts w:hint="eastAsia" w:ascii="宋体" w:hAnsi="宋体" w:cs="宋体"/>
                <w:kern w:val="0"/>
              </w:rPr>
              <w:t>分）。</w:t>
            </w:r>
          </w:p>
        </w:tc>
        <w:tc>
          <w:tcPr>
            <w:tcW w:w="807" w:type="dxa"/>
            <w:tcBorders>
              <w:top w:val="nil"/>
              <w:left w:val="nil"/>
              <w:bottom w:val="single" w:color="auto" w:sz="4" w:space="0"/>
              <w:right w:val="single" w:color="auto" w:sz="4" w:space="0"/>
            </w:tcBorders>
            <w:noWrap w:val="0"/>
            <w:vAlign w:val="center"/>
          </w:tcPr>
          <w:p w14:paraId="02ABEF44">
            <w:pPr>
              <w:widowControl/>
              <w:spacing w:line="320" w:lineRule="exact"/>
              <w:jc w:val="left"/>
              <w:rPr>
                <w:rFonts w:hint="eastAsia" w:ascii="宋体" w:hAnsi="宋体" w:eastAsia="宋体" w:cs="宋体"/>
                <w:kern w:val="0"/>
                <w:lang w:val="en-US" w:eastAsia="zh-CN"/>
              </w:rPr>
            </w:pPr>
            <w:r>
              <w:rPr>
                <w:rFonts w:hint="eastAsia" w:ascii="宋体" w:hAnsi="宋体" w:cs="宋体"/>
                <w:kern w:val="0"/>
                <w:lang w:val="en-US" w:eastAsia="zh-CN"/>
              </w:rPr>
              <w:t>5</w:t>
            </w:r>
          </w:p>
        </w:tc>
        <w:tc>
          <w:tcPr>
            <w:tcW w:w="2312" w:type="dxa"/>
            <w:tcBorders>
              <w:top w:val="nil"/>
              <w:left w:val="nil"/>
              <w:bottom w:val="single" w:color="auto" w:sz="4" w:space="0"/>
              <w:right w:val="single" w:color="auto" w:sz="4" w:space="0"/>
            </w:tcBorders>
            <w:noWrap w:val="0"/>
            <w:vAlign w:val="top"/>
          </w:tcPr>
          <w:p w14:paraId="62F1C78F">
            <w:pPr>
              <w:widowControl/>
              <w:spacing w:line="320" w:lineRule="exact"/>
              <w:ind w:firstLine="420" w:firstLineChars="200"/>
              <w:rPr>
                <w:rFonts w:ascii="宋体" w:hAnsi="宋体" w:eastAsia="宋体" w:cs="宋体"/>
                <w:kern w:val="0"/>
                <w:sz w:val="21"/>
                <w:szCs w:val="24"/>
                <w:lang w:val="en-US" w:eastAsia="zh-CN" w:bidi="ar-SA"/>
              </w:rPr>
            </w:pPr>
            <w:r>
              <w:rPr>
                <w:rFonts w:hint="eastAsia" w:ascii="宋体" w:hAnsi="宋体" w:cs="宋体"/>
                <w:kern w:val="0"/>
                <w:lang w:val="en-US" w:eastAsia="zh-CN"/>
              </w:rPr>
              <w:t>绩效目标贯穿整个项目的实施周期，指导着项目的实施方向，而绩效指标是绩效目标的具体化，对项目实施各个阶段起着考核、监督、引导的作用。我校虽然按照财政要求填报绩效目标申报表，但是所有的绩效目标还有待加强科学性，时效绩效指标可以更加明确化，绩效指标表述有待进一步完善。</w:t>
            </w:r>
          </w:p>
        </w:tc>
      </w:tr>
      <w:tr w14:paraId="0D1F372E">
        <w:tblPrEx>
          <w:tblCellMar>
            <w:top w:w="0" w:type="dxa"/>
            <w:left w:w="108" w:type="dxa"/>
            <w:bottom w:w="0" w:type="dxa"/>
            <w:right w:w="108" w:type="dxa"/>
          </w:tblCellMar>
        </w:tblPrEx>
        <w:trPr>
          <w:trHeight w:val="1359" w:hRule="atLeast"/>
        </w:trPr>
        <w:tc>
          <w:tcPr>
            <w:tcW w:w="577" w:type="dxa"/>
            <w:vMerge w:val="restart"/>
            <w:tcBorders>
              <w:top w:val="nil"/>
              <w:left w:val="single" w:color="auto" w:sz="4" w:space="0"/>
              <w:bottom w:val="single" w:color="auto" w:sz="4" w:space="0"/>
              <w:right w:val="single" w:color="auto" w:sz="4" w:space="0"/>
            </w:tcBorders>
            <w:noWrap w:val="0"/>
            <w:vAlign w:val="center"/>
          </w:tcPr>
          <w:p w14:paraId="332E2997">
            <w:pPr>
              <w:widowControl/>
              <w:spacing w:line="320" w:lineRule="exact"/>
              <w:jc w:val="left"/>
              <w:rPr>
                <w:rFonts w:ascii="宋体"/>
                <w:kern w:val="0"/>
              </w:rPr>
            </w:pPr>
            <w:r>
              <w:rPr>
                <w:rFonts w:hint="eastAsia" w:ascii="宋体" w:hAnsi="宋体" w:cs="宋体"/>
                <w:kern w:val="0"/>
              </w:rPr>
              <w:t>部门管理</w:t>
            </w:r>
          </w:p>
        </w:tc>
        <w:tc>
          <w:tcPr>
            <w:tcW w:w="567" w:type="dxa"/>
            <w:vMerge w:val="restart"/>
            <w:tcBorders>
              <w:top w:val="nil"/>
              <w:left w:val="single" w:color="auto" w:sz="4" w:space="0"/>
              <w:bottom w:val="single" w:color="auto" w:sz="4" w:space="0"/>
              <w:right w:val="single" w:color="auto" w:sz="4" w:space="0"/>
            </w:tcBorders>
            <w:noWrap w:val="0"/>
            <w:vAlign w:val="center"/>
          </w:tcPr>
          <w:p w14:paraId="438B127B">
            <w:pPr>
              <w:widowControl/>
              <w:spacing w:line="320" w:lineRule="exact"/>
              <w:jc w:val="left"/>
              <w:rPr>
                <w:rFonts w:ascii="宋体"/>
                <w:kern w:val="0"/>
              </w:rPr>
            </w:pPr>
            <w:r>
              <w:rPr>
                <w:rFonts w:ascii="宋体" w:hAnsi="宋体" w:cs="宋体"/>
                <w:kern w:val="0"/>
              </w:rPr>
              <w:t>20</w:t>
            </w:r>
          </w:p>
        </w:tc>
        <w:tc>
          <w:tcPr>
            <w:tcW w:w="567" w:type="dxa"/>
            <w:vMerge w:val="restart"/>
            <w:tcBorders>
              <w:top w:val="nil"/>
              <w:left w:val="single" w:color="auto" w:sz="4" w:space="0"/>
              <w:bottom w:val="single" w:color="auto" w:sz="4" w:space="0"/>
              <w:right w:val="single" w:color="auto" w:sz="4" w:space="0"/>
            </w:tcBorders>
            <w:noWrap w:val="0"/>
            <w:vAlign w:val="center"/>
          </w:tcPr>
          <w:p w14:paraId="49E0C27C">
            <w:pPr>
              <w:widowControl/>
              <w:spacing w:line="320" w:lineRule="exact"/>
              <w:jc w:val="left"/>
              <w:rPr>
                <w:rFonts w:ascii="宋体"/>
                <w:kern w:val="0"/>
              </w:rPr>
            </w:pPr>
            <w:r>
              <w:rPr>
                <w:rFonts w:hint="eastAsia" w:ascii="宋体" w:hAnsi="宋体" w:cs="宋体"/>
                <w:kern w:val="0"/>
              </w:rPr>
              <w:t>资金管理</w:t>
            </w:r>
          </w:p>
        </w:tc>
        <w:tc>
          <w:tcPr>
            <w:tcW w:w="567" w:type="dxa"/>
            <w:vMerge w:val="restart"/>
            <w:tcBorders>
              <w:top w:val="nil"/>
              <w:left w:val="single" w:color="auto" w:sz="4" w:space="0"/>
              <w:bottom w:val="single" w:color="auto" w:sz="4" w:space="0"/>
              <w:right w:val="single" w:color="auto" w:sz="4" w:space="0"/>
            </w:tcBorders>
            <w:noWrap w:val="0"/>
            <w:vAlign w:val="center"/>
          </w:tcPr>
          <w:p w14:paraId="0E768CC0">
            <w:pPr>
              <w:widowControl/>
              <w:spacing w:line="320" w:lineRule="exact"/>
              <w:jc w:val="center"/>
              <w:rPr>
                <w:rFonts w:ascii="宋体"/>
                <w:kern w:val="0"/>
              </w:rPr>
            </w:pPr>
            <w:r>
              <w:rPr>
                <w:rFonts w:ascii="宋体" w:hAnsi="宋体" w:cs="宋体"/>
                <w:kern w:val="0"/>
              </w:rPr>
              <w:t>8</w:t>
            </w:r>
          </w:p>
        </w:tc>
        <w:tc>
          <w:tcPr>
            <w:tcW w:w="851" w:type="dxa"/>
            <w:tcBorders>
              <w:top w:val="single" w:color="auto" w:sz="4" w:space="0"/>
              <w:left w:val="nil"/>
              <w:bottom w:val="single" w:color="auto" w:sz="4" w:space="0"/>
              <w:right w:val="single" w:color="auto" w:sz="4" w:space="0"/>
            </w:tcBorders>
            <w:noWrap w:val="0"/>
            <w:vAlign w:val="center"/>
          </w:tcPr>
          <w:p w14:paraId="478768ED">
            <w:pPr>
              <w:widowControl/>
              <w:spacing w:line="320" w:lineRule="exact"/>
              <w:jc w:val="left"/>
              <w:rPr>
                <w:rFonts w:ascii="宋体"/>
                <w:kern w:val="0"/>
              </w:rPr>
            </w:pPr>
            <w:r>
              <w:rPr>
                <w:rFonts w:hint="eastAsia" w:ascii="宋体" w:hAnsi="宋体" w:cs="宋体"/>
                <w:kern w:val="0"/>
              </w:rPr>
              <w:t>政府采购执行情况</w:t>
            </w:r>
          </w:p>
        </w:tc>
        <w:tc>
          <w:tcPr>
            <w:tcW w:w="567" w:type="dxa"/>
            <w:tcBorders>
              <w:top w:val="single" w:color="auto" w:sz="4" w:space="0"/>
              <w:left w:val="nil"/>
              <w:bottom w:val="single" w:color="auto" w:sz="4" w:space="0"/>
              <w:right w:val="single" w:color="auto" w:sz="4" w:space="0"/>
            </w:tcBorders>
            <w:noWrap w:val="0"/>
            <w:vAlign w:val="center"/>
          </w:tcPr>
          <w:p w14:paraId="066A04D7">
            <w:pPr>
              <w:widowControl/>
              <w:spacing w:line="320" w:lineRule="exact"/>
              <w:jc w:val="center"/>
              <w:rPr>
                <w:rFonts w:ascii="宋体"/>
                <w:kern w:val="0"/>
              </w:rPr>
            </w:pPr>
            <w:r>
              <w:rPr>
                <w:rFonts w:ascii="宋体" w:hAnsi="宋体" w:cs="宋体"/>
                <w:kern w:val="0"/>
              </w:rPr>
              <w:t>2</w:t>
            </w:r>
          </w:p>
        </w:tc>
        <w:tc>
          <w:tcPr>
            <w:tcW w:w="2536" w:type="dxa"/>
            <w:tcBorders>
              <w:top w:val="single" w:color="auto" w:sz="4" w:space="0"/>
              <w:left w:val="nil"/>
              <w:bottom w:val="single" w:color="auto" w:sz="4" w:space="0"/>
              <w:right w:val="single" w:color="auto" w:sz="4" w:space="0"/>
            </w:tcBorders>
            <w:noWrap w:val="0"/>
            <w:vAlign w:val="center"/>
          </w:tcPr>
          <w:p w14:paraId="2E59C84C">
            <w:pPr>
              <w:widowControl/>
              <w:spacing w:line="320" w:lineRule="exact"/>
              <w:rPr>
                <w:rFonts w:ascii="宋体"/>
                <w:kern w:val="0"/>
              </w:rPr>
            </w:pPr>
            <w:r>
              <w:rPr>
                <w:rFonts w:hint="eastAsia" w:ascii="宋体" w:hAnsi="宋体" w:cs="宋体"/>
                <w:kern w:val="0"/>
              </w:rPr>
              <w:t>部门（单位）本年度实际政府采购金额与年度政府采购预算的比率，用以反映和考核部门（单位）政府采购预算执行情况；政府采购政策功能的执行和落实情况。</w:t>
            </w:r>
          </w:p>
        </w:tc>
        <w:tc>
          <w:tcPr>
            <w:tcW w:w="5812" w:type="dxa"/>
            <w:tcBorders>
              <w:top w:val="single" w:color="auto" w:sz="4" w:space="0"/>
              <w:left w:val="nil"/>
              <w:bottom w:val="single" w:color="auto" w:sz="4" w:space="0"/>
              <w:right w:val="single" w:color="auto" w:sz="4" w:space="0"/>
            </w:tcBorders>
            <w:noWrap w:val="0"/>
            <w:vAlign w:val="center"/>
          </w:tcPr>
          <w:p w14:paraId="63DEBE8C">
            <w:pPr>
              <w:widowControl/>
              <w:spacing w:line="320" w:lineRule="exact"/>
              <w:ind w:firstLine="405"/>
              <w:rPr>
                <w:rFonts w:ascii="宋体"/>
                <w:kern w:val="0"/>
              </w:rPr>
            </w:pPr>
            <w:r>
              <w:rPr>
                <w:rFonts w:ascii="宋体" w:hAnsi="宋体" w:cs="宋体"/>
                <w:kern w:val="0"/>
              </w:rPr>
              <w:t>1.</w:t>
            </w:r>
            <w:r>
              <w:rPr>
                <w:rFonts w:hint="eastAsia" w:ascii="宋体" w:hAnsi="宋体" w:cs="宋体"/>
                <w:kern w:val="0"/>
              </w:rPr>
              <w:t>政府采购执行率得分</w:t>
            </w:r>
            <w:r>
              <w:rPr>
                <w:rFonts w:ascii="宋体" w:hAnsi="宋体" w:cs="宋体"/>
                <w:kern w:val="0"/>
              </w:rPr>
              <w:t>=</w:t>
            </w:r>
            <w:r>
              <w:rPr>
                <w:rFonts w:hint="eastAsia" w:ascii="宋体" w:hAnsi="宋体" w:cs="宋体"/>
                <w:kern w:val="0"/>
              </w:rPr>
              <w:t>政府采购执行率×</w:t>
            </w:r>
            <w:r>
              <w:rPr>
                <w:rFonts w:ascii="宋体" w:hAnsi="宋体" w:cs="宋体"/>
                <w:kern w:val="0"/>
              </w:rPr>
              <w:t>1</w:t>
            </w:r>
            <w:r>
              <w:rPr>
                <w:rFonts w:hint="eastAsia" w:ascii="宋体" w:hAnsi="宋体" w:cs="宋体"/>
                <w:kern w:val="0"/>
              </w:rPr>
              <w:t>分</w:t>
            </w:r>
            <w:r>
              <w:rPr>
                <w:rFonts w:ascii="宋体"/>
                <w:kern w:val="0"/>
              </w:rPr>
              <w:br w:type="textWrapping"/>
            </w:r>
            <w:r>
              <w:rPr>
                <w:rFonts w:ascii="宋体" w:hAnsi="宋体" w:cs="宋体"/>
                <w:kern w:val="0"/>
              </w:rPr>
              <w:t xml:space="preserve">    </w:t>
            </w:r>
            <w:r>
              <w:rPr>
                <w:rFonts w:hint="eastAsia" w:ascii="宋体" w:hAnsi="宋体" w:cs="宋体"/>
                <w:kern w:val="0"/>
              </w:rPr>
              <w:t>政府采购执行率</w:t>
            </w:r>
            <w:r>
              <w:rPr>
                <w:rFonts w:ascii="宋体" w:hAnsi="宋体" w:cs="宋体"/>
                <w:kern w:val="0"/>
              </w:rPr>
              <w:t>=</w:t>
            </w:r>
            <w:r>
              <w:rPr>
                <w:rFonts w:hint="eastAsia" w:ascii="宋体" w:hAnsi="宋体" w:cs="宋体"/>
                <w:kern w:val="0"/>
              </w:rPr>
              <w:t>（实际采购金额合计数</w:t>
            </w:r>
            <w:r>
              <w:rPr>
                <w:rFonts w:ascii="宋体" w:hAnsi="宋体" w:cs="宋体"/>
                <w:kern w:val="0"/>
              </w:rPr>
              <w:t>/</w:t>
            </w:r>
            <w:r>
              <w:rPr>
                <w:rFonts w:hint="eastAsia" w:ascii="宋体" w:hAnsi="宋体" w:cs="宋体"/>
                <w:kern w:val="0"/>
              </w:rPr>
              <w:t>采购计划金额合计数）×</w:t>
            </w:r>
            <w:r>
              <w:rPr>
                <w:rFonts w:ascii="宋体" w:hAnsi="宋体" w:cs="宋体"/>
                <w:kern w:val="0"/>
              </w:rPr>
              <w:t>100%</w:t>
            </w:r>
            <w:r>
              <w:rPr>
                <w:rFonts w:ascii="宋体" w:hAnsi="宋体" w:cs="宋体"/>
                <w:kern w:val="0"/>
              </w:rPr>
              <w:br w:type="textWrapping"/>
            </w:r>
            <w:r>
              <w:rPr>
                <w:rFonts w:ascii="宋体" w:hAnsi="宋体" w:cs="宋体"/>
                <w:kern w:val="0"/>
              </w:rPr>
              <w:t xml:space="preserve">    </w:t>
            </w:r>
            <w:r>
              <w:rPr>
                <w:rFonts w:hint="eastAsia" w:ascii="宋体" w:hAnsi="宋体" w:cs="宋体"/>
                <w:kern w:val="0"/>
              </w:rPr>
              <w:t>如实际采购金额大于采购计划金额，本项得</w:t>
            </w:r>
            <w:r>
              <w:rPr>
                <w:rFonts w:ascii="宋体" w:cs="宋体"/>
                <w:kern w:val="0"/>
              </w:rPr>
              <w:t>0</w:t>
            </w:r>
            <w:r>
              <w:rPr>
                <w:rFonts w:hint="eastAsia" w:ascii="宋体" w:hAnsi="宋体" w:cs="宋体"/>
                <w:kern w:val="0"/>
              </w:rPr>
              <w:t>分。</w:t>
            </w:r>
            <w:r>
              <w:rPr>
                <w:rFonts w:ascii="宋体"/>
                <w:kern w:val="0"/>
              </w:rPr>
              <w:br w:type="textWrapping"/>
            </w:r>
            <w:r>
              <w:rPr>
                <w:rFonts w:ascii="宋体" w:hAnsi="宋体" w:cs="宋体"/>
                <w:kern w:val="0"/>
              </w:rPr>
              <w:t xml:space="preserve">    </w:t>
            </w:r>
            <w:r>
              <w:rPr>
                <w:rFonts w:hint="eastAsia" w:ascii="宋体" w:hAnsi="宋体" w:cs="宋体"/>
                <w:kern w:val="0"/>
              </w:rPr>
              <w:t>政府采购预算是指采购机关根据事业发展计划和行政任务编制的、并经过规定程序批准的年度政府采购计划。</w:t>
            </w:r>
          </w:p>
          <w:p w14:paraId="5695FB8D">
            <w:pPr>
              <w:widowControl/>
              <w:spacing w:line="320" w:lineRule="exact"/>
              <w:ind w:firstLine="405"/>
              <w:rPr>
                <w:rFonts w:ascii="宋体"/>
                <w:kern w:val="0"/>
              </w:rPr>
            </w:pPr>
            <w:r>
              <w:rPr>
                <w:rFonts w:ascii="宋体" w:hAnsi="宋体" w:cs="宋体"/>
                <w:kern w:val="0"/>
              </w:rPr>
              <w:t>2.</w:t>
            </w:r>
            <w:r>
              <w:rPr>
                <w:rFonts w:hint="eastAsia" w:ascii="宋体" w:hAnsi="宋体" w:cs="宋体"/>
                <w:kern w:val="0"/>
              </w:rPr>
              <w:t>政府采购政策功能的执行和落实情况（</w:t>
            </w:r>
            <w:r>
              <w:rPr>
                <w:rFonts w:ascii="宋体" w:hAnsi="宋体" w:cs="宋体"/>
                <w:kern w:val="0"/>
              </w:rPr>
              <w:t>1</w:t>
            </w:r>
            <w:r>
              <w:rPr>
                <w:rFonts w:hint="eastAsia" w:ascii="宋体" w:hAnsi="宋体" w:cs="宋体"/>
                <w:kern w:val="0"/>
              </w:rPr>
              <w:t>分），落实不到位的酌情扣分。</w:t>
            </w:r>
          </w:p>
        </w:tc>
        <w:tc>
          <w:tcPr>
            <w:tcW w:w="807" w:type="dxa"/>
            <w:tcBorders>
              <w:top w:val="single" w:color="auto" w:sz="4" w:space="0"/>
              <w:left w:val="nil"/>
              <w:bottom w:val="single" w:color="auto" w:sz="4" w:space="0"/>
              <w:right w:val="single" w:color="auto" w:sz="4" w:space="0"/>
            </w:tcBorders>
            <w:noWrap w:val="0"/>
            <w:vAlign w:val="center"/>
          </w:tcPr>
          <w:p w14:paraId="25C0FABB">
            <w:pPr>
              <w:widowControl/>
              <w:spacing w:line="320" w:lineRule="exact"/>
              <w:jc w:val="left"/>
              <w:rPr>
                <w:rFonts w:hint="default" w:ascii="宋体" w:hAnsi="宋体" w:eastAsia="宋体" w:cs="宋体"/>
                <w:kern w:val="0"/>
                <w:lang w:val="en-US" w:eastAsia="zh-CN"/>
              </w:rPr>
            </w:pPr>
            <w:r>
              <w:rPr>
                <w:rFonts w:hint="eastAsia" w:ascii="宋体" w:hAnsi="宋体" w:eastAsia="宋体" w:cs="宋体"/>
                <w:kern w:val="0"/>
                <w:lang w:val="en-US" w:eastAsia="zh-CN"/>
              </w:rPr>
              <w:t>2</w:t>
            </w:r>
          </w:p>
        </w:tc>
        <w:tc>
          <w:tcPr>
            <w:tcW w:w="2312" w:type="dxa"/>
            <w:tcBorders>
              <w:top w:val="single" w:color="auto" w:sz="4" w:space="0"/>
              <w:left w:val="nil"/>
              <w:bottom w:val="single" w:color="auto" w:sz="4" w:space="0"/>
              <w:right w:val="single" w:color="auto" w:sz="4" w:space="0"/>
            </w:tcBorders>
            <w:noWrap w:val="0"/>
            <w:vAlign w:val="top"/>
          </w:tcPr>
          <w:p w14:paraId="3F6F9B96">
            <w:pPr>
              <w:widowControl/>
              <w:spacing w:line="320" w:lineRule="exact"/>
              <w:rPr>
                <w:rFonts w:ascii="宋体" w:hAnsi="宋体" w:cs="宋体"/>
                <w:kern w:val="0"/>
              </w:rPr>
            </w:pPr>
          </w:p>
        </w:tc>
      </w:tr>
      <w:tr w14:paraId="47B254E6">
        <w:tblPrEx>
          <w:tblCellMar>
            <w:top w:w="0" w:type="dxa"/>
            <w:left w:w="108" w:type="dxa"/>
            <w:bottom w:w="0" w:type="dxa"/>
            <w:right w:w="108" w:type="dxa"/>
          </w:tblCellMar>
        </w:tblPrEx>
        <w:trPr>
          <w:trHeight w:val="1819" w:hRule="atLeast"/>
        </w:trPr>
        <w:tc>
          <w:tcPr>
            <w:tcW w:w="577" w:type="dxa"/>
            <w:vMerge w:val="continue"/>
            <w:tcBorders>
              <w:top w:val="nil"/>
              <w:left w:val="single" w:color="auto" w:sz="4" w:space="0"/>
              <w:bottom w:val="single" w:color="auto" w:sz="4" w:space="0"/>
              <w:right w:val="single" w:color="auto" w:sz="4" w:space="0"/>
            </w:tcBorders>
            <w:noWrap w:val="0"/>
            <w:vAlign w:val="center"/>
          </w:tcPr>
          <w:p w14:paraId="542A5D9D">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55CD0E8B">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2D966E72">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3E6524A3">
            <w:pPr>
              <w:widowControl/>
              <w:spacing w:line="320" w:lineRule="exact"/>
              <w:jc w:val="center"/>
              <w:rPr>
                <w:rFonts w:ascii="宋体"/>
                <w:kern w:val="0"/>
              </w:rPr>
            </w:pPr>
          </w:p>
        </w:tc>
        <w:tc>
          <w:tcPr>
            <w:tcW w:w="851" w:type="dxa"/>
            <w:tcBorders>
              <w:top w:val="single" w:color="auto" w:sz="4" w:space="0"/>
              <w:left w:val="nil"/>
              <w:bottom w:val="single" w:color="auto" w:sz="4" w:space="0"/>
              <w:right w:val="single" w:color="auto" w:sz="4" w:space="0"/>
            </w:tcBorders>
            <w:noWrap w:val="0"/>
            <w:vAlign w:val="center"/>
          </w:tcPr>
          <w:p w14:paraId="3ABECDE7">
            <w:pPr>
              <w:widowControl/>
              <w:spacing w:line="320" w:lineRule="exact"/>
              <w:jc w:val="left"/>
              <w:rPr>
                <w:rFonts w:ascii="宋体"/>
                <w:kern w:val="0"/>
              </w:rPr>
            </w:pPr>
            <w:r>
              <w:rPr>
                <w:rFonts w:hint="eastAsia" w:ascii="宋体" w:hAnsi="宋体" w:cs="宋体"/>
                <w:kern w:val="0"/>
              </w:rPr>
              <w:t>财务合规性</w:t>
            </w:r>
          </w:p>
        </w:tc>
        <w:tc>
          <w:tcPr>
            <w:tcW w:w="567" w:type="dxa"/>
            <w:tcBorders>
              <w:top w:val="single" w:color="auto" w:sz="4" w:space="0"/>
              <w:left w:val="nil"/>
              <w:bottom w:val="single" w:color="auto" w:sz="4" w:space="0"/>
              <w:right w:val="single" w:color="auto" w:sz="4" w:space="0"/>
            </w:tcBorders>
            <w:noWrap w:val="0"/>
            <w:vAlign w:val="center"/>
          </w:tcPr>
          <w:p w14:paraId="6F8702AB">
            <w:pPr>
              <w:widowControl/>
              <w:spacing w:line="320" w:lineRule="exact"/>
              <w:jc w:val="center"/>
              <w:rPr>
                <w:rFonts w:ascii="宋体"/>
                <w:kern w:val="0"/>
              </w:rPr>
            </w:pPr>
            <w:r>
              <w:rPr>
                <w:rFonts w:ascii="宋体" w:hAnsi="宋体" w:cs="宋体"/>
                <w:kern w:val="0"/>
              </w:rPr>
              <w:t>3</w:t>
            </w:r>
          </w:p>
        </w:tc>
        <w:tc>
          <w:tcPr>
            <w:tcW w:w="2536" w:type="dxa"/>
            <w:tcBorders>
              <w:top w:val="single" w:color="auto" w:sz="4" w:space="0"/>
              <w:left w:val="nil"/>
              <w:bottom w:val="single" w:color="auto" w:sz="4" w:space="0"/>
              <w:right w:val="single" w:color="auto" w:sz="4" w:space="0"/>
            </w:tcBorders>
            <w:noWrap w:val="0"/>
            <w:vAlign w:val="center"/>
          </w:tcPr>
          <w:p w14:paraId="7EFBDFB3">
            <w:pPr>
              <w:widowControl/>
              <w:spacing w:line="320" w:lineRule="exact"/>
              <w:rPr>
                <w:rFonts w:ascii="宋体"/>
                <w:kern w:val="0"/>
              </w:rPr>
            </w:pPr>
            <w:r>
              <w:rPr>
                <w:rFonts w:hint="eastAsia" w:ascii="宋体" w:hAnsi="宋体" w:cs="宋体"/>
                <w:kern w:val="0"/>
              </w:rPr>
              <w:t>部门（单位）资金支出规范性，包括资金管理、费用支出等制度是否严格执行；资金调整、调剂是否规范；会计核算是否规范、是否存在支出依据不合规、虚列项目支出的情况；是否存在截留、挤占、挪用项目资金情况。</w:t>
            </w:r>
          </w:p>
        </w:tc>
        <w:tc>
          <w:tcPr>
            <w:tcW w:w="5812" w:type="dxa"/>
            <w:tcBorders>
              <w:top w:val="single" w:color="auto" w:sz="4" w:space="0"/>
              <w:left w:val="nil"/>
              <w:bottom w:val="single" w:color="auto" w:sz="4" w:space="0"/>
              <w:right w:val="single" w:color="auto" w:sz="4" w:space="0"/>
            </w:tcBorders>
            <w:noWrap w:val="0"/>
            <w:vAlign w:val="center"/>
          </w:tcPr>
          <w:p w14:paraId="795C830E">
            <w:pPr>
              <w:widowControl/>
              <w:spacing w:line="320" w:lineRule="exact"/>
              <w:ind w:firstLine="420"/>
              <w:rPr>
                <w:rFonts w:ascii="宋体"/>
                <w:kern w:val="0"/>
              </w:rPr>
            </w:pPr>
            <w:r>
              <w:rPr>
                <w:rFonts w:ascii="宋体" w:hAnsi="宋体" w:cs="宋体"/>
                <w:kern w:val="0"/>
              </w:rPr>
              <w:t>1.</w:t>
            </w:r>
            <w:r>
              <w:rPr>
                <w:rFonts w:hint="eastAsia" w:ascii="宋体" w:hAnsi="宋体" w:cs="宋体"/>
                <w:kern w:val="0"/>
              </w:rPr>
              <w:t>资金支出规范性（</w:t>
            </w:r>
            <w:r>
              <w:rPr>
                <w:rFonts w:ascii="宋体" w:hAnsi="宋体" w:cs="宋体"/>
                <w:kern w:val="0"/>
              </w:rPr>
              <w:t>1</w:t>
            </w:r>
            <w:r>
              <w:rPr>
                <w:rFonts w:hint="eastAsia" w:ascii="宋体" w:hAnsi="宋体" w:cs="宋体"/>
                <w:kern w:val="0"/>
              </w:rPr>
              <w:t>分）。资金管理、费用标准、支付符合有关制度规定，按事项完成进度支付资金的，得</w:t>
            </w:r>
            <w:r>
              <w:rPr>
                <w:rFonts w:ascii="宋体" w:hAnsi="宋体" w:cs="宋体"/>
                <w:kern w:val="0"/>
              </w:rPr>
              <w:t>1</w:t>
            </w:r>
            <w:r>
              <w:rPr>
                <w:rFonts w:hint="eastAsia" w:ascii="宋体" w:hAnsi="宋体" w:cs="宋体"/>
                <w:kern w:val="0"/>
              </w:rPr>
              <w:t>分，否则酌情扣分。</w:t>
            </w:r>
            <w:r>
              <w:rPr>
                <w:rFonts w:ascii="宋体"/>
                <w:kern w:val="0"/>
              </w:rPr>
              <w:br w:type="textWrapping"/>
            </w:r>
            <w:r>
              <w:rPr>
                <w:rFonts w:ascii="宋体" w:hAnsi="宋体" w:cs="宋体"/>
                <w:kern w:val="0"/>
              </w:rPr>
              <w:t xml:space="preserve">    2.</w:t>
            </w:r>
            <w:r>
              <w:rPr>
                <w:rFonts w:hint="eastAsia" w:ascii="宋体" w:hAnsi="宋体" w:cs="宋体"/>
                <w:kern w:val="0"/>
              </w:rPr>
              <w:t>资金调整、调剂规范性（</w:t>
            </w:r>
            <w:r>
              <w:rPr>
                <w:rFonts w:ascii="宋体" w:hAnsi="宋体" w:cs="宋体"/>
                <w:kern w:val="0"/>
              </w:rPr>
              <w:t>1</w:t>
            </w:r>
            <w:r>
              <w:rPr>
                <w:rFonts w:hint="eastAsia" w:ascii="宋体" w:hAnsi="宋体" w:cs="宋体"/>
                <w:kern w:val="0"/>
              </w:rPr>
              <w:t>分）。调整、调剂资金累计在本单位部门预算总规模</w:t>
            </w:r>
            <w:r>
              <w:rPr>
                <w:rFonts w:ascii="宋体" w:hAnsi="宋体" w:cs="宋体"/>
                <w:kern w:val="0"/>
              </w:rPr>
              <w:t>10%</w:t>
            </w:r>
            <w:r>
              <w:rPr>
                <w:rFonts w:hint="eastAsia" w:ascii="宋体" w:hAnsi="宋体" w:cs="宋体"/>
                <w:kern w:val="0"/>
              </w:rPr>
              <w:t>以内的，得</w:t>
            </w:r>
            <w:r>
              <w:rPr>
                <w:rFonts w:ascii="宋体" w:hAnsi="宋体" w:cs="宋体"/>
                <w:kern w:val="0"/>
              </w:rPr>
              <w:t>1</w:t>
            </w:r>
            <w:r>
              <w:rPr>
                <w:rFonts w:hint="eastAsia" w:ascii="宋体" w:hAnsi="宋体" w:cs="宋体"/>
                <w:kern w:val="0"/>
              </w:rPr>
              <w:t>分；超出</w:t>
            </w:r>
            <w:r>
              <w:rPr>
                <w:rFonts w:ascii="宋体" w:hAnsi="宋体" w:cs="宋体"/>
                <w:kern w:val="0"/>
              </w:rPr>
              <w:t>10%</w:t>
            </w:r>
            <w:r>
              <w:rPr>
                <w:rFonts w:hint="eastAsia" w:ascii="宋体" w:hAnsi="宋体" w:cs="宋体"/>
                <w:kern w:val="0"/>
              </w:rPr>
              <w:t>的，超出一个百分点扣</w:t>
            </w:r>
            <w:r>
              <w:rPr>
                <w:rFonts w:ascii="宋体" w:hAnsi="宋体" w:cs="宋体"/>
                <w:kern w:val="0"/>
              </w:rPr>
              <w:t>0.1</w:t>
            </w:r>
            <w:r>
              <w:rPr>
                <w:rFonts w:hint="eastAsia" w:ascii="宋体" w:hAnsi="宋体" w:cs="宋体"/>
                <w:kern w:val="0"/>
              </w:rPr>
              <w:t>分，直至</w:t>
            </w:r>
            <w:r>
              <w:rPr>
                <w:rFonts w:ascii="宋体" w:hAnsi="宋体" w:cs="宋体"/>
                <w:kern w:val="0"/>
              </w:rPr>
              <w:t>1</w:t>
            </w:r>
            <w:r>
              <w:rPr>
                <w:rFonts w:hint="eastAsia" w:ascii="宋体" w:hAnsi="宋体" w:cs="宋体"/>
                <w:kern w:val="0"/>
              </w:rPr>
              <w:t>分扣完为止。</w:t>
            </w:r>
          </w:p>
          <w:p w14:paraId="6C174E9B">
            <w:pPr>
              <w:widowControl/>
              <w:spacing w:line="320" w:lineRule="exact"/>
              <w:ind w:firstLine="420" w:firstLineChars="200"/>
              <w:rPr>
                <w:rFonts w:ascii="宋体"/>
                <w:kern w:val="0"/>
              </w:rPr>
            </w:pPr>
            <w:r>
              <w:rPr>
                <w:rFonts w:ascii="宋体" w:hAnsi="宋体" w:cs="宋体"/>
                <w:kern w:val="0"/>
              </w:rPr>
              <w:t>3.</w:t>
            </w:r>
            <w:r>
              <w:rPr>
                <w:rFonts w:hint="eastAsia" w:ascii="宋体" w:hAnsi="宋体" w:cs="宋体"/>
                <w:kern w:val="0"/>
              </w:rPr>
              <w:t>会计核算规范性（</w:t>
            </w:r>
            <w:r>
              <w:rPr>
                <w:rFonts w:ascii="宋体" w:hAnsi="宋体" w:cs="宋体"/>
                <w:kern w:val="0"/>
              </w:rPr>
              <w:t>1</w:t>
            </w:r>
            <w:r>
              <w:rPr>
                <w:rFonts w:hint="eastAsia" w:ascii="宋体" w:hAnsi="宋体" w:cs="宋体"/>
                <w:kern w:val="0"/>
              </w:rPr>
              <w:t>分）。规范执行会计核算制度得</w:t>
            </w:r>
            <w:r>
              <w:rPr>
                <w:rFonts w:ascii="宋体" w:hAnsi="宋体" w:cs="宋体"/>
                <w:kern w:val="0"/>
              </w:rPr>
              <w:t>1</w:t>
            </w:r>
            <w:r>
              <w:rPr>
                <w:rFonts w:hint="eastAsia" w:ascii="宋体" w:hAnsi="宋体" w:cs="宋体"/>
                <w:kern w:val="0"/>
              </w:rPr>
              <w:t>分，未按规定设专账核算、支出凭证不符合规定或其他核算不规范，酌情扣分。</w:t>
            </w:r>
          </w:p>
          <w:p w14:paraId="126FEFF9">
            <w:pPr>
              <w:widowControl/>
              <w:spacing w:line="320" w:lineRule="exact"/>
              <w:ind w:firstLine="420"/>
              <w:rPr>
                <w:rFonts w:ascii="宋体"/>
                <w:kern w:val="0"/>
              </w:rPr>
            </w:pPr>
            <w:r>
              <w:rPr>
                <w:rFonts w:ascii="宋体" w:hAnsi="宋体" w:cs="宋体"/>
                <w:kern w:val="0"/>
              </w:rPr>
              <w:t>4.</w:t>
            </w:r>
            <w:r>
              <w:rPr>
                <w:rFonts w:hint="eastAsia" w:ascii="宋体" w:hAnsi="宋体" w:cs="宋体"/>
                <w:kern w:val="0"/>
              </w:rPr>
              <w:t>发生超范围、超标准支出，虚列支出，截留、挤占、挪用资金的，以及其他不符合制度规定支出，本项指标得</w:t>
            </w:r>
            <w:r>
              <w:rPr>
                <w:rFonts w:ascii="宋体" w:cs="宋体"/>
                <w:kern w:val="0"/>
              </w:rPr>
              <w:t>0</w:t>
            </w:r>
            <w:r>
              <w:rPr>
                <w:rFonts w:hint="eastAsia" w:ascii="宋体" w:hAnsi="宋体" w:cs="宋体"/>
                <w:kern w:val="0"/>
              </w:rPr>
              <w:t>分。</w:t>
            </w:r>
          </w:p>
        </w:tc>
        <w:tc>
          <w:tcPr>
            <w:tcW w:w="807" w:type="dxa"/>
            <w:tcBorders>
              <w:top w:val="single" w:color="auto" w:sz="4" w:space="0"/>
              <w:left w:val="nil"/>
              <w:bottom w:val="single" w:color="auto" w:sz="4" w:space="0"/>
              <w:right w:val="single" w:color="auto" w:sz="4" w:space="0"/>
            </w:tcBorders>
            <w:noWrap w:val="0"/>
            <w:vAlign w:val="center"/>
          </w:tcPr>
          <w:p w14:paraId="01E85CF9">
            <w:pPr>
              <w:widowControl/>
              <w:spacing w:line="320" w:lineRule="exact"/>
              <w:jc w:val="left"/>
              <w:rPr>
                <w:rFonts w:hint="default" w:ascii="宋体" w:hAnsi="宋体" w:eastAsia="宋体" w:cs="宋体"/>
                <w:kern w:val="0"/>
                <w:lang w:val="en-US" w:eastAsia="zh-CN"/>
              </w:rPr>
            </w:pPr>
            <w:r>
              <w:rPr>
                <w:rFonts w:hint="eastAsia" w:ascii="宋体" w:hAnsi="宋体" w:eastAsia="宋体" w:cs="宋体"/>
                <w:kern w:val="0"/>
                <w:lang w:val="en-US" w:eastAsia="zh-CN"/>
              </w:rPr>
              <w:t>3</w:t>
            </w:r>
          </w:p>
        </w:tc>
        <w:tc>
          <w:tcPr>
            <w:tcW w:w="2312" w:type="dxa"/>
            <w:tcBorders>
              <w:top w:val="single" w:color="auto" w:sz="4" w:space="0"/>
              <w:left w:val="nil"/>
              <w:bottom w:val="single" w:color="auto" w:sz="4" w:space="0"/>
              <w:right w:val="single" w:color="auto" w:sz="4" w:space="0"/>
            </w:tcBorders>
            <w:noWrap w:val="0"/>
            <w:vAlign w:val="top"/>
          </w:tcPr>
          <w:p w14:paraId="39807C3B">
            <w:pPr>
              <w:widowControl/>
              <w:spacing w:line="320" w:lineRule="exact"/>
              <w:ind w:firstLine="420"/>
              <w:rPr>
                <w:rFonts w:ascii="宋体" w:hAnsi="宋体" w:cs="宋体"/>
                <w:kern w:val="0"/>
              </w:rPr>
            </w:pPr>
          </w:p>
        </w:tc>
      </w:tr>
      <w:tr w14:paraId="3D8195F2">
        <w:tblPrEx>
          <w:tblCellMar>
            <w:top w:w="0" w:type="dxa"/>
            <w:left w:w="108" w:type="dxa"/>
            <w:bottom w:w="0" w:type="dxa"/>
            <w:right w:w="108" w:type="dxa"/>
          </w:tblCellMar>
        </w:tblPrEx>
        <w:trPr>
          <w:trHeight w:val="4298" w:hRule="atLeast"/>
        </w:trPr>
        <w:tc>
          <w:tcPr>
            <w:tcW w:w="577" w:type="dxa"/>
            <w:vMerge w:val="continue"/>
            <w:tcBorders>
              <w:top w:val="nil"/>
              <w:left w:val="single" w:color="auto" w:sz="4" w:space="0"/>
              <w:bottom w:val="single" w:color="auto" w:sz="4" w:space="0"/>
              <w:right w:val="single" w:color="auto" w:sz="4" w:space="0"/>
            </w:tcBorders>
            <w:noWrap w:val="0"/>
            <w:vAlign w:val="center"/>
          </w:tcPr>
          <w:p w14:paraId="4D4A3597">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1A80203F">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39FC55E5">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22D66466">
            <w:pPr>
              <w:widowControl/>
              <w:spacing w:line="320" w:lineRule="exact"/>
              <w:jc w:val="center"/>
              <w:rPr>
                <w:rFonts w:ascii="宋体"/>
                <w:kern w:val="0"/>
              </w:rPr>
            </w:pPr>
          </w:p>
        </w:tc>
        <w:tc>
          <w:tcPr>
            <w:tcW w:w="851" w:type="dxa"/>
            <w:tcBorders>
              <w:top w:val="nil"/>
              <w:left w:val="nil"/>
              <w:bottom w:val="single" w:color="auto" w:sz="4" w:space="0"/>
              <w:right w:val="single" w:color="auto" w:sz="4" w:space="0"/>
            </w:tcBorders>
            <w:noWrap w:val="0"/>
            <w:vAlign w:val="center"/>
          </w:tcPr>
          <w:p w14:paraId="4ABFB5BE">
            <w:pPr>
              <w:widowControl/>
              <w:spacing w:line="320" w:lineRule="exact"/>
              <w:jc w:val="left"/>
              <w:rPr>
                <w:rFonts w:ascii="宋体"/>
                <w:kern w:val="0"/>
              </w:rPr>
            </w:pPr>
            <w:r>
              <w:rPr>
                <w:rFonts w:hint="eastAsia" w:ascii="宋体" w:hAnsi="宋体" w:cs="宋体"/>
                <w:kern w:val="0"/>
              </w:rPr>
              <w:t>预决算信息公开</w:t>
            </w:r>
          </w:p>
        </w:tc>
        <w:tc>
          <w:tcPr>
            <w:tcW w:w="567" w:type="dxa"/>
            <w:tcBorders>
              <w:top w:val="nil"/>
              <w:left w:val="nil"/>
              <w:bottom w:val="single" w:color="auto" w:sz="4" w:space="0"/>
              <w:right w:val="single" w:color="auto" w:sz="4" w:space="0"/>
            </w:tcBorders>
            <w:noWrap w:val="0"/>
            <w:vAlign w:val="center"/>
          </w:tcPr>
          <w:p w14:paraId="53E99D87">
            <w:pPr>
              <w:widowControl/>
              <w:spacing w:line="320" w:lineRule="exact"/>
              <w:jc w:val="center"/>
              <w:rPr>
                <w:rFonts w:ascii="宋体"/>
                <w:kern w:val="0"/>
              </w:rPr>
            </w:pPr>
            <w:r>
              <w:rPr>
                <w:rFonts w:ascii="宋体" w:hAnsi="宋体" w:cs="宋体"/>
                <w:kern w:val="0"/>
              </w:rPr>
              <w:t>3</w:t>
            </w:r>
          </w:p>
        </w:tc>
        <w:tc>
          <w:tcPr>
            <w:tcW w:w="2536" w:type="dxa"/>
            <w:tcBorders>
              <w:top w:val="nil"/>
              <w:left w:val="nil"/>
              <w:bottom w:val="single" w:color="auto" w:sz="4" w:space="0"/>
              <w:right w:val="single" w:color="auto" w:sz="4" w:space="0"/>
            </w:tcBorders>
            <w:noWrap w:val="0"/>
            <w:vAlign w:val="center"/>
          </w:tcPr>
          <w:p w14:paraId="561B5975">
            <w:pPr>
              <w:widowControl/>
              <w:spacing w:line="320" w:lineRule="exact"/>
              <w:rPr>
                <w:rFonts w:ascii="宋体"/>
                <w:kern w:val="0"/>
              </w:rPr>
            </w:pPr>
            <w:r>
              <w:rPr>
                <w:rFonts w:hint="eastAsia" w:ascii="宋体" w:hAnsi="宋体" w:cs="宋体"/>
                <w:kern w:val="0"/>
              </w:rPr>
              <w:t>部门（单位）在被评价年度是否按照政府信息公开有关规定公开相关预决算信息，用以反映部门（单位）预决算管理的公开透明情况。</w:t>
            </w:r>
          </w:p>
        </w:tc>
        <w:tc>
          <w:tcPr>
            <w:tcW w:w="5812" w:type="dxa"/>
            <w:tcBorders>
              <w:top w:val="nil"/>
              <w:left w:val="nil"/>
              <w:bottom w:val="single" w:color="auto" w:sz="4" w:space="0"/>
              <w:right w:val="single" w:color="auto" w:sz="4" w:space="0"/>
            </w:tcBorders>
            <w:noWrap w:val="0"/>
            <w:vAlign w:val="center"/>
          </w:tcPr>
          <w:p w14:paraId="5AEE2417">
            <w:pPr>
              <w:ind w:firstLine="420" w:firstLineChars="200"/>
              <w:rPr>
                <w:rFonts w:ascii="宋体" w:hAnsi="宋体"/>
              </w:rPr>
            </w:pPr>
            <w:r>
              <w:rPr>
                <w:rFonts w:ascii="宋体" w:hAnsi="宋体"/>
              </w:rPr>
              <w:t>1.</w:t>
            </w:r>
            <w:r>
              <w:rPr>
                <w:rFonts w:hint="eastAsia" w:ascii="宋体" w:hAnsi="宋体"/>
              </w:rPr>
              <w:t>部门预算公开（</w:t>
            </w:r>
            <w:r>
              <w:rPr>
                <w:rFonts w:ascii="宋体" w:hAnsi="宋体"/>
              </w:rPr>
              <w:t>1.5</w:t>
            </w:r>
            <w:r>
              <w:rPr>
                <w:rFonts w:hint="eastAsia" w:ascii="宋体" w:hAnsi="宋体"/>
              </w:rPr>
              <w:t>分），按以下标准分档计分：</w:t>
            </w:r>
            <w:r>
              <w:rPr>
                <w:rFonts w:ascii="宋体" w:hAnsi="宋体"/>
              </w:rPr>
              <w:br w:type="textWrapping"/>
            </w:r>
            <w:r>
              <w:rPr>
                <w:rFonts w:ascii="宋体" w:hAnsi="宋体"/>
              </w:rPr>
              <w:t xml:space="preserve">    </w:t>
            </w:r>
            <w:r>
              <w:rPr>
                <w:rFonts w:hint="eastAsia" w:ascii="宋体" w:hAnsi="宋体"/>
              </w:rPr>
              <w:t>（</w:t>
            </w:r>
            <w:r>
              <w:rPr>
                <w:rFonts w:ascii="宋体" w:hAnsi="宋体"/>
              </w:rPr>
              <w:t>1</w:t>
            </w:r>
            <w:r>
              <w:rPr>
                <w:rFonts w:hint="eastAsia" w:ascii="宋体" w:hAnsi="宋体"/>
              </w:rPr>
              <w:t>）按规定内容、时限、范围等各项要求进行公开的，得</w:t>
            </w:r>
            <w:r>
              <w:rPr>
                <w:rFonts w:ascii="宋体" w:hAnsi="宋体"/>
              </w:rPr>
              <w:t>1.5</w:t>
            </w:r>
            <w:r>
              <w:rPr>
                <w:rFonts w:hint="eastAsia" w:ascii="宋体" w:hAnsi="宋体"/>
              </w:rPr>
              <w:t>分。</w:t>
            </w:r>
            <w:r>
              <w:rPr>
                <w:rFonts w:ascii="宋体" w:hAnsi="宋体"/>
              </w:rPr>
              <w:br w:type="textWrapping"/>
            </w:r>
            <w:r>
              <w:rPr>
                <w:rFonts w:ascii="宋体" w:hAnsi="宋体"/>
              </w:rPr>
              <w:t xml:space="preserve">    </w:t>
            </w:r>
            <w:r>
              <w:rPr>
                <w:rFonts w:hint="eastAsia" w:ascii="宋体" w:hAnsi="宋体"/>
              </w:rPr>
              <w:t>（</w:t>
            </w:r>
            <w:r>
              <w:rPr>
                <w:rFonts w:ascii="宋体" w:hAnsi="宋体"/>
              </w:rPr>
              <w:t>2</w:t>
            </w:r>
            <w:r>
              <w:rPr>
                <w:rFonts w:hint="eastAsia" w:ascii="宋体" w:hAnsi="宋体"/>
              </w:rPr>
              <w:t>）进行了公开，存在不符合时限、内容、范围等要求的，得</w:t>
            </w:r>
            <w:r>
              <w:rPr>
                <w:rFonts w:ascii="宋体" w:hAnsi="宋体"/>
              </w:rPr>
              <w:t>1</w:t>
            </w:r>
            <w:r>
              <w:rPr>
                <w:rFonts w:hint="eastAsia" w:ascii="宋体" w:hAnsi="宋体"/>
              </w:rPr>
              <w:t>分。</w:t>
            </w:r>
            <w:r>
              <w:rPr>
                <w:rFonts w:ascii="宋体" w:hAnsi="宋体"/>
              </w:rPr>
              <w:br w:type="textWrapping"/>
            </w:r>
            <w:r>
              <w:rPr>
                <w:rFonts w:ascii="宋体" w:hAnsi="宋体"/>
              </w:rPr>
              <w:t xml:space="preserve">    </w:t>
            </w:r>
            <w:r>
              <w:rPr>
                <w:rFonts w:hint="eastAsia" w:ascii="宋体" w:hAnsi="宋体"/>
              </w:rPr>
              <w:t>（</w:t>
            </w:r>
            <w:r>
              <w:rPr>
                <w:rFonts w:ascii="宋体" w:hAnsi="宋体"/>
              </w:rPr>
              <w:t>3</w:t>
            </w:r>
            <w:r>
              <w:rPr>
                <w:rFonts w:hint="eastAsia" w:ascii="宋体" w:hAnsi="宋体"/>
              </w:rPr>
              <w:t>）没有进行公开的，得</w:t>
            </w:r>
            <w:r>
              <w:rPr>
                <w:rFonts w:ascii="宋体" w:hAnsi="宋体"/>
              </w:rPr>
              <w:t>0</w:t>
            </w:r>
            <w:r>
              <w:rPr>
                <w:rFonts w:hint="eastAsia" w:ascii="宋体" w:hAnsi="宋体"/>
              </w:rPr>
              <w:t>分。</w:t>
            </w:r>
            <w:r>
              <w:rPr>
                <w:rFonts w:ascii="宋体" w:hAnsi="宋体"/>
              </w:rPr>
              <w:br w:type="textWrapping"/>
            </w:r>
            <w:r>
              <w:rPr>
                <w:rFonts w:ascii="宋体" w:hAnsi="宋体"/>
              </w:rPr>
              <w:t xml:space="preserve">    2.</w:t>
            </w:r>
            <w:r>
              <w:rPr>
                <w:rFonts w:hint="eastAsia" w:ascii="宋体" w:hAnsi="宋体"/>
              </w:rPr>
              <w:t>部门决算公开（</w:t>
            </w:r>
            <w:r>
              <w:rPr>
                <w:rFonts w:ascii="宋体" w:hAnsi="宋体"/>
              </w:rPr>
              <w:t>1.5</w:t>
            </w:r>
            <w:r>
              <w:rPr>
                <w:rFonts w:hint="eastAsia" w:ascii="宋体" w:hAnsi="宋体"/>
              </w:rPr>
              <w:t>分），按以下标准分档计分：</w:t>
            </w:r>
            <w:r>
              <w:rPr>
                <w:rFonts w:ascii="宋体" w:hAnsi="宋体"/>
              </w:rPr>
              <w:br w:type="textWrapping"/>
            </w:r>
            <w:r>
              <w:rPr>
                <w:rFonts w:ascii="宋体" w:hAnsi="宋体"/>
              </w:rPr>
              <w:t xml:space="preserve">    </w:t>
            </w:r>
            <w:r>
              <w:rPr>
                <w:rFonts w:hint="eastAsia" w:ascii="宋体" w:hAnsi="宋体"/>
              </w:rPr>
              <w:t>（</w:t>
            </w:r>
            <w:r>
              <w:rPr>
                <w:rFonts w:ascii="宋体" w:hAnsi="宋体"/>
              </w:rPr>
              <w:t>1</w:t>
            </w:r>
            <w:r>
              <w:rPr>
                <w:rFonts w:hint="eastAsia" w:ascii="宋体" w:hAnsi="宋体"/>
              </w:rPr>
              <w:t>）按规定内容、时限、范围等各项要求进行公开的，得</w:t>
            </w:r>
            <w:r>
              <w:rPr>
                <w:rFonts w:ascii="宋体" w:hAnsi="宋体"/>
              </w:rPr>
              <w:t>1.5</w:t>
            </w:r>
            <w:r>
              <w:rPr>
                <w:rFonts w:hint="eastAsia" w:ascii="宋体" w:hAnsi="宋体"/>
              </w:rPr>
              <w:t>分。</w:t>
            </w:r>
            <w:r>
              <w:rPr>
                <w:rFonts w:ascii="宋体" w:hAnsi="宋体"/>
              </w:rPr>
              <w:br w:type="textWrapping"/>
            </w:r>
            <w:r>
              <w:rPr>
                <w:rFonts w:ascii="宋体" w:hAnsi="宋体"/>
              </w:rPr>
              <w:t xml:space="preserve">    </w:t>
            </w:r>
            <w:r>
              <w:rPr>
                <w:rFonts w:hint="eastAsia" w:ascii="宋体" w:hAnsi="宋体"/>
              </w:rPr>
              <w:t>（</w:t>
            </w:r>
            <w:r>
              <w:rPr>
                <w:rFonts w:ascii="宋体" w:hAnsi="宋体"/>
              </w:rPr>
              <w:t>2</w:t>
            </w:r>
            <w:r>
              <w:rPr>
                <w:rFonts w:hint="eastAsia" w:ascii="宋体" w:hAnsi="宋体"/>
              </w:rPr>
              <w:t>）进行了公开，存在不符合时限、内容、范围等要求的，得</w:t>
            </w:r>
            <w:r>
              <w:rPr>
                <w:rFonts w:ascii="宋体" w:hAnsi="宋体"/>
              </w:rPr>
              <w:t>1</w:t>
            </w:r>
            <w:r>
              <w:rPr>
                <w:rFonts w:hint="eastAsia" w:ascii="宋体" w:hAnsi="宋体"/>
              </w:rPr>
              <w:t>分。</w:t>
            </w:r>
            <w:r>
              <w:rPr>
                <w:rFonts w:ascii="宋体" w:hAnsi="宋体"/>
              </w:rPr>
              <w:br w:type="textWrapping"/>
            </w:r>
            <w:r>
              <w:rPr>
                <w:rFonts w:ascii="宋体" w:hAnsi="宋体"/>
              </w:rPr>
              <w:t xml:space="preserve">    </w:t>
            </w:r>
            <w:r>
              <w:rPr>
                <w:rFonts w:hint="eastAsia" w:ascii="宋体" w:hAnsi="宋体"/>
              </w:rPr>
              <w:t>（</w:t>
            </w:r>
            <w:r>
              <w:rPr>
                <w:rFonts w:ascii="宋体" w:hAnsi="宋体"/>
              </w:rPr>
              <w:t>3</w:t>
            </w:r>
            <w:r>
              <w:rPr>
                <w:rFonts w:hint="eastAsia" w:ascii="宋体" w:hAnsi="宋体"/>
              </w:rPr>
              <w:t>）没有进行公开的，得</w:t>
            </w:r>
            <w:r>
              <w:rPr>
                <w:rFonts w:ascii="宋体" w:hAnsi="宋体"/>
              </w:rPr>
              <w:t>0</w:t>
            </w:r>
            <w:r>
              <w:rPr>
                <w:rFonts w:hint="eastAsia" w:ascii="宋体" w:hAnsi="宋体"/>
              </w:rPr>
              <w:t>分。</w:t>
            </w:r>
          </w:p>
          <w:p w14:paraId="63F84E9A">
            <w:pPr>
              <w:rPr>
                <w:rFonts w:ascii="宋体" w:hAnsi="宋体"/>
              </w:rPr>
            </w:pPr>
            <w:r>
              <w:rPr>
                <w:rFonts w:ascii="宋体" w:hAnsi="宋体"/>
              </w:rPr>
              <w:t xml:space="preserve">    3.</w:t>
            </w:r>
            <w:r>
              <w:rPr>
                <w:rFonts w:hint="eastAsia" w:ascii="宋体" w:hAnsi="宋体"/>
              </w:rPr>
              <w:t>涉密部门（单位）按规定不需要公开相关预决算信息的直接得分。</w:t>
            </w:r>
          </w:p>
        </w:tc>
        <w:tc>
          <w:tcPr>
            <w:tcW w:w="807" w:type="dxa"/>
            <w:tcBorders>
              <w:top w:val="nil"/>
              <w:left w:val="nil"/>
              <w:bottom w:val="single" w:color="auto" w:sz="4" w:space="0"/>
              <w:right w:val="single" w:color="auto" w:sz="4" w:space="0"/>
            </w:tcBorders>
            <w:noWrap w:val="0"/>
            <w:vAlign w:val="center"/>
          </w:tcPr>
          <w:p w14:paraId="1D574014">
            <w:pPr>
              <w:widowControl/>
              <w:spacing w:line="320" w:lineRule="exact"/>
              <w:jc w:val="left"/>
              <w:rPr>
                <w:rFonts w:hint="eastAsia" w:ascii="宋体" w:hAnsi="宋体" w:eastAsia="宋体" w:cs="宋体"/>
                <w:kern w:val="0"/>
                <w:lang w:val="en-US" w:eastAsia="zh-CN"/>
              </w:rPr>
            </w:pPr>
            <w:r>
              <w:rPr>
                <w:rFonts w:hint="eastAsia" w:ascii="宋体" w:hAnsi="宋体" w:cs="宋体"/>
                <w:kern w:val="0"/>
                <w:lang w:val="en-US" w:eastAsia="zh-CN"/>
              </w:rPr>
              <w:t>3</w:t>
            </w:r>
          </w:p>
        </w:tc>
        <w:tc>
          <w:tcPr>
            <w:tcW w:w="2312" w:type="dxa"/>
            <w:tcBorders>
              <w:top w:val="nil"/>
              <w:left w:val="nil"/>
              <w:bottom w:val="single" w:color="auto" w:sz="4" w:space="0"/>
              <w:right w:val="single" w:color="auto" w:sz="4" w:space="0"/>
            </w:tcBorders>
            <w:noWrap w:val="0"/>
            <w:vAlign w:val="top"/>
          </w:tcPr>
          <w:p w14:paraId="079F1F4E">
            <w:pPr>
              <w:widowControl/>
              <w:spacing w:line="320" w:lineRule="exact"/>
              <w:ind w:firstLine="405"/>
              <w:rPr>
                <w:rFonts w:ascii="宋体" w:hAnsi="宋体" w:cs="宋体"/>
                <w:kern w:val="0"/>
              </w:rPr>
            </w:pPr>
          </w:p>
        </w:tc>
      </w:tr>
      <w:tr w14:paraId="29E622AF">
        <w:tblPrEx>
          <w:tblCellMar>
            <w:top w:w="0" w:type="dxa"/>
            <w:left w:w="108" w:type="dxa"/>
            <w:bottom w:w="0" w:type="dxa"/>
            <w:right w:w="108" w:type="dxa"/>
          </w:tblCellMar>
        </w:tblPrEx>
        <w:trPr>
          <w:trHeight w:val="1491" w:hRule="atLeast"/>
        </w:trPr>
        <w:tc>
          <w:tcPr>
            <w:tcW w:w="577" w:type="dxa"/>
            <w:vMerge w:val="continue"/>
            <w:tcBorders>
              <w:top w:val="nil"/>
              <w:left w:val="single" w:color="auto" w:sz="4" w:space="0"/>
              <w:bottom w:val="single" w:color="auto" w:sz="4" w:space="0"/>
              <w:right w:val="single" w:color="auto" w:sz="4" w:space="0"/>
            </w:tcBorders>
            <w:noWrap w:val="0"/>
            <w:vAlign w:val="center"/>
          </w:tcPr>
          <w:p w14:paraId="575DA76C">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2E3D0461">
            <w:pPr>
              <w:widowControl/>
              <w:spacing w:line="320" w:lineRule="exact"/>
              <w:jc w:val="left"/>
              <w:rPr>
                <w:rFonts w:ascii="宋体"/>
                <w:kern w:val="0"/>
              </w:rPr>
            </w:pPr>
          </w:p>
        </w:tc>
        <w:tc>
          <w:tcPr>
            <w:tcW w:w="567" w:type="dxa"/>
            <w:vMerge w:val="restart"/>
            <w:tcBorders>
              <w:top w:val="nil"/>
              <w:left w:val="single" w:color="auto" w:sz="4" w:space="0"/>
              <w:bottom w:val="single" w:color="auto" w:sz="4" w:space="0"/>
              <w:right w:val="single" w:color="auto" w:sz="4" w:space="0"/>
            </w:tcBorders>
            <w:noWrap w:val="0"/>
            <w:vAlign w:val="center"/>
          </w:tcPr>
          <w:p w14:paraId="3817C0CB">
            <w:pPr>
              <w:widowControl/>
              <w:spacing w:line="320" w:lineRule="exact"/>
              <w:jc w:val="left"/>
              <w:rPr>
                <w:rFonts w:ascii="宋体"/>
                <w:kern w:val="0"/>
              </w:rPr>
            </w:pPr>
            <w:r>
              <w:rPr>
                <w:rFonts w:hint="eastAsia" w:ascii="宋体" w:hAnsi="宋体" w:cs="宋体"/>
                <w:kern w:val="0"/>
              </w:rPr>
              <w:t>项目管理</w:t>
            </w:r>
          </w:p>
        </w:tc>
        <w:tc>
          <w:tcPr>
            <w:tcW w:w="567" w:type="dxa"/>
            <w:vMerge w:val="restart"/>
            <w:tcBorders>
              <w:top w:val="nil"/>
              <w:left w:val="single" w:color="auto" w:sz="4" w:space="0"/>
              <w:bottom w:val="single" w:color="auto" w:sz="4" w:space="0"/>
              <w:right w:val="single" w:color="auto" w:sz="4" w:space="0"/>
            </w:tcBorders>
            <w:noWrap w:val="0"/>
            <w:vAlign w:val="center"/>
          </w:tcPr>
          <w:p w14:paraId="06418B95">
            <w:pPr>
              <w:widowControl/>
              <w:spacing w:line="320" w:lineRule="exact"/>
              <w:jc w:val="center"/>
              <w:rPr>
                <w:rFonts w:ascii="宋体"/>
                <w:kern w:val="0"/>
              </w:rPr>
            </w:pPr>
            <w:r>
              <w:rPr>
                <w:rFonts w:ascii="宋体" w:hAnsi="宋体" w:cs="宋体"/>
                <w:kern w:val="0"/>
              </w:rPr>
              <w:t>4</w:t>
            </w:r>
          </w:p>
        </w:tc>
        <w:tc>
          <w:tcPr>
            <w:tcW w:w="851" w:type="dxa"/>
            <w:tcBorders>
              <w:top w:val="nil"/>
              <w:left w:val="nil"/>
              <w:bottom w:val="single" w:color="auto" w:sz="4" w:space="0"/>
              <w:right w:val="single" w:color="auto" w:sz="4" w:space="0"/>
            </w:tcBorders>
            <w:noWrap w:val="0"/>
            <w:vAlign w:val="center"/>
          </w:tcPr>
          <w:p w14:paraId="3F609E43">
            <w:pPr>
              <w:widowControl/>
              <w:spacing w:line="320" w:lineRule="exact"/>
              <w:jc w:val="left"/>
              <w:rPr>
                <w:rFonts w:ascii="宋体"/>
                <w:kern w:val="0"/>
              </w:rPr>
            </w:pPr>
            <w:r>
              <w:rPr>
                <w:rFonts w:hint="eastAsia" w:ascii="宋体" w:hAnsi="宋体" w:cs="宋体"/>
                <w:kern w:val="0"/>
              </w:rPr>
              <w:t>项目实施程序</w:t>
            </w:r>
          </w:p>
        </w:tc>
        <w:tc>
          <w:tcPr>
            <w:tcW w:w="567" w:type="dxa"/>
            <w:tcBorders>
              <w:top w:val="nil"/>
              <w:left w:val="nil"/>
              <w:bottom w:val="single" w:color="auto" w:sz="4" w:space="0"/>
              <w:right w:val="single" w:color="auto" w:sz="4" w:space="0"/>
            </w:tcBorders>
            <w:noWrap w:val="0"/>
            <w:vAlign w:val="center"/>
          </w:tcPr>
          <w:p w14:paraId="4D700A73">
            <w:pPr>
              <w:widowControl/>
              <w:spacing w:line="320" w:lineRule="exact"/>
              <w:jc w:val="center"/>
              <w:rPr>
                <w:rFonts w:ascii="宋体"/>
                <w:kern w:val="0"/>
              </w:rPr>
            </w:pPr>
            <w:r>
              <w:rPr>
                <w:rFonts w:ascii="宋体" w:hAnsi="宋体" w:cs="宋体"/>
                <w:kern w:val="0"/>
              </w:rPr>
              <w:t>2</w:t>
            </w:r>
          </w:p>
        </w:tc>
        <w:tc>
          <w:tcPr>
            <w:tcW w:w="2536" w:type="dxa"/>
            <w:tcBorders>
              <w:top w:val="nil"/>
              <w:left w:val="nil"/>
              <w:bottom w:val="single" w:color="auto" w:sz="4" w:space="0"/>
              <w:right w:val="single" w:color="auto" w:sz="4" w:space="0"/>
            </w:tcBorders>
            <w:noWrap w:val="0"/>
            <w:vAlign w:val="center"/>
          </w:tcPr>
          <w:p w14:paraId="475B9C3F">
            <w:pPr>
              <w:widowControl/>
              <w:spacing w:line="320" w:lineRule="exact"/>
              <w:rPr>
                <w:rFonts w:ascii="宋体"/>
                <w:kern w:val="0"/>
              </w:rPr>
            </w:pPr>
            <w:r>
              <w:rPr>
                <w:rFonts w:hint="eastAsia" w:ascii="宋体" w:hAnsi="宋体" w:cs="宋体"/>
                <w:kern w:val="0"/>
              </w:rPr>
              <w:t>部门（单位）所有项目支出实施过程是否规范</w:t>
            </w:r>
            <w:r>
              <w:rPr>
                <w:rFonts w:ascii="宋体" w:cs="宋体"/>
                <w:kern w:val="0"/>
              </w:rPr>
              <w:t>,</w:t>
            </w:r>
            <w:r>
              <w:rPr>
                <w:rFonts w:hint="eastAsia" w:ascii="宋体" w:hAnsi="宋体" w:cs="宋体"/>
                <w:kern w:val="0"/>
              </w:rPr>
              <w:t>包括是否符合申报条件；申报、批复程序是否符合相关管理办法；项目招投标、调整、完成验收等是否履行相应手续等。</w:t>
            </w:r>
          </w:p>
        </w:tc>
        <w:tc>
          <w:tcPr>
            <w:tcW w:w="5812" w:type="dxa"/>
            <w:tcBorders>
              <w:top w:val="nil"/>
              <w:left w:val="nil"/>
              <w:bottom w:val="single" w:color="auto" w:sz="4" w:space="0"/>
              <w:right w:val="single" w:color="auto" w:sz="4" w:space="0"/>
            </w:tcBorders>
            <w:noWrap w:val="0"/>
            <w:vAlign w:val="center"/>
          </w:tcPr>
          <w:p w14:paraId="77E23977">
            <w:pPr>
              <w:widowControl/>
              <w:spacing w:line="320" w:lineRule="exact"/>
              <w:rPr>
                <w:rFonts w:ascii="宋体"/>
                <w:kern w:val="0"/>
              </w:rPr>
            </w:pPr>
            <w:r>
              <w:rPr>
                <w:rFonts w:ascii="宋体" w:hAnsi="宋体" w:cs="宋体"/>
                <w:kern w:val="0"/>
              </w:rPr>
              <w:t xml:space="preserve">    1.</w:t>
            </w:r>
            <w:r>
              <w:rPr>
                <w:rFonts w:hint="eastAsia" w:ascii="宋体" w:hAnsi="宋体" w:cs="宋体"/>
                <w:kern w:val="0"/>
              </w:rPr>
              <w:t>项目的设立、调整按规定履行报批程序（</w:t>
            </w:r>
            <w:r>
              <w:rPr>
                <w:rFonts w:ascii="宋体" w:hAnsi="宋体" w:cs="宋体"/>
                <w:kern w:val="0"/>
              </w:rPr>
              <w:t>1</w:t>
            </w:r>
            <w:r>
              <w:rPr>
                <w:rFonts w:hint="eastAsia" w:ascii="宋体" w:hAnsi="宋体" w:cs="宋体"/>
                <w:kern w:val="0"/>
              </w:rPr>
              <w:t>分）；</w:t>
            </w:r>
            <w:r>
              <w:rPr>
                <w:rFonts w:ascii="宋体"/>
                <w:kern w:val="0"/>
              </w:rPr>
              <w:br w:type="textWrapping"/>
            </w:r>
            <w:r>
              <w:rPr>
                <w:rFonts w:ascii="宋体" w:hAnsi="宋体" w:cs="宋体"/>
                <w:kern w:val="0"/>
              </w:rPr>
              <w:t xml:space="preserve">    2.</w:t>
            </w:r>
            <w:r>
              <w:rPr>
                <w:rFonts w:hint="eastAsia" w:ascii="宋体" w:hAnsi="宋体" w:cs="宋体"/>
                <w:kern w:val="0"/>
              </w:rPr>
              <w:t>项目招投标、建设、验收以及方案实施均严格执行相关制度规定（</w:t>
            </w:r>
            <w:r>
              <w:rPr>
                <w:rFonts w:ascii="宋体" w:hAnsi="宋体" w:cs="宋体"/>
                <w:kern w:val="0"/>
              </w:rPr>
              <w:t>1</w:t>
            </w:r>
            <w:r>
              <w:rPr>
                <w:rFonts w:hint="eastAsia" w:ascii="宋体" w:hAnsi="宋体" w:cs="宋体"/>
                <w:kern w:val="0"/>
              </w:rPr>
              <w:t>分）。</w:t>
            </w:r>
          </w:p>
        </w:tc>
        <w:tc>
          <w:tcPr>
            <w:tcW w:w="807" w:type="dxa"/>
            <w:tcBorders>
              <w:top w:val="nil"/>
              <w:left w:val="nil"/>
              <w:bottom w:val="single" w:color="auto" w:sz="4" w:space="0"/>
              <w:right w:val="single" w:color="auto" w:sz="4" w:space="0"/>
            </w:tcBorders>
            <w:noWrap w:val="0"/>
            <w:vAlign w:val="center"/>
          </w:tcPr>
          <w:p w14:paraId="7B938FB7">
            <w:pPr>
              <w:widowControl/>
              <w:spacing w:line="320" w:lineRule="exact"/>
              <w:jc w:val="left"/>
              <w:rPr>
                <w:rFonts w:hint="default" w:ascii="宋体" w:hAnsi="宋体" w:eastAsia="宋体" w:cs="宋体"/>
                <w:kern w:val="0"/>
                <w:lang w:val="en-US" w:eastAsia="zh-CN"/>
              </w:rPr>
            </w:pPr>
            <w:r>
              <w:rPr>
                <w:rFonts w:hint="eastAsia" w:ascii="宋体" w:hAnsi="宋体" w:cs="宋体"/>
                <w:kern w:val="0"/>
                <w:lang w:val="en-US" w:eastAsia="zh-CN"/>
              </w:rPr>
              <w:t>2</w:t>
            </w:r>
          </w:p>
        </w:tc>
        <w:tc>
          <w:tcPr>
            <w:tcW w:w="2312" w:type="dxa"/>
            <w:tcBorders>
              <w:top w:val="nil"/>
              <w:left w:val="nil"/>
              <w:bottom w:val="single" w:color="auto" w:sz="4" w:space="0"/>
              <w:right w:val="single" w:color="auto" w:sz="4" w:space="0"/>
            </w:tcBorders>
            <w:noWrap w:val="0"/>
            <w:vAlign w:val="top"/>
          </w:tcPr>
          <w:p w14:paraId="41936118">
            <w:pPr>
              <w:widowControl/>
              <w:spacing w:line="320" w:lineRule="exact"/>
              <w:rPr>
                <w:rFonts w:ascii="宋体" w:hAnsi="宋体" w:cs="宋体"/>
                <w:kern w:val="0"/>
              </w:rPr>
            </w:pPr>
          </w:p>
        </w:tc>
      </w:tr>
      <w:tr w14:paraId="4268A594">
        <w:tblPrEx>
          <w:tblCellMar>
            <w:top w:w="0" w:type="dxa"/>
            <w:left w:w="108" w:type="dxa"/>
            <w:bottom w:w="0" w:type="dxa"/>
            <w:right w:w="108" w:type="dxa"/>
          </w:tblCellMar>
        </w:tblPrEx>
        <w:trPr>
          <w:trHeight w:val="1527" w:hRule="atLeast"/>
        </w:trPr>
        <w:tc>
          <w:tcPr>
            <w:tcW w:w="577" w:type="dxa"/>
            <w:vMerge w:val="continue"/>
            <w:tcBorders>
              <w:top w:val="nil"/>
              <w:left w:val="single" w:color="auto" w:sz="4" w:space="0"/>
              <w:bottom w:val="single" w:color="auto" w:sz="4" w:space="0"/>
              <w:right w:val="single" w:color="auto" w:sz="4" w:space="0"/>
            </w:tcBorders>
            <w:noWrap w:val="0"/>
            <w:vAlign w:val="center"/>
          </w:tcPr>
          <w:p w14:paraId="67599B4B">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5A978EC9">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26CBEF89">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1EE3F5B0">
            <w:pPr>
              <w:widowControl/>
              <w:spacing w:line="320" w:lineRule="exact"/>
              <w:jc w:val="center"/>
              <w:rPr>
                <w:rFonts w:ascii="宋体"/>
                <w:kern w:val="0"/>
              </w:rPr>
            </w:pPr>
          </w:p>
        </w:tc>
        <w:tc>
          <w:tcPr>
            <w:tcW w:w="851" w:type="dxa"/>
            <w:tcBorders>
              <w:top w:val="nil"/>
              <w:left w:val="nil"/>
              <w:bottom w:val="single" w:color="auto" w:sz="4" w:space="0"/>
              <w:right w:val="single" w:color="auto" w:sz="4" w:space="0"/>
            </w:tcBorders>
            <w:noWrap w:val="0"/>
            <w:vAlign w:val="center"/>
          </w:tcPr>
          <w:p w14:paraId="396B0528">
            <w:pPr>
              <w:widowControl/>
              <w:spacing w:line="320" w:lineRule="exact"/>
              <w:jc w:val="left"/>
              <w:rPr>
                <w:rFonts w:ascii="宋体"/>
                <w:kern w:val="0"/>
              </w:rPr>
            </w:pPr>
            <w:r>
              <w:rPr>
                <w:rFonts w:hint="eastAsia" w:ascii="宋体" w:hAnsi="宋体" w:cs="宋体"/>
                <w:kern w:val="0"/>
              </w:rPr>
              <w:t>项目</w:t>
            </w:r>
          </w:p>
          <w:p w14:paraId="29395C4C">
            <w:pPr>
              <w:widowControl/>
              <w:spacing w:line="320" w:lineRule="exact"/>
              <w:jc w:val="left"/>
              <w:rPr>
                <w:rFonts w:ascii="宋体"/>
                <w:kern w:val="0"/>
              </w:rPr>
            </w:pPr>
            <w:r>
              <w:rPr>
                <w:rFonts w:hint="eastAsia" w:ascii="宋体" w:hAnsi="宋体" w:cs="宋体"/>
                <w:kern w:val="0"/>
              </w:rPr>
              <w:t>监管</w:t>
            </w:r>
          </w:p>
        </w:tc>
        <w:tc>
          <w:tcPr>
            <w:tcW w:w="567" w:type="dxa"/>
            <w:tcBorders>
              <w:top w:val="nil"/>
              <w:left w:val="nil"/>
              <w:bottom w:val="single" w:color="auto" w:sz="4" w:space="0"/>
              <w:right w:val="single" w:color="auto" w:sz="4" w:space="0"/>
            </w:tcBorders>
            <w:noWrap w:val="0"/>
            <w:vAlign w:val="center"/>
          </w:tcPr>
          <w:p w14:paraId="2252C7B7">
            <w:pPr>
              <w:widowControl/>
              <w:spacing w:line="320" w:lineRule="exact"/>
              <w:jc w:val="center"/>
              <w:rPr>
                <w:rFonts w:ascii="宋体"/>
                <w:kern w:val="0"/>
              </w:rPr>
            </w:pPr>
            <w:r>
              <w:rPr>
                <w:rFonts w:ascii="宋体" w:hAnsi="宋体" w:cs="宋体"/>
                <w:kern w:val="0"/>
              </w:rPr>
              <w:t>2</w:t>
            </w:r>
          </w:p>
        </w:tc>
        <w:tc>
          <w:tcPr>
            <w:tcW w:w="2536" w:type="dxa"/>
            <w:tcBorders>
              <w:top w:val="nil"/>
              <w:left w:val="nil"/>
              <w:bottom w:val="single" w:color="auto" w:sz="4" w:space="0"/>
              <w:right w:val="single" w:color="auto" w:sz="4" w:space="0"/>
            </w:tcBorders>
            <w:noWrap w:val="0"/>
            <w:vAlign w:val="center"/>
          </w:tcPr>
          <w:p w14:paraId="2C26082D">
            <w:pPr>
              <w:widowControl/>
              <w:spacing w:line="320" w:lineRule="exact"/>
              <w:rPr>
                <w:rFonts w:ascii="宋体"/>
                <w:kern w:val="0"/>
              </w:rPr>
            </w:pPr>
            <w:r>
              <w:rPr>
                <w:rFonts w:hint="eastAsia" w:ascii="宋体" w:hAnsi="宋体" w:cs="宋体"/>
                <w:kern w:val="0"/>
              </w:rPr>
              <w:t>部门（单位）对所实施项目（包括部门主管的专项资金和专项经费分配给区级各部门实施的项目）的检查、监控、督促整改等管理情况。</w:t>
            </w:r>
          </w:p>
        </w:tc>
        <w:tc>
          <w:tcPr>
            <w:tcW w:w="5812" w:type="dxa"/>
            <w:tcBorders>
              <w:top w:val="nil"/>
              <w:left w:val="nil"/>
              <w:bottom w:val="single" w:color="auto" w:sz="4" w:space="0"/>
              <w:right w:val="single" w:color="auto" w:sz="4" w:space="0"/>
            </w:tcBorders>
            <w:noWrap w:val="0"/>
            <w:vAlign w:val="center"/>
          </w:tcPr>
          <w:p w14:paraId="5C83793A">
            <w:pPr>
              <w:widowControl/>
              <w:spacing w:line="320" w:lineRule="exact"/>
              <w:ind w:firstLine="420"/>
              <w:rPr>
                <w:rFonts w:ascii="宋体"/>
                <w:kern w:val="0"/>
              </w:rPr>
            </w:pPr>
            <w:r>
              <w:rPr>
                <w:rFonts w:ascii="宋体" w:hAnsi="宋体" w:cs="宋体"/>
                <w:kern w:val="0"/>
              </w:rPr>
              <w:t>1.</w:t>
            </w:r>
            <w:r>
              <w:rPr>
                <w:rFonts w:hint="eastAsia" w:ascii="宋体" w:hAnsi="宋体" w:cs="宋体"/>
                <w:kern w:val="0"/>
              </w:rPr>
              <w:t>资金使用单位、基层资金管理单位建立有效资金管理和绩效运行监控机制，且执行情况良好（</w:t>
            </w:r>
            <w:r>
              <w:rPr>
                <w:rFonts w:ascii="宋体" w:hAnsi="宋体" w:cs="宋体"/>
                <w:kern w:val="0"/>
              </w:rPr>
              <w:t>1</w:t>
            </w:r>
            <w:r>
              <w:rPr>
                <w:rFonts w:hint="eastAsia" w:ascii="宋体" w:hAnsi="宋体" w:cs="宋体"/>
                <w:kern w:val="0"/>
              </w:rPr>
              <w:t>分）；</w:t>
            </w:r>
            <w:r>
              <w:rPr>
                <w:rFonts w:ascii="宋体"/>
                <w:kern w:val="0"/>
              </w:rPr>
              <w:br w:type="textWrapping"/>
            </w:r>
            <w:r>
              <w:rPr>
                <w:rFonts w:ascii="宋体" w:hAnsi="宋体" w:cs="宋体"/>
                <w:kern w:val="0"/>
              </w:rPr>
              <w:t xml:space="preserve">    2.</w:t>
            </w:r>
            <w:r>
              <w:rPr>
                <w:rFonts w:hint="eastAsia" w:ascii="宋体" w:hAnsi="宋体" w:cs="宋体"/>
                <w:kern w:val="0"/>
              </w:rPr>
              <w:t>各主管部门按规定对主管的财政资金（含专项资金和专项经费）开展有效的检查、监控、督促整改（</w:t>
            </w:r>
            <w:r>
              <w:rPr>
                <w:rFonts w:ascii="宋体" w:hAnsi="宋体" w:cs="宋体"/>
                <w:kern w:val="0"/>
              </w:rPr>
              <w:t>1</w:t>
            </w:r>
            <w:r>
              <w:rPr>
                <w:rFonts w:hint="eastAsia" w:ascii="宋体" w:hAnsi="宋体" w:cs="宋体"/>
                <w:kern w:val="0"/>
              </w:rPr>
              <w:t>分），如无法提供开展检查监督相关证明材料，或被评价年度部门主管的专项资金绩效评价结果为差的，得</w:t>
            </w:r>
            <w:r>
              <w:rPr>
                <w:rFonts w:ascii="宋体" w:cs="宋体"/>
                <w:kern w:val="0"/>
              </w:rPr>
              <w:t>0</w:t>
            </w:r>
            <w:r>
              <w:rPr>
                <w:rFonts w:hint="eastAsia" w:ascii="宋体" w:hAnsi="宋体" w:cs="宋体"/>
                <w:kern w:val="0"/>
              </w:rPr>
              <w:t>分。</w:t>
            </w:r>
          </w:p>
        </w:tc>
        <w:tc>
          <w:tcPr>
            <w:tcW w:w="807" w:type="dxa"/>
            <w:tcBorders>
              <w:top w:val="nil"/>
              <w:left w:val="nil"/>
              <w:bottom w:val="single" w:color="auto" w:sz="4" w:space="0"/>
              <w:right w:val="single" w:color="auto" w:sz="4" w:space="0"/>
            </w:tcBorders>
            <w:noWrap w:val="0"/>
            <w:vAlign w:val="center"/>
          </w:tcPr>
          <w:p w14:paraId="18DCEF9D">
            <w:pPr>
              <w:widowControl/>
              <w:spacing w:line="320" w:lineRule="exact"/>
              <w:jc w:val="left"/>
              <w:rPr>
                <w:rFonts w:hint="eastAsia" w:ascii="宋体" w:hAnsi="宋体" w:eastAsia="宋体" w:cs="宋体"/>
                <w:kern w:val="0"/>
                <w:lang w:val="en-US" w:eastAsia="zh-CN"/>
              </w:rPr>
            </w:pPr>
            <w:r>
              <w:rPr>
                <w:rFonts w:hint="eastAsia" w:ascii="宋体" w:hAnsi="宋体" w:cs="宋体"/>
                <w:kern w:val="0"/>
                <w:lang w:val="en-US" w:eastAsia="zh-CN"/>
              </w:rPr>
              <w:t>2</w:t>
            </w:r>
          </w:p>
        </w:tc>
        <w:tc>
          <w:tcPr>
            <w:tcW w:w="2312" w:type="dxa"/>
            <w:tcBorders>
              <w:top w:val="nil"/>
              <w:left w:val="nil"/>
              <w:bottom w:val="single" w:color="auto" w:sz="4" w:space="0"/>
              <w:right w:val="single" w:color="auto" w:sz="4" w:space="0"/>
            </w:tcBorders>
            <w:noWrap w:val="0"/>
            <w:vAlign w:val="top"/>
          </w:tcPr>
          <w:p w14:paraId="0FD4BB53">
            <w:pPr>
              <w:widowControl/>
              <w:spacing w:line="320" w:lineRule="exact"/>
              <w:ind w:firstLine="420"/>
              <w:rPr>
                <w:rFonts w:ascii="宋体" w:hAnsi="宋体" w:cs="宋体"/>
                <w:kern w:val="0"/>
              </w:rPr>
            </w:pPr>
          </w:p>
        </w:tc>
      </w:tr>
      <w:tr w14:paraId="084B4EEE">
        <w:tblPrEx>
          <w:tblCellMar>
            <w:top w:w="0" w:type="dxa"/>
            <w:left w:w="108" w:type="dxa"/>
            <w:bottom w:w="0" w:type="dxa"/>
            <w:right w:w="108" w:type="dxa"/>
          </w:tblCellMar>
        </w:tblPrEx>
        <w:trPr>
          <w:trHeight w:val="1369" w:hRule="atLeast"/>
        </w:trPr>
        <w:tc>
          <w:tcPr>
            <w:tcW w:w="577" w:type="dxa"/>
            <w:vMerge w:val="continue"/>
            <w:tcBorders>
              <w:top w:val="nil"/>
              <w:left w:val="single" w:color="auto" w:sz="4" w:space="0"/>
              <w:bottom w:val="single" w:color="auto" w:sz="4" w:space="0"/>
              <w:right w:val="single" w:color="auto" w:sz="4" w:space="0"/>
            </w:tcBorders>
            <w:noWrap w:val="0"/>
            <w:vAlign w:val="center"/>
          </w:tcPr>
          <w:p w14:paraId="79EF7AB9">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64D36C7D">
            <w:pPr>
              <w:widowControl/>
              <w:spacing w:line="320" w:lineRule="exact"/>
              <w:jc w:val="left"/>
              <w:rPr>
                <w:rFonts w:ascii="宋体"/>
                <w:kern w:val="0"/>
              </w:rPr>
            </w:pPr>
          </w:p>
        </w:tc>
        <w:tc>
          <w:tcPr>
            <w:tcW w:w="567" w:type="dxa"/>
            <w:vMerge w:val="restart"/>
            <w:tcBorders>
              <w:top w:val="nil"/>
              <w:left w:val="single" w:color="auto" w:sz="4" w:space="0"/>
              <w:bottom w:val="single" w:color="auto" w:sz="4" w:space="0"/>
              <w:right w:val="single" w:color="auto" w:sz="4" w:space="0"/>
            </w:tcBorders>
            <w:noWrap w:val="0"/>
            <w:vAlign w:val="center"/>
          </w:tcPr>
          <w:p w14:paraId="45728994">
            <w:pPr>
              <w:widowControl/>
              <w:spacing w:line="320" w:lineRule="exact"/>
              <w:jc w:val="left"/>
              <w:rPr>
                <w:rFonts w:ascii="宋体"/>
                <w:kern w:val="0"/>
              </w:rPr>
            </w:pPr>
            <w:r>
              <w:rPr>
                <w:rFonts w:hint="eastAsia" w:ascii="宋体" w:hAnsi="宋体" w:cs="宋体"/>
                <w:kern w:val="0"/>
              </w:rPr>
              <w:t>资产管理</w:t>
            </w:r>
          </w:p>
        </w:tc>
        <w:tc>
          <w:tcPr>
            <w:tcW w:w="567" w:type="dxa"/>
            <w:vMerge w:val="restart"/>
            <w:tcBorders>
              <w:top w:val="nil"/>
              <w:left w:val="single" w:color="auto" w:sz="4" w:space="0"/>
              <w:bottom w:val="single" w:color="auto" w:sz="4" w:space="0"/>
              <w:right w:val="single" w:color="auto" w:sz="4" w:space="0"/>
            </w:tcBorders>
            <w:noWrap w:val="0"/>
            <w:vAlign w:val="center"/>
          </w:tcPr>
          <w:p w14:paraId="6175EAC8">
            <w:pPr>
              <w:widowControl/>
              <w:spacing w:line="320" w:lineRule="exact"/>
              <w:jc w:val="center"/>
              <w:rPr>
                <w:rFonts w:ascii="宋体"/>
                <w:kern w:val="0"/>
              </w:rPr>
            </w:pPr>
            <w:r>
              <w:rPr>
                <w:rFonts w:ascii="宋体" w:hAnsi="宋体" w:cs="宋体"/>
                <w:kern w:val="0"/>
              </w:rPr>
              <w:t>3</w:t>
            </w:r>
          </w:p>
        </w:tc>
        <w:tc>
          <w:tcPr>
            <w:tcW w:w="851" w:type="dxa"/>
            <w:tcBorders>
              <w:top w:val="nil"/>
              <w:left w:val="nil"/>
              <w:bottom w:val="single" w:color="auto" w:sz="4" w:space="0"/>
              <w:right w:val="single" w:color="auto" w:sz="4" w:space="0"/>
            </w:tcBorders>
            <w:noWrap w:val="0"/>
            <w:vAlign w:val="center"/>
          </w:tcPr>
          <w:p w14:paraId="76EFD6C7">
            <w:pPr>
              <w:widowControl/>
              <w:spacing w:line="320" w:lineRule="exact"/>
              <w:jc w:val="left"/>
              <w:rPr>
                <w:rFonts w:ascii="宋体"/>
                <w:kern w:val="0"/>
              </w:rPr>
            </w:pPr>
            <w:r>
              <w:rPr>
                <w:rFonts w:hint="eastAsia" w:ascii="宋体" w:hAnsi="宋体" w:cs="宋体"/>
                <w:kern w:val="0"/>
              </w:rPr>
              <w:t>资产管理安全性</w:t>
            </w:r>
          </w:p>
        </w:tc>
        <w:tc>
          <w:tcPr>
            <w:tcW w:w="567" w:type="dxa"/>
            <w:tcBorders>
              <w:top w:val="nil"/>
              <w:left w:val="nil"/>
              <w:bottom w:val="single" w:color="auto" w:sz="4" w:space="0"/>
              <w:right w:val="single" w:color="auto" w:sz="4" w:space="0"/>
            </w:tcBorders>
            <w:noWrap w:val="0"/>
            <w:vAlign w:val="center"/>
          </w:tcPr>
          <w:p w14:paraId="59201475">
            <w:pPr>
              <w:widowControl/>
              <w:spacing w:line="320" w:lineRule="exact"/>
              <w:jc w:val="center"/>
              <w:rPr>
                <w:rFonts w:ascii="宋体"/>
                <w:kern w:val="0"/>
              </w:rPr>
            </w:pPr>
            <w:r>
              <w:rPr>
                <w:rFonts w:ascii="宋体" w:hAnsi="宋体" w:cs="宋体"/>
                <w:kern w:val="0"/>
              </w:rPr>
              <w:t>2</w:t>
            </w:r>
          </w:p>
        </w:tc>
        <w:tc>
          <w:tcPr>
            <w:tcW w:w="2536" w:type="dxa"/>
            <w:tcBorders>
              <w:top w:val="nil"/>
              <w:left w:val="nil"/>
              <w:bottom w:val="single" w:color="auto" w:sz="4" w:space="0"/>
              <w:right w:val="single" w:color="auto" w:sz="4" w:space="0"/>
            </w:tcBorders>
            <w:noWrap w:val="0"/>
            <w:vAlign w:val="center"/>
          </w:tcPr>
          <w:p w14:paraId="78099AE0">
            <w:pPr>
              <w:widowControl/>
              <w:spacing w:line="320" w:lineRule="exact"/>
              <w:rPr>
                <w:rFonts w:ascii="宋体"/>
                <w:kern w:val="0"/>
              </w:rPr>
            </w:pPr>
            <w:r>
              <w:rPr>
                <w:rFonts w:hint="eastAsia" w:ascii="宋体" w:hAnsi="宋体" w:cs="宋体"/>
                <w:kern w:val="0"/>
              </w:rPr>
              <w:t>部门（单位）的资产是否保存完整、使用合规、配置合理、处置规范、收入及时足额上缴，用于反映和考核部门（单位）资产安全运行情况。</w:t>
            </w:r>
          </w:p>
        </w:tc>
        <w:tc>
          <w:tcPr>
            <w:tcW w:w="5812" w:type="dxa"/>
            <w:tcBorders>
              <w:top w:val="nil"/>
              <w:left w:val="nil"/>
              <w:bottom w:val="single" w:color="auto" w:sz="4" w:space="0"/>
              <w:right w:val="single" w:color="auto" w:sz="4" w:space="0"/>
            </w:tcBorders>
            <w:noWrap w:val="0"/>
            <w:vAlign w:val="center"/>
          </w:tcPr>
          <w:p w14:paraId="75034D6C">
            <w:pPr>
              <w:widowControl/>
              <w:spacing w:line="320" w:lineRule="exact"/>
              <w:rPr>
                <w:rFonts w:ascii="宋体"/>
                <w:kern w:val="0"/>
              </w:rPr>
            </w:pPr>
            <w:r>
              <w:rPr>
                <w:rFonts w:ascii="宋体" w:hAnsi="宋体" w:cs="宋体"/>
                <w:kern w:val="0"/>
              </w:rPr>
              <w:t xml:space="preserve">    1.</w:t>
            </w:r>
            <w:r>
              <w:rPr>
                <w:rFonts w:hint="eastAsia" w:ascii="宋体" w:hAnsi="宋体" w:cs="宋体"/>
                <w:kern w:val="0"/>
              </w:rPr>
              <w:t>资产配置合理、保管完整，账实相符（</w:t>
            </w:r>
            <w:r>
              <w:rPr>
                <w:rFonts w:ascii="宋体" w:hAnsi="宋体" w:cs="宋体"/>
                <w:kern w:val="0"/>
              </w:rPr>
              <w:t>1</w:t>
            </w:r>
            <w:r>
              <w:rPr>
                <w:rFonts w:hint="eastAsia" w:ascii="宋体" w:hAnsi="宋体" w:cs="宋体"/>
                <w:kern w:val="0"/>
              </w:rPr>
              <w:t>分）；</w:t>
            </w:r>
            <w:r>
              <w:rPr>
                <w:rFonts w:ascii="宋体"/>
                <w:kern w:val="0"/>
              </w:rPr>
              <w:br w:type="textWrapping"/>
            </w:r>
            <w:r>
              <w:rPr>
                <w:rFonts w:ascii="宋体" w:hAnsi="宋体" w:cs="宋体"/>
                <w:kern w:val="0"/>
              </w:rPr>
              <w:t xml:space="preserve">    2.</w:t>
            </w:r>
            <w:r>
              <w:rPr>
                <w:rFonts w:hint="eastAsia" w:ascii="宋体" w:hAnsi="宋体" w:cs="宋体"/>
                <w:kern w:val="0"/>
              </w:rPr>
              <w:t>资产处置规范，有偿使用及处置收入及时足额上缴（</w:t>
            </w:r>
            <w:r>
              <w:rPr>
                <w:rFonts w:ascii="宋体" w:hAnsi="宋体" w:cs="宋体"/>
                <w:kern w:val="0"/>
              </w:rPr>
              <w:t>1</w:t>
            </w:r>
            <w:r>
              <w:rPr>
                <w:rFonts w:hint="eastAsia" w:ascii="宋体" w:hAnsi="宋体" w:cs="宋体"/>
                <w:kern w:val="0"/>
              </w:rPr>
              <w:t>分）。</w:t>
            </w:r>
          </w:p>
        </w:tc>
        <w:tc>
          <w:tcPr>
            <w:tcW w:w="807" w:type="dxa"/>
            <w:tcBorders>
              <w:top w:val="nil"/>
              <w:left w:val="nil"/>
              <w:bottom w:val="single" w:color="auto" w:sz="4" w:space="0"/>
              <w:right w:val="single" w:color="auto" w:sz="4" w:space="0"/>
            </w:tcBorders>
            <w:noWrap w:val="0"/>
            <w:vAlign w:val="center"/>
          </w:tcPr>
          <w:p w14:paraId="0DA5D3E9">
            <w:pPr>
              <w:widowControl/>
              <w:spacing w:line="320" w:lineRule="exact"/>
              <w:jc w:val="left"/>
              <w:rPr>
                <w:rFonts w:hint="eastAsia" w:ascii="宋体" w:hAnsi="宋体" w:eastAsia="宋体" w:cs="宋体"/>
                <w:kern w:val="0"/>
                <w:lang w:val="en-US" w:eastAsia="zh-CN"/>
              </w:rPr>
            </w:pPr>
            <w:r>
              <w:rPr>
                <w:rFonts w:hint="eastAsia" w:ascii="宋体" w:hAnsi="宋体" w:cs="宋体"/>
                <w:kern w:val="0"/>
                <w:lang w:val="en-US" w:eastAsia="zh-CN"/>
              </w:rPr>
              <w:t>2</w:t>
            </w:r>
          </w:p>
        </w:tc>
        <w:tc>
          <w:tcPr>
            <w:tcW w:w="2312" w:type="dxa"/>
            <w:tcBorders>
              <w:top w:val="nil"/>
              <w:left w:val="nil"/>
              <w:bottom w:val="single" w:color="auto" w:sz="4" w:space="0"/>
              <w:right w:val="single" w:color="auto" w:sz="4" w:space="0"/>
            </w:tcBorders>
            <w:noWrap w:val="0"/>
            <w:vAlign w:val="top"/>
          </w:tcPr>
          <w:p w14:paraId="02A4602B">
            <w:pPr>
              <w:widowControl/>
              <w:spacing w:line="320" w:lineRule="exact"/>
              <w:rPr>
                <w:rFonts w:ascii="宋体" w:hAnsi="宋体" w:cs="宋体"/>
                <w:kern w:val="0"/>
              </w:rPr>
            </w:pPr>
          </w:p>
        </w:tc>
      </w:tr>
      <w:tr w14:paraId="65FBC7D5">
        <w:tblPrEx>
          <w:tblCellMar>
            <w:top w:w="0" w:type="dxa"/>
            <w:left w:w="108" w:type="dxa"/>
            <w:bottom w:w="0" w:type="dxa"/>
            <w:right w:w="108" w:type="dxa"/>
          </w:tblCellMar>
        </w:tblPrEx>
        <w:trPr>
          <w:trHeight w:val="1314" w:hRule="atLeast"/>
        </w:trPr>
        <w:tc>
          <w:tcPr>
            <w:tcW w:w="577" w:type="dxa"/>
            <w:vMerge w:val="continue"/>
            <w:tcBorders>
              <w:top w:val="nil"/>
              <w:left w:val="single" w:color="auto" w:sz="4" w:space="0"/>
              <w:bottom w:val="single" w:color="auto" w:sz="4" w:space="0"/>
              <w:right w:val="single" w:color="auto" w:sz="4" w:space="0"/>
            </w:tcBorders>
            <w:noWrap w:val="0"/>
            <w:vAlign w:val="center"/>
          </w:tcPr>
          <w:p w14:paraId="37BB8D8A">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2D5A2F62">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7D86C124">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5F8F3F99">
            <w:pPr>
              <w:widowControl/>
              <w:spacing w:line="320" w:lineRule="exact"/>
              <w:jc w:val="center"/>
              <w:rPr>
                <w:rFonts w:ascii="宋体"/>
                <w:kern w:val="0"/>
              </w:rPr>
            </w:pPr>
          </w:p>
        </w:tc>
        <w:tc>
          <w:tcPr>
            <w:tcW w:w="851" w:type="dxa"/>
            <w:tcBorders>
              <w:top w:val="nil"/>
              <w:left w:val="nil"/>
              <w:bottom w:val="single" w:color="auto" w:sz="4" w:space="0"/>
              <w:right w:val="single" w:color="auto" w:sz="4" w:space="0"/>
            </w:tcBorders>
            <w:noWrap w:val="0"/>
            <w:vAlign w:val="center"/>
          </w:tcPr>
          <w:p w14:paraId="12052801">
            <w:pPr>
              <w:widowControl/>
              <w:spacing w:line="300" w:lineRule="exact"/>
              <w:jc w:val="left"/>
              <w:rPr>
                <w:rFonts w:ascii="宋体"/>
                <w:kern w:val="0"/>
              </w:rPr>
            </w:pPr>
            <w:r>
              <w:rPr>
                <w:rFonts w:hint="eastAsia" w:ascii="宋体" w:hAnsi="宋体" w:cs="宋体"/>
                <w:kern w:val="0"/>
              </w:rPr>
              <w:t>固定资产利用率</w:t>
            </w:r>
          </w:p>
        </w:tc>
        <w:tc>
          <w:tcPr>
            <w:tcW w:w="567" w:type="dxa"/>
            <w:tcBorders>
              <w:top w:val="nil"/>
              <w:left w:val="nil"/>
              <w:bottom w:val="single" w:color="auto" w:sz="4" w:space="0"/>
              <w:right w:val="single" w:color="auto" w:sz="4" w:space="0"/>
            </w:tcBorders>
            <w:noWrap w:val="0"/>
            <w:vAlign w:val="center"/>
          </w:tcPr>
          <w:p w14:paraId="00CFDE30">
            <w:pPr>
              <w:widowControl/>
              <w:spacing w:line="300" w:lineRule="exact"/>
              <w:jc w:val="center"/>
              <w:rPr>
                <w:rFonts w:ascii="宋体"/>
                <w:kern w:val="0"/>
              </w:rPr>
            </w:pPr>
            <w:r>
              <w:rPr>
                <w:rFonts w:ascii="宋体" w:hAnsi="宋体" w:cs="宋体"/>
                <w:kern w:val="0"/>
              </w:rPr>
              <w:t>1</w:t>
            </w:r>
          </w:p>
        </w:tc>
        <w:tc>
          <w:tcPr>
            <w:tcW w:w="2536" w:type="dxa"/>
            <w:tcBorders>
              <w:top w:val="nil"/>
              <w:left w:val="nil"/>
              <w:bottom w:val="single" w:color="auto" w:sz="4" w:space="0"/>
              <w:right w:val="single" w:color="auto" w:sz="4" w:space="0"/>
            </w:tcBorders>
            <w:noWrap w:val="0"/>
            <w:vAlign w:val="center"/>
          </w:tcPr>
          <w:p w14:paraId="1BC9A739">
            <w:pPr>
              <w:widowControl/>
              <w:spacing w:line="300" w:lineRule="exact"/>
              <w:rPr>
                <w:rFonts w:ascii="宋体"/>
                <w:kern w:val="0"/>
              </w:rPr>
            </w:pPr>
            <w:r>
              <w:rPr>
                <w:rFonts w:hint="eastAsia" w:ascii="宋体" w:hAnsi="宋体" w:cs="宋体"/>
                <w:kern w:val="0"/>
              </w:rPr>
              <w:t>部门（单位）实际在用固定资产总额与所有固定资产总额的比例，用以反映和考核部门（单位）固定资产使用效率程度。</w:t>
            </w:r>
          </w:p>
        </w:tc>
        <w:tc>
          <w:tcPr>
            <w:tcW w:w="5812" w:type="dxa"/>
            <w:tcBorders>
              <w:top w:val="nil"/>
              <w:left w:val="nil"/>
              <w:bottom w:val="single" w:color="auto" w:sz="4" w:space="0"/>
              <w:right w:val="single" w:color="auto" w:sz="4" w:space="0"/>
            </w:tcBorders>
            <w:noWrap w:val="0"/>
            <w:vAlign w:val="center"/>
          </w:tcPr>
          <w:p w14:paraId="51B838EE">
            <w:pPr>
              <w:widowControl/>
              <w:spacing w:line="300" w:lineRule="exact"/>
              <w:ind w:firstLine="420" w:firstLineChars="200"/>
              <w:rPr>
                <w:rFonts w:ascii="宋体" w:hAnsi="宋体" w:cs="宋体"/>
                <w:kern w:val="0"/>
              </w:rPr>
            </w:pPr>
            <w:r>
              <w:rPr>
                <w:rFonts w:hint="eastAsia" w:ascii="宋体" w:hAnsi="宋体" w:cs="宋体"/>
                <w:kern w:val="0"/>
              </w:rPr>
              <w:t>固定资产利用率</w:t>
            </w:r>
            <w:r>
              <w:rPr>
                <w:rFonts w:ascii="宋体" w:hAnsi="宋体" w:cs="宋体"/>
                <w:kern w:val="0"/>
              </w:rPr>
              <w:t>=</w:t>
            </w:r>
            <w:r>
              <w:rPr>
                <w:rFonts w:hint="eastAsia" w:ascii="宋体" w:hAnsi="宋体" w:cs="宋体"/>
                <w:kern w:val="0"/>
              </w:rPr>
              <w:t>（实际在用固定资产总额</w:t>
            </w:r>
            <w:r>
              <w:rPr>
                <w:rFonts w:ascii="宋体" w:hAnsi="宋体" w:cs="宋体"/>
                <w:kern w:val="0"/>
              </w:rPr>
              <w:t>/</w:t>
            </w:r>
            <w:r>
              <w:rPr>
                <w:rFonts w:hint="eastAsia" w:ascii="宋体" w:hAnsi="宋体" w:cs="宋体"/>
                <w:kern w:val="0"/>
              </w:rPr>
              <w:t>所有固定资产总额）×</w:t>
            </w:r>
            <w:r>
              <w:rPr>
                <w:rFonts w:ascii="宋体" w:hAnsi="宋体" w:cs="宋体"/>
                <w:kern w:val="0"/>
              </w:rPr>
              <w:t xml:space="preserve">100%    </w:t>
            </w:r>
          </w:p>
          <w:p w14:paraId="4FE7A71B">
            <w:pPr>
              <w:widowControl/>
              <w:spacing w:line="300" w:lineRule="exact"/>
              <w:ind w:firstLine="420" w:firstLineChars="200"/>
              <w:rPr>
                <w:rFonts w:ascii="宋体"/>
                <w:kern w:val="0"/>
              </w:rPr>
            </w:pPr>
            <w:r>
              <w:rPr>
                <w:rFonts w:ascii="宋体" w:hAnsi="宋体" w:cs="宋体"/>
                <w:kern w:val="0"/>
              </w:rPr>
              <w:t>1.</w:t>
            </w:r>
            <w:r>
              <w:rPr>
                <w:rFonts w:hint="eastAsia" w:ascii="宋体" w:hAnsi="宋体" w:cs="宋体"/>
                <w:kern w:val="0"/>
              </w:rPr>
              <w:t>固定资产利用率≥</w:t>
            </w:r>
            <w:r>
              <w:rPr>
                <w:rFonts w:ascii="宋体" w:hAnsi="宋体" w:cs="宋体"/>
                <w:kern w:val="0"/>
              </w:rPr>
              <w:t>90%</w:t>
            </w:r>
            <w:r>
              <w:rPr>
                <w:rFonts w:hint="eastAsia" w:ascii="宋体" w:hAnsi="宋体" w:cs="宋体"/>
                <w:kern w:val="0"/>
              </w:rPr>
              <w:t>的，得</w:t>
            </w:r>
            <w:r>
              <w:rPr>
                <w:rFonts w:ascii="宋体" w:hAnsi="宋体" w:cs="宋体"/>
                <w:kern w:val="0"/>
              </w:rPr>
              <w:t>1</w:t>
            </w:r>
            <w:r>
              <w:rPr>
                <w:rFonts w:hint="eastAsia" w:ascii="宋体" w:hAnsi="宋体" w:cs="宋体"/>
                <w:kern w:val="0"/>
              </w:rPr>
              <w:t>分；</w:t>
            </w:r>
            <w:r>
              <w:rPr>
                <w:rFonts w:ascii="宋体"/>
                <w:kern w:val="0"/>
              </w:rPr>
              <w:br w:type="textWrapping"/>
            </w:r>
            <w:r>
              <w:rPr>
                <w:rFonts w:ascii="宋体" w:hAnsi="宋体" w:cs="宋体"/>
                <w:kern w:val="0"/>
              </w:rPr>
              <w:t xml:space="preserve">    2.90%</w:t>
            </w:r>
            <w:r>
              <w:rPr>
                <w:rFonts w:hint="eastAsia" w:ascii="宋体" w:hAnsi="宋体" w:cs="宋体"/>
                <w:kern w:val="0"/>
              </w:rPr>
              <w:t>＞固定资产利用率≥</w:t>
            </w:r>
            <w:r>
              <w:rPr>
                <w:rFonts w:ascii="宋体" w:hAnsi="宋体" w:cs="宋体"/>
                <w:kern w:val="0"/>
              </w:rPr>
              <w:t>75%</w:t>
            </w:r>
            <w:r>
              <w:rPr>
                <w:rFonts w:hint="eastAsia" w:ascii="宋体" w:hAnsi="宋体" w:cs="宋体"/>
                <w:kern w:val="0"/>
              </w:rPr>
              <w:t>的，得</w:t>
            </w:r>
            <w:r>
              <w:rPr>
                <w:rFonts w:ascii="宋体" w:hAnsi="宋体" w:cs="宋体"/>
                <w:kern w:val="0"/>
              </w:rPr>
              <w:t>0.7</w:t>
            </w:r>
            <w:r>
              <w:rPr>
                <w:rFonts w:hint="eastAsia" w:ascii="宋体" w:hAnsi="宋体" w:cs="宋体"/>
                <w:kern w:val="0"/>
              </w:rPr>
              <w:t>分；</w:t>
            </w:r>
            <w:r>
              <w:rPr>
                <w:rFonts w:ascii="宋体"/>
                <w:kern w:val="0"/>
              </w:rPr>
              <w:br w:type="textWrapping"/>
            </w:r>
            <w:r>
              <w:rPr>
                <w:rFonts w:ascii="宋体" w:hAnsi="宋体" w:cs="宋体"/>
                <w:kern w:val="0"/>
              </w:rPr>
              <w:t xml:space="preserve">    3.75%</w:t>
            </w:r>
            <w:r>
              <w:rPr>
                <w:rFonts w:hint="eastAsia" w:ascii="宋体" w:hAnsi="宋体" w:cs="宋体"/>
                <w:kern w:val="0"/>
              </w:rPr>
              <w:t>＞固定资产利用率≥</w:t>
            </w:r>
            <w:r>
              <w:rPr>
                <w:rFonts w:ascii="宋体" w:hAnsi="宋体" w:cs="宋体"/>
                <w:kern w:val="0"/>
              </w:rPr>
              <w:t>60%</w:t>
            </w:r>
            <w:r>
              <w:rPr>
                <w:rFonts w:hint="eastAsia" w:ascii="宋体" w:hAnsi="宋体" w:cs="宋体"/>
                <w:kern w:val="0"/>
              </w:rPr>
              <w:t>的，得</w:t>
            </w:r>
            <w:r>
              <w:rPr>
                <w:rFonts w:ascii="宋体" w:cs="宋体"/>
                <w:kern w:val="0"/>
              </w:rPr>
              <w:t>0.</w:t>
            </w:r>
            <w:r>
              <w:rPr>
                <w:rFonts w:ascii="宋体" w:hAnsi="宋体" w:cs="宋体"/>
                <w:kern w:val="0"/>
              </w:rPr>
              <w:t>4</w:t>
            </w:r>
            <w:r>
              <w:rPr>
                <w:rFonts w:hint="eastAsia" w:ascii="宋体" w:hAnsi="宋体" w:cs="宋体"/>
                <w:kern w:val="0"/>
              </w:rPr>
              <w:t>分；</w:t>
            </w:r>
            <w:r>
              <w:rPr>
                <w:rFonts w:ascii="宋体"/>
                <w:kern w:val="0"/>
              </w:rPr>
              <w:br w:type="textWrapping"/>
            </w:r>
            <w:r>
              <w:rPr>
                <w:rFonts w:ascii="宋体" w:hAnsi="宋体" w:cs="宋体"/>
                <w:kern w:val="0"/>
              </w:rPr>
              <w:t xml:space="preserve">    4.</w:t>
            </w:r>
            <w:r>
              <w:rPr>
                <w:rFonts w:hint="eastAsia" w:ascii="宋体" w:hAnsi="宋体" w:cs="宋体"/>
                <w:kern w:val="0"/>
              </w:rPr>
              <w:t>固定资产利用率＜</w:t>
            </w:r>
            <w:r>
              <w:rPr>
                <w:rFonts w:ascii="宋体" w:hAnsi="宋体" w:cs="宋体"/>
                <w:kern w:val="0"/>
              </w:rPr>
              <w:t>60%</w:t>
            </w:r>
            <w:r>
              <w:rPr>
                <w:rFonts w:hint="eastAsia" w:ascii="宋体" w:hAnsi="宋体" w:cs="宋体"/>
                <w:kern w:val="0"/>
              </w:rPr>
              <w:t>的，得</w:t>
            </w:r>
            <w:r>
              <w:rPr>
                <w:rFonts w:ascii="宋体" w:cs="宋体"/>
                <w:kern w:val="0"/>
              </w:rPr>
              <w:t>0</w:t>
            </w:r>
            <w:r>
              <w:rPr>
                <w:rFonts w:hint="eastAsia" w:ascii="宋体" w:hAnsi="宋体" w:cs="宋体"/>
                <w:kern w:val="0"/>
              </w:rPr>
              <w:t>分。</w:t>
            </w:r>
          </w:p>
        </w:tc>
        <w:tc>
          <w:tcPr>
            <w:tcW w:w="807" w:type="dxa"/>
            <w:tcBorders>
              <w:top w:val="nil"/>
              <w:left w:val="nil"/>
              <w:bottom w:val="single" w:color="auto" w:sz="4" w:space="0"/>
              <w:right w:val="single" w:color="auto" w:sz="4" w:space="0"/>
            </w:tcBorders>
            <w:noWrap w:val="0"/>
            <w:vAlign w:val="center"/>
          </w:tcPr>
          <w:p w14:paraId="1CE0CC62">
            <w:pPr>
              <w:widowControl/>
              <w:spacing w:line="300" w:lineRule="exact"/>
              <w:jc w:val="left"/>
              <w:rPr>
                <w:rFonts w:hint="eastAsia" w:ascii="宋体" w:hAnsi="宋体" w:eastAsia="宋体" w:cs="宋体"/>
                <w:kern w:val="0"/>
                <w:lang w:val="en-US" w:eastAsia="zh-CN"/>
              </w:rPr>
            </w:pPr>
            <w:r>
              <w:rPr>
                <w:rFonts w:hint="eastAsia" w:ascii="宋体" w:hAnsi="宋体" w:cs="宋体"/>
                <w:kern w:val="0"/>
                <w:lang w:val="en-US" w:eastAsia="zh-CN"/>
              </w:rPr>
              <w:t>1</w:t>
            </w:r>
          </w:p>
        </w:tc>
        <w:tc>
          <w:tcPr>
            <w:tcW w:w="2312" w:type="dxa"/>
            <w:tcBorders>
              <w:top w:val="nil"/>
              <w:left w:val="nil"/>
              <w:bottom w:val="single" w:color="auto" w:sz="4" w:space="0"/>
              <w:right w:val="single" w:color="auto" w:sz="4" w:space="0"/>
            </w:tcBorders>
            <w:noWrap w:val="0"/>
            <w:vAlign w:val="top"/>
          </w:tcPr>
          <w:p w14:paraId="393268D9">
            <w:pPr>
              <w:widowControl/>
              <w:spacing w:line="300" w:lineRule="exact"/>
              <w:ind w:firstLine="420" w:firstLineChars="200"/>
              <w:rPr>
                <w:rFonts w:ascii="宋体" w:hAnsi="宋体" w:cs="宋体"/>
                <w:kern w:val="0"/>
              </w:rPr>
            </w:pPr>
          </w:p>
        </w:tc>
      </w:tr>
      <w:tr w14:paraId="18E5F9AC">
        <w:tblPrEx>
          <w:tblCellMar>
            <w:top w:w="0" w:type="dxa"/>
            <w:left w:w="108" w:type="dxa"/>
            <w:bottom w:w="0" w:type="dxa"/>
            <w:right w:w="108" w:type="dxa"/>
          </w:tblCellMar>
        </w:tblPrEx>
        <w:trPr>
          <w:trHeight w:val="1300" w:hRule="atLeast"/>
        </w:trPr>
        <w:tc>
          <w:tcPr>
            <w:tcW w:w="577" w:type="dxa"/>
            <w:vMerge w:val="continue"/>
            <w:tcBorders>
              <w:top w:val="nil"/>
              <w:left w:val="single" w:color="auto" w:sz="4" w:space="0"/>
              <w:bottom w:val="single" w:color="auto" w:sz="4" w:space="0"/>
              <w:right w:val="single" w:color="auto" w:sz="4" w:space="0"/>
            </w:tcBorders>
            <w:noWrap w:val="0"/>
            <w:vAlign w:val="center"/>
          </w:tcPr>
          <w:p w14:paraId="08834E7E">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04B47493">
            <w:pPr>
              <w:widowControl/>
              <w:spacing w:line="320" w:lineRule="exact"/>
              <w:jc w:val="left"/>
              <w:rPr>
                <w:rFonts w:ascii="宋体"/>
                <w:kern w:val="0"/>
              </w:rPr>
            </w:pPr>
          </w:p>
        </w:tc>
        <w:tc>
          <w:tcPr>
            <w:tcW w:w="567" w:type="dxa"/>
            <w:vMerge w:val="restart"/>
            <w:tcBorders>
              <w:top w:val="single" w:color="auto" w:sz="4" w:space="0"/>
              <w:left w:val="nil"/>
              <w:bottom w:val="single" w:color="auto" w:sz="4" w:space="0"/>
              <w:right w:val="single" w:color="auto" w:sz="4" w:space="0"/>
            </w:tcBorders>
            <w:noWrap w:val="0"/>
            <w:vAlign w:val="center"/>
          </w:tcPr>
          <w:p w14:paraId="35F07B03">
            <w:pPr>
              <w:widowControl/>
              <w:spacing w:line="320" w:lineRule="exact"/>
              <w:jc w:val="left"/>
              <w:rPr>
                <w:rFonts w:ascii="宋体"/>
                <w:kern w:val="0"/>
              </w:rPr>
            </w:pPr>
            <w:r>
              <w:rPr>
                <w:rFonts w:hint="eastAsia" w:ascii="宋体" w:hAnsi="宋体" w:cs="宋体"/>
                <w:kern w:val="0"/>
              </w:rPr>
              <w:t>人员管理</w:t>
            </w:r>
          </w:p>
        </w:tc>
        <w:tc>
          <w:tcPr>
            <w:tcW w:w="567" w:type="dxa"/>
            <w:vMerge w:val="restart"/>
            <w:tcBorders>
              <w:top w:val="single" w:color="auto" w:sz="4" w:space="0"/>
              <w:left w:val="nil"/>
              <w:bottom w:val="single" w:color="auto" w:sz="4" w:space="0"/>
              <w:right w:val="single" w:color="auto" w:sz="4" w:space="0"/>
            </w:tcBorders>
            <w:noWrap w:val="0"/>
            <w:vAlign w:val="center"/>
          </w:tcPr>
          <w:p w14:paraId="1CAE6841">
            <w:pPr>
              <w:widowControl/>
              <w:spacing w:line="320" w:lineRule="exact"/>
              <w:jc w:val="center"/>
              <w:rPr>
                <w:rFonts w:ascii="宋体"/>
                <w:kern w:val="0"/>
              </w:rPr>
            </w:pPr>
            <w:r>
              <w:rPr>
                <w:rFonts w:ascii="宋体" w:hAnsi="宋体" w:cs="宋体"/>
                <w:kern w:val="0"/>
              </w:rPr>
              <w:t>2</w:t>
            </w:r>
          </w:p>
        </w:tc>
        <w:tc>
          <w:tcPr>
            <w:tcW w:w="851" w:type="dxa"/>
            <w:tcBorders>
              <w:top w:val="single" w:color="auto" w:sz="4" w:space="0"/>
              <w:left w:val="nil"/>
              <w:bottom w:val="single" w:color="auto" w:sz="4" w:space="0"/>
              <w:right w:val="single" w:color="auto" w:sz="4" w:space="0"/>
            </w:tcBorders>
            <w:noWrap w:val="0"/>
            <w:vAlign w:val="center"/>
          </w:tcPr>
          <w:p w14:paraId="0E173D2E">
            <w:pPr>
              <w:widowControl/>
              <w:spacing w:line="300" w:lineRule="exact"/>
              <w:jc w:val="left"/>
              <w:rPr>
                <w:rFonts w:ascii="宋体"/>
                <w:kern w:val="0"/>
                <w:sz w:val="18"/>
                <w:szCs w:val="18"/>
              </w:rPr>
            </w:pPr>
            <w:r>
              <w:rPr>
                <w:rFonts w:hint="eastAsia" w:ascii="宋体" w:hAnsi="宋体" w:cs="宋体"/>
                <w:kern w:val="0"/>
              </w:rPr>
              <w:t>财政供养人员控制率</w:t>
            </w:r>
          </w:p>
        </w:tc>
        <w:tc>
          <w:tcPr>
            <w:tcW w:w="567" w:type="dxa"/>
            <w:tcBorders>
              <w:top w:val="single" w:color="auto" w:sz="4" w:space="0"/>
              <w:left w:val="nil"/>
              <w:bottom w:val="single" w:color="auto" w:sz="4" w:space="0"/>
              <w:right w:val="single" w:color="auto" w:sz="4" w:space="0"/>
            </w:tcBorders>
            <w:noWrap w:val="0"/>
            <w:vAlign w:val="center"/>
          </w:tcPr>
          <w:p w14:paraId="00106CC2">
            <w:pPr>
              <w:widowControl/>
              <w:spacing w:line="300" w:lineRule="exact"/>
              <w:jc w:val="center"/>
              <w:rPr>
                <w:rFonts w:ascii="宋体"/>
                <w:kern w:val="0"/>
                <w:sz w:val="18"/>
                <w:szCs w:val="18"/>
              </w:rPr>
            </w:pPr>
            <w:r>
              <w:rPr>
                <w:rFonts w:ascii="宋体" w:hAnsi="宋体" w:cs="宋体"/>
                <w:kern w:val="0"/>
              </w:rPr>
              <w:t>1</w:t>
            </w:r>
          </w:p>
        </w:tc>
        <w:tc>
          <w:tcPr>
            <w:tcW w:w="2536" w:type="dxa"/>
            <w:tcBorders>
              <w:top w:val="single" w:color="auto" w:sz="4" w:space="0"/>
              <w:left w:val="nil"/>
              <w:bottom w:val="single" w:color="auto" w:sz="4" w:space="0"/>
              <w:right w:val="single" w:color="auto" w:sz="4" w:space="0"/>
            </w:tcBorders>
            <w:noWrap w:val="0"/>
            <w:vAlign w:val="center"/>
          </w:tcPr>
          <w:p w14:paraId="7E0E3E20">
            <w:pPr>
              <w:widowControl/>
              <w:spacing w:line="300" w:lineRule="exact"/>
              <w:rPr>
                <w:rFonts w:ascii="宋体"/>
                <w:kern w:val="0"/>
                <w:sz w:val="18"/>
                <w:szCs w:val="18"/>
              </w:rPr>
            </w:pPr>
            <w:r>
              <w:rPr>
                <w:rFonts w:hint="eastAsia" w:ascii="宋体" w:hAnsi="宋体" w:cs="宋体"/>
                <w:kern w:val="0"/>
              </w:rPr>
              <w:t>部门（单位）本年度在编人数（含工勤人员）与核定编制数（含工勤人员）的比率。</w:t>
            </w:r>
          </w:p>
        </w:tc>
        <w:tc>
          <w:tcPr>
            <w:tcW w:w="5812" w:type="dxa"/>
            <w:tcBorders>
              <w:top w:val="single" w:color="auto" w:sz="4" w:space="0"/>
              <w:left w:val="nil"/>
              <w:bottom w:val="single" w:color="auto" w:sz="4" w:space="0"/>
              <w:right w:val="single" w:color="auto" w:sz="4" w:space="0"/>
            </w:tcBorders>
            <w:noWrap w:val="0"/>
            <w:vAlign w:val="center"/>
          </w:tcPr>
          <w:p w14:paraId="4F128463">
            <w:pPr>
              <w:widowControl/>
              <w:spacing w:line="300" w:lineRule="exact"/>
              <w:ind w:firstLine="420" w:firstLineChars="200"/>
              <w:rPr>
                <w:rFonts w:ascii="宋体"/>
                <w:kern w:val="0"/>
                <w:sz w:val="18"/>
                <w:szCs w:val="18"/>
              </w:rPr>
            </w:pPr>
            <w:r>
              <w:rPr>
                <w:rFonts w:hint="eastAsia" w:ascii="宋体" w:hAnsi="宋体" w:cs="宋体"/>
                <w:kern w:val="0"/>
              </w:rPr>
              <w:t>财政供养人员控制率</w:t>
            </w:r>
            <w:r>
              <w:rPr>
                <w:rFonts w:ascii="宋体" w:hAnsi="宋体" w:cs="宋体"/>
                <w:kern w:val="0"/>
              </w:rPr>
              <w:t>=</w:t>
            </w:r>
            <w:r>
              <w:rPr>
                <w:rFonts w:hint="eastAsia" w:ascii="宋体" w:hAnsi="宋体" w:cs="宋体"/>
                <w:kern w:val="0"/>
              </w:rPr>
              <w:t>本年度在编人数（含工勤人员）</w:t>
            </w:r>
            <w:r>
              <w:rPr>
                <w:rFonts w:ascii="宋体" w:hAnsi="宋体" w:cs="宋体"/>
                <w:kern w:val="0"/>
              </w:rPr>
              <w:t>/</w:t>
            </w:r>
            <w:r>
              <w:rPr>
                <w:rFonts w:hint="eastAsia" w:ascii="宋体" w:hAnsi="宋体" w:cs="宋体"/>
                <w:kern w:val="0"/>
              </w:rPr>
              <w:t>核定编制数（含工勤人员）</w:t>
            </w:r>
          </w:p>
          <w:p w14:paraId="41FDAD89">
            <w:pPr>
              <w:widowControl/>
              <w:spacing w:line="300" w:lineRule="exact"/>
              <w:rPr>
                <w:rFonts w:ascii="宋体"/>
                <w:kern w:val="0"/>
                <w:sz w:val="18"/>
                <w:szCs w:val="18"/>
              </w:rPr>
            </w:pPr>
            <w:r>
              <w:rPr>
                <w:rFonts w:ascii="宋体" w:hAnsi="宋体" w:cs="宋体"/>
                <w:kern w:val="0"/>
              </w:rPr>
              <w:t xml:space="preserve">   1.</w:t>
            </w:r>
            <w:r>
              <w:rPr>
                <w:rFonts w:hint="eastAsia" w:ascii="宋体" w:hAnsi="宋体" w:cs="宋体"/>
                <w:kern w:val="0"/>
              </w:rPr>
              <w:t>财政供养人员控制率≤</w:t>
            </w:r>
            <w:r>
              <w:rPr>
                <w:rFonts w:ascii="宋体" w:hAnsi="宋体" w:cs="宋体"/>
                <w:kern w:val="0"/>
              </w:rPr>
              <w:t>100%</w:t>
            </w:r>
            <w:r>
              <w:rPr>
                <w:rFonts w:hint="eastAsia" w:ascii="宋体" w:hAnsi="宋体" w:cs="宋体"/>
                <w:kern w:val="0"/>
              </w:rPr>
              <w:t>的，得</w:t>
            </w:r>
            <w:r>
              <w:rPr>
                <w:rFonts w:ascii="宋体" w:hAnsi="宋体" w:cs="宋体"/>
                <w:kern w:val="0"/>
              </w:rPr>
              <w:t>1</w:t>
            </w:r>
            <w:r>
              <w:rPr>
                <w:rFonts w:hint="eastAsia" w:ascii="宋体" w:hAnsi="宋体" w:cs="宋体"/>
                <w:kern w:val="0"/>
              </w:rPr>
              <w:t>分；</w:t>
            </w:r>
          </w:p>
          <w:p w14:paraId="64A59FC8">
            <w:pPr>
              <w:widowControl/>
              <w:spacing w:line="300" w:lineRule="exact"/>
              <w:rPr>
                <w:rFonts w:ascii="宋体"/>
                <w:kern w:val="0"/>
                <w:sz w:val="18"/>
                <w:szCs w:val="18"/>
              </w:rPr>
            </w:pPr>
            <w:r>
              <w:rPr>
                <w:rFonts w:ascii="宋体" w:cs="宋体"/>
                <w:kern w:val="0"/>
              </w:rPr>
              <w:t xml:space="preserve">   2.</w:t>
            </w:r>
            <w:r>
              <w:rPr>
                <w:rFonts w:hint="eastAsia" w:ascii="宋体" w:hAnsi="宋体" w:cs="宋体"/>
                <w:kern w:val="0"/>
              </w:rPr>
              <w:t>财政供养人员控制率＞</w:t>
            </w:r>
            <w:r>
              <w:rPr>
                <w:rFonts w:ascii="宋体" w:hAnsi="宋体" w:cs="宋体"/>
                <w:kern w:val="0"/>
              </w:rPr>
              <w:t>100%</w:t>
            </w:r>
            <w:r>
              <w:rPr>
                <w:rFonts w:hint="eastAsia" w:ascii="宋体" w:hAnsi="宋体" w:cs="宋体"/>
                <w:kern w:val="0"/>
              </w:rPr>
              <w:t>的，得</w:t>
            </w:r>
            <w:r>
              <w:rPr>
                <w:rFonts w:ascii="宋体" w:cs="宋体"/>
                <w:kern w:val="0"/>
              </w:rPr>
              <w:t>0</w:t>
            </w:r>
            <w:r>
              <w:rPr>
                <w:rFonts w:hint="eastAsia" w:ascii="宋体" w:hAnsi="宋体" w:cs="宋体"/>
                <w:kern w:val="0"/>
              </w:rPr>
              <w:t>分。</w:t>
            </w:r>
          </w:p>
        </w:tc>
        <w:tc>
          <w:tcPr>
            <w:tcW w:w="807" w:type="dxa"/>
            <w:tcBorders>
              <w:top w:val="single" w:color="auto" w:sz="4" w:space="0"/>
              <w:left w:val="nil"/>
              <w:bottom w:val="single" w:color="auto" w:sz="4" w:space="0"/>
              <w:right w:val="single" w:color="auto" w:sz="4" w:space="0"/>
            </w:tcBorders>
            <w:noWrap w:val="0"/>
            <w:vAlign w:val="center"/>
          </w:tcPr>
          <w:p w14:paraId="4D3E039A">
            <w:pPr>
              <w:widowControl/>
              <w:spacing w:line="300" w:lineRule="exact"/>
              <w:jc w:val="left"/>
              <w:rPr>
                <w:rFonts w:hint="eastAsia" w:ascii="宋体" w:hAnsi="宋体" w:eastAsia="宋体" w:cs="宋体"/>
                <w:kern w:val="0"/>
                <w:lang w:val="en-US" w:eastAsia="zh-CN"/>
              </w:rPr>
            </w:pPr>
            <w:r>
              <w:rPr>
                <w:rFonts w:hint="eastAsia" w:ascii="宋体" w:hAnsi="宋体" w:cs="宋体"/>
                <w:kern w:val="0"/>
                <w:lang w:val="en-US" w:eastAsia="zh-CN"/>
              </w:rPr>
              <w:t>1</w:t>
            </w:r>
          </w:p>
        </w:tc>
        <w:tc>
          <w:tcPr>
            <w:tcW w:w="2312" w:type="dxa"/>
            <w:tcBorders>
              <w:top w:val="single" w:color="auto" w:sz="4" w:space="0"/>
              <w:left w:val="nil"/>
              <w:bottom w:val="single" w:color="auto" w:sz="4" w:space="0"/>
              <w:right w:val="single" w:color="auto" w:sz="4" w:space="0"/>
            </w:tcBorders>
            <w:noWrap w:val="0"/>
            <w:vAlign w:val="top"/>
          </w:tcPr>
          <w:p w14:paraId="2ACCA76C">
            <w:pPr>
              <w:widowControl/>
              <w:spacing w:line="300" w:lineRule="exact"/>
              <w:ind w:firstLine="420" w:firstLineChars="200"/>
              <w:rPr>
                <w:rFonts w:ascii="宋体" w:hAnsi="宋体" w:cs="宋体"/>
                <w:kern w:val="0"/>
              </w:rPr>
            </w:pPr>
          </w:p>
        </w:tc>
      </w:tr>
      <w:tr w14:paraId="279A2AC5">
        <w:tblPrEx>
          <w:tblCellMar>
            <w:top w:w="0" w:type="dxa"/>
            <w:left w:w="108" w:type="dxa"/>
            <w:bottom w:w="0" w:type="dxa"/>
            <w:right w:w="108" w:type="dxa"/>
          </w:tblCellMar>
        </w:tblPrEx>
        <w:trPr>
          <w:trHeight w:val="1267" w:hRule="atLeast"/>
        </w:trPr>
        <w:tc>
          <w:tcPr>
            <w:tcW w:w="577" w:type="dxa"/>
            <w:vMerge w:val="continue"/>
            <w:tcBorders>
              <w:top w:val="nil"/>
              <w:left w:val="single" w:color="auto" w:sz="4" w:space="0"/>
              <w:bottom w:val="single" w:color="auto" w:sz="4" w:space="0"/>
              <w:right w:val="single" w:color="auto" w:sz="4" w:space="0"/>
            </w:tcBorders>
            <w:noWrap w:val="0"/>
            <w:vAlign w:val="center"/>
          </w:tcPr>
          <w:p w14:paraId="7BE801BA">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4BA5CEF2">
            <w:pPr>
              <w:widowControl/>
              <w:spacing w:line="320" w:lineRule="exact"/>
              <w:jc w:val="left"/>
              <w:rPr>
                <w:rFonts w:ascii="宋体"/>
                <w:kern w:val="0"/>
              </w:rPr>
            </w:pPr>
          </w:p>
        </w:tc>
        <w:tc>
          <w:tcPr>
            <w:tcW w:w="567" w:type="dxa"/>
            <w:vMerge w:val="continue"/>
            <w:tcBorders>
              <w:top w:val="single" w:color="auto" w:sz="4" w:space="0"/>
              <w:left w:val="nil"/>
              <w:bottom w:val="single" w:color="auto" w:sz="4" w:space="0"/>
              <w:right w:val="single" w:color="auto" w:sz="4" w:space="0"/>
            </w:tcBorders>
            <w:noWrap w:val="0"/>
            <w:vAlign w:val="center"/>
          </w:tcPr>
          <w:p w14:paraId="08D3E1E8">
            <w:pPr>
              <w:widowControl/>
              <w:spacing w:line="320" w:lineRule="exact"/>
              <w:jc w:val="left"/>
              <w:rPr>
                <w:rFonts w:ascii="宋体"/>
                <w:kern w:val="0"/>
              </w:rPr>
            </w:pPr>
          </w:p>
        </w:tc>
        <w:tc>
          <w:tcPr>
            <w:tcW w:w="567" w:type="dxa"/>
            <w:vMerge w:val="continue"/>
            <w:tcBorders>
              <w:top w:val="single" w:color="auto" w:sz="4" w:space="0"/>
              <w:left w:val="nil"/>
              <w:bottom w:val="single" w:color="auto" w:sz="4" w:space="0"/>
              <w:right w:val="single" w:color="auto" w:sz="4" w:space="0"/>
            </w:tcBorders>
            <w:noWrap w:val="0"/>
            <w:vAlign w:val="center"/>
          </w:tcPr>
          <w:p w14:paraId="433A8E0A">
            <w:pPr>
              <w:widowControl/>
              <w:spacing w:line="320" w:lineRule="exact"/>
              <w:jc w:val="center"/>
              <w:rPr>
                <w:rFonts w:ascii="宋体"/>
                <w:kern w:val="0"/>
              </w:rPr>
            </w:pPr>
          </w:p>
        </w:tc>
        <w:tc>
          <w:tcPr>
            <w:tcW w:w="851" w:type="dxa"/>
            <w:tcBorders>
              <w:top w:val="single" w:color="auto" w:sz="4" w:space="0"/>
              <w:left w:val="nil"/>
              <w:bottom w:val="single" w:color="auto" w:sz="4" w:space="0"/>
              <w:right w:val="single" w:color="auto" w:sz="4" w:space="0"/>
            </w:tcBorders>
            <w:noWrap w:val="0"/>
            <w:vAlign w:val="center"/>
          </w:tcPr>
          <w:p w14:paraId="313E7A4F">
            <w:pPr>
              <w:widowControl/>
              <w:spacing w:line="300" w:lineRule="exact"/>
              <w:jc w:val="left"/>
              <w:rPr>
                <w:rFonts w:ascii="宋体"/>
                <w:kern w:val="0"/>
              </w:rPr>
            </w:pPr>
            <w:r>
              <w:rPr>
                <w:rFonts w:hint="eastAsia" w:ascii="宋体" w:hAnsi="宋体" w:cs="宋体"/>
                <w:kern w:val="0"/>
              </w:rPr>
              <w:t>编外人员控制率</w:t>
            </w:r>
          </w:p>
        </w:tc>
        <w:tc>
          <w:tcPr>
            <w:tcW w:w="567" w:type="dxa"/>
            <w:tcBorders>
              <w:top w:val="single" w:color="auto" w:sz="4" w:space="0"/>
              <w:left w:val="nil"/>
              <w:bottom w:val="single" w:color="auto" w:sz="4" w:space="0"/>
              <w:right w:val="single" w:color="auto" w:sz="4" w:space="0"/>
            </w:tcBorders>
            <w:noWrap w:val="0"/>
            <w:vAlign w:val="center"/>
          </w:tcPr>
          <w:p w14:paraId="6EB7284F">
            <w:pPr>
              <w:widowControl/>
              <w:spacing w:line="300" w:lineRule="exact"/>
              <w:jc w:val="center"/>
              <w:rPr>
                <w:rFonts w:ascii="宋体"/>
                <w:kern w:val="0"/>
              </w:rPr>
            </w:pPr>
            <w:r>
              <w:rPr>
                <w:rFonts w:ascii="宋体" w:hAnsi="宋体" w:cs="宋体"/>
                <w:kern w:val="0"/>
              </w:rPr>
              <w:t>1</w:t>
            </w:r>
          </w:p>
        </w:tc>
        <w:tc>
          <w:tcPr>
            <w:tcW w:w="2536" w:type="dxa"/>
            <w:tcBorders>
              <w:top w:val="single" w:color="auto" w:sz="4" w:space="0"/>
              <w:left w:val="nil"/>
              <w:bottom w:val="single" w:color="auto" w:sz="4" w:space="0"/>
              <w:right w:val="single" w:color="auto" w:sz="4" w:space="0"/>
            </w:tcBorders>
            <w:noWrap w:val="0"/>
            <w:vAlign w:val="center"/>
          </w:tcPr>
          <w:p w14:paraId="1E7670B3">
            <w:pPr>
              <w:widowControl/>
              <w:spacing w:line="300" w:lineRule="exact"/>
              <w:rPr>
                <w:rFonts w:ascii="宋体"/>
                <w:kern w:val="0"/>
              </w:rPr>
            </w:pPr>
            <w:r>
              <w:rPr>
                <w:rFonts w:hint="eastAsia" w:ascii="宋体" w:hAnsi="宋体" w:cs="宋体"/>
                <w:kern w:val="0"/>
              </w:rPr>
              <w:t>部门（单位）本年度使用劳务派遣人员数量（含直接聘用的编外人员）与在职人员总数（在编</w:t>
            </w:r>
            <w:r>
              <w:rPr>
                <w:rFonts w:ascii="宋体" w:hAnsi="宋体" w:cs="宋体"/>
                <w:kern w:val="0"/>
              </w:rPr>
              <w:t>+</w:t>
            </w:r>
            <w:r>
              <w:rPr>
                <w:rFonts w:hint="eastAsia" w:ascii="宋体" w:hAnsi="宋体" w:cs="宋体"/>
                <w:kern w:val="0"/>
              </w:rPr>
              <w:t>编外）的比率。</w:t>
            </w:r>
          </w:p>
        </w:tc>
        <w:tc>
          <w:tcPr>
            <w:tcW w:w="5812" w:type="dxa"/>
            <w:tcBorders>
              <w:top w:val="single" w:color="auto" w:sz="4" w:space="0"/>
              <w:left w:val="nil"/>
              <w:bottom w:val="single" w:color="auto" w:sz="4" w:space="0"/>
              <w:right w:val="single" w:color="auto" w:sz="4" w:space="0"/>
            </w:tcBorders>
            <w:noWrap w:val="0"/>
            <w:vAlign w:val="center"/>
          </w:tcPr>
          <w:p w14:paraId="17C769A4">
            <w:pPr>
              <w:widowControl/>
              <w:spacing w:line="300" w:lineRule="exact"/>
              <w:ind w:firstLine="420" w:firstLineChars="200"/>
              <w:rPr>
                <w:rFonts w:ascii="宋体"/>
                <w:kern w:val="0"/>
              </w:rPr>
            </w:pPr>
            <w:r>
              <w:rPr>
                <w:rFonts w:ascii="宋体" w:hAnsi="宋体" w:cs="宋体"/>
                <w:kern w:val="0"/>
              </w:rPr>
              <w:t>1.</w:t>
            </w:r>
            <w:r>
              <w:rPr>
                <w:rFonts w:hint="eastAsia" w:ascii="宋体" w:hAnsi="宋体" w:cs="宋体"/>
                <w:kern w:val="0"/>
              </w:rPr>
              <w:t>比率＜</w:t>
            </w:r>
            <w:r>
              <w:rPr>
                <w:rFonts w:ascii="宋体" w:hAnsi="宋体" w:cs="宋体"/>
                <w:kern w:val="0"/>
              </w:rPr>
              <w:t>5%</w:t>
            </w:r>
            <w:r>
              <w:rPr>
                <w:rFonts w:hint="eastAsia" w:ascii="宋体" w:hAnsi="宋体" w:cs="宋体"/>
                <w:kern w:val="0"/>
              </w:rPr>
              <w:t>的，得</w:t>
            </w:r>
            <w:r>
              <w:rPr>
                <w:rFonts w:ascii="宋体" w:hAnsi="宋体" w:cs="宋体"/>
                <w:kern w:val="0"/>
              </w:rPr>
              <w:t>1</w:t>
            </w:r>
            <w:r>
              <w:rPr>
                <w:rFonts w:hint="eastAsia" w:ascii="宋体" w:hAnsi="宋体" w:cs="宋体"/>
                <w:kern w:val="0"/>
              </w:rPr>
              <w:t>分；</w:t>
            </w:r>
          </w:p>
          <w:p w14:paraId="0946610A">
            <w:pPr>
              <w:widowControl/>
              <w:spacing w:line="300" w:lineRule="exact"/>
              <w:ind w:firstLine="420" w:firstLineChars="200"/>
              <w:rPr>
                <w:rFonts w:ascii="宋体"/>
                <w:kern w:val="0"/>
              </w:rPr>
            </w:pPr>
            <w:r>
              <w:rPr>
                <w:rFonts w:ascii="宋体" w:hAnsi="宋体" w:cs="宋体"/>
                <w:kern w:val="0"/>
              </w:rPr>
              <w:t>2.5%</w:t>
            </w:r>
            <w:r>
              <w:rPr>
                <w:rFonts w:hint="eastAsia" w:ascii="宋体" w:hAnsi="宋体" w:cs="宋体"/>
                <w:kern w:val="0"/>
              </w:rPr>
              <w:t>≤比率≤</w:t>
            </w:r>
            <w:r>
              <w:rPr>
                <w:rFonts w:ascii="宋体" w:hAnsi="宋体" w:cs="宋体"/>
                <w:kern w:val="0"/>
              </w:rPr>
              <w:t>10%</w:t>
            </w:r>
            <w:r>
              <w:rPr>
                <w:rFonts w:hint="eastAsia" w:ascii="宋体" w:hAnsi="宋体" w:cs="宋体"/>
                <w:kern w:val="0"/>
              </w:rPr>
              <w:t>的，得</w:t>
            </w:r>
            <w:r>
              <w:rPr>
                <w:rFonts w:ascii="宋体" w:hAnsi="宋体" w:cs="宋体"/>
                <w:kern w:val="0"/>
              </w:rPr>
              <w:t>0.5</w:t>
            </w:r>
            <w:r>
              <w:rPr>
                <w:rFonts w:hint="eastAsia" w:ascii="宋体" w:hAnsi="宋体" w:cs="宋体"/>
                <w:kern w:val="0"/>
              </w:rPr>
              <w:t>分；</w:t>
            </w:r>
            <w:r>
              <w:rPr>
                <w:rFonts w:ascii="宋体"/>
                <w:kern w:val="0"/>
              </w:rPr>
              <w:br w:type="textWrapping"/>
            </w:r>
            <w:r>
              <w:rPr>
                <w:rFonts w:ascii="宋体" w:hAnsi="宋体" w:cs="宋体"/>
                <w:kern w:val="0"/>
              </w:rPr>
              <w:t xml:space="preserve">    3</w:t>
            </w:r>
            <w:r>
              <w:rPr>
                <w:rFonts w:ascii="宋体" w:cs="宋体"/>
                <w:kern w:val="0"/>
              </w:rPr>
              <w:t>.</w:t>
            </w:r>
            <w:r>
              <w:rPr>
                <w:rFonts w:hint="eastAsia" w:ascii="宋体" w:hAnsi="宋体" w:cs="宋体"/>
                <w:kern w:val="0"/>
              </w:rPr>
              <w:t>比率＞</w:t>
            </w:r>
            <w:r>
              <w:rPr>
                <w:rFonts w:ascii="宋体" w:hAnsi="宋体" w:cs="宋体"/>
                <w:kern w:val="0"/>
              </w:rPr>
              <w:t>10%</w:t>
            </w:r>
            <w:r>
              <w:rPr>
                <w:rFonts w:hint="eastAsia" w:ascii="宋体" w:hAnsi="宋体" w:cs="宋体"/>
                <w:kern w:val="0"/>
              </w:rPr>
              <w:t>的，得</w:t>
            </w:r>
            <w:r>
              <w:rPr>
                <w:rFonts w:ascii="宋体" w:cs="宋体"/>
                <w:kern w:val="0"/>
              </w:rPr>
              <w:t>0</w:t>
            </w:r>
            <w:r>
              <w:rPr>
                <w:rFonts w:hint="eastAsia" w:ascii="宋体" w:hAnsi="宋体" w:cs="宋体"/>
                <w:kern w:val="0"/>
              </w:rPr>
              <w:t>分。</w:t>
            </w:r>
          </w:p>
        </w:tc>
        <w:tc>
          <w:tcPr>
            <w:tcW w:w="807" w:type="dxa"/>
            <w:tcBorders>
              <w:top w:val="single" w:color="auto" w:sz="4" w:space="0"/>
              <w:left w:val="nil"/>
              <w:bottom w:val="single" w:color="auto" w:sz="4" w:space="0"/>
              <w:right w:val="single" w:color="auto" w:sz="4" w:space="0"/>
            </w:tcBorders>
            <w:noWrap w:val="0"/>
            <w:vAlign w:val="center"/>
          </w:tcPr>
          <w:p w14:paraId="468C2250">
            <w:pPr>
              <w:widowControl/>
              <w:spacing w:line="300" w:lineRule="exact"/>
              <w:jc w:val="left"/>
              <w:rPr>
                <w:rFonts w:hint="eastAsia" w:ascii="宋体" w:hAnsi="宋体" w:eastAsia="宋体" w:cs="宋体"/>
                <w:kern w:val="0"/>
                <w:lang w:val="en-US" w:eastAsia="zh-CN"/>
              </w:rPr>
            </w:pPr>
            <w:r>
              <w:rPr>
                <w:rFonts w:hint="eastAsia" w:ascii="宋体" w:hAnsi="宋体" w:cs="宋体"/>
                <w:kern w:val="0"/>
                <w:lang w:val="en-US" w:eastAsia="zh-CN"/>
              </w:rPr>
              <w:t>1</w:t>
            </w:r>
          </w:p>
        </w:tc>
        <w:tc>
          <w:tcPr>
            <w:tcW w:w="2312" w:type="dxa"/>
            <w:tcBorders>
              <w:top w:val="single" w:color="auto" w:sz="4" w:space="0"/>
              <w:left w:val="nil"/>
              <w:bottom w:val="single" w:color="auto" w:sz="4" w:space="0"/>
              <w:right w:val="single" w:color="auto" w:sz="4" w:space="0"/>
            </w:tcBorders>
            <w:noWrap w:val="0"/>
            <w:vAlign w:val="top"/>
          </w:tcPr>
          <w:p w14:paraId="172A40C8">
            <w:pPr>
              <w:widowControl/>
              <w:spacing w:line="300" w:lineRule="exact"/>
              <w:ind w:firstLine="420" w:firstLineChars="200"/>
              <w:rPr>
                <w:rFonts w:hint="eastAsia" w:ascii="宋体" w:hAnsi="宋体" w:eastAsia="宋体" w:cs="宋体"/>
                <w:kern w:val="0"/>
                <w:lang w:val="en-US" w:eastAsia="zh-CN"/>
              </w:rPr>
            </w:pPr>
          </w:p>
        </w:tc>
      </w:tr>
      <w:tr w14:paraId="38C3034E">
        <w:tblPrEx>
          <w:tblCellMar>
            <w:top w:w="0" w:type="dxa"/>
            <w:left w:w="108" w:type="dxa"/>
            <w:bottom w:w="0" w:type="dxa"/>
            <w:right w:w="108" w:type="dxa"/>
          </w:tblCellMar>
        </w:tblPrEx>
        <w:trPr>
          <w:trHeight w:val="1521" w:hRule="atLeast"/>
        </w:trPr>
        <w:tc>
          <w:tcPr>
            <w:tcW w:w="577" w:type="dxa"/>
            <w:vMerge w:val="continue"/>
            <w:tcBorders>
              <w:top w:val="nil"/>
              <w:left w:val="single" w:color="auto" w:sz="4" w:space="0"/>
              <w:bottom w:val="single" w:color="auto" w:sz="4" w:space="0"/>
              <w:right w:val="single" w:color="auto" w:sz="4" w:space="0"/>
            </w:tcBorders>
            <w:noWrap w:val="0"/>
            <w:vAlign w:val="center"/>
          </w:tcPr>
          <w:p w14:paraId="2B034EDA">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5E3D1C31">
            <w:pPr>
              <w:widowControl/>
              <w:spacing w:line="320" w:lineRule="exact"/>
              <w:jc w:val="left"/>
              <w:rPr>
                <w:rFonts w:ascii="宋体"/>
                <w:kern w:val="0"/>
              </w:rPr>
            </w:pPr>
          </w:p>
        </w:tc>
        <w:tc>
          <w:tcPr>
            <w:tcW w:w="567" w:type="dxa"/>
            <w:tcBorders>
              <w:top w:val="nil"/>
              <w:left w:val="nil"/>
              <w:bottom w:val="single" w:color="auto" w:sz="4" w:space="0"/>
              <w:right w:val="single" w:color="auto" w:sz="4" w:space="0"/>
            </w:tcBorders>
            <w:noWrap w:val="0"/>
            <w:vAlign w:val="center"/>
          </w:tcPr>
          <w:p w14:paraId="4BA7735F">
            <w:pPr>
              <w:widowControl/>
              <w:spacing w:line="320" w:lineRule="exact"/>
              <w:jc w:val="left"/>
              <w:rPr>
                <w:rFonts w:ascii="宋体"/>
                <w:kern w:val="0"/>
              </w:rPr>
            </w:pPr>
            <w:r>
              <w:rPr>
                <w:rFonts w:hint="eastAsia" w:ascii="宋体" w:hAnsi="宋体" w:cs="宋体"/>
                <w:kern w:val="0"/>
              </w:rPr>
              <w:t>制度管理</w:t>
            </w:r>
          </w:p>
        </w:tc>
        <w:tc>
          <w:tcPr>
            <w:tcW w:w="567" w:type="dxa"/>
            <w:tcBorders>
              <w:top w:val="nil"/>
              <w:left w:val="nil"/>
              <w:bottom w:val="single" w:color="auto" w:sz="4" w:space="0"/>
              <w:right w:val="single" w:color="auto" w:sz="4" w:space="0"/>
            </w:tcBorders>
            <w:noWrap w:val="0"/>
            <w:vAlign w:val="center"/>
          </w:tcPr>
          <w:p w14:paraId="32C55776">
            <w:pPr>
              <w:widowControl/>
              <w:spacing w:line="320" w:lineRule="exact"/>
              <w:jc w:val="center"/>
              <w:rPr>
                <w:rFonts w:ascii="宋体"/>
                <w:kern w:val="0"/>
              </w:rPr>
            </w:pPr>
            <w:r>
              <w:rPr>
                <w:rFonts w:ascii="宋体" w:hAnsi="宋体" w:cs="宋体"/>
                <w:kern w:val="0"/>
              </w:rPr>
              <w:t>3</w:t>
            </w:r>
          </w:p>
        </w:tc>
        <w:tc>
          <w:tcPr>
            <w:tcW w:w="851" w:type="dxa"/>
            <w:tcBorders>
              <w:top w:val="nil"/>
              <w:left w:val="nil"/>
              <w:bottom w:val="single" w:color="auto" w:sz="4" w:space="0"/>
              <w:right w:val="single" w:color="auto" w:sz="4" w:space="0"/>
            </w:tcBorders>
            <w:noWrap w:val="0"/>
            <w:vAlign w:val="center"/>
          </w:tcPr>
          <w:p w14:paraId="5EE51514">
            <w:pPr>
              <w:widowControl/>
              <w:spacing w:line="300" w:lineRule="exact"/>
              <w:jc w:val="left"/>
              <w:rPr>
                <w:rFonts w:ascii="宋体"/>
                <w:kern w:val="0"/>
              </w:rPr>
            </w:pPr>
            <w:r>
              <w:rPr>
                <w:rFonts w:hint="eastAsia" w:ascii="宋体" w:hAnsi="宋体" w:cs="宋体"/>
                <w:kern w:val="0"/>
              </w:rPr>
              <w:t>管理制度健全性</w:t>
            </w:r>
          </w:p>
        </w:tc>
        <w:tc>
          <w:tcPr>
            <w:tcW w:w="567" w:type="dxa"/>
            <w:tcBorders>
              <w:top w:val="nil"/>
              <w:left w:val="nil"/>
              <w:bottom w:val="single" w:color="auto" w:sz="4" w:space="0"/>
              <w:right w:val="single" w:color="auto" w:sz="4" w:space="0"/>
            </w:tcBorders>
            <w:noWrap w:val="0"/>
            <w:vAlign w:val="center"/>
          </w:tcPr>
          <w:p w14:paraId="56DFDC03">
            <w:pPr>
              <w:widowControl/>
              <w:spacing w:line="300" w:lineRule="exact"/>
              <w:jc w:val="center"/>
              <w:rPr>
                <w:rFonts w:ascii="宋体"/>
                <w:kern w:val="0"/>
              </w:rPr>
            </w:pPr>
            <w:r>
              <w:rPr>
                <w:rFonts w:ascii="宋体" w:hAnsi="宋体" w:cs="宋体"/>
                <w:kern w:val="0"/>
              </w:rPr>
              <w:t>3</w:t>
            </w:r>
          </w:p>
        </w:tc>
        <w:tc>
          <w:tcPr>
            <w:tcW w:w="2536" w:type="dxa"/>
            <w:tcBorders>
              <w:top w:val="nil"/>
              <w:left w:val="nil"/>
              <w:bottom w:val="single" w:color="auto" w:sz="4" w:space="0"/>
              <w:right w:val="single" w:color="auto" w:sz="4" w:space="0"/>
            </w:tcBorders>
            <w:noWrap w:val="0"/>
            <w:vAlign w:val="center"/>
          </w:tcPr>
          <w:p w14:paraId="76A52359">
            <w:pPr>
              <w:widowControl/>
              <w:spacing w:line="300" w:lineRule="exact"/>
              <w:rPr>
                <w:rFonts w:ascii="宋体"/>
                <w:kern w:val="0"/>
              </w:rPr>
            </w:pPr>
            <w:r>
              <w:rPr>
                <w:rFonts w:hint="eastAsia" w:ascii="宋体" w:hAnsi="宋体" w:cs="宋体"/>
                <w:kern w:val="0"/>
              </w:rPr>
              <w:t>部门（单位）制定了相应的预算资金、财务管理和预算绩效管理等制度并严格执行，用以反映部门（单位）的管理制度对其完成主要职责和促进事业发展的保障情况。</w:t>
            </w:r>
          </w:p>
        </w:tc>
        <w:tc>
          <w:tcPr>
            <w:tcW w:w="5812" w:type="dxa"/>
            <w:tcBorders>
              <w:top w:val="nil"/>
              <w:left w:val="nil"/>
              <w:bottom w:val="single" w:color="auto" w:sz="4" w:space="0"/>
              <w:right w:val="single" w:color="auto" w:sz="4" w:space="0"/>
            </w:tcBorders>
            <w:noWrap w:val="0"/>
            <w:vAlign w:val="top"/>
          </w:tcPr>
          <w:p w14:paraId="284686D9">
            <w:pPr>
              <w:widowControl/>
              <w:spacing w:line="300" w:lineRule="exact"/>
              <w:jc w:val="left"/>
              <w:rPr>
                <w:rFonts w:ascii="宋体"/>
                <w:kern w:val="0"/>
              </w:rPr>
            </w:pPr>
            <w:r>
              <w:rPr>
                <w:rFonts w:ascii="宋体" w:hAnsi="宋体" w:cs="宋体"/>
                <w:kern w:val="0"/>
              </w:rPr>
              <w:t xml:space="preserve">    1.</w:t>
            </w:r>
            <w:r>
              <w:rPr>
                <w:rFonts w:hint="eastAsia" w:ascii="宋体" w:hAnsi="宋体" w:cs="宋体"/>
                <w:kern w:val="0"/>
              </w:rPr>
              <w:t>部门制定了财政资金管理、财务管理、内部控制等制度（</w:t>
            </w:r>
            <w:r>
              <w:rPr>
                <w:rFonts w:ascii="宋体" w:hAnsi="宋体" w:cs="宋体"/>
                <w:kern w:val="0"/>
              </w:rPr>
              <w:t>0.5</w:t>
            </w:r>
            <w:r>
              <w:rPr>
                <w:rFonts w:hint="eastAsia" w:ascii="宋体" w:hAnsi="宋体" w:cs="宋体"/>
                <w:kern w:val="0"/>
              </w:rPr>
              <w:t>分）；</w:t>
            </w:r>
            <w:r>
              <w:rPr>
                <w:rFonts w:ascii="宋体"/>
                <w:kern w:val="0"/>
              </w:rPr>
              <w:br w:type="textWrapping"/>
            </w:r>
            <w:r>
              <w:rPr>
                <w:rFonts w:ascii="宋体" w:hAnsi="宋体" w:cs="宋体"/>
                <w:kern w:val="0"/>
              </w:rPr>
              <w:t xml:space="preserve">    2.</w:t>
            </w:r>
            <w:r>
              <w:rPr>
                <w:rFonts w:hint="eastAsia" w:ascii="宋体" w:hAnsi="宋体" w:cs="宋体"/>
                <w:kern w:val="0"/>
              </w:rPr>
              <w:t>上述财政资金管理、财务管理、内部控制等制度得到有效执行（</w:t>
            </w:r>
            <w:r>
              <w:rPr>
                <w:rFonts w:ascii="宋体" w:hAnsi="宋体" w:cs="宋体"/>
                <w:kern w:val="0"/>
              </w:rPr>
              <w:t>1.5</w:t>
            </w:r>
            <w:r>
              <w:rPr>
                <w:rFonts w:hint="eastAsia" w:ascii="宋体" w:hAnsi="宋体" w:cs="宋体"/>
                <w:kern w:val="0"/>
              </w:rPr>
              <w:t>分）；</w:t>
            </w:r>
            <w:r>
              <w:rPr>
                <w:rFonts w:ascii="宋体"/>
                <w:kern w:val="0"/>
              </w:rPr>
              <w:br w:type="textWrapping"/>
            </w:r>
            <w:r>
              <w:rPr>
                <w:rFonts w:ascii="宋体" w:hAnsi="宋体" w:cs="宋体"/>
                <w:kern w:val="0"/>
              </w:rPr>
              <w:t xml:space="preserve">    3.</w:t>
            </w:r>
            <w:r>
              <w:rPr>
                <w:rFonts w:hint="eastAsia" w:ascii="宋体" w:hAnsi="宋体" w:cs="宋体"/>
                <w:kern w:val="0"/>
              </w:rPr>
              <w:t>部门按照预算和绩效管理一体化的要求制定本部门全面实施预算绩效管理的制度或工作方案，组织指导本级及下属单位开展事前评估、绩效目标编报、绩效监控、绩效评价和评价结果应用等工作（</w:t>
            </w:r>
            <w:r>
              <w:rPr>
                <w:rFonts w:ascii="宋体" w:hAnsi="宋体" w:cs="宋体"/>
                <w:kern w:val="0"/>
              </w:rPr>
              <w:t>1</w:t>
            </w:r>
            <w:r>
              <w:rPr>
                <w:rFonts w:hint="eastAsia" w:ascii="宋体" w:hAnsi="宋体" w:cs="宋体"/>
                <w:kern w:val="0"/>
              </w:rPr>
              <w:t>分）。</w:t>
            </w:r>
          </w:p>
        </w:tc>
        <w:tc>
          <w:tcPr>
            <w:tcW w:w="807" w:type="dxa"/>
            <w:tcBorders>
              <w:top w:val="nil"/>
              <w:left w:val="nil"/>
              <w:bottom w:val="single" w:color="auto" w:sz="4" w:space="0"/>
              <w:right w:val="single" w:color="auto" w:sz="4" w:space="0"/>
            </w:tcBorders>
            <w:noWrap w:val="0"/>
            <w:vAlign w:val="center"/>
          </w:tcPr>
          <w:p w14:paraId="4340FE89">
            <w:pPr>
              <w:widowControl/>
              <w:spacing w:line="300" w:lineRule="exact"/>
              <w:jc w:val="left"/>
              <w:rPr>
                <w:rFonts w:hint="eastAsia" w:ascii="宋体" w:hAnsi="宋体" w:eastAsia="宋体" w:cs="宋体"/>
                <w:kern w:val="0"/>
                <w:lang w:val="en-US" w:eastAsia="zh-CN"/>
              </w:rPr>
            </w:pPr>
            <w:r>
              <w:rPr>
                <w:rFonts w:hint="eastAsia" w:ascii="宋体" w:hAnsi="宋体" w:cs="宋体"/>
                <w:kern w:val="0"/>
                <w:lang w:val="en-US" w:eastAsia="zh-CN"/>
              </w:rPr>
              <w:t>3</w:t>
            </w:r>
          </w:p>
        </w:tc>
        <w:tc>
          <w:tcPr>
            <w:tcW w:w="2312" w:type="dxa"/>
            <w:tcBorders>
              <w:top w:val="nil"/>
              <w:left w:val="nil"/>
              <w:bottom w:val="single" w:color="auto" w:sz="4" w:space="0"/>
              <w:right w:val="single" w:color="auto" w:sz="4" w:space="0"/>
            </w:tcBorders>
            <w:noWrap w:val="0"/>
            <w:vAlign w:val="top"/>
          </w:tcPr>
          <w:p w14:paraId="1191AB3B">
            <w:pPr>
              <w:widowControl/>
              <w:spacing w:line="300" w:lineRule="exact"/>
              <w:jc w:val="left"/>
              <w:rPr>
                <w:rFonts w:ascii="宋体" w:hAnsi="宋体" w:cs="宋体"/>
                <w:kern w:val="0"/>
              </w:rPr>
            </w:pPr>
          </w:p>
        </w:tc>
      </w:tr>
      <w:tr w14:paraId="59E964BB">
        <w:tblPrEx>
          <w:tblCellMar>
            <w:top w:w="0" w:type="dxa"/>
            <w:left w:w="108" w:type="dxa"/>
            <w:bottom w:w="0" w:type="dxa"/>
            <w:right w:w="108" w:type="dxa"/>
          </w:tblCellMar>
        </w:tblPrEx>
        <w:trPr>
          <w:trHeight w:val="360" w:hRule="atLeast"/>
        </w:trPr>
        <w:tc>
          <w:tcPr>
            <w:tcW w:w="577" w:type="dxa"/>
            <w:vMerge w:val="restart"/>
            <w:tcBorders>
              <w:top w:val="nil"/>
              <w:left w:val="single" w:color="auto" w:sz="4" w:space="0"/>
              <w:bottom w:val="single" w:color="auto" w:sz="4" w:space="0"/>
              <w:right w:val="single" w:color="auto" w:sz="4" w:space="0"/>
            </w:tcBorders>
            <w:noWrap w:val="0"/>
            <w:vAlign w:val="center"/>
          </w:tcPr>
          <w:p w14:paraId="56A1D67D">
            <w:pPr>
              <w:widowControl/>
              <w:spacing w:line="320" w:lineRule="exact"/>
              <w:jc w:val="left"/>
              <w:rPr>
                <w:rFonts w:ascii="宋体"/>
                <w:kern w:val="0"/>
              </w:rPr>
            </w:pPr>
            <w:r>
              <w:rPr>
                <w:rFonts w:hint="eastAsia" w:ascii="宋体" w:hAnsi="宋体" w:cs="宋体"/>
                <w:kern w:val="0"/>
              </w:rPr>
              <w:t>部门绩效</w:t>
            </w:r>
          </w:p>
        </w:tc>
        <w:tc>
          <w:tcPr>
            <w:tcW w:w="567" w:type="dxa"/>
            <w:vMerge w:val="restart"/>
            <w:tcBorders>
              <w:top w:val="nil"/>
              <w:left w:val="single" w:color="auto" w:sz="4" w:space="0"/>
              <w:bottom w:val="single" w:color="auto" w:sz="4" w:space="0"/>
              <w:right w:val="single" w:color="auto" w:sz="4" w:space="0"/>
            </w:tcBorders>
            <w:noWrap w:val="0"/>
            <w:vAlign w:val="center"/>
          </w:tcPr>
          <w:p w14:paraId="15F55F47">
            <w:pPr>
              <w:widowControl/>
              <w:spacing w:line="320" w:lineRule="exact"/>
              <w:jc w:val="left"/>
              <w:rPr>
                <w:rFonts w:ascii="宋体"/>
                <w:kern w:val="0"/>
              </w:rPr>
            </w:pPr>
            <w:r>
              <w:rPr>
                <w:rFonts w:ascii="宋体" w:hAnsi="宋体" w:cs="宋体"/>
                <w:kern w:val="0"/>
              </w:rPr>
              <w:t>55</w:t>
            </w:r>
          </w:p>
        </w:tc>
        <w:tc>
          <w:tcPr>
            <w:tcW w:w="567" w:type="dxa"/>
            <w:tcBorders>
              <w:top w:val="nil"/>
              <w:left w:val="nil"/>
              <w:bottom w:val="single" w:color="auto" w:sz="4" w:space="0"/>
              <w:right w:val="single" w:color="auto" w:sz="4" w:space="0"/>
            </w:tcBorders>
            <w:noWrap w:val="0"/>
            <w:vAlign w:val="center"/>
          </w:tcPr>
          <w:p w14:paraId="2126E011">
            <w:pPr>
              <w:widowControl/>
              <w:spacing w:line="320" w:lineRule="exact"/>
              <w:jc w:val="left"/>
              <w:rPr>
                <w:rFonts w:ascii="宋体"/>
                <w:kern w:val="0"/>
              </w:rPr>
            </w:pPr>
            <w:r>
              <w:rPr>
                <w:rFonts w:hint="eastAsia" w:ascii="宋体" w:hAnsi="宋体" w:cs="宋体"/>
                <w:kern w:val="0"/>
              </w:rPr>
              <w:t>经济性</w:t>
            </w:r>
          </w:p>
        </w:tc>
        <w:tc>
          <w:tcPr>
            <w:tcW w:w="567" w:type="dxa"/>
            <w:tcBorders>
              <w:top w:val="nil"/>
              <w:left w:val="nil"/>
              <w:bottom w:val="single" w:color="auto" w:sz="4" w:space="0"/>
              <w:right w:val="single" w:color="auto" w:sz="4" w:space="0"/>
            </w:tcBorders>
            <w:noWrap w:val="0"/>
            <w:vAlign w:val="center"/>
          </w:tcPr>
          <w:p w14:paraId="1D0F5A66">
            <w:pPr>
              <w:widowControl/>
              <w:spacing w:line="320" w:lineRule="exact"/>
              <w:jc w:val="center"/>
              <w:rPr>
                <w:rFonts w:ascii="宋体"/>
                <w:kern w:val="0"/>
              </w:rPr>
            </w:pPr>
            <w:r>
              <w:rPr>
                <w:rFonts w:ascii="宋体" w:hAnsi="宋体" w:cs="宋体"/>
                <w:kern w:val="0"/>
              </w:rPr>
              <w:t>6</w:t>
            </w:r>
          </w:p>
        </w:tc>
        <w:tc>
          <w:tcPr>
            <w:tcW w:w="851" w:type="dxa"/>
            <w:tcBorders>
              <w:top w:val="nil"/>
              <w:left w:val="nil"/>
              <w:bottom w:val="single" w:color="auto" w:sz="4" w:space="0"/>
              <w:right w:val="single" w:color="auto" w:sz="4" w:space="0"/>
            </w:tcBorders>
            <w:noWrap w:val="0"/>
            <w:vAlign w:val="center"/>
          </w:tcPr>
          <w:p w14:paraId="7665E0E1">
            <w:pPr>
              <w:widowControl/>
              <w:spacing w:line="320" w:lineRule="exact"/>
              <w:jc w:val="left"/>
              <w:rPr>
                <w:rFonts w:ascii="宋体"/>
                <w:kern w:val="0"/>
              </w:rPr>
            </w:pPr>
            <w:r>
              <w:rPr>
                <w:rFonts w:hint="eastAsia" w:ascii="宋体" w:hAnsi="宋体" w:cs="宋体"/>
                <w:kern w:val="0"/>
              </w:rPr>
              <w:t>公用经费控制率</w:t>
            </w:r>
          </w:p>
        </w:tc>
        <w:tc>
          <w:tcPr>
            <w:tcW w:w="567" w:type="dxa"/>
            <w:tcBorders>
              <w:top w:val="nil"/>
              <w:left w:val="nil"/>
              <w:bottom w:val="single" w:color="auto" w:sz="4" w:space="0"/>
              <w:right w:val="single" w:color="auto" w:sz="4" w:space="0"/>
            </w:tcBorders>
            <w:noWrap w:val="0"/>
            <w:vAlign w:val="center"/>
          </w:tcPr>
          <w:p w14:paraId="02F27DA5">
            <w:pPr>
              <w:widowControl/>
              <w:spacing w:line="320" w:lineRule="exact"/>
              <w:jc w:val="center"/>
              <w:rPr>
                <w:rFonts w:ascii="宋体"/>
                <w:kern w:val="0"/>
              </w:rPr>
            </w:pPr>
            <w:r>
              <w:rPr>
                <w:rFonts w:ascii="宋体" w:hAnsi="宋体" w:cs="宋体"/>
                <w:kern w:val="0"/>
              </w:rPr>
              <w:t>6</w:t>
            </w:r>
          </w:p>
        </w:tc>
        <w:tc>
          <w:tcPr>
            <w:tcW w:w="2536" w:type="dxa"/>
            <w:tcBorders>
              <w:top w:val="nil"/>
              <w:left w:val="nil"/>
              <w:bottom w:val="single" w:color="auto" w:sz="4" w:space="0"/>
              <w:right w:val="single" w:color="auto" w:sz="4" w:space="0"/>
            </w:tcBorders>
            <w:noWrap w:val="0"/>
            <w:vAlign w:val="center"/>
          </w:tcPr>
          <w:p w14:paraId="763AA005">
            <w:pPr>
              <w:widowControl/>
              <w:spacing w:line="320" w:lineRule="exact"/>
              <w:rPr>
                <w:rFonts w:ascii="宋体"/>
                <w:kern w:val="0"/>
              </w:rPr>
            </w:pPr>
            <w:r>
              <w:rPr>
                <w:rFonts w:hint="eastAsia" w:ascii="宋体" w:hAnsi="宋体" w:cs="宋体"/>
                <w:kern w:val="0"/>
              </w:rPr>
              <w:t>部门（单位）本年度实际支出的公用经费总额与预算安排的公用经费总额的比率，用以反映和考核部门（单位）对机构运转成本的实际控制程度。</w:t>
            </w:r>
          </w:p>
        </w:tc>
        <w:tc>
          <w:tcPr>
            <w:tcW w:w="5812" w:type="dxa"/>
            <w:tcBorders>
              <w:top w:val="nil"/>
              <w:left w:val="nil"/>
              <w:bottom w:val="single" w:color="auto" w:sz="4" w:space="0"/>
              <w:right w:val="single" w:color="auto" w:sz="4" w:space="0"/>
            </w:tcBorders>
            <w:noWrap w:val="0"/>
            <w:vAlign w:val="center"/>
          </w:tcPr>
          <w:p w14:paraId="44B0B875">
            <w:pPr>
              <w:widowControl/>
              <w:spacing w:line="320" w:lineRule="exact"/>
              <w:ind w:firstLine="420"/>
              <w:rPr>
                <w:rFonts w:ascii="宋体"/>
                <w:kern w:val="0"/>
              </w:rPr>
            </w:pPr>
            <w:r>
              <w:rPr>
                <w:rFonts w:ascii="宋体" w:hAnsi="宋体" w:cs="宋体"/>
                <w:kern w:val="0"/>
              </w:rPr>
              <w:t>1.</w:t>
            </w:r>
            <w:r>
              <w:rPr>
                <w:rFonts w:hint="eastAsia" w:ascii="宋体" w:hAnsi="宋体" w:cs="宋体"/>
                <w:kern w:val="0"/>
              </w:rPr>
              <w:t>“三公”经费控制率</w:t>
            </w:r>
            <w:r>
              <w:rPr>
                <w:rFonts w:ascii="宋体" w:hAnsi="宋体" w:cs="宋体"/>
                <w:kern w:val="0"/>
              </w:rPr>
              <w:t>=</w:t>
            </w:r>
            <w:r>
              <w:rPr>
                <w:rFonts w:hint="eastAsia" w:ascii="宋体" w:hAnsi="宋体" w:cs="宋体"/>
                <w:kern w:val="0"/>
              </w:rPr>
              <w:t>“三公”经费实际支出数</w:t>
            </w:r>
            <w:r>
              <w:rPr>
                <w:rFonts w:ascii="宋体" w:hAnsi="宋体" w:cs="宋体"/>
                <w:kern w:val="0"/>
              </w:rPr>
              <w:t>/</w:t>
            </w:r>
            <w:r>
              <w:rPr>
                <w:rFonts w:hint="eastAsia" w:ascii="宋体" w:hAnsi="宋体" w:cs="宋体"/>
                <w:kern w:val="0"/>
              </w:rPr>
              <w:t>“三公”经费预算安排数×</w:t>
            </w:r>
            <w:r>
              <w:rPr>
                <w:rFonts w:ascii="宋体" w:hAnsi="宋体" w:cs="宋体"/>
                <w:kern w:val="0"/>
              </w:rPr>
              <w:t>100%</w:t>
            </w:r>
          </w:p>
          <w:p w14:paraId="0B0449B8">
            <w:pPr>
              <w:widowControl/>
              <w:spacing w:line="320" w:lineRule="exact"/>
              <w:ind w:firstLine="315" w:firstLineChars="150"/>
              <w:rPr>
                <w:rFonts w:ascii="宋体"/>
                <w:kern w:val="0"/>
              </w:rPr>
            </w:pPr>
            <w:r>
              <w:rPr>
                <w:rFonts w:hint="eastAsia" w:ascii="宋体" w:cs="宋体"/>
                <w:kern w:val="0"/>
              </w:rPr>
              <w:t>（</w:t>
            </w:r>
            <w:r>
              <w:rPr>
                <w:rFonts w:ascii="宋体" w:cs="宋体"/>
                <w:kern w:val="0"/>
              </w:rPr>
              <w:t>1</w:t>
            </w:r>
            <w:r>
              <w:rPr>
                <w:rFonts w:hint="eastAsia" w:ascii="宋体" w:cs="宋体"/>
                <w:kern w:val="0"/>
              </w:rPr>
              <w:t>）</w:t>
            </w:r>
            <w:r>
              <w:rPr>
                <w:rFonts w:hint="eastAsia" w:ascii="宋体" w:hAnsi="宋体" w:cs="宋体"/>
                <w:kern w:val="0"/>
              </w:rPr>
              <w:t>“三公”经费控制率＜</w:t>
            </w:r>
            <w:r>
              <w:rPr>
                <w:rFonts w:ascii="宋体" w:hAnsi="宋体" w:cs="宋体"/>
                <w:kern w:val="0"/>
              </w:rPr>
              <w:t>90%</w:t>
            </w:r>
            <w:r>
              <w:rPr>
                <w:rFonts w:hint="eastAsia" w:ascii="宋体" w:hAnsi="宋体" w:cs="宋体"/>
                <w:kern w:val="0"/>
              </w:rPr>
              <w:t>的，得</w:t>
            </w:r>
            <w:r>
              <w:rPr>
                <w:rFonts w:ascii="宋体" w:hAnsi="宋体" w:cs="宋体"/>
                <w:kern w:val="0"/>
              </w:rPr>
              <w:t>3</w:t>
            </w:r>
            <w:r>
              <w:rPr>
                <w:rFonts w:hint="eastAsia" w:ascii="宋体" w:hAnsi="宋体" w:cs="宋体"/>
                <w:kern w:val="0"/>
              </w:rPr>
              <w:t>分；</w:t>
            </w:r>
          </w:p>
          <w:p w14:paraId="5094431A">
            <w:pPr>
              <w:widowControl/>
              <w:spacing w:line="320" w:lineRule="exact"/>
              <w:ind w:firstLine="315" w:firstLineChars="150"/>
              <w:rPr>
                <w:rFonts w:ascii="宋体"/>
                <w:kern w:val="0"/>
              </w:rPr>
            </w:pPr>
            <w:r>
              <w:rPr>
                <w:rFonts w:hint="eastAsia" w:ascii="宋体" w:hAnsi="宋体" w:cs="宋体"/>
                <w:kern w:val="0"/>
              </w:rPr>
              <w:t>（</w:t>
            </w:r>
            <w:r>
              <w:rPr>
                <w:rFonts w:ascii="宋体" w:hAnsi="宋体" w:cs="宋体"/>
                <w:kern w:val="0"/>
              </w:rPr>
              <w:t>2</w:t>
            </w:r>
            <w:r>
              <w:rPr>
                <w:rFonts w:hint="eastAsia" w:ascii="宋体" w:hAnsi="宋体" w:cs="宋体"/>
                <w:kern w:val="0"/>
              </w:rPr>
              <w:t>）</w:t>
            </w:r>
            <w:r>
              <w:rPr>
                <w:rFonts w:ascii="宋体" w:hAnsi="宋体" w:cs="宋体"/>
                <w:kern w:val="0"/>
              </w:rPr>
              <w:t>90%</w:t>
            </w:r>
            <w:r>
              <w:rPr>
                <w:rFonts w:hint="eastAsia" w:ascii="宋体" w:hAnsi="宋体" w:cs="宋体"/>
                <w:kern w:val="0"/>
              </w:rPr>
              <w:t>≤“三公”经费控制率≤</w:t>
            </w:r>
            <w:r>
              <w:rPr>
                <w:rFonts w:ascii="宋体" w:hAnsi="宋体" w:cs="宋体"/>
                <w:kern w:val="0"/>
              </w:rPr>
              <w:t>100%</w:t>
            </w:r>
            <w:r>
              <w:rPr>
                <w:rFonts w:hint="eastAsia" w:ascii="宋体" w:hAnsi="宋体" w:cs="宋体"/>
                <w:kern w:val="0"/>
              </w:rPr>
              <w:t>的，得</w:t>
            </w:r>
            <w:r>
              <w:rPr>
                <w:rFonts w:ascii="宋体" w:hAnsi="宋体" w:cs="宋体"/>
                <w:kern w:val="0"/>
              </w:rPr>
              <w:t>2</w:t>
            </w:r>
            <w:r>
              <w:rPr>
                <w:rFonts w:hint="eastAsia" w:ascii="宋体" w:hAnsi="宋体" w:cs="宋体"/>
                <w:kern w:val="0"/>
              </w:rPr>
              <w:t>分；</w:t>
            </w:r>
          </w:p>
          <w:p w14:paraId="5A36DE65">
            <w:pPr>
              <w:widowControl/>
              <w:spacing w:line="320" w:lineRule="exact"/>
              <w:ind w:firstLine="315" w:firstLineChars="150"/>
              <w:rPr>
                <w:rFonts w:ascii="宋体" w:hAnsi="宋体" w:cs="宋体"/>
                <w:kern w:val="0"/>
              </w:rPr>
            </w:pPr>
            <w:r>
              <w:rPr>
                <w:rFonts w:hint="eastAsia" w:ascii="宋体" w:cs="宋体"/>
                <w:kern w:val="0"/>
              </w:rPr>
              <w:t>（</w:t>
            </w:r>
            <w:r>
              <w:rPr>
                <w:rFonts w:ascii="宋体" w:cs="宋体"/>
                <w:kern w:val="0"/>
              </w:rPr>
              <w:t>3</w:t>
            </w:r>
            <w:r>
              <w:rPr>
                <w:rFonts w:hint="eastAsia" w:ascii="宋体" w:cs="宋体"/>
                <w:kern w:val="0"/>
              </w:rPr>
              <w:t>）</w:t>
            </w:r>
            <w:r>
              <w:rPr>
                <w:rFonts w:hint="eastAsia" w:ascii="宋体" w:hAnsi="宋体" w:cs="宋体"/>
                <w:kern w:val="0"/>
              </w:rPr>
              <w:t>“三公”经费控制率＞</w:t>
            </w:r>
            <w:r>
              <w:rPr>
                <w:rFonts w:ascii="宋体" w:hAnsi="宋体" w:cs="宋体"/>
                <w:kern w:val="0"/>
              </w:rPr>
              <w:t>100%</w:t>
            </w:r>
            <w:r>
              <w:rPr>
                <w:rFonts w:hint="eastAsia" w:ascii="宋体" w:hAnsi="宋体" w:cs="宋体"/>
                <w:kern w:val="0"/>
              </w:rPr>
              <w:t>的，得</w:t>
            </w:r>
            <w:r>
              <w:rPr>
                <w:rFonts w:ascii="宋体" w:cs="宋体"/>
                <w:kern w:val="0"/>
              </w:rPr>
              <w:t>0</w:t>
            </w:r>
            <w:r>
              <w:rPr>
                <w:rFonts w:hint="eastAsia" w:ascii="宋体" w:hAnsi="宋体" w:cs="宋体"/>
                <w:kern w:val="0"/>
              </w:rPr>
              <w:t>分。</w:t>
            </w:r>
            <w:r>
              <w:rPr>
                <w:rFonts w:ascii="宋体"/>
                <w:kern w:val="0"/>
              </w:rPr>
              <w:br w:type="textWrapping"/>
            </w:r>
            <w:r>
              <w:rPr>
                <w:rFonts w:ascii="宋体" w:hAnsi="宋体" w:cs="宋体"/>
                <w:kern w:val="0"/>
              </w:rPr>
              <w:t xml:space="preserve">    2. </w:t>
            </w:r>
            <w:r>
              <w:rPr>
                <w:rFonts w:hint="eastAsia" w:ascii="宋体" w:hAnsi="宋体" w:cs="宋体"/>
                <w:kern w:val="0"/>
              </w:rPr>
              <w:t>日常公用经费控制率</w:t>
            </w:r>
            <w:r>
              <w:rPr>
                <w:rFonts w:ascii="宋体" w:hAnsi="宋体" w:cs="宋体"/>
                <w:kern w:val="0"/>
              </w:rPr>
              <w:t>=</w:t>
            </w:r>
            <w:r>
              <w:rPr>
                <w:rFonts w:hint="eastAsia" w:ascii="宋体" w:hAnsi="宋体" w:cs="宋体"/>
                <w:kern w:val="0"/>
              </w:rPr>
              <w:t>日常公用经费决算数</w:t>
            </w:r>
            <w:r>
              <w:rPr>
                <w:rFonts w:ascii="宋体" w:hAnsi="宋体" w:cs="宋体"/>
                <w:kern w:val="0"/>
              </w:rPr>
              <w:t>/</w:t>
            </w:r>
            <w:r>
              <w:rPr>
                <w:rFonts w:hint="eastAsia" w:ascii="宋体" w:hAnsi="宋体" w:cs="宋体"/>
                <w:kern w:val="0"/>
              </w:rPr>
              <w:t>日常公用经费调整预算数×</w:t>
            </w:r>
            <w:r>
              <w:rPr>
                <w:rFonts w:ascii="宋体" w:hAnsi="宋体" w:cs="宋体"/>
                <w:kern w:val="0"/>
              </w:rPr>
              <w:t>100%</w:t>
            </w:r>
          </w:p>
          <w:p w14:paraId="6D62AD64">
            <w:pPr>
              <w:widowControl/>
              <w:spacing w:line="320" w:lineRule="exact"/>
              <w:ind w:firstLine="315" w:firstLineChars="150"/>
              <w:rPr>
                <w:rFonts w:ascii="宋体"/>
                <w:kern w:val="0"/>
              </w:rPr>
            </w:pPr>
            <w:r>
              <w:rPr>
                <w:rFonts w:hint="eastAsia" w:ascii="宋体" w:cs="宋体"/>
                <w:kern w:val="0"/>
              </w:rPr>
              <w:t>（</w:t>
            </w:r>
            <w:r>
              <w:rPr>
                <w:rFonts w:ascii="宋体" w:cs="宋体"/>
                <w:kern w:val="0"/>
              </w:rPr>
              <w:t>1</w:t>
            </w:r>
            <w:r>
              <w:rPr>
                <w:rFonts w:hint="eastAsia" w:ascii="宋体" w:cs="宋体"/>
                <w:kern w:val="0"/>
              </w:rPr>
              <w:t>）</w:t>
            </w:r>
            <w:r>
              <w:rPr>
                <w:rFonts w:hint="eastAsia" w:ascii="宋体" w:hAnsi="宋体" w:cs="宋体"/>
                <w:kern w:val="0"/>
              </w:rPr>
              <w:t>日常公用经费控制率＜</w:t>
            </w:r>
            <w:r>
              <w:rPr>
                <w:rFonts w:ascii="宋体" w:hAnsi="宋体" w:cs="宋体"/>
                <w:kern w:val="0"/>
              </w:rPr>
              <w:t>90%</w:t>
            </w:r>
            <w:r>
              <w:rPr>
                <w:rFonts w:hint="eastAsia" w:ascii="宋体" w:hAnsi="宋体" w:cs="宋体"/>
                <w:kern w:val="0"/>
              </w:rPr>
              <w:t>的，得</w:t>
            </w:r>
            <w:r>
              <w:rPr>
                <w:rFonts w:ascii="宋体" w:hAnsi="宋体" w:cs="宋体"/>
                <w:kern w:val="0"/>
              </w:rPr>
              <w:t>3</w:t>
            </w:r>
            <w:r>
              <w:rPr>
                <w:rFonts w:hint="eastAsia" w:ascii="宋体" w:hAnsi="宋体" w:cs="宋体"/>
                <w:kern w:val="0"/>
              </w:rPr>
              <w:t>分；</w:t>
            </w:r>
          </w:p>
          <w:p w14:paraId="00464944">
            <w:pPr>
              <w:widowControl/>
              <w:spacing w:line="320" w:lineRule="exact"/>
              <w:ind w:firstLine="315" w:firstLineChars="150"/>
              <w:rPr>
                <w:rFonts w:ascii="宋体"/>
                <w:kern w:val="0"/>
              </w:rPr>
            </w:pPr>
            <w:r>
              <w:rPr>
                <w:rFonts w:hint="eastAsia" w:ascii="宋体" w:hAnsi="宋体" w:cs="宋体"/>
                <w:kern w:val="0"/>
              </w:rPr>
              <w:t>（</w:t>
            </w:r>
            <w:r>
              <w:rPr>
                <w:rFonts w:ascii="宋体" w:hAnsi="宋体" w:cs="宋体"/>
                <w:kern w:val="0"/>
              </w:rPr>
              <w:t>2</w:t>
            </w:r>
            <w:r>
              <w:rPr>
                <w:rFonts w:hint="eastAsia" w:ascii="宋体" w:hAnsi="宋体" w:cs="宋体"/>
                <w:kern w:val="0"/>
              </w:rPr>
              <w:t>）</w:t>
            </w:r>
            <w:r>
              <w:rPr>
                <w:rFonts w:ascii="宋体" w:hAnsi="宋体" w:cs="宋体"/>
                <w:kern w:val="0"/>
              </w:rPr>
              <w:t>90%</w:t>
            </w:r>
            <w:r>
              <w:rPr>
                <w:rFonts w:hint="eastAsia" w:ascii="宋体" w:hAnsi="宋体" w:cs="宋体"/>
                <w:kern w:val="0"/>
              </w:rPr>
              <w:t>≤日常公用经费控制率≤</w:t>
            </w:r>
            <w:r>
              <w:rPr>
                <w:rFonts w:ascii="宋体" w:hAnsi="宋体" w:cs="宋体"/>
                <w:kern w:val="0"/>
              </w:rPr>
              <w:t>100%</w:t>
            </w:r>
            <w:r>
              <w:rPr>
                <w:rFonts w:hint="eastAsia" w:ascii="宋体" w:hAnsi="宋体" w:cs="宋体"/>
                <w:kern w:val="0"/>
              </w:rPr>
              <w:t>的，得</w:t>
            </w:r>
            <w:r>
              <w:rPr>
                <w:rFonts w:ascii="宋体" w:hAnsi="宋体" w:cs="宋体"/>
                <w:kern w:val="0"/>
              </w:rPr>
              <w:t>2</w:t>
            </w:r>
            <w:r>
              <w:rPr>
                <w:rFonts w:hint="eastAsia" w:ascii="宋体" w:hAnsi="宋体" w:cs="宋体"/>
                <w:kern w:val="0"/>
              </w:rPr>
              <w:t>分；</w:t>
            </w:r>
          </w:p>
          <w:p w14:paraId="61DA0E4C">
            <w:pPr>
              <w:widowControl/>
              <w:spacing w:line="320" w:lineRule="exact"/>
              <w:ind w:firstLine="315" w:firstLineChars="150"/>
              <w:rPr>
                <w:rFonts w:ascii="宋体"/>
                <w:kern w:val="0"/>
              </w:rPr>
            </w:pPr>
            <w:r>
              <w:rPr>
                <w:rFonts w:hint="eastAsia" w:ascii="宋体" w:cs="宋体"/>
                <w:kern w:val="0"/>
              </w:rPr>
              <w:t>（</w:t>
            </w:r>
            <w:r>
              <w:rPr>
                <w:rFonts w:ascii="宋体" w:cs="宋体"/>
                <w:kern w:val="0"/>
              </w:rPr>
              <w:t>3</w:t>
            </w:r>
            <w:r>
              <w:rPr>
                <w:rFonts w:hint="eastAsia" w:ascii="宋体" w:cs="宋体"/>
                <w:kern w:val="0"/>
              </w:rPr>
              <w:t>）</w:t>
            </w:r>
            <w:r>
              <w:rPr>
                <w:rFonts w:hint="eastAsia" w:ascii="宋体" w:hAnsi="宋体" w:cs="宋体"/>
                <w:kern w:val="0"/>
              </w:rPr>
              <w:t>日常公用经费控制率＞</w:t>
            </w:r>
            <w:r>
              <w:rPr>
                <w:rFonts w:ascii="宋体" w:hAnsi="宋体" w:cs="宋体"/>
                <w:kern w:val="0"/>
              </w:rPr>
              <w:t>100%</w:t>
            </w:r>
            <w:r>
              <w:rPr>
                <w:rFonts w:hint="eastAsia" w:ascii="宋体" w:hAnsi="宋体" w:cs="宋体"/>
                <w:kern w:val="0"/>
              </w:rPr>
              <w:t>的，得</w:t>
            </w:r>
            <w:r>
              <w:rPr>
                <w:rFonts w:ascii="宋体" w:cs="宋体"/>
                <w:kern w:val="0"/>
              </w:rPr>
              <w:t>0</w:t>
            </w:r>
            <w:r>
              <w:rPr>
                <w:rFonts w:hint="eastAsia" w:ascii="宋体" w:hAnsi="宋体" w:cs="宋体"/>
                <w:kern w:val="0"/>
              </w:rPr>
              <w:t>分。</w:t>
            </w:r>
          </w:p>
        </w:tc>
        <w:tc>
          <w:tcPr>
            <w:tcW w:w="807" w:type="dxa"/>
            <w:tcBorders>
              <w:top w:val="nil"/>
              <w:left w:val="nil"/>
              <w:bottom w:val="single" w:color="auto" w:sz="4" w:space="0"/>
              <w:right w:val="single" w:color="auto" w:sz="4" w:space="0"/>
            </w:tcBorders>
            <w:noWrap w:val="0"/>
            <w:vAlign w:val="center"/>
          </w:tcPr>
          <w:p w14:paraId="0ACF5BF8">
            <w:pPr>
              <w:widowControl/>
              <w:spacing w:line="320" w:lineRule="exact"/>
              <w:jc w:val="left"/>
              <w:rPr>
                <w:rFonts w:hint="eastAsia" w:ascii="宋体" w:hAnsi="宋体" w:eastAsia="宋体" w:cs="宋体"/>
                <w:kern w:val="0"/>
                <w:lang w:val="en-US" w:eastAsia="zh-CN"/>
              </w:rPr>
            </w:pPr>
            <w:r>
              <w:rPr>
                <w:rFonts w:hint="eastAsia" w:ascii="宋体" w:hAnsi="宋体" w:cs="宋体"/>
                <w:kern w:val="0"/>
                <w:lang w:val="en-US" w:eastAsia="zh-CN"/>
              </w:rPr>
              <w:t>4</w:t>
            </w:r>
          </w:p>
        </w:tc>
        <w:tc>
          <w:tcPr>
            <w:tcW w:w="2312" w:type="dxa"/>
            <w:tcBorders>
              <w:top w:val="nil"/>
              <w:left w:val="nil"/>
              <w:bottom w:val="single" w:color="auto" w:sz="4" w:space="0"/>
              <w:right w:val="single" w:color="auto" w:sz="4" w:space="0"/>
            </w:tcBorders>
            <w:noWrap w:val="0"/>
            <w:vAlign w:val="top"/>
          </w:tcPr>
          <w:p w14:paraId="39C7FF91">
            <w:pPr>
              <w:widowControl/>
              <w:spacing w:line="320" w:lineRule="exact"/>
              <w:ind w:firstLine="420"/>
              <w:rPr>
                <w:rFonts w:ascii="宋体" w:hAnsi="宋体" w:cs="宋体"/>
                <w:kern w:val="0"/>
              </w:rPr>
            </w:pPr>
            <w:r>
              <w:rPr>
                <w:rFonts w:hint="eastAsia" w:ascii="宋体" w:hAnsi="宋体" w:cs="宋体"/>
                <w:kern w:val="0"/>
              </w:rPr>
              <w:t>“三公”经费控制率</w:t>
            </w:r>
            <w:r>
              <w:rPr>
                <w:rFonts w:hint="eastAsia" w:ascii="宋体" w:hAnsi="宋体" w:cs="宋体"/>
                <w:kern w:val="0"/>
                <w:lang w:val="en-US" w:eastAsia="zh-CN"/>
              </w:rPr>
              <w:t>为99.99%</w:t>
            </w:r>
            <w:r>
              <w:rPr>
                <w:rFonts w:hint="eastAsia" w:ascii="宋体" w:hAnsi="宋体" w:cs="宋体"/>
                <w:kern w:val="0"/>
                <w:lang w:eastAsia="zh-CN"/>
              </w:rPr>
              <w:t>，</w:t>
            </w:r>
            <w:r>
              <w:rPr>
                <w:rFonts w:hint="eastAsia" w:ascii="宋体" w:hAnsi="宋体" w:cs="宋体"/>
                <w:kern w:val="0"/>
                <w:lang w:val="en-US" w:eastAsia="zh-CN"/>
              </w:rPr>
              <w:t>日常公用经费控制率为96.04%，</w:t>
            </w:r>
            <w:r>
              <w:rPr>
                <w:rFonts w:hint="eastAsia" w:ascii="宋体" w:hAnsi="宋体" w:cs="宋体"/>
                <w:kern w:val="0"/>
              </w:rPr>
              <w:t>“三公”经费</w:t>
            </w:r>
            <w:r>
              <w:rPr>
                <w:rFonts w:hint="eastAsia" w:ascii="宋体" w:hAnsi="宋体" w:cs="宋体"/>
                <w:kern w:val="0"/>
                <w:lang w:eastAsia="zh-CN"/>
              </w:rPr>
              <w:t>、</w:t>
            </w:r>
            <w:r>
              <w:rPr>
                <w:rFonts w:hint="eastAsia" w:ascii="宋体" w:hAnsi="宋体" w:cs="宋体"/>
                <w:kern w:val="0"/>
                <w:lang w:val="en-US" w:eastAsia="zh-CN"/>
              </w:rPr>
              <w:t>日常公用经费在可控范围，但未达到控制率&lt;90得满分的评分标准。后续我校会加强内部控制，力行节俭节约。</w:t>
            </w:r>
          </w:p>
        </w:tc>
      </w:tr>
      <w:tr w14:paraId="71DD93EE">
        <w:tblPrEx>
          <w:tblCellMar>
            <w:top w:w="0" w:type="dxa"/>
            <w:left w:w="108" w:type="dxa"/>
            <w:bottom w:w="0" w:type="dxa"/>
            <w:right w:w="108" w:type="dxa"/>
          </w:tblCellMar>
        </w:tblPrEx>
        <w:trPr>
          <w:trHeight w:val="2767" w:hRule="atLeast"/>
        </w:trPr>
        <w:tc>
          <w:tcPr>
            <w:tcW w:w="577" w:type="dxa"/>
            <w:vMerge w:val="continue"/>
            <w:tcBorders>
              <w:top w:val="nil"/>
              <w:left w:val="single" w:color="auto" w:sz="4" w:space="0"/>
              <w:bottom w:val="single" w:color="auto" w:sz="4" w:space="0"/>
              <w:right w:val="single" w:color="auto" w:sz="4" w:space="0"/>
            </w:tcBorders>
            <w:noWrap w:val="0"/>
            <w:vAlign w:val="center"/>
          </w:tcPr>
          <w:p w14:paraId="5F640C65">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2C42B8DD">
            <w:pPr>
              <w:widowControl/>
              <w:spacing w:line="320" w:lineRule="exact"/>
              <w:jc w:val="left"/>
              <w:rPr>
                <w:rFonts w:ascii="宋体"/>
                <w:kern w:val="0"/>
              </w:rPr>
            </w:pPr>
          </w:p>
        </w:tc>
        <w:tc>
          <w:tcPr>
            <w:tcW w:w="567" w:type="dxa"/>
            <w:vMerge w:val="restart"/>
            <w:tcBorders>
              <w:top w:val="single" w:color="auto" w:sz="4" w:space="0"/>
              <w:left w:val="single" w:color="auto" w:sz="4" w:space="0"/>
              <w:bottom w:val="single" w:color="auto" w:sz="4" w:space="0"/>
              <w:right w:val="single" w:color="auto" w:sz="4" w:space="0"/>
            </w:tcBorders>
            <w:noWrap w:val="0"/>
            <w:vAlign w:val="center"/>
          </w:tcPr>
          <w:p w14:paraId="013A3D6F">
            <w:pPr>
              <w:spacing w:line="320" w:lineRule="exact"/>
              <w:jc w:val="left"/>
              <w:rPr>
                <w:rFonts w:ascii="宋体"/>
                <w:kern w:val="0"/>
              </w:rPr>
            </w:pPr>
            <w:r>
              <w:rPr>
                <w:rFonts w:hint="eastAsia" w:ascii="宋体" w:hAnsi="宋体" w:cs="宋体"/>
                <w:kern w:val="0"/>
              </w:rPr>
              <w:t>效率性</w:t>
            </w:r>
          </w:p>
        </w:tc>
        <w:tc>
          <w:tcPr>
            <w:tcW w:w="567" w:type="dxa"/>
            <w:vMerge w:val="restart"/>
            <w:tcBorders>
              <w:top w:val="single" w:color="auto" w:sz="4" w:space="0"/>
              <w:left w:val="single" w:color="auto" w:sz="4" w:space="0"/>
              <w:bottom w:val="single" w:color="auto" w:sz="4" w:space="0"/>
              <w:right w:val="single" w:color="auto" w:sz="4" w:space="0"/>
            </w:tcBorders>
            <w:noWrap w:val="0"/>
            <w:vAlign w:val="center"/>
          </w:tcPr>
          <w:p w14:paraId="1DE9B2C8">
            <w:pPr>
              <w:spacing w:line="320" w:lineRule="exact"/>
              <w:jc w:val="center"/>
              <w:rPr>
                <w:rFonts w:ascii="宋体"/>
                <w:kern w:val="0"/>
              </w:rPr>
            </w:pPr>
            <w:r>
              <w:rPr>
                <w:rFonts w:ascii="宋体" w:hAnsi="宋体" w:cs="宋体"/>
                <w:kern w:val="0"/>
              </w:rPr>
              <w:t>20</w:t>
            </w:r>
          </w:p>
        </w:tc>
        <w:tc>
          <w:tcPr>
            <w:tcW w:w="851" w:type="dxa"/>
            <w:tcBorders>
              <w:top w:val="nil"/>
              <w:left w:val="nil"/>
              <w:bottom w:val="single" w:color="auto" w:sz="4" w:space="0"/>
              <w:right w:val="single" w:color="auto" w:sz="4" w:space="0"/>
            </w:tcBorders>
            <w:noWrap w:val="0"/>
            <w:vAlign w:val="center"/>
          </w:tcPr>
          <w:p w14:paraId="09990E7E">
            <w:pPr>
              <w:widowControl/>
              <w:spacing w:line="320" w:lineRule="exact"/>
              <w:jc w:val="left"/>
              <w:rPr>
                <w:rFonts w:ascii="宋体"/>
                <w:kern w:val="0"/>
              </w:rPr>
            </w:pPr>
            <w:r>
              <w:rPr>
                <w:rFonts w:hint="eastAsia" w:ascii="宋体" w:hAnsi="宋体" w:cs="宋体"/>
                <w:kern w:val="0"/>
              </w:rPr>
              <w:t>预算执行率</w:t>
            </w:r>
          </w:p>
        </w:tc>
        <w:tc>
          <w:tcPr>
            <w:tcW w:w="567" w:type="dxa"/>
            <w:tcBorders>
              <w:top w:val="nil"/>
              <w:left w:val="nil"/>
              <w:bottom w:val="single" w:color="auto" w:sz="4" w:space="0"/>
              <w:right w:val="single" w:color="auto" w:sz="4" w:space="0"/>
            </w:tcBorders>
            <w:noWrap w:val="0"/>
            <w:vAlign w:val="center"/>
          </w:tcPr>
          <w:p w14:paraId="4A9E0D53">
            <w:pPr>
              <w:widowControl/>
              <w:spacing w:line="320" w:lineRule="exact"/>
              <w:jc w:val="center"/>
              <w:rPr>
                <w:rFonts w:ascii="宋体"/>
                <w:kern w:val="0"/>
              </w:rPr>
            </w:pPr>
            <w:r>
              <w:rPr>
                <w:rFonts w:ascii="宋体" w:hAnsi="宋体" w:cs="宋体"/>
                <w:kern w:val="0"/>
              </w:rPr>
              <w:t>6</w:t>
            </w:r>
          </w:p>
        </w:tc>
        <w:tc>
          <w:tcPr>
            <w:tcW w:w="2536" w:type="dxa"/>
            <w:tcBorders>
              <w:top w:val="nil"/>
              <w:left w:val="nil"/>
              <w:bottom w:val="single" w:color="auto" w:sz="4" w:space="0"/>
              <w:right w:val="single" w:color="auto" w:sz="4" w:space="0"/>
            </w:tcBorders>
            <w:noWrap w:val="0"/>
            <w:vAlign w:val="center"/>
          </w:tcPr>
          <w:p w14:paraId="17AFFB89">
            <w:pPr>
              <w:widowControl/>
              <w:spacing w:line="320" w:lineRule="exact"/>
              <w:rPr>
                <w:rFonts w:ascii="宋体"/>
                <w:kern w:val="0"/>
              </w:rPr>
            </w:pPr>
            <w:r>
              <w:rPr>
                <w:rFonts w:hint="eastAsia" w:ascii="宋体" w:hAnsi="宋体" w:cs="宋体"/>
                <w:kern w:val="0"/>
              </w:rPr>
              <w:t>部门（单位）部门预算实际支付进度和既定支付进度的匹配情况，反映和考核部门（单位）预算执行的及时性和均衡性。</w:t>
            </w:r>
          </w:p>
        </w:tc>
        <w:tc>
          <w:tcPr>
            <w:tcW w:w="5812" w:type="dxa"/>
            <w:tcBorders>
              <w:top w:val="nil"/>
              <w:left w:val="nil"/>
              <w:bottom w:val="single" w:color="auto" w:sz="4" w:space="0"/>
              <w:right w:val="single" w:color="auto" w:sz="4" w:space="0"/>
            </w:tcBorders>
            <w:noWrap w:val="0"/>
            <w:vAlign w:val="center"/>
          </w:tcPr>
          <w:p w14:paraId="492EF341">
            <w:pPr>
              <w:widowControl/>
              <w:spacing w:line="320" w:lineRule="exact"/>
              <w:rPr>
                <w:rFonts w:ascii="宋体"/>
                <w:kern w:val="0"/>
              </w:rPr>
            </w:pPr>
            <w:r>
              <w:rPr>
                <w:rFonts w:ascii="宋体" w:hAnsi="宋体" w:cs="宋体"/>
                <w:kern w:val="0"/>
              </w:rPr>
              <w:t>1.</w:t>
            </w:r>
            <w:r>
              <w:rPr>
                <w:rFonts w:hint="eastAsia" w:ascii="宋体" w:hAnsi="宋体" w:cs="宋体"/>
                <w:kern w:val="0"/>
              </w:rPr>
              <w:t>一季度预算执行率得分</w:t>
            </w:r>
            <w:r>
              <w:rPr>
                <w:rFonts w:ascii="宋体" w:hAnsi="宋体" w:cs="宋体"/>
                <w:kern w:val="0"/>
              </w:rPr>
              <w:t>=</w:t>
            </w:r>
            <w:r>
              <w:rPr>
                <w:rFonts w:hint="eastAsia" w:ascii="宋体" w:hAnsi="宋体" w:cs="宋体"/>
                <w:kern w:val="0"/>
              </w:rPr>
              <w:t>（一季度部门预算支出进度</w:t>
            </w:r>
            <w:r>
              <w:rPr>
                <w:rFonts w:ascii="宋体" w:hAnsi="宋体" w:cs="宋体"/>
                <w:kern w:val="0"/>
              </w:rPr>
              <w:t>/</w:t>
            </w:r>
            <w:r>
              <w:rPr>
                <w:rFonts w:hint="eastAsia" w:ascii="宋体" w:hAnsi="宋体" w:cs="宋体"/>
                <w:kern w:val="0"/>
              </w:rPr>
              <w:t>序时进度</w:t>
            </w:r>
            <w:r>
              <w:rPr>
                <w:rFonts w:ascii="宋体" w:hAnsi="宋体" w:cs="宋体"/>
                <w:kern w:val="0"/>
              </w:rPr>
              <w:t>25%</w:t>
            </w:r>
            <w:r>
              <w:rPr>
                <w:rFonts w:hint="eastAsia" w:ascii="宋体" w:hAnsi="宋体" w:cs="宋体"/>
                <w:kern w:val="0"/>
              </w:rPr>
              <w:t>）×</w:t>
            </w:r>
            <w:r>
              <w:rPr>
                <w:rFonts w:ascii="宋体" w:hAnsi="宋体" w:cs="宋体"/>
                <w:kern w:val="0"/>
              </w:rPr>
              <w:t>1</w:t>
            </w:r>
            <w:r>
              <w:rPr>
                <w:rFonts w:hint="eastAsia" w:ascii="宋体" w:hAnsi="宋体" w:cs="宋体"/>
                <w:kern w:val="0"/>
              </w:rPr>
              <w:t>分，最高得1分。</w:t>
            </w:r>
          </w:p>
          <w:p w14:paraId="61D225F9">
            <w:pPr>
              <w:widowControl/>
              <w:spacing w:line="320" w:lineRule="exact"/>
              <w:rPr>
                <w:rFonts w:ascii="宋体"/>
                <w:kern w:val="0"/>
              </w:rPr>
            </w:pPr>
            <w:r>
              <w:rPr>
                <w:rFonts w:ascii="宋体" w:hAnsi="宋体" w:cs="宋体"/>
                <w:kern w:val="0"/>
              </w:rPr>
              <w:t>2.</w:t>
            </w:r>
            <w:r>
              <w:rPr>
                <w:rFonts w:hint="eastAsia" w:ascii="宋体" w:hAnsi="宋体" w:cs="宋体"/>
                <w:kern w:val="0"/>
              </w:rPr>
              <w:t>二季度预算执行率得分</w:t>
            </w:r>
            <w:r>
              <w:rPr>
                <w:rFonts w:ascii="宋体" w:hAnsi="宋体" w:cs="宋体"/>
                <w:kern w:val="0"/>
              </w:rPr>
              <w:t>=</w:t>
            </w:r>
            <w:r>
              <w:rPr>
                <w:rFonts w:hint="eastAsia" w:ascii="宋体" w:hAnsi="宋体" w:cs="宋体"/>
                <w:kern w:val="0"/>
              </w:rPr>
              <w:t>（二季度部门预算支出进度</w:t>
            </w:r>
            <w:r>
              <w:rPr>
                <w:rFonts w:ascii="宋体" w:hAnsi="宋体" w:cs="宋体"/>
                <w:kern w:val="0"/>
              </w:rPr>
              <w:t>/</w:t>
            </w:r>
            <w:r>
              <w:rPr>
                <w:rFonts w:hint="eastAsia" w:ascii="宋体" w:hAnsi="宋体" w:cs="宋体"/>
                <w:kern w:val="0"/>
              </w:rPr>
              <w:t>序时进度</w:t>
            </w:r>
            <w:r>
              <w:rPr>
                <w:rFonts w:ascii="宋体" w:hAnsi="宋体" w:cs="宋体"/>
                <w:kern w:val="0"/>
              </w:rPr>
              <w:t>50%</w:t>
            </w:r>
            <w:r>
              <w:rPr>
                <w:rFonts w:hint="eastAsia" w:ascii="宋体" w:hAnsi="宋体" w:cs="宋体"/>
                <w:kern w:val="0"/>
              </w:rPr>
              <w:t>）×</w:t>
            </w:r>
            <w:r>
              <w:rPr>
                <w:rFonts w:ascii="宋体" w:hAnsi="宋体" w:cs="宋体"/>
                <w:kern w:val="0"/>
              </w:rPr>
              <w:t>1</w:t>
            </w:r>
            <w:r>
              <w:rPr>
                <w:rFonts w:hint="eastAsia" w:ascii="宋体" w:hAnsi="宋体" w:cs="宋体"/>
                <w:kern w:val="0"/>
              </w:rPr>
              <w:t>分，最高得1分。</w:t>
            </w:r>
          </w:p>
          <w:p w14:paraId="2718ABA6">
            <w:pPr>
              <w:widowControl/>
              <w:spacing w:line="320" w:lineRule="exact"/>
              <w:rPr>
                <w:rFonts w:ascii="宋体"/>
                <w:kern w:val="0"/>
              </w:rPr>
            </w:pPr>
            <w:r>
              <w:rPr>
                <w:rFonts w:ascii="宋体" w:hAnsi="宋体" w:cs="宋体"/>
                <w:kern w:val="0"/>
              </w:rPr>
              <w:t>3.</w:t>
            </w:r>
            <w:r>
              <w:rPr>
                <w:rFonts w:hint="eastAsia" w:ascii="宋体" w:hAnsi="宋体" w:cs="宋体"/>
                <w:kern w:val="0"/>
              </w:rPr>
              <w:t>三季度预算执行率得分</w:t>
            </w:r>
            <w:r>
              <w:rPr>
                <w:rFonts w:ascii="宋体" w:hAnsi="宋体" w:cs="宋体"/>
                <w:kern w:val="0"/>
              </w:rPr>
              <w:t>=</w:t>
            </w:r>
            <w:r>
              <w:rPr>
                <w:rFonts w:hint="eastAsia" w:ascii="宋体" w:hAnsi="宋体" w:cs="宋体"/>
                <w:kern w:val="0"/>
              </w:rPr>
              <w:t>（三季度部门预算支出进度</w:t>
            </w:r>
            <w:r>
              <w:rPr>
                <w:rFonts w:ascii="宋体" w:hAnsi="宋体" w:cs="宋体"/>
                <w:kern w:val="0"/>
              </w:rPr>
              <w:t>/</w:t>
            </w:r>
            <w:r>
              <w:rPr>
                <w:rFonts w:hint="eastAsia" w:ascii="宋体" w:hAnsi="宋体" w:cs="宋体"/>
                <w:kern w:val="0"/>
              </w:rPr>
              <w:t>序时进度</w:t>
            </w:r>
            <w:r>
              <w:rPr>
                <w:rFonts w:ascii="宋体" w:hAnsi="宋体" w:cs="宋体"/>
                <w:kern w:val="0"/>
              </w:rPr>
              <w:t>75%</w:t>
            </w:r>
            <w:r>
              <w:rPr>
                <w:rFonts w:hint="eastAsia" w:ascii="宋体" w:hAnsi="宋体" w:cs="宋体"/>
                <w:kern w:val="0"/>
              </w:rPr>
              <w:t>）×</w:t>
            </w:r>
            <w:r>
              <w:rPr>
                <w:rFonts w:ascii="宋体" w:hAnsi="宋体" w:cs="宋体"/>
                <w:kern w:val="0"/>
              </w:rPr>
              <w:t>1</w:t>
            </w:r>
            <w:r>
              <w:rPr>
                <w:rFonts w:hint="eastAsia" w:ascii="宋体" w:hAnsi="宋体" w:cs="宋体"/>
                <w:kern w:val="0"/>
              </w:rPr>
              <w:t>分，最高得1分。</w:t>
            </w:r>
          </w:p>
          <w:p w14:paraId="29786A62">
            <w:pPr>
              <w:widowControl/>
              <w:spacing w:line="320" w:lineRule="exact"/>
              <w:rPr>
                <w:rFonts w:ascii="宋体"/>
                <w:kern w:val="0"/>
              </w:rPr>
            </w:pPr>
            <w:r>
              <w:rPr>
                <w:rFonts w:ascii="宋体" w:hAnsi="宋体" w:cs="宋体"/>
                <w:kern w:val="0"/>
              </w:rPr>
              <w:t>4.</w:t>
            </w:r>
            <w:r>
              <w:rPr>
                <w:rFonts w:hint="eastAsia" w:ascii="宋体" w:hAnsi="宋体" w:cs="宋体"/>
                <w:kern w:val="0"/>
              </w:rPr>
              <w:t>四季度预算执行率得分</w:t>
            </w:r>
            <w:r>
              <w:rPr>
                <w:rFonts w:ascii="宋体" w:hAnsi="宋体" w:cs="宋体"/>
                <w:kern w:val="0"/>
              </w:rPr>
              <w:t>=</w:t>
            </w:r>
            <w:r>
              <w:rPr>
                <w:rFonts w:hint="eastAsia" w:ascii="宋体" w:hAnsi="宋体" w:cs="宋体"/>
                <w:kern w:val="0"/>
              </w:rPr>
              <w:t>（四季度部门预算支出进度</w:t>
            </w:r>
            <w:r>
              <w:rPr>
                <w:rFonts w:ascii="宋体" w:hAnsi="宋体" w:cs="宋体"/>
                <w:kern w:val="0"/>
              </w:rPr>
              <w:t>/</w:t>
            </w:r>
            <w:r>
              <w:rPr>
                <w:rFonts w:hint="eastAsia" w:ascii="宋体" w:hAnsi="宋体" w:cs="宋体"/>
                <w:kern w:val="0"/>
              </w:rPr>
              <w:t>序时进度</w:t>
            </w:r>
            <w:r>
              <w:rPr>
                <w:rFonts w:ascii="宋体" w:hAnsi="宋体" w:cs="宋体"/>
                <w:kern w:val="0"/>
              </w:rPr>
              <w:t>100%</w:t>
            </w:r>
            <w:r>
              <w:rPr>
                <w:rFonts w:hint="eastAsia" w:ascii="宋体" w:hAnsi="宋体" w:cs="宋体"/>
                <w:kern w:val="0"/>
              </w:rPr>
              <w:t>）×</w:t>
            </w:r>
            <w:r>
              <w:rPr>
                <w:rFonts w:ascii="宋体" w:hAnsi="宋体" w:cs="宋体"/>
                <w:kern w:val="0"/>
              </w:rPr>
              <w:t>1</w:t>
            </w:r>
            <w:r>
              <w:rPr>
                <w:rFonts w:hint="eastAsia" w:ascii="宋体" w:hAnsi="宋体" w:cs="宋体"/>
                <w:kern w:val="0"/>
              </w:rPr>
              <w:t>分，最高得1分。</w:t>
            </w:r>
          </w:p>
          <w:p w14:paraId="546E7F94">
            <w:pPr>
              <w:widowControl/>
              <w:spacing w:line="320" w:lineRule="exact"/>
              <w:rPr>
                <w:rFonts w:ascii="宋体"/>
                <w:kern w:val="0"/>
              </w:rPr>
            </w:pPr>
            <w:r>
              <w:rPr>
                <w:rFonts w:ascii="宋体" w:hAnsi="宋体" w:cs="宋体"/>
                <w:kern w:val="0"/>
              </w:rPr>
              <w:t>5.</w:t>
            </w:r>
            <w:r>
              <w:rPr>
                <w:rFonts w:hint="eastAsia" w:ascii="宋体" w:hAnsi="宋体" w:cs="宋体"/>
                <w:kern w:val="0"/>
              </w:rPr>
              <w:t>全年平均支出进度得分</w:t>
            </w:r>
            <w:r>
              <w:rPr>
                <w:rFonts w:ascii="宋体" w:hAnsi="宋体" w:cs="宋体"/>
                <w:kern w:val="0"/>
              </w:rPr>
              <w:t>=</w:t>
            </w:r>
            <w:r>
              <w:rPr>
                <w:rFonts w:hint="eastAsia" w:ascii="宋体" w:hAnsi="宋体" w:cs="宋体"/>
                <w:kern w:val="0"/>
              </w:rPr>
              <w:t>全年平均执行率×</w:t>
            </w:r>
            <w:r>
              <w:rPr>
                <w:rFonts w:ascii="宋体" w:hAnsi="宋体" w:cs="宋体"/>
                <w:kern w:val="0"/>
              </w:rPr>
              <w:t>2</w:t>
            </w:r>
            <w:r>
              <w:rPr>
                <w:rFonts w:hint="eastAsia" w:ascii="宋体" w:hAnsi="宋体" w:cs="宋体"/>
                <w:kern w:val="0"/>
              </w:rPr>
              <w:t>分，最高得</w:t>
            </w:r>
            <w:r>
              <w:rPr>
                <w:rFonts w:ascii="宋体" w:hAnsi="宋体" w:cs="宋体"/>
                <w:kern w:val="0"/>
              </w:rPr>
              <w:t>2</w:t>
            </w:r>
            <w:r>
              <w:rPr>
                <w:rFonts w:hint="eastAsia" w:ascii="宋体" w:hAnsi="宋体" w:cs="宋体"/>
                <w:kern w:val="0"/>
              </w:rPr>
              <w:t>分。</w:t>
            </w:r>
          </w:p>
          <w:p w14:paraId="398AC00B">
            <w:pPr>
              <w:widowControl/>
              <w:spacing w:line="320" w:lineRule="exact"/>
              <w:ind w:firstLine="405"/>
              <w:rPr>
                <w:rFonts w:ascii="宋体" w:hAnsi="宋体" w:cs="宋体"/>
                <w:kern w:val="0"/>
              </w:rPr>
            </w:pPr>
            <w:r>
              <w:rPr>
                <w:rFonts w:hint="eastAsia" w:ascii="宋体" w:hAnsi="宋体" w:cs="宋体"/>
                <w:kern w:val="0"/>
              </w:rPr>
              <w:t>其中：全年平均执行率</w:t>
            </w:r>
            <w:r>
              <w:rPr>
                <w:rFonts w:ascii="宋体" w:hAnsi="宋体" w:cs="宋体"/>
                <w:kern w:val="0"/>
              </w:rPr>
              <w:t>=</w:t>
            </w:r>
            <w:r>
              <w:rPr>
                <w:rFonts w:hint="eastAsia" w:ascii="宋体" w:hAnsi="宋体" w:cs="宋体"/>
                <w:kern w:val="0"/>
              </w:rPr>
              <w:t>∑（每个季度的执行率）÷</w:t>
            </w:r>
            <w:r>
              <w:rPr>
                <w:rFonts w:ascii="宋体" w:hAnsi="宋体" w:cs="宋体"/>
                <w:kern w:val="0"/>
              </w:rPr>
              <w:t>4</w:t>
            </w:r>
          </w:p>
          <w:p w14:paraId="35340218">
            <w:pPr>
              <w:widowControl/>
              <w:spacing w:line="320" w:lineRule="exact"/>
              <w:rPr>
                <w:rFonts w:ascii="宋体"/>
                <w:kern w:val="0"/>
              </w:rPr>
            </w:pPr>
            <w:r>
              <w:rPr>
                <w:rFonts w:hint="eastAsia" w:ascii="宋体" w:hAnsi="宋体" w:cs="宋体"/>
                <w:kern w:val="0"/>
              </w:rPr>
              <w:t>季度支出进度</w:t>
            </w:r>
            <w:r>
              <w:rPr>
                <w:rFonts w:ascii="宋体" w:hAnsi="宋体" w:cs="宋体"/>
                <w:kern w:val="0"/>
              </w:rPr>
              <w:t>=</w:t>
            </w:r>
            <w:r>
              <w:rPr>
                <w:rFonts w:hint="eastAsia" w:ascii="宋体" w:hAnsi="宋体" w:cs="宋体"/>
                <w:kern w:val="0"/>
              </w:rPr>
              <w:t>季度末月份累计支出进度（即</w:t>
            </w:r>
            <w:r>
              <w:rPr>
                <w:rFonts w:ascii="宋体" w:hAnsi="宋体" w:cs="宋体"/>
                <w:kern w:val="0"/>
              </w:rPr>
              <w:t>3</w:t>
            </w:r>
            <w:r>
              <w:rPr>
                <w:rFonts w:hint="eastAsia" w:ascii="宋体" w:hAnsi="宋体" w:cs="宋体"/>
                <w:kern w:val="0"/>
              </w:rPr>
              <w:t>、</w:t>
            </w:r>
            <w:r>
              <w:rPr>
                <w:rFonts w:ascii="宋体" w:hAnsi="宋体" w:cs="宋体"/>
                <w:kern w:val="0"/>
              </w:rPr>
              <w:t>6</w:t>
            </w:r>
            <w:r>
              <w:rPr>
                <w:rFonts w:hint="eastAsia" w:ascii="宋体" w:hAnsi="宋体" w:cs="宋体"/>
                <w:kern w:val="0"/>
              </w:rPr>
              <w:t>、</w:t>
            </w:r>
            <w:r>
              <w:rPr>
                <w:rFonts w:ascii="宋体" w:hAnsi="宋体" w:cs="宋体"/>
                <w:kern w:val="0"/>
              </w:rPr>
              <w:t>9</w:t>
            </w:r>
            <w:r>
              <w:rPr>
                <w:rFonts w:hint="eastAsia" w:ascii="宋体" w:hAnsi="宋体" w:cs="宋体"/>
                <w:kern w:val="0"/>
              </w:rPr>
              <w:t>、</w:t>
            </w:r>
            <w:r>
              <w:rPr>
                <w:rFonts w:ascii="宋体" w:hAnsi="宋体" w:cs="宋体"/>
                <w:kern w:val="0"/>
              </w:rPr>
              <w:t>12</w:t>
            </w:r>
            <w:r>
              <w:rPr>
                <w:rFonts w:hint="eastAsia" w:ascii="宋体" w:hAnsi="宋体" w:cs="宋体"/>
                <w:kern w:val="0"/>
              </w:rPr>
              <w:t>月月末支出进度）</w:t>
            </w:r>
          </w:p>
        </w:tc>
        <w:tc>
          <w:tcPr>
            <w:tcW w:w="807" w:type="dxa"/>
            <w:tcBorders>
              <w:top w:val="nil"/>
              <w:left w:val="nil"/>
              <w:bottom w:val="single" w:color="auto" w:sz="4" w:space="0"/>
              <w:right w:val="single" w:color="auto" w:sz="4" w:space="0"/>
            </w:tcBorders>
            <w:noWrap w:val="0"/>
            <w:vAlign w:val="center"/>
          </w:tcPr>
          <w:p w14:paraId="7C50132E">
            <w:pPr>
              <w:widowControl/>
              <w:spacing w:line="320" w:lineRule="exact"/>
              <w:jc w:val="left"/>
              <w:rPr>
                <w:rFonts w:hint="default" w:ascii="宋体" w:hAnsi="宋体" w:eastAsia="宋体" w:cs="宋体"/>
                <w:kern w:val="0"/>
                <w:lang w:val="en-US" w:eastAsia="zh-CN"/>
              </w:rPr>
            </w:pPr>
            <w:r>
              <w:rPr>
                <w:rFonts w:hint="eastAsia" w:ascii="宋体" w:hAnsi="宋体" w:eastAsia="宋体" w:cs="宋体"/>
                <w:kern w:val="0"/>
                <w:lang w:val="en-US" w:eastAsia="zh-CN"/>
              </w:rPr>
              <w:t>5.58</w:t>
            </w:r>
          </w:p>
        </w:tc>
        <w:tc>
          <w:tcPr>
            <w:tcW w:w="2312" w:type="dxa"/>
            <w:tcBorders>
              <w:top w:val="nil"/>
              <w:left w:val="nil"/>
              <w:bottom w:val="single" w:color="auto" w:sz="4" w:space="0"/>
              <w:right w:val="single" w:color="auto" w:sz="4" w:space="0"/>
            </w:tcBorders>
            <w:noWrap w:val="0"/>
            <w:vAlign w:val="top"/>
          </w:tcPr>
          <w:p w14:paraId="1FDBC7F8">
            <w:pPr>
              <w:widowControl/>
              <w:spacing w:line="320" w:lineRule="exact"/>
              <w:ind w:firstLine="420"/>
              <w:rPr>
                <w:rFonts w:hint="default" w:ascii="宋体" w:hAnsi="宋体" w:cs="宋体"/>
                <w:kern w:val="0"/>
                <w:lang w:val="en-US"/>
              </w:rPr>
            </w:pPr>
            <w:r>
              <w:rPr>
                <w:rFonts w:hint="eastAsia" w:ascii="宋体" w:hAnsi="宋体" w:eastAsia="宋体" w:cs="宋体"/>
                <w:kern w:val="0"/>
                <w:lang w:val="en-US" w:eastAsia="zh-CN"/>
              </w:rPr>
              <w:t>根据预算执行情况表显示，我校2023年1-3月支出进度20.09%、1-6月支出进度47.38%、1-9月支出进度73.53%、1-12月支出进度99.06%，则分季预算执行率分别为80.35%、94.76%、98.04%、100%，全年平均执行率93.06%。未达到满分标准。</w:t>
            </w:r>
          </w:p>
        </w:tc>
      </w:tr>
      <w:tr w14:paraId="7ED9EE32">
        <w:tblPrEx>
          <w:tblCellMar>
            <w:top w:w="0" w:type="dxa"/>
            <w:left w:w="108" w:type="dxa"/>
            <w:bottom w:w="0" w:type="dxa"/>
            <w:right w:w="108" w:type="dxa"/>
          </w:tblCellMar>
        </w:tblPrEx>
        <w:trPr>
          <w:trHeight w:val="1404" w:hRule="atLeast"/>
        </w:trPr>
        <w:tc>
          <w:tcPr>
            <w:tcW w:w="577" w:type="dxa"/>
            <w:vMerge w:val="continue"/>
            <w:tcBorders>
              <w:top w:val="nil"/>
              <w:left w:val="single" w:color="auto" w:sz="4" w:space="0"/>
              <w:bottom w:val="single" w:color="auto" w:sz="4" w:space="0"/>
              <w:right w:val="single" w:color="auto" w:sz="4" w:space="0"/>
            </w:tcBorders>
            <w:noWrap w:val="0"/>
            <w:vAlign w:val="center"/>
          </w:tcPr>
          <w:p w14:paraId="6601664A">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2E6D85E6">
            <w:pPr>
              <w:widowControl/>
              <w:spacing w:line="320" w:lineRule="exact"/>
              <w:jc w:val="left"/>
              <w:rPr>
                <w:rFonts w:ascii="宋体"/>
                <w:kern w:val="0"/>
              </w:rPr>
            </w:pPr>
          </w:p>
        </w:tc>
        <w:tc>
          <w:tcPr>
            <w:tcW w:w="567" w:type="dxa"/>
            <w:vMerge w:val="continue"/>
            <w:tcBorders>
              <w:top w:val="single" w:color="auto" w:sz="4" w:space="0"/>
              <w:left w:val="single" w:color="auto" w:sz="4" w:space="0"/>
              <w:bottom w:val="single" w:color="auto" w:sz="4" w:space="0"/>
              <w:right w:val="single" w:color="auto" w:sz="4" w:space="0"/>
            </w:tcBorders>
            <w:noWrap w:val="0"/>
            <w:vAlign w:val="center"/>
          </w:tcPr>
          <w:p w14:paraId="26153B93">
            <w:pPr>
              <w:widowControl/>
              <w:spacing w:line="320" w:lineRule="exact"/>
              <w:jc w:val="left"/>
              <w:rPr>
                <w:rFonts w:ascii="宋体"/>
                <w:kern w:val="0"/>
              </w:rPr>
            </w:pPr>
          </w:p>
        </w:tc>
        <w:tc>
          <w:tcPr>
            <w:tcW w:w="567" w:type="dxa"/>
            <w:vMerge w:val="continue"/>
            <w:tcBorders>
              <w:top w:val="single" w:color="auto" w:sz="4" w:space="0"/>
              <w:left w:val="single" w:color="auto" w:sz="4" w:space="0"/>
              <w:bottom w:val="single" w:color="auto" w:sz="4" w:space="0"/>
              <w:right w:val="single" w:color="auto" w:sz="4" w:space="0"/>
            </w:tcBorders>
            <w:noWrap w:val="0"/>
            <w:vAlign w:val="center"/>
          </w:tcPr>
          <w:p w14:paraId="7CD7D25B">
            <w:pPr>
              <w:widowControl/>
              <w:spacing w:line="320" w:lineRule="exact"/>
              <w:jc w:val="center"/>
              <w:rPr>
                <w:rFonts w:ascii="宋体"/>
                <w:kern w:val="0"/>
              </w:rPr>
            </w:pPr>
          </w:p>
        </w:tc>
        <w:tc>
          <w:tcPr>
            <w:tcW w:w="851" w:type="dxa"/>
            <w:tcBorders>
              <w:top w:val="nil"/>
              <w:left w:val="nil"/>
              <w:bottom w:val="single" w:color="auto" w:sz="4" w:space="0"/>
              <w:right w:val="single" w:color="auto" w:sz="4" w:space="0"/>
            </w:tcBorders>
            <w:noWrap w:val="0"/>
            <w:vAlign w:val="center"/>
          </w:tcPr>
          <w:p w14:paraId="6108AE15">
            <w:pPr>
              <w:widowControl/>
              <w:spacing w:line="320" w:lineRule="exact"/>
              <w:jc w:val="left"/>
              <w:rPr>
                <w:rFonts w:ascii="宋体"/>
                <w:kern w:val="0"/>
              </w:rPr>
            </w:pPr>
            <w:r>
              <w:rPr>
                <w:rFonts w:hint="eastAsia" w:ascii="宋体" w:hAnsi="宋体" w:cs="宋体"/>
                <w:kern w:val="0"/>
              </w:rPr>
              <w:t>重点工作完成情况</w:t>
            </w:r>
          </w:p>
        </w:tc>
        <w:tc>
          <w:tcPr>
            <w:tcW w:w="567" w:type="dxa"/>
            <w:tcBorders>
              <w:top w:val="nil"/>
              <w:left w:val="nil"/>
              <w:bottom w:val="single" w:color="auto" w:sz="4" w:space="0"/>
              <w:right w:val="single" w:color="auto" w:sz="4" w:space="0"/>
            </w:tcBorders>
            <w:noWrap w:val="0"/>
            <w:vAlign w:val="center"/>
          </w:tcPr>
          <w:p w14:paraId="282309AD">
            <w:pPr>
              <w:widowControl/>
              <w:spacing w:line="320" w:lineRule="exact"/>
              <w:jc w:val="center"/>
              <w:rPr>
                <w:rFonts w:ascii="宋体"/>
                <w:kern w:val="0"/>
              </w:rPr>
            </w:pPr>
            <w:r>
              <w:rPr>
                <w:rFonts w:ascii="宋体" w:hAnsi="宋体" w:cs="宋体"/>
                <w:kern w:val="0"/>
              </w:rPr>
              <w:t>8</w:t>
            </w:r>
          </w:p>
        </w:tc>
        <w:tc>
          <w:tcPr>
            <w:tcW w:w="2536" w:type="dxa"/>
            <w:tcBorders>
              <w:top w:val="nil"/>
              <w:left w:val="nil"/>
              <w:bottom w:val="single" w:color="auto" w:sz="4" w:space="0"/>
              <w:right w:val="single" w:color="auto" w:sz="4" w:space="0"/>
            </w:tcBorders>
            <w:noWrap w:val="0"/>
            <w:vAlign w:val="center"/>
          </w:tcPr>
          <w:p w14:paraId="2C1082F6">
            <w:pPr>
              <w:widowControl/>
              <w:spacing w:line="320" w:lineRule="exact"/>
              <w:rPr>
                <w:rFonts w:ascii="宋体"/>
                <w:color w:val="000000"/>
                <w:kern w:val="0"/>
              </w:rPr>
            </w:pPr>
            <w:r>
              <w:rPr>
                <w:rFonts w:hint="eastAsia" w:ascii="宋体" w:hAnsi="宋体" w:cs="宋体"/>
                <w:color w:val="000000"/>
                <w:kern w:val="0"/>
              </w:rPr>
              <w:t>部门（单位）完成党委、政府、人大和上级部门下达或交办的重要事项或工作的完成情况，反映部门对重点工作的办理落实程度。</w:t>
            </w:r>
          </w:p>
        </w:tc>
        <w:tc>
          <w:tcPr>
            <w:tcW w:w="5812" w:type="dxa"/>
            <w:tcBorders>
              <w:top w:val="nil"/>
              <w:left w:val="nil"/>
              <w:bottom w:val="single" w:color="auto" w:sz="4" w:space="0"/>
              <w:right w:val="single" w:color="auto" w:sz="4" w:space="0"/>
            </w:tcBorders>
            <w:noWrap w:val="0"/>
            <w:vAlign w:val="center"/>
          </w:tcPr>
          <w:p w14:paraId="73A3E482">
            <w:pPr>
              <w:widowControl/>
              <w:spacing w:line="320" w:lineRule="exact"/>
              <w:ind w:firstLine="420" w:firstLineChars="200"/>
              <w:rPr>
                <w:rFonts w:ascii="宋体"/>
                <w:kern w:val="0"/>
              </w:rPr>
            </w:pPr>
            <w:r>
              <w:rPr>
                <w:rFonts w:hint="eastAsia" w:ascii="宋体" w:hAnsi="宋体" w:cs="宋体"/>
                <w:kern w:val="0"/>
              </w:rPr>
              <w:t>重点工作是指中央和省、市相关部门、区委区政府、区人大交办或下达的工作任务。全部按期保质保量完成得</w:t>
            </w:r>
            <w:r>
              <w:rPr>
                <w:rFonts w:ascii="宋体" w:hAnsi="宋体" w:cs="宋体"/>
                <w:kern w:val="0"/>
              </w:rPr>
              <w:t>8</w:t>
            </w:r>
            <w:r>
              <w:rPr>
                <w:rFonts w:hint="eastAsia" w:ascii="宋体" w:hAnsi="宋体" w:cs="宋体"/>
                <w:kern w:val="0"/>
              </w:rPr>
              <w:t>分；一项重点工作没有完成扣</w:t>
            </w:r>
            <w:r>
              <w:rPr>
                <w:rFonts w:ascii="宋体" w:hAnsi="宋体" w:cs="宋体"/>
                <w:kern w:val="0"/>
              </w:rPr>
              <w:t>4</w:t>
            </w:r>
            <w:r>
              <w:rPr>
                <w:rFonts w:hint="eastAsia" w:ascii="宋体" w:hAnsi="宋体" w:cs="宋体"/>
                <w:kern w:val="0"/>
              </w:rPr>
              <w:t>分，扣完为止。</w:t>
            </w:r>
          </w:p>
          <w:p w14:paraId="3887ED73">
            <w:pPr>
              <w:widowControl/>
              <w:spacing w:line="320" w:lineRule="exact"/>
              <w:rPr>
                <w:rFonts w:ascii="宋体"/>
                <w:kern w:val="0"/>
              </w:rPr>
            </w:pPr>
            <w:r>
              <w:rPr>
                <w:rFonts w:hint="eastAsia" w:ascii="宋体" w:hAnsi="宋体" w:cs="宋体"/>
                <w:kern w:val="0"/>
              </w:rPr>
              <w:t>注：重点工作完成情况可以参考区委区政府督查部门或其他权威部门的统计数据（如有）。</w:t>
            </w:r>
          </w:p>
        </w:tc>
        <w:tc>
          <w:tcPr>
            <w:tcW w:w="807" w:type="dxa"/>
            <w:tcBorders>
              <w:top w:val="nil"/>
              <w:left w:val="nil"/>
              <w:bottom w:val="single" w:color="auto" w:sz="4" w:space="0"/>
              <w:right w:val="single" w:color="auto" w:sz="4" w:space="0"/>
            </w:tcBorders>
            <w:noWrap w:val="0"/>
            <w:vAlign w:val="center"/>
          </w:tcPr>
          <w:p w14:paraId="0D926693">
            <w:pPr>
              <w:widowControl/>
              <w:spacing w:line="320" w:lineRule="exact"/>
              <w:jc w:val="left"/>
              <w:rPr>
                <w:rFonts w:hint="eastAsia" w:ascii="宋体" w:hAnsi="宋体" w:eastAsia="宋体" w:cs="宋体"/>
                <w:kern w:val="0"/>
                <w:lang w:val="en-US" w:eastAsia="zh-CN"/>
              </w:rPr>
            </w:pPr>
            <w:r>
              <w:rPr>
                <w:rFonts w:hint="eastAsia" w:ascii="宋体" w:hAnsi="宋体" w:cs="宋体"/>
                <w:kern w:val="0"/>
                <w:lang w:val="en-US" w:eastAsia="zh-CN"/>
              </w:rPr>
              <w:t>8</w:t>
            </w:r>
          </w:p>
        </w:tc>
        <w:tc>
          <w:tcPr>
            <w:tcW w:w="2312" w:type="dxa"/>
            <w:tcBorders>
              <w:top w:val="nil"/>
              <w:left w:val="nil"/>
              <w:bottom w:val="single" w:color="auto" w:sz="4" w:space="0"/>
              <w:right w:val="single" w:color="auto" w:sz="4" w:space="0"/>
            </w:tcBorders>
            <w:noWrap w:val="0"/>
            <w:vAlign w:val="top"/>
          </w:tcPr>
          <w:p w14:paraId="0449C3AE">
            <w:pPr>
              <w:widowControl/>
              <w:spacing w:line="320" w:lineRule="exact"/>
              <w:ind w:firstLine="420" w:firstLineChars="200"/>
              <w:rPr>
                <w:rFonts w:ascii="宋体" w:hAnsi="宋体" w:cs="宋体"/>
                <w:kern w:val="0"/>
              </w:rPr>
            </w:pPr>
          </w:p>
        </w:tc>
      </w:tr>
      <w:tr w14:paraId="1C872887">
        <w:tblPrEx>
          <w:tblCellMar>
            <w:top w:w="0" w:type="dxa"/>
            <w:left w:w="108" w:type="dxa"/>
            <w:bottom w:w="0" w:type="dxa"/>
            <w:right w:w="108" w:type="dxa"/>
          </w:tblCellMar>
        </w:tblPrEx>
        <w:trPr>
          <w:trHeight w:val="1158" w:hRule="atLeast"/>
        </w:trPr>
        <w:tc>
          <w:tcPr>
            <w:tcW w:w="577" w:type="dxa"/>
            <w:vMerge w:val="continue"/>
            <w:tcBorders>
              <w:top w:val="nil"/>
              <w:left w:val="single" w:color="auto" w:sz="4" w:space="0"/>
              <w:bottom w:val="single" w:color="auto" w:sz="4" w:space="0"/>
              <w:right w:val="single" w:color="auto" w:sz="4" w:space="0"/>
            </w:tcBorders>
            <w:noWrap w:val="0"/>
            <w:vAlign w:val="center"/>
          </w:tcPr>
          <w:p w14:paraId="30295B38">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73D6760D">
            <w:pPr>
              <w:widowControl/>
              <w:spacing w:line="320" w:lineRule="exact"/>
              <w:jc w:val="left"/>
              <w:rPr>
                <w:rFonts w:ascii="宋体"/>
                <w:kern w:val="0"/>
              </w:rPr>
            </w:pPr>
          </w:p>
        </w:tc>
        <w:tc>
          <w:tcPr>
            <w:tcW w:w="567" w:type="dxa"/>
            <w:vMerge w:val="continue"/>
            <w:tcBorders>
              <w:top w:val="single" w:color="auto" w:sz="4" w:space="0"/>
              <w:left w:val="single" w:color="auto" w:sz="4" w:space="0"/>
              <w:bottom w:val="single" w:color="auto" w:sz="4" w:space="0"/>
              <w:right w:val="single" w:color="auto" w:sz="4" w:space="0"/>
            </w:tcBorders>
            <w:noWrap w:val="0"/>
            <w:vAlign w:val="center"/>
          </w:tcPr>
          <w:p w14:paraId="157663DF">
            <w:pPr>
              <w:widowControl/>
              <w:spacing w:line="320" w:lineRule="exact"/>
              <w:jc w:val="left"/>
              <w:rPr>
                <w:rFonts w:ascii="宋体"/>
                <w:kern w:val="0"/>
              </w:rPr>
            </w:pPr>
          </w:p>
        </w:tc>
        <w:tc>
          <w:tcPr>
            <w:tcW w:w="567" w:type="dxa"/>
            <w:vMerge w:val="continue"/>
            <w:tcBorders>
              <w:top w:val="single" w:color="auto" w:sz="4" w:space="0"/>
              <w:left w:val="single" w:color="auto" w:sz="4" w:space="0"/>
              <w:bottom w:val="single" w:color="auto" w:sz="4" w:space="0"/>
              <w:right w:val="single" w:color="auto" w:sz="4" w:space="0"/>
            </w:tcBorders>
            <w:noWrap w:val="0"/>
            <w:vAlign w:val="center"/>
          </w:tcPr>
          <w:p w14:paraId="0947C46A">
            <w:pPr>
              <w:widowControl/>
              <w:spacing w:line="320" w:lineRule="exact"/>
              <w:jc w:val="center"/>
              <w:rPr>
                <w:rFonts w:ascii="宋体"/>
                <w:kern w:val="0"/>
              </w:rPr>
            </w:pPr>
          </w:p>
        </w:tc>
        <w:tc>
          <w:tcPr>
            <w:tcW w:w="851" w:type="dxa"/>
            <w:tcBorders>
              <w:top w:val="nil"/>
              <w:left w:val="nil"/>
              <w:bottom w:val="single" w:color="auto" w:sz="4" w:space="0"/>
              <w:right w:val="single" w:color="auto" w:sz="4" w:space="0"/>
            </w:tcBorders>
            <w:noWrap w:val="0"/>
            <w:vAlign w:val="center"/>
          </w:tcPr>
          <w:p w14:paraId="21923C20">
            <w:pPr>
              <w:widowControl/>
              <w:spacing w:line="320" w:lineRule="exact"/>
              <w:jc w:val="left"/>
              <w:rPr>
                <w:rFonts w:ascii="宋体"/>
                <w:kern w:val="0"/>
                <w:sz w:val="18"/>
                <w:szCs w:val="18"/>
              </w:rPr>
            </w:pPr>
            <w:r>
              <w:rPr>
                <w:rFonts w:hint="eastAsia" w:ascii="宋体" w:hAnsi="宋体" w:cs="宋体"/>
                <w:kern w:val="0"/>
              </w:rPr>
              <w:t>项目完成及时性</w:t>
            </w:r>
          </w:p>
        </w:tc>
        <w:tc>
          <w:tcPr>
            <w:tcW w:w="567" w:type="dxa"/>
            <w:tcBorders>
              <w:top w:val="nil"/>
              <w:left w:val="nil"/>
              <w:bottom w:val="single" w:color="auto" w:sz="4" w:space="0"/>
              <w:right w:val="single" w:color="auto" w:sz="4" w:space="0"/>
            </w:tcBorders>
            <w:noWrap w:val="0"/>
            <w:vAlign w:val="center"/>
          </w:tcPr>
          <w:p w14:paraId="0E0870D2">
            <w:pPr>
              <w:widowControl/>
              <w:spacing w:line="320" w:lineRule="exact"/>
              <w:jc w:val="center"/>
              <w:rPr>
                <w:rFonts w:ascii="宋体"/>
                <w:kern w:val="0"/>
              </w:rPr>
            </w:pPr>
            <w:r>
              <w:rPr>
                <w:rFonts w:ascii="宋体" w:hAnsi="宋体" w:cs="宋体"/>
                <w:kern w:val="0"/>
              </w:rPr>
              <w:t>6</w:t>
            </w:r>
          </w:p>
        </w:tc>
        <w:tc>
          <w:tcPr>
            <w:tcW w:w="2536" w:type="dxa"/>
            <w:tcBorders>
              <w:top w:val="nil"/>
              <w:left w:val="nil"/>
              <w:bottom w:val="single" w:color="auto" w:sz="4" w:space="0"/>
              <w:right w:val="single" w:color="auto" w:sz="4" w:space="0"/>
            </w:tcBorders>
            <w:noWrap w:val="0"/>
            <w:vAlign w:val="center"/>
          </w:tcPr>
          <w:p w14:paraId="3E744693">
            <w:pPr>
              <w:widowControl/>
              <w:spacing w:line="320" w:lineRule="exact"/>
              <w:rPr>
                <w:rFonts w:ascii="宋体"/>
                <w:kern w:val="0"/>
                <w:sz w:val="18"/>
                <w:szCs w:val="18"/>
              </w:rPr>
            </w:pPr>
            <w:r>
              <w:rPr>
                <w:rFonts w:hint="eastAsia" w:ascii="宋体" w:hAnsi="宋体" w:cs="宋体"/>
                <w:kern w:val="0"/>
              </w:rPr>
              <w:t>部门（单位）项目完成情况与预期时间对比的情况。</w:t>
            </w:r>
          </w:p>
        </w:tc>
        <w:tc>
          <w:tcPr>
            <w:tcW w:w="5812" w:type="dxa"/>
            <w:tcBorders>
              <w:top w:val="nil"/>
              <w:left w:val="nil"/>
              <w:bottom w:val="single" w:color="auto" w:sz="4" w:space="0"/>
              <w:right w:val="single" w:color="auto" w:sz="4" w:space="0"/>
            </w:tcBorders>
            <w:noWrap w:val="0"/>
            <w:vAlign w:val="center"/>
          </w:tcPr>
          <w:p w14:paraId="23BCFCD4">
            <w:pPr>
              <w:widowControl/>
              <w:spacing w:line="320" w:lineRule="exact"/>
              <w:ind w:firstLine="420" w:firstLineChars="200"/>
              <w:rPr>
                <w:rFonts w:ascii="宋体"/>
                <w:kern w:val="0"/>
                <w:sz w:val="18"/>
                <w:szCs w:val="18"/>
              </w:rPr>
            </w:pPr>
            <w:r>
              <w:rPr>
                <w:rFonts w:ascii="宋体" w:hAnsi="宋体" w:cs="宋体"/>
                <w:kern w:val="0"/>
              </w:rPr>
              <w:t>1.</w:t>
            </w:r>
            <w:r>
              <w:rPr>
                <w:rFonts w:hint="eastAsia" w:ascii="宋体" w:hAnsi="宋体" w:cs="宋体"/>
                <w:kern w:val="0"/>
              </w:rPr>
              <w:t>所有部门预算安排的项目均按计划时间完成（</w:t>
            </w:r>
            <w:r>
              <w:rPr>
                <w:rFonts w:ascii="宋体" w:hAnsi="宋体" w:cs="宋体"/>
                <w:kern w:val="0"/>
              </w:rPr>
              <w:t>6</w:t>
            </w:r>
            <w:r>
              <w:rPr>
                <w:rFonts w:hint="eastAsia" w:ascii="宋体" w:hAnsi="宋体" w:cs="宋体"/>
                <w:kern w:val="0"/>
              </w:rPr>
              <w:t>分）；</w:t>
            </w:r>
          </w:p>
          <w:p w14:paraId="799F980A">
            <w:pPr>
              <w:widowControl/>
              <w:spacing w:line="320" w:lineRule="exact"/>
              <w:ind w:firstLine="420" w:firstLineChars="200"/>
              <w:rPr>
                <w:rFonts w:ascii="宋体"/>
                <w:kern w:val="0"/>
                <w:sz w:val="18"/>
                <w:szCs w:val="18"/>
              </w:rPr>
            </w:pPr>
            <w:r>
              <w:rPr>
                <w:rFonts w:ascii="宋体" w:hAnsi="宋体" w:cs="宋体"/>
                <w:kern w:val="0"/>
              </w:rPr>
              <w:t>2.</w:t>
            </w:r>
            <w:r>
              <w:rPr>
                <w:rFonts w:hint="eastAsia" w:ascii="宋体" w:hAnsi="宋体" w:cs="宋体"/>
                <w:kern w:val="0"/>
              </w:rPr>
              <w:t>部分项目未按计划时间完成的，本指标得分</w:t>
            </w:r>
            <w:r>
              <w:rPr>
                <w:rFonts w:ascii="宋体" w:hAnsi="宋体" w:cs="宋体"/>
                <w:kern w:val="0"/>
              </w:rPr>
              <w:t>=</w:t>
            </w:r>
            <w:r>
              <w:rPr>
                <w:rFonts w:hint="eastAsia" w:ascii="宋体" w:hAnsi="宋体" w:cs="宋体"/>
                <w:kern w:val="0"/>
              </w:rPr>
              <w:t>已完成项目数</w:t>
            </w:r>
            <w:r>
              <w:rPr>
                <w:rFonts w:ascii="宋体" w:hAnsi="宋体" w:cs="宋体"/>
                <w:kern w:val="0"/>
              </w:rPr>
              <w:t>/</w:t>
            </w:r>
            <w:r>
              <w:rPr>
                <w:rFonts w:hint="eastAsia" w:ascii="宋体" w:hAnsi="宋体" w:cs="宋体"/>
                <w:kern w:val="0"/>
              </w:rPr>
              <w:t>计划完成项目总数×</w:t>
            </w:r>
            <w:r>
              <w:rPr>
                <w:rFonts w:ascii="宋体" w:hAnsi="宋体" w:cs="宋体"/>
                <w:kern w:val="0"/>
              </w:rPr>
              <w:t>6</w:t>
            </w:r>
            <w:r>
              <w:rPr>
                <w:rFonts w:hint="eastAsia" w:ascii="宋体" w:hAnsi="宋体" w:cs="宋体"/>
                <w:kern w:val="0"/>
              </w:rPr>
              <w:t>分。</w:t>
            </w:r>
          </w:p>
        </w:tc>
        <w:tc>
          <w:tcPr>
            <w:tcW w:w="807" w:type="dxa"/>
            <w:tcBorders>
              <w:top w:val="nil"/>
              <w:left w:val="nil"/>
              <w:bottom w:val="single" w:color="auto" w:sz="4" w:space="0"/>
              <w:right w:val="single" w:color="auto" w:sz="4" w:space="0"/>
            </w:tcBorders>
            <w:noWrap w:val="0"/>
            <w:vAlign w:val="center"/>
          </w:tcPr>
          <w:p w14:paraId="7C7DEB07">
            <w:pPr>
              <w:widowControl/>
              <w:spacing w:line="320" w:lineRule="exact"/>
              <w:jc w:val="left"/>
              <w:rPr>
                <w:rFonts w:hint="eastAsia" w:ascii="宋体" w:hAnsi="宋体" w:eastAsia="宋体" w:cs="宋体"/>
                <w:kern w:val="0"/>
                <w:lang w:val="en-US" w:eastAsia="zh-CN"/>
              </w:rPr>
            </w:pPr>
            <w:r>
              <w:rPr>
                <w:rFonts w:hint="eastAsia" w:ascii="宋体" w:hAnsi="宋体" w:cs="宋体"/>
                <w:kern w:val="0"/>
                <w:lang w:val="en-US" w:eastAsia="zh-CN"/>
              </w:rPr>
              <w:t>6</w:t>
            </w:r>
          </w:p>
        </w:tc>
        <w:tc>
          <w:tcPr>
            <w:tcW w:w="2312" w:type="dxa"/>
            <w:tcBorders>
              <w:top w:val="nil"/>
              <w:left w:val="nil"/>
              <w:bottom w:val="single" w:color="auto" w:sz="4" w:space="0"/>
              <w:right w:val="single" w:color="auto" w:sz="4" w:space="0"/>
            </w:tcBorders>
            <w:noWrap w:val="0"/>
            <w:vAlign w:val="top"/>
          </w:tcPr>
          <w:p w14:paraId="06C40D0B">
            <w:pPr>
              <w:widowControl/>
              <w:spacing w:line="320" w:lineRule="exact"/>
              <w:ind w:firstLine="420" w:firstLineChars="200"/>
              <w:rPr>
                <w:rFonts w:ascii="宋体" w:hAnsi="宋体" w:cs="宋体"/>
                <w:kern w:val="0"/>
              </w:rPr>
            </w:pPr>
          </w:p>
        </w:tc>
      </w:tr>
      <w:tr w14:paraId="292E4061">
        <w:tblPrEx>
          <w:tblCellMar>
            <w:top w:w="0" w:type="dxa"/>
            <w:left w:w="108" w:type="dxa"/>
            <w:bottom w:w="0" w:type="dxa"/>
            <w:right w:w="108" w:type="dxa"/>
          </w:tblCellMar>
        </w:tblPrEx>
        <w:trPr>
          <w:trHeight w:val="2008" w:hRule="atLeast"/>
        </w:trPr>
        <w:tc>
          <w:tcPr>
            <w:tcW w:w="577" w:type="dxa"/>
            <w:vMerge w:val="continue"/>
            <w:tcBorders>
              <w:top w:val="nil"/>
              <w:left w:val="single" w:color="auto" w:sz="4" w:space="0"/>
              <w:bottom w:val="single" w:color="auto" w:sz="4" w:space="0"/>
              <w:right w:val="single" w:color="auto" w:sz="4" w:space="0"/>
            </w:tcBorders>
            <w:noWrap w:val="0"/>
            <w:vAlign w:val="center"/>
          </w:tcPr>
          <w:p w14:paraId="03E01154">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1AB7FE32">
            <w:pPr>
              <w:widowControl/>
              <w:spacing w:line="320" w:lineRule="exact"/>
              <w:jc w:val="left"/>
              <w:rPr>
                <w:rFonts w:ascii="宋体"/>
                <w:kern w:val="0"/>
              </w:rPr>
            </w:pPr>
          </w:p>
        </w:tc>
        <w:tc>
          <w:tcPr>
            <w:tcW w:w="567" w:type="dxa"/>
            <w:tcBorders>
              <w:top w:val="nil"/>
              <w:left w:val="nil"/>
              <w:bottom w:val="single" w:color="auto" w:sz="4" w:space="0"/>
              <w:right w:val="single" w:color="auto" w:sz="4" w:space="0"/>
            </w:tcBorders>
            <w:noWrap w:val="0"/>
            <w:vAlign w:val="center"/>
          </w:tcPr>
          <w:p w14:paraId="3BCF24BF">
            <w:pPr>
              <w:widowControl/>
              <w:spacing w:line="320" w:lineRule="exact"/>
              <w:jc w:val="left"/>
              <w:rPr>
                <w:rFonts w:ascii="宋体"/>
                <w:kern w:val="0"/>
              </w:rPr>
            </w:pPr>
            <w:r>
              <w:rPr>
                <w:rFonts w:hint="eastAsia" w:ascii="宋体" w:hAnsi="宋体" w:cs="宋体"/>
                <w:kern w:val="0"/>
              </w:rPr>
              <w:t>效果性</w:t>
            </w:r>
          </w:p>
        </w:tc>
        <w:tc>
          <w:tcPr>
            <w:tcW w:w="567" w:type="dxa"/>
            <w:tcBorders>
              <w:top w:val="nil"/>
              <w:left w:val="nil"/>
              <w:bottom w:val="single" w:color="auto" w:sz="4" w:space="0"/>
              <w:right w:val="single" w:color="auto" w:sz="4" w:space="0"/>
            </w:tcBorders>
            <w:noWrap w:val="0"/>
            <w:vAlign w:val="center"/>
          </w:tcPr>
          <w:p w14:paraId="59F8F6DA">
            <w:pPr>
              <w:widowControl/>
              <w:spacing w:line="320" w:lineRule="exact"/>
              <w:jc w:val="center"/>
              <w:rPr>
                <w:rFonts w:ascii="宋体"/>
                <w:kern w:val="0"/>
              </w:rPr>
            </w:pPr>
            <w:r>
              <w:rPr>
                <w:rFonts w:hint="default" w:ascii="宋体" w:hAnsi="宋体" w:cs="宋体"/>
                <w:kern w:val="0"/>
              </w:rPr>
              <w:t>25</w:t>
            </w:r>
          </w:p>
        </w:tc>
        <w:tc>
          <w:tcPr>
            <w:tcW w:w="851" w:type="dxa"/>
            <w:tcBorders>
              <w:top w:val="nil"/>
              <w:left w:val="nil"/>
              <w:bottom w:val="single" w:color="auto" w:sz="4" w:space="0"/>
              <w:right w:val="single" w:color="auto" w:sz="4" w:space="0"/>
            </w:tcBorders>
            <w:noWrap w:val="0"/>
            <w:vAlign w:val="center"/>
          </w:tcPr>
          <w:p w14:paraId="5A89A5CD">
            <w:pPr>
              <w:widowControl/>
              <w:spacing w:line="320" w:lineRule="exact"/>
              <w:jc w:val="left"/>
              <w:rPr>
                <w:rFonts w:ascii="宋体"/>
                <w:kern w:val="0"/>
              </w:rPr>
            </w:pPr>
            <w:r>
              <w:rPr>
                <w:rFonts w:hint="eastAsia" w:ascii="宋体" w:hAnsi="宋体" w:cs="宋体"/>
                <w:kern w:val="0"/>
              </w:rPr>
              <w:t>社会、经济、生态效益及可持续影响等</w:t>
            </w:r>
          </w:p>
        </w:tc>
        <w:tc>
          <w:tcPr>
            <w:tcW w:w="567" w:type="dxa"/>
            <w:tcBorders>
              <w:top w:val="nil"/>
              <w:left w:val="nil"/>
              <w:bottom w:val="single" w:color="auto" w:sz="4" w:space="0"/>
              <w:right w:val="single" w:color="auto" w:sz="4" w:space="0"/>
            </w:tcBorders>
            <w:noWrap w:val="0"/>
            <w:vAlign w:val="center"/>
          </w:tcPr>
          <w:p w14:paraId="7D44A12F">
            <w:pPr>
              <w:widowControl/>
              <w:spacing w:line="320" w:lineRule="exact"/>
              <w:jc w:val="both"/>
              <w:rPr>
                <w:rFonts w:ascii="宋体"/>
                <w:kern w:val="0"/>
              </w:rPr>
            </w:pPr>
            <w:r>
              <w:rPr>
                <w:rFonts w:hint="default" w:ascii="宋体" w:hAnsi="宋体" w:cs="宋体"/>
                <w:kern w:val="0"/>
              </w:rPr>
              <w:t>25</w:t>
            </w:r>
          </w:p>
        </w:tc>
        <w:tc>
          <w:tcPr>
            <w:tcW w:w="2536" w:type="dxa"/>
            <w:tcBorders>
              <w:top w:val="nil"/>
              <w:left w:val="nil"/>
              <w:bottom w:val="single" w:color="auto" w:sz="4" w:space="0"/>
              <w:right w:val="single" w:color="auto" w:sz="4" w:space="0"/>
            </w:tcBorders>
            <w:noWrap w:val="0"/>
            <w:vAlign w:val="center"/>
          </w:tcPr>
          <w:p w14:paraId="23565A5F">
            <w:pPr>
              <w:widowControl/>
              <w:spacing w:line="320" w:lineRule="exact"/>
              <w:rPr>
                <w:rFonts w:ascii="宋体"/>
                <w:kern w:val="0"/>
              </w:rPr>
            </w:pPr>
            <w:r>
              <w:rPr>
                <w:rFonts w:hint="eastAsia" w:ascii="宋体" w:hAnsi="宋体" w:cs="宋体"/>
                <w:kern w:val="0"/>
              </w:rPr>
              <w:t>部门（单位）履行职责、完成各项重大政策和项目的效果，以及对经济发展、社会发展、生态环境所带来的直接或间接影响。</w:t>
            </w:r>
          </w:p>
        </w:tc>
        <w:tc>
          <w:tcPr>
            <w:tcW w:w="5812" w:type="dxa"/>
            <w:tcBorders>
              <w:top w:val="nil"/>
              <w:left w:val="nil"/>
              <w:bottom w:val="single" w:color="auto" w:sz="4" w:space="0"/>
              <w:right w:val="single" w:color="auto" w:sz="4" w:space="0"/>
            </w:tcBorders>
            <w:noWrap w:val="0"/>
            <w:vAlign w:val="center"/>
          </w:tcPr>
          <w:p w14:paraId="4E209A8C">
            <w:pPr>
              <w:widowControl/>
              <w:spacing w:line="320" w:lineRule="exact"/>
              <w:ind w:firstLine="405"/>
              <w:rPr>
                <w:rFonts w:ascii="宋体"/>
                <w:kern w:val="0"/>
              </w:rPr>
            </w:pPr>
            <w:r>
              <w:rPr>
                <w:rFonts w:hint="eastAsia" w:ascii="宋体" w:hAnsi="宋体" w:cs="宋体"/>
                <w:kern w:val="0"/>
              </w:rPr>
              <w:t>根据部门（单位）职责，结合部门整体支出绩效目标，合理设置个性化绩效指标，通过绩效指标完成情况与目标值对比分析进行评分，未实现绩效目标的酌情扣分。</w:t>
            </w:r>
          </w:p>
          <w:p w14:paraId="29FB7C06">
            <w:pPr>
              <w:widowControl/>
              <w:spacing w:line="320" w:lineRule="exact"/>
              <w:ind w:firstLine="405"/>
              <w:rPr>
                <w:rFonts w:ascii="宋体"/>
                <w:kern w:val="0"/>
              </w:rPr>
            </w:pPr>
            <w:r>
              <w:rPr>
                <w:rFonts w:hint="eastAsia" w:ascii="宋体" w:hAnsi="宋体" w:cs="宋体"/>
                <w:kern w:val="0"/>
              </w:rPr>
              <w:t>根据部门（部门）履职内容和性质，从社会效益、经济效益、生态效益、可持续影响等方面，至少选择三个方面对工作实效和效益进行评价。</w:t>
            </w:r>
          </w:p>
        </w:tc>
        <w:tc>
          <w:tcPr>
            <w:tcW w:w="807" w:type="dxa"/>
            <w:tcBorders>
              <w:top w:val="nil"/>
              <w:left w:val="nil"/>
              <w:bottom w:val="single" w:color="auto" w:sz="4" w:space="0"/>
              <w:right w:val="single" w:color="auto" w:sz="4" w:space="0"/>
            </w:tcBorders>
            <w:noWrap w:val="0"/>
            <w:vAlign w:val="center"/>
          </w:tcPr>
          <w:p w14:paraId="6355E671">
            <w:pPr>
              <w:widowControl/>
              <w:spacing w:line="320" w:lineRule="exact"/>
              <w:jc w:val="left"/>
              <w:rPr>
                <w:rFonts w:hint="default" w:ascii="宋体" w:hAnsi="宋体" w:eastAsia="宋体" w:cs="宋体"/>
                <w:kern w:val="0"/>
                <w:lang w:val="en-US" w:eastAsia="zh-CN"/>
              </w:rPr>
            </w:pPr>
            <w:r>
              <w:rPr>
                <w:rFonts w:hint="eastAsia" w:ascii="宋体" w:hAnsi="宋体" w:cs="宋体"/>
                <w:kern w:val="0"/>
                <w:lang w:val="en-US" w:eastAsia="zh-CN"/>
              </w:rPr>
              <w:t>25</w:t>
            </w:r>
          </w:p>
        </w:tc>
        <w:tc>
          <w:tcPr>
            <w:tcW w:w="2312" w:type="dxa"/>
            <w:tcBorders>
              <w:top w:val="nil"/>
              <w:left w:val="nil"/>
              <w:bottom w:val="single" w:color="auto" w:sz="4" w:space="0"/>
              <w:right w:val="single" w:color="auto" w:sz="4" w:space="0"/>
            </w:tcBorders>
            <w:noWrap w:val="0"/>
            <w:vAlign w:val="top"/>
          </w:tcPr>
          <w:p w14:paraId="4F7E7748">
            <w:pPr>
              <w:widowControl/>
              <w:spacing w:line="320" w:lineRule="exact"/>
              <w:ind w:firstLine="405"/>
              <w:rPr>
                <w:rFonts w:ascii="宋体" w:hAnsi="宋体" w:cs="宋体"/>
                <w:kern w:val="0"/>
              </w:rPr>
            </w:pPr>
          </w:p>
        </w:tc>
      </w:tr>
      <w:tr w14:paraId="68F91B44">
        <w:tblPrEx>
          <w:tblCellMar>
            <w:top w:w="0" w:type="dxa"/>
            <w:left w:w="108" w:type="dxa"/>
            <w:bottom w:w="0" w:type="dxa"/>
            <w:right w:w="108" w:type="dxa"/>
          </w:tblCellMar>
        </w:tblPrEx>
        <w:trPr>
          <w:trHeight w:val="1214" w:hRule="atLeast"/>
        </w:trPr>
        <w:tc>
          <w:tcPr>
            <w:tcW w:w="577" w:type="dxa"/>
            <w:vMerge w:val="continue"/>
            <w:tcBorders>
              <w:top w:val="nil"/>
              <w:left w:val="single" w:color="auto" w:sz="4" w:space="0"/>
              <w:bottom w:val="single" w:color="auto" w:sz="4" w:space="0"/>
              <w:right w:val="single" w:color="auto" w:sz="4" w:space="0"/>
            </w:tcBorders>
            <w:noWrap w:val="0"/>
            <w:vAlign w:val="center"/>
          </w:tcPr>
          <w:p w14:paraId="134C915A">
            <w:pPr>
              <w:widowControl/>
              <w:spacing w:line="320" w:lineRule="exact"/>
              <w:jc w:val="left"/>
              <w:rPr>
                <w:rFonts w:ascii="宋体"/>
                <w:kern w:val="0"/>
              </w:rPr>
            </w:pPr>
          </w:p>
        </w:tc>
        <w:tc>
          <w:tcPr>
            <w:tcW w:w="567" w:type="dxa"/>
            <w:vMerge w:val="continue"/>
            <w:tcBorders>
              <w:top w:val="nil"/>
              <w:left w:val="single" w:color="auto" w:sz="4" w:space="0"/>
              <w:bottom w:val="single" w:color="auto" w:sz="4" w:space="0"/>
              <w:right w:val="single" w:color="auto" w:sz="4" w:space="0"/>
            </w:tcBorders>
            <w:noWrap w:val="0"/>
            <w:vAlign w:val="center"/>
          </w:tcPr>
          <w:p w14:paraId="20ABE627">
            <w:pPr>
              <w:widowControl/>
              <w:spacing w:line="320" w:lineRule="exact"/>
              <w:jc w:val="left"/>
              <w:rPr>
                <w:rFonts w:ascii="宋体"/>
                <w:kern w:val="0"/>
              </w:rPr>
            </w:pPr>
          </w:p>
        </w:tc>
        <w:tc>
          <w:tcPr>
            <w:tcW w:w="567" w:type="dxa"/>
            <w:vMerge w:val="restart"/>
            <w:tcBorders>
              <w:top w:val="nil"/>
              <w:left w:val="single" w:color="auto" w:sz="4" w:space="0"/>
              <w:bottom w:val="single" w:color="auto" w:sz="4" w:space="0"/>
              <w:right w:val="single" w:color="auto" w:sz="4" w:space="0"/>
            </w:tcBorders>
            <w:noWrap w:val="0"/>
            <w:vAlign w:val="center"/>
          </w:tcPr>
          <w:p w14:paraId="3D3F9298">
            <w:pPr>
              <w:widowControl/>
              <w:spacing w:line="320" w:lineRule="exact"/>
              <w:jc w:val="left"/>
              <w:rPr>
                <w:rFonts w:ascii="宋体"/>
                <w:kern w:val="0"/>
              </w:rPr>
            </w:pPr>
            <w:r>
              <w:rPr>
                <w:rFonts w:hint="eastAsia" w:ascii="宋体" w:hAnsi="宋体" w:cs="宋体"/>
                <w:kern w:val="0"/>
              </w:rPr>
              <w:t>公平性</w:t>
            </w:r>
          </w:p>
        </w:tc>
        <w:tc>
          <w:tcPr>
            <w:tcW w:w="567" w:type="dxa"/>
            <w:vMerge w:val="restart"/>
            <w:tcBorders>
              <w:top w:val="nil"/>
              <w:left w:val="single" w:color="auto" w:sz="4" w:space="0"/>
              <w:bottom w:val="single" w:color="auto" w:sz="4" w:space="0"/>
              <w:right w:val="single" w:color="auto" w:sz="4" w:space="0"/>
            </w:tcBorders>
            <w:noWrap w:val="0"/>
            <w:vAlign w:val="center"/>
          </w:tcPr>
          <w:p w14:paraId="2E0110CF">
            <w:pPr>
              <w:widowControl/>
              <w:spacing w:line="320" w:lineRule="exact"/>
              <w:jc w:val="center"/>
              <w:rPr>
                <w:rFonts w:ascii="宋体"/>
                <w:kern w:val="0"/>
              </w:rPr>
            </w:pPr>
            <w:r>
              <w:rPr>
                <w:rFonts w:ascii="宋体" w:hAnsi="宋体" w:cs="宋体"/>
                <w:kern w:val="0"/>
              </w:rPr>
              <w:t>9</w:t>
            </w:r>
          </w:p>
        </w:tc>
        <w:tc>
          <w:tcPr>
            <w:tcW w:w="851" w:type="dxa"/>
            <w:tcBorders>
              <w:top w:val="nil"/>
              <w:left w:val="nil"/>
              <w:bottom w:val="single" w:color="auto" w:sz="4" w:space="0"/>
              <w:right w:val="single" w:color="auto" w:sz="4" w:space="0"/>
            </w:tcBorders>
            <w:noWrap w:val="0"/>
            <w:vAlign w:val="center"/>
          </w:tcPr>
          <w:p w14:paraId="31F45876">
            <w:pPr>
              <w:widowControl/>
              <w:spacing w:line="320" w:lineRule="exact"/>
              <w:jc w:val="left"/>
              <w:rPr>
                <w:rFonts w:ascii="宋体"/>
                <w:kern w:val="0"/>
              </w:rPr>
            </w:pPr>
            <w:r>
              <w:rPr>
                <w:rFonts w:hint="eastAsia" w:ascii="宋体" w:hAnsi="宋体" w:cs="宋体"/>
                <w:kern w:val="0"/>
              </w:rPr>
              <w:t>群众信访办理情况</w:t>
            </w:r>
          </w:p>
        </w:tc>
        <w:tc>
          <w:tcPr>
            <w:tcW w:w="567" w:type="dxa"/>
            <w:tcBorders>
              <w:top w:val="nil"/>
              <w:left w:val="nil"/>
              <w:bottom w:val="single" w:color="auto" w:sz="4" w:space="0"/>
              <w:right w:val="single" w:color="auto" w:sz="4" w:space="0"/>
            </w:tcBorders>
            <w:noWrap w:val="0"/>
            <w:vAlign w:val="center"/>
          </w:tcPr>
          <w:p w14:paraId="4040AF59">
            <w:pPr>
              <w:widowControl/>
              <w:spacing w:line="320" w:lineRule="exact"/>
              <w:jc w:val="center"/>
              <w:rPr>
                <w:rFonts w:ascii="宋体"/>
                <w:kern w:val="0"/>
              </w:rPr>
            </w:pPr>
            <w:r>
              <w:rPr>
                <w:rFonts w:ascii="宋体" w:hAnsi="宋体" w:cs="宋体"/>
                <w:kern w:val="0"/>
              </w:rPr>
              <w:t>3</w:t>
            </w:r>
          </w:p>
        </w:tc>
        <w:tc>
          <w:tcPr>
            <w:tcW w:w="2536" w:type="dxa"/>
            <w:tcBorders>
              <w:top w:val="nil"/>
              <w:left w:val="nil"/>
              <w:bottom w:val="single" w:color="auto" w:sz="4" w:space="0"/>
              <w:right w:val="single" w:color="auto" w:sz="4" w:space="0"/>
            </w:tcBorders>
            <w:noWrap w:val="0"/>
            <w:vAlign w:val="center"/>
          </w:tcPr>
          <w:p w14:paraId="6FC324B4">
            <w:pPr>
              <w:widowControl/>
              <w:spacing w:line="320" w:lineRule="exact"/>
              <w:rPr>
                <w:rFonts w:ascii="宋体"/>
                <w:kern w:val="0"/>
              </w:rPr>
            </w:pPr>
            <w:r>
              <w:rPr>
                <w:rFonts w:hint="eastAsia" w:ascii="宋体" w:hAnsi="宋体" w:cs="宋体"/>
                <w:kern w:val="0"/>
              </w:rPr>
              <w:t>部门（单位）对群众信访意见的完成情况及及时性，反映部门（单位）对服务群众的重视程度。</w:t>
            </w:r>
          </w:p>
        </w:tc>
        <w:tc>
          <w:tcPr>
            <w:tcW w:w="5812" w:type="dxa"/>
            <w:tcBorders>
              <w:top w:val="nil"/>
              <w:left w:val="nil"/>
              <w:bottom w:val="single" w:color="auto" w:sz="4" w:space="0"/>
              <w:right w:val="single" w:color="auto" w:sz="4" w:space="0"/>
            </w:tcBorders>
            <w:noWrap w:val="0"/>
            <w:vAlign w:val="center"/>
          </w:tcPr>
          <w:p w14:paraId="250D54AB">
            <w:pPr>
              <w:widowControl/>
              <w:spacing w:line="320" w:lineRule="exact"/>
              <w:ind w:firstLine="315" w:firstLineChars="150"/>
              <w:rPr>
                <w:rFonts w:ascii="宋体"/>
                <w:kern w:val="0"/>
              </w:rPr>
            </w:pPr>
            <w:r>
              <w:rPr>
                <w:rFonts w:ascii="宋体" w:hAnsi="宋体" w:cs="宋体"/>
                <w:kern w:val="0"/>
              </w:rPr>
              <w:t>1.</w:t>
            </w:r>
            <w:r>
              <w:rPr>
                <w:rFonts w:hint="eastAsia" w:ascii="宋体" w:hAnsi="宋体" w:cs="宋体"/>
                <w:kern w:val="0"/>
              </w:rPr>
              <w:t>建立了便利的群众意见反映渠道和群众意见办理回复机制（</w:t>
            </w:r>
            <w:r>
              <w:rPr>
                <w:rFonts w:ascii="宋体" w:hAnsi="宋体" w:cs="宋体"/>
                <w:kern w:val="0"/>
              </w:rPr>
              <w:t>1</w:t>
            </w:r>
            <w:r>
              <w:rPr>
                <w:rFonts w:hint="eastAsia" w:ascii="宋体" w:hAnsi="宋体" w:cs="宋体"/>
                <w:kern w:val="0"/>
              </w:rPr>
              <w:t>分）；</w:t>
            </w:r>
          </w:p>
          <w:p w14:paraId="0FD4026B">
            <w:pPr>
              <w:widowControl/>
              <w:spacing w:line="320" w:lineRule="exact"/>
              <w:ind w:firstLine="315" w:firstLineChars="150"/>
              <w:rPr>
                <w:rFonts w:ascii="宋体"/>
                <w:kern w:val="0"/>
              </w:rPr>
            </w:pPr>
            <w:r>
              <w:rPr>
                <w:rFonts w:ascii="宋体" w:hAnsi="宋体" w:cs="宋体"/>
                <w:kern w:val="0"/>
              </w:rPr>
              <w:t>2.</w:t>
            </w:r>
            <w:r>
              <w:rPr>
                <w:rFonts w:hint="eastAsia" w:ascii="宋体" w:hAnsi="宋体" w:cs="宋体"/>
                <w:kern w:val="0"/>
              </w:rPr>
              <w:t>当年度群众信访办理回复率达</w:t>
            </w:r>
            <w:r>
              <w:rPr>
                <w:rFonts w:ascii="宋体" w:hAnsi="宋体" w:cs="宋体"/>
                <w:kern w:val="0"/>
              </w:rPr>
              <w:t>100%</w:t>
            </w:r>
            <w:r>
              <w:rPr>
                <w:rFonts w:hint="eastAsia" w:ascii="宋体" w:hAnsi="宋体" w:cs="宋体"/>
                <w:kern w:val="0"/>
              </w:rPr>
              <w:t>（</w:t>
            </w:r>
            <w:r>
              <w:rPr>
                <w:rFonts w:ascii="宋体" w:hAnsi="宋体" w:cs="宋体"/>
                <w:kern w:val="0"/>
              </w:rPr>
              <w:t>1</w:t>
            </w:r>
            <w:r>
              <w:rPr>
                <w:rFonts w:hint="eastAsia" w:ascii="宋体" w:hAnsi="宋体" w:cs="宋体"/>
                <w:kern w:val="0"/>
              </w:rPr>
              <w:t>分）；</w:t>
            </w:r>
          </w:p>
          <w:p w14:paraId="513A1BDD">
            <w:pPr>
              <w:widowControl/>
              <w:spacing w:line="320" w:lineRule="exact"/>
              <w:ind w:firstLine="315" w:firstLineChars="150"/>
              <w:rPr>
                <w:rFonts w:ascii="宋体"/>
                <w:kern w:val="0"/>
              </w:rPr>
            </w:pPr>
            <w:r>
              <w:rPr>
                <w:rFonts w:ascii="宋体" w:hAnsi="宋体" w:cs="宋体"/>
                <w:kern w:val="0"/>
              </w:rPr>
              <w:t>3.</w:t>
            </w:r>
            <w:r>
              <w:rPr>
                <w:rFonts w:hint="eastAsia" w:ascii="宋体" w:hAnsi="宋体" w:cs="宋体"/>
                <w:kern w:val="0"/>
              </w:rPr>
              <w:t>当年度群众信访及时办理回复率达</w:t>
            </w:r>
            <w:r>
              <w:rPr>
                <w:rFonts w:ascii="宋体" w:hAnsi="宋体" w:cs="宋体"/>
                <w:kern w:val="0"/>
              </w:rPr>
              <w:t>100%</w:t>
            </w:r>
            <w:r>
              <w:rPr>
                <w:rFonts w:hint="eastAsia" w:ascii="宋体" w:hAnsi="宋体" w:cs="宋体"/>
                <w:kern w:val="0"/>
              </w:rPr>
              <w:t>，未发生超期（</w:t>
            </w:r>
            <w:r>
              <w:rPr>
                <w:rFonts w:ascii="宋体" w:hAnsi="宋体" w:cs="宋体"/>
                <w:kern w:val="0"/>
              </w:rPr>
              <w:t>1</w:t>
            </w:r>
            <w:r>
              <w:rPr>
                <w:rFonts w:hint="eastAsia" w:ascii="宋体" w:hAnsi="宋体" w:cs="宋体"/>
                <w:kern w:val="0"/>
              </w:rPr>
              <w:t>分）。</w:t>
            </w:r>
          </w:p>
        </w:tc>
        <w:tc>
          <w:tcPr>
            <w:tcW w:w="807" w:type="dxa"/>
            <w:tcBorders>
              <w:top w:val="nil"/>
              <w:left w:val="nil"/>
              <w:bottom w:val="single" w:color="auto" w:sz="4" w:space="0"/>
              <w:right w:val="single" w:color="auto" w:sz="4" w:space="0"/>
            </w:tcBorders>
            <w:noWrap w:val="0"/>
            <w:vAlign w:val="center"/>
          </w:tcPr>
          <w:p w14:paraId="473B3888">
            <w:pPr>
              <w:widowControl/>
              <w:spacing w:line="320" w:lineRule="exact"/>
              <w:jc w:val="left"/>
              <w:rPr>
                <w:rFonts w:hint="eastAsia" w:ascii="宋体" w:hAnsi="宋体" w:eastAsia="宋体" w:cs="宋体"/>
                <w:kern w:val="0"/>
                <w:lang w:val="en-US" w:eastAsia="zh-CN"/>
              </w:rPr>
            </w:pPr>
            <w:r>
              <w:rPr>
                <w:rFonts w:hint="eastAsia" w:ascii="宋体" w:hAnsi="宋体" w:cs="宋体"/>
                <w:kern w:val="0"/>
                <w:lang w:val="en-US" w:eastAsia="zh-CN"/>
              </w:rPr>
              <w:t>3</w:t>
            </w:r>
          </w:p>
        </w:tc>
        <w:tc>
          <w:tcPr>
            <w:tcW w:w="2312" w:type="dxa"/>
            <w:tcBorders>
              <w:top w:val="nil"/>
              <w:left w:val="nil"/>
              <w:bottom w:val="single" w:color="auto" w:sz="4" w:space="0"/>
              <w:right w:val="single" w:color="auto" w:sz="4" w:space="0"/>
            </w:tcBorders>
            <w:noWrap w:val="0"/>
            <w:vAlign w:val="top"/>
          </w:tcPr>
          <w:p w14:paraId="6245E56C">
            <w:pPr>
              <w:widowControl/>
              <w:spacing w:line="320" w:lineRule="exact"/>
              <w:ind w:firstLine="315" w:firstLineChars="150"/>
              <w:rPr>
                <w:rFonts w:ascii="宋体" w:hAnsi="宋体" w:cs="宋体"/>
                <w:kern w:val="0"/>
              </w:rPr>
            </w:pPr>
          </w:p>
        </w:tc>
      </w:tr>
      <w:tr w14:paraId="218526D7">
        <w:tblPrEx>
          <w:tblCellMar>
            <w:top w:w="0" w:type="dxa"/>
            <w:left w:w="108" w:type="dxa"/>
            <w:bottom w:w="0" w:type="dxa"/>
            <w:right w:w="108" w:type="dxa"/>
          </w:tblCellMar>
        </w:tblPrEx>
        <w:trPr>
          <w:trHeight w:val="1401" w:hRule="atLeast"/>
        </w:trPr>
        <w:tc>
          <w:tcPr>
            <w:tcW w:w="577" w:type="dxa"/>
            <w:vMerge w:val="continue"/>
            <w:tcBorders>
              <w:top w:val="nil"/>
              <w:left w:val="single" w:color="auto" w:sz="4" w:space="0"/>
              <w:bottom w:val="nil"/>
              <w:right w:val="single" w:color="auto" w:sz="4" w:space="0"/>
            </w:tcBorders>
            <w:noWrap w:val="0"/>
            <w:vAlign w:val="center"/>
          </w:tcPr>
          <w:p w14:paraId="1C698892">
            <w:pPr>
              <w:widowControl/>
              <w:spacing w:line="320" w:lineRule="exact"/>
              <w:jc w:val="left"/>
              <w:rPr>
                <w:rFonts w:ascii="宋体"/>
                <w:kern w:val="0"/>
              </w:rPr>
            </w:pPr>
          </w:p>
        </w:tc>
        <w:tc>
          <w:tcPr>
            <w:tcW w:w="567" w:type="dxa"/>
            <w:vMerge w:val="continue"/>
            <w:tcBorders>
              <w:top w:val="nil"/>
              <w:left w:val="single" w:color="auto" w:sz="4" w:space="0"/>
              <w:bottom w:val="nil"/>
              <w:right w:val="single" w:color="auto" w:sz="4" w:space="0"/>
            </w:tcBorders>
            <w:noWrap w:val="0"/>
            <w:vAlign w:val="center"/>
          </w:tcPr>
          <w:p w14:paraId="304B98F3">
            <w:pPr>
              <w:widowControl/>
              <w:spacing w:line="320" w:lineRule="exact"/>
              <w:jc w:val="left"/>
              <w:rPr>
                <w:rFonts w:ascii="宋体"/>
                <w:kern w:val="0"/>
              </w:rPr>
            </w:pPr>
          </w:p>
        </w:tc>
        <w:tc>
          <w:tcPr>
            <w:tcW w:w="567" w:type="dxa"/>
            <w:vMerge w:val="continue"/>
            <w:tcBorders>
              <w:top w:val="nil"/>
              <w:left w:val="single" w:color="auto" w:sz="4" w:space="0"/>
              <w:bottom w:val="nil"/>
              <w:right w:val="single" w:color="auto" w:sz="4" w:space="0"/>
            </w:tcBorders>
            <w:noWrap w:val="0"/>
            <w:vAlign w:val="center"/>
          </w:tcPr>
          <w:p w14:paraId="6133D62E">
            <w:pPr>
              <w:widowControl/>
              <w:spacing w:line="320" w:lineRule="exact"/>
              <w:jc w:val="left"/>
              <w:rPr>
                <w:rFonts w:ascii="宋体"/>
                <w:kern w:val="0"/>
              </w:rPr>
            </w:pPr>
          </w:p>
        </w:tc>
        <w:tc>
          <w:tcPr>
            <w:tcW w:w="567" w:type="dxa"/>
            <w:vMerge w:val="continue"/>
            <w:tcBorders>
              <w:top w:val="nil"/>
              <w:left w:val="single" w:color="auto" w:sz="4" w:space="0"/>
              <w:bottom w:val="nil"/>
              <w:right w:val="single" w:color="auto" w:sz="4" w:space="0"/>
            </w:tcBorders>
            <w:noWrap w:val="0"/>
            <w:vAlign w:val="center"/>
          </w:tcPr>
          <w:p w14:paraId="53D008D3">
            <w:pPr>
              <w:widowControl/>
              <w:spacing w:line="320" w:lineRule="exact"/>
              <w:jc w:val="left"/>
              <w:rPr>
                <w:rFonts w:ascii="宋体"/>
                <w:kern w:val="0"/>
              </w:rPr>
            </w:pPr>
          </w:p>
        </w:tc>
        <w:tc>
          <w:tcPr>
            <w:tcW w:w="851" w:type="dxa"/>
            <w:tcBorders>
              <w:top w:val="nil"/>
              <w:left w:val="nil"/>
              <w:bottom w:val="nil"/>
              <w:right w:val="single" w:color="auto" w:sz="4" w:space="0"/>
            </w:tcBorders>
            <w:noWrap w:val="0"/>
            <w:vAlign w:val="center"/>
          </w:tcPr>
          <w:p w14:paraId="4C6B3EE5">
            <w:pPr>
              <w:widowControl/>
              <w:spacing w:line="320" w:lineRule="exact"/>
              <w:jc w:val="left"/>
              <w:rPr>
                <w:rFonts w:ascii="宋体"/>
                <w:kern w:val="0"/>
              </w:rPr>
            </w:pPr>
            <w:r>
              <w:rPr>
                <w:rFonts w:hint="eastAsia" w:ascii="宋体" w:hAnsi="宋体" w:cs="宋体"/>
                <w:kern w:val="0"/>
              </w:rPr>
              <w:t>公众或服务对象满意度</w:t>
            </w:r>
          </w:p>
        </w:tc>
        <w:tc>
          <w:tcPr>
            <w:tcW w:w="567" w:type="dxa"/>
            <w:tcBorders>
              <w:top w:val="nil"/>
              <w:left w:val="nil"/>
              <w:bottom w:val="nil"/>
              <w:right w:val="single" w:color="auto" w:sz="4" w:space="0"/>
            </w:tcBorders>
            <w:noWrap w:val="0"/>
            <w:vAlign w:val="center"/>
          </w:tcPr>
          <w:p w14:paraId="15EAEEE0">
            <w:pPr>
              <w:widowControl/>
              <w:spacing w:line="320" w:lineRule="exact"/>
              <w:jc w:val="center"/>
              <w:rPr>
                <w:rFonts w:ascii="宋体"/>
                <w:kern w:val="0"/>
              </w:rPr>
            </w:pPr>
            <w:r>
              <w:rPr>
                <w:rFonts w:ascii="宋体" w:hAnsi="宋体" w:cs="宋体"/>
                <w:kern w:val="0"/>
              </w:rPr>
              <w:t>6</w:t>
            </w:r>
          </w:p>
        </w:tc>
        <w:tc>
          <w:tcPr>
            <w:tcW w:w="2536" w:type="dxa"/>
            <w:tcBorders>
              <w:top w:val="nil"/>
              <w:left w:val="nil"/>
              <w:bottom w:val="nil"/>
              <w:right w:val="single" w:color="auto" w:sz="4" w:space="0"/>
            </w:tcBorders>
            <w:noWrap w:val="0"/>
            <w:vAlign w:val="center"/>
          </w:tcPr>
          <w:p w14:paraId="363F8296">
            <w:pPr>
              <w:widowControl/>
              <w:spacing w:line="320" w:lineRule="exact"/>
              <w:rPr>
                <w:rFonts w:ascii="宋体"/>
                <w:kern w:val="0"/>
              </w:rPr>
            </w:pPr>
            <w:r>
              <w:rPr>
                <w:rFonts w:hint="eastAsia" w:ascii="宋体" w:hAnsi="宋体" w:cs="宋体"/>
                <w:kern w:val="0"/>
              </w:rPr>
              <w:t>反映社会公众或部门（单位）的服务对象对部门履职效果的满意度。</w:t>
            </w:r>
          </w:p>
        </w:tc>
        <w:tc>
          <w:tcPr>
            <w:tcW w:w="5812" w:type="dxa"/>
            <w:tcBorders>
              <w:top w:val="nil"/>
              <w:left w:val="nil"/>
              <w:bottom w:val="nil"/>
              <w:right w:val="single" w:color="auto" w:sz="4" w:space="0"/>
            </w:tcBorders>
            <w:noWrap w:val="0"/>
            <w:vAlign w:val="center"/>
          </w:tcPr>
          <w:p w14:paraId="1E064214">
            <w:pPr>
              <w:widowControl/>
              <w:spacing w:line="320" w:lineRule="exact"/>
              <w:ind w:firstLine="420"/>
              <w:rPr>
                <w:rFonts w:ascii="宋体"/>
                <w:kern w:val="0"/>
              </w:rPr>
            </w:pPr>
            <w:r>
              <w:rPr>
                <w:rFonts w:hint="eastAsia" w:ascii="宋体" w:hAnsi="宋体" w:cs="宋体"/>
                <w:kern w:val="0"/>
              </w:rPr>
              <w:t>社会公众或服务对象是指部门（单位）履行职责而影响到的部门、群体或个人，一般采取社会调查的方式。如难以单独开展满意度调查的，可参考区统计部门的数据、年度区直民主评议政风行风评价结果等数据，或者参考群众信访反馈的普遍性问题、本部门或权威第三方机构的开展满意度调查等进行分档计分。</w:t>
            </w:r>
          </w:p>
          <w:p w14:paraId="76DE3475">
            <w:pPr>
              <w:widowControl/>
              <w:spacing w:line="320" w:lineRule="exact"/>
              <w:ind w:firstLine="420"/>
              <w:rPr>
                <w:rFonts w:ascii="宋体"/>
                <w:kern w:val="0"/>
              </w:rPr>
            </w:pPr>
            <w:r>
              <w:rPr>
                <w:rFonts w:ascii="宋体" w:hAnsi="宋体" w:cs="宋体"/>
                <w:kern w:val="0"/>
              </w:rPr>
              <w:t>1.</w:t>
            </w:r>
            <w:r>
              <w:rPr>
                <w:rFonts w:hint="eastAsia" w:ascii="宋体" w:hAnsi="宋体" w:cs="宋体"/>
                <w:kern w:val="0"/>
              </w:rPr>
              <w:t>满意度≥</w:t>
            </w:r>
            <w:r>
              <w:rPr>
                <w:rFonts w:ascii="宋体" w:hAnsi="宋体" w:cs="宋体"/>
                <w:kern w:val="0"/>
              </w:rPr>
              <w:t>95%</w:t>
            </w:r>
            <w:r>
              <w:rPr>
                <w:rFonts w:hint="eastAsia" w:ascii="宋体" w:hAnsi="宋体" w:cs="宋体"/>
                <w:kern w:val="0"/>
              </w:rPr>
              <w:t>的，得</w:t>
            </w:r>
            <w:r>
              <w:rPr>
                <w:rFonts w:ascii="宋体" w:hAnsi="宋体" w:cs="宋体"/>
                <w:kern w:val="0"/>
              </w:rPr>
              <w:t>6</w:t>
            </w:r>
            <w:r>
              <w:rPr>
                <w:rFonts w:hint="eastAsia" w:ascii="宋体" w:hAnsi="宋体" w:cs="宋体"/>
                <w:kern w:val="0"/>
              </w:rPr>
              <w:t>分；</w:t>
            </w:r>
          </w:p>
          <w:p w14:paraId="7E3B94C7">
            <w:pPr>
              <w:widowControl/>
              <w:spacing w:line="320" w:lineRule="exact"/>
              <w:ind w:firstLine="420"/>
              <w:rPr>
                <w:rFonts w:ascii="宋体"/>
                <w:kern w:val="0"/>
              </w:rPr>
            </w:pPr>
            <w:r>
              <w:rPr>
                <w:rFonts w:ascii="宋体" w:cs="宋体"/>
                <w:kern w:val="0"/>
              </w:rPr>
              <w:t>2.</w:t>
            </w:r>
            <w:r>
              <w:rPr>
                <w:rFonts w:ascii="宋体" w:hAnsi="宋体" w:cs="宋体"/>
                <w:kern w:val="0"/>
              </w:rPr>
              <w:t xml:space="preserve"> 90%</w:t>
            </w:r>
            <w:r>
              <w:rPr>
                <w:rFonts w:hint="eastAsia" w:ascii="宋体" w:hAnsi="宋体" w:cs="宋体"/>
                <w:kern w:val="0"/>
              </w:rPr>
              <w:t>≤满意度＜</w:t>
            </w:r>
            <w:r>
              <w:rPr>
                <w:rFonts w:ascii="宋体" w:hAnsi="宋体" w:cs="宋体"/>
                <w:kern w:val="0"/>
              </w:rPr>
              <w:t>95%</w:t>
            </w:r>
            <w:r>
              <w:rPr>
                <w:rFonts w:hint="eastAsia" w:ascii="宋体" w:hAnsi="宋体" w:cs="宋体"/>
                <w:kern w:val="0"/>
              </w:rPr>
              <w:t>的，得</w:t>
            </w:r>
            <w:r>
              <w:rPr>
                <w:rFonts w:ascii="宋体" w:hAnsi="宋体" w:cs="宋体"/>
                <w:kern w:val="0"/>
              </w:rPr>
              <w:t>4</w:t>
            </w:r>
            <w:r>
              <w:rPr>
                <w:rFonts w:hint="eastAsia" w:ascii="宋体" w:hAnsi="宋体" w:cs="宋体"/>
                <w:kern w:val="0"/>
              </w:rPr>
              <w:t>分；</w:t>
            </w:r>
          </w:p>
          <w:p w14:paraId="48BB884A">
            <w:pPr>
              <w:widowControl/>
              <w:spacing w:line="320" w:lineRule="exact"/>
              <w:ind w:firstLine="420"/>
              <w:rPr>
                <w:rFonts w:ascii="宋体"/>
                <w:kern w:val="0"/>
              </w:rPr>
            </w:pPr>
            <w:r>
              <w:rPr>
                <w:rFonts w:ascii="宋体" w:hAnsi="宋体" w:cs="宋体"/>
                <w:kern w:val="0"/>
              </w:rPr>
              <w:t>3. 80%</w:t>
            </w:r>
            <w:r>
              <w:rPr>
                <w:rFonts w:hint="eastAsia" w:ascii="宋体" w:hAnsi="宋体" w:cs="宋体"/>
                <w:kern w:val="0"/>
              </w:rPr>
              <w:t>≤满意度＜</w:t>
            </w:r>
            <w:r>
              <w:rPr>
                <w:rFonts w:ascii="宋体" w:hAnsi="宋体" w:cs="宋体"/>
                <w:kern w:val="0"/>
              </w:rPr>
              <w:t>90%</w:t>
            </w:r>
            <w:r>
              <w:rPr>
                <w:rFonts w:hint="eastAsia" w:ascii="宋体" w:hAnsi="宋体" w:cs="宋体"/>
                <w:kern w:val="0"/>
              </w:rPr>
              <w:t>的，得</w:t>
            </w:r>
            <w:r>
              <w:rPr>
                <w:rFonts w:ascii="宋体" w:hAnsi="宋体" w:cs="宋体"/>
                <w:kern w:val="0"/>
              </w:rPr>
              <w:t>2</w:t>
            </w:r>
            <w:r>
              <w:rPr>
                <w:rFonts w:hint="eastAsia" w:ascii="宋体" w:hAnsi="宋体" w:cs="宋体"/>
                <w:kern w:val="0"/>
              </w:rPr>
              <w:t>分；</w:t>
            </w:r>
          </w:p>
          <w:p w14:paraId="3949B9BC">
            <w:pPr>
              <w:widowControl/>
              <w:spacing w:line="320" w:lineRule="exact"/>
              <w:ind w:firstLine="420"/>
              <w:rPr>
                <w:rFonts w:ascii="宋体"/>
                <w:kern w:val="0"/>
              </w:rPr>
            </w:pPr>
            <w:r>
              <w:rPr>
                <w:rFonts w:ascii="宋体" w:hAnsi="宋体" w:cs="宋体"/>
                <w:kern w:val="0"/>
              </w:rPr>
              <w:t xml:space="preserve">4. </w:t>
            </w:r>
            <w:r>
              <w:rPr>
                <w:rFonts w:hint="eastAsia" w:ascii="宋体" w:hAnsi="宋体" w:cs="宋体"/>
                <w:kern w:val="0"/>
              </w:rPr>
              <w:t>满意度＜</w:t>
            </w:r>
            <w:r>
              <w:rPr>
                <w:rFonts w:ascii="宋体" w:hAnsi="宋体" w:cs="宋体"/>
                <w:kern w:val="0"/>
              </w:rPr>
              <w:t>80%</w:t>
            </w:r>
            <w:r>
              <w:rPr>
                <w:rFonts w:hint="eastAsia" w:ascii="宋体" w:hAnsi="宋体" w:cs="宋体"/>
                <w:kern w:val="0"/>
              </w:rPr>
              <w:t>的，得</w:t>
            </w:r>
            <w:r>
              <w:rPr>
                <w:rFonts w:ascii="宋体" w:hAnsi="宋体" w:cs="宋体"/>
                <w:kern w:val="0"/>
              </w:rPr>
              <w:t>1</w:t>
            </w:r>
            <w:r>
              <w:rPr>
                <w:rFonts w:hint="eastAsia" w:ascii="宋体" w:hAnsi="宋体" w:cs="宋体"/>
                <w:kern w:val="0"/>
              </w:rPr>
              <w:t>分。</w:t>
            </w:r>
          </w:p>
        </w:tc>
        <w:tc>
          <w:tcPr>
            <w:tcW w:w="807" w:type="dxa"/>
            <w:tcBorders>
              <w:top w:val="nil"/>
              <w:left w:val="nil"/>
              <w:bottom w:val="nil"/>
              <w:right w:val="single" w:color="auto" w:sz="4" w:space="0"/>
            </w:tcBorders>
            <w:noWrap w:val="0"/>
            <w:vAlign w:val="center"/>
          </w:tcPr>
          <w:p w14:paraId="0CCBA71E">
            <w:pPr>
              <w:widowControl/>
              <w:spacing w:line="320" w:lineRule="exact"/>
              <w:jc w:val="left"/>
              <w:rPr>
                <w:rFonts w:hint="eastAsia" w:ascii="宋体" w:hAnsi="宋体" w:eastAsia="宋体" w:cs="宋体"/>
                <w:kern w:val="0"/>
                <w:lang w:val="en-US" w:eastAsia="zh-CN"/>
              </w:rPr>
            </w:pPr>
            <w:r>
              <w:rPr>
                <w:rFonts w:hint="eastAsia" w:ascii="宋体" w:hAnsi="宋体" w:cs="宋体"/>
                <w:kern w:val="0"/>
                <w:lang w:val="en-US" w:eastAsia="zh-CN"/>
              </w:rPr>
              <w:t>6</w:t>
            </w:r>
          </w:p>
        </w:tc>
        <w:tc>
          <w:tcPr>
            <w:tcW w:w="2312" w:type="dxa"/>
            <w:tcBorders>
              <w:top w:val="nil"/>
              <w:left w:val="nil"/>
              <w:bottom w:val="nil"/>
              <w:right w:val="single" w:color="auto" w:sz="4" w:space="0"/>
            </w:tcBorders>
            <w:noWrap w:val="0"/>
            <w:vAlign w:val="top"/>
          </w:tcPr>
          <w:p w14:paraId="67F3D3F7">
            <w:pPr>
              <w:widowControl/>
              <w:spacing w:line="320" w:lineRule="exact"/>
              <w:ind w:firstLine="420"/>
              <w:rPr>
                <w:rFonts w:ascii="宋体" w:hAnsi="宋体" w:cs="宋体"/>
                <w:kern w:val="0"/>
              </w:rPr>
            </w:pPr>
          </w:p>
        </w:tc>
      </w:tr>
      <w:tr w14:paraId="65795FC9">
        <w:tblPrEx>
          <w:tblCellMar>
            <w:top w:w="0" w:type="dxa"/>
            <w:left w:w="108" w:type="dxa"/>
            <w:bottom w:w="0" w:type="dxa"/>
            <w:right w:w="108" w:type="dxa"/>
          </w:tblCellMar>
        </w:tblPrEx>
        <w:trPr>
          <w:trHeight w:val="405" w:hRule="atLeast"/>
        </w:trPr>
        <w:tc>
          <w:tcPr>
            <w:tcW w:w="12044" w:type="dxa"/>
            <w:gridSpan w:val="8"/>
            <w:tcBorders>
              <w:top w:val="single" w:color="auto" w:sz="4" w:space="0"/>
              <w:left w:val="single" w:color="auto" w:sz="4" w:space="0"/>
              <w:bottom w:val="single" w:color="auto" w:sz="4" w:space="0"/>
              <w:right w:val="single" w:color="auto" w:sz="4" w:space="0"/>
            </w:tcBorders>
            <w:noWrap w:val="0"/>
            <w:vAlign w:val="center"/>
          </w:tcPr>
          <w:p w14:paraId="37BF0523">
            <w:pPr>
              <w:widowControl/>
              <w:spacing w:line="320" w:lineRule="exact"/>
              <w:ind w:firstLine="420"/>
              <w:jc w:val="center"/>
              <w:rPr>
                <w:rFonts w:ascii="宋体" w:hAnsi="宋体" w:cs="宋体"/>
                <w:b/>
                <w:bCs/>
                <w:kern w:val="0"/>
              </w:rPr>
            </w:pPr>
            <w:r>
              <w:rPr>
                <w:rFonts w:hint="eastAsia" w:ascii="宋体" w:hAnsi="宋体" w:cs="宋体"/>
                <w:b/>
                <w:bCs/>
                <w:kern w:val="0"/>
              </w:rPr>
              <w:t>总得分情况</w:t>
            </w:r>
          </w:p>
        </w:tc>
        <w:tc>
          <w:tcPr>
            <w:tcW w:w="807" w:type="dxa"/>
            <w:tcBorders>
              <w:top w:val="single" w:color="auto" w:sz="4" w:space="0"/>
              <w:left w:val="nil"/>
              <w:bottom w:val="single" w:color="auto" w:sz="4" w:space="0"/>
              <w:right w:val="single" w:color="auto" w:sz="4" w:space="0"/>
            </w:tcBorders>
            <w:noWrap w:val="0"/>
            <w:vAlign w:val="center"/>
          </w:tcPr>
          <w:p w14:paraId="2B2C7C1C">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95.58</w:t>
            </w:r>
          </w:p>
        </w:tc>
        <w:tc>
          <w:tcPr>
            <w:tcW w:w="2312" w:type="dxa"/>
            <w:tcBorders>
              <w:top w:val="single" w:color="auto" w:sz="4" w:space="0"/>
              <w:left w:val="nil"/>
              <w:bottom w:val="single" w:color="auto" w:sz="4" w:space="0"/>
              <w:right w:val="single" w:color="auto" w:sz="4" w:space="0"/>
            </w:tcBorders>
            <w:noWrap w:val="0"/>
            <w:vAlign w:val="top"/>
          </w:tcPr>
          <w:p w14:paraId="47449C34">
            <w:pPr>
              <w:widowControl/>
              <w:spacing w:line="320" w:lineRule="exact"/>
              <w:ind w:firstLine="420"/>
              <w:rPr>
                <w:rFonts w:ascii="宋体" w:hAnsi="宋体" w:cs="宋体"/>
                <w:kern w:val="0"/>
              </w:rPr>
            </w:pPr>
          </w:p>
        </w:tc>
      </w:tr>
    </w:tbl>
    <w:p w14:paraId="1B300AD7">
      <w:pPr>
        <w:spacing w:line="320" w:lineRule="exact"/>
      </w:pPr>
      <w:r>
        <w:rPr>
          <w:rFonts w:hint="eastAsia" w:cs="宋体"/>
        </w:rPr>
        <w:t>附注：</w:t>
      </w:r>
      <w:r>
        <w:t>1.</w:t>
      </w:r>
      <w:r>
        <w:rPr>
          <w:rFonts w:hint="eastAsia" w:cs="宋体"/>
        </w:rPr>
        <w:t>《部门整体支出绩效评价共性指标体系框架》的适用对象是部门和单位；</w:t>
      </w:r>
    </w:p>
    <w:p w14:paraId="317ADCF8">
      <w:pPr>
        <w:spacing w:line="320" w:lineRule="exact"/>
      </w:pPr>
      <w:r>
        <w:t xml:space="preserve">      2.</w:t>
      </w:r>
      <w:r>
        <w:rPr>
          <w:rFonts w:hint="eastAsia" w:cs="宋体"/>
        </w:rPr>
        <w:t>各项指标的分值是参考分值，各部门各单位在开展绩效评价时可结合不同评价对象的特点，赋予评价指标科学合理的权重分值，明确具体的评分标准。</w:t>
      </w:r>
    </w:p>
    <w:p w14:paraId="7916E66C">
      <w:pPr>
        <w:pStyle w:val="2"/>
        <w:rPr>
          <w:color w:val="auto"/>
          <w:u w:val="none"/>
        </w:rPr>
      </w:pPr>
    </w:p>
    <w:p w14:paraId="67A61F18">
      <w:pPr>
        <w:pStyle w:val="2"/>
        <w:rPr>
          <w:color w:val="auto"/>
          <w:u w:val="none"/>
        </w:rPr>
      </w:pPr>
    </w:p>
    <w:p w14:paraId="0B4724B7">
      <w:pPr>
        <w:pStyle w:val="2"/>
        <w:rPr>
          <w:color w:val="auto"/>
          <w:u w:val="none"/>
        </w:rPr>
      </w:pPr>
    </w:p>
    <w:sectPr>
      <w:pgSz w:w="16838" w:h="11906" w:orient="landscape"/>
      <w:pgMar w:top="1474" w:right="2098"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简体">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zZmYyOWU0YmVlYTlkY2FhNGQxNWI1MGM5YzdiYWYifQ=="/>
  </w:docVars>
  <w:rsids>
    <w:rsidRoot w:val="008925CE"/>
    <w:rsid w:val="000062B9"/>
    <w:rsid w:val="00046CA0"/>
    <w:rsid w:val="00076791"/>
    <w:rsid w:val="0009143D"/>
    <w:rsid w:val="000C0007"/>
    <w:rsid w:val="000D20B8"/>
    <w:rsid w:val="000D5352"/>
    <w:rsid w:val="00100A14"/>
    <w:rsid w:val="00110618"/>
    <w:rsid w:val="00114C5D"/>
    <w:rsid w:val="0011613B"/>
    <w:rsid w:val="00117289"/>
    <w:rsid w:val="00123F07"/>
    <w:rsid w:val="00131D77"/>
    <w:rsid w:val="00135135"/>
    <w:rsid w:val="00136FAD"/>
    <w:rsid w:val="0014573D"/>
    <w:rsid w:val="001652BF"/>
    <w:rsid w:val="001903BB"/>
    <w:rsid w:val="001E0E1C"/>
    <w:rsid w:val="001E1F6A"/>
    <w:rsid w:val="002017D9"/>
    <w:rsid w:val="0024171D"/>
    <w:rsid w:val="00263D2D"/>
    <w:rsid w:val="00263F9B"/>
    <w:rsid w:val="002728F7"/>
    <w:rsid w:val="00287444"/>
    <w:rsid w:val="00290409"/>
    <w:rsid w:val="002B42DE"/>
    <w:rsid w:val="002C4449"/>
    <w:rsid w:val="002C5057"/>
    <w:rsid w:val="002C61F7"/>
    <w:rsid w:val="002C663F"/>
    <w:rsid w:val="002C7DCC"/>
    <w:rsid w:val="002E3C3F"/>
    <w:rsid w:val="00300DA3"/>
    <w:rsid w:val="00315139"/>
    <w:rsid w:val="00386761"/>
    <w:rsid w:val="0039552B"/>
    <w:rsid w:val="004034E8"/>
    <w:rsid w:val="00411CA3"/>
    <w:rsid w:val="00425692"/>
    <w:rsid w:val="00427095"/>
    <w:rsid w:val="00453DC6"/>
    <w:rsid w:val="00455126"/>
    <w:rsid w:val="004708C2"/>
    <w:rsid w:val="004B5852"/>
    <w:rsid w:val="004D7455"/>
    <w:rsid w:val="004D7A4C"/>
    <w:rsid w:val="00500AFB"/>
    <w:rsid w:val="0052460E"/>
    <w:rsid w:val="0057141A"/>
    <w:rsid w:val="005C17A6"/>
    <w:rsid w:val="005D15FF"/>
    <w:rsid w:val="0060480C"/>
    <w:rsid w:val="0064141E"/>
    <w:rsid w:val="00641E58"/>
    <w:rsid w:val="006865BA"/>
    <w:rsid w:val="00692777"/>
    <w:rsid w:val="006B629C"/>
    <w:rsid w:val="006D793E"/>
    <w:rsid w:val="006F0F48"/>
    <w:rsid w:val="006F77B0"/>
    <w:rsid w:val="00702588"/>
    <w:rsid w:val="00730CCF"/>
    <w:rsid w:val="0075228B"/>
    <w:rsid w:val="0076189A"/>
    <w:rsid w:val="00766813"/>
    <w:rsid w:val="00796957"/>
    <w:rsid w:val="007A59D4"/>
    <w:rsid w:val="007B28DB"/>
    <w:rsid w:val="007B487D"/>
    <w:rsid w:val="007D035A"/>
    <w:rsid w:val="007D7259"/>
    <w:rsid w:val="007E09A9"/>
    <w:rsid w:val="00827CFD"/>
    <w:rsid w:val="00841BF9"/>
    <w:rsid w:val="00881200"/>
    <w:rsid w:val="008925CE"/>
    <w:rsid w:val="008A4192"/>
    <w:rsid w:val="008A733B"/>
    <w:rsid w:val="008A7B78"/>
    <w:rsid w:val="008B64C6"/>
    <w:rsid w:val="008C573B"/>
    <w:rsid w:val="008C57CA"/>
    <w:rsid w:val="008C7716"/>
    <w:rsid w:val="008D4755"/>
    <w:rsid w:val="00901172"/>
    <w:rsid w:val="00901A6A"/>
    <w:rsid w:val="00917572"/>
    <w:rsid w:val="00956F9A"/>
    <w:rsid w:val="00997D30"/>
    <w:rsid w:val="009B011D"/>
    <w:rsid w:val="009E1B06"/>
    <w:rsid w:val="009F68A1"/>
    <w:rsid w:val="00A0195C"/>
    <w:rsid w:val="00A12681"/>
    <w:rsid w:val="00A25E5B"/>
    <w:rsid w:val="00A6479C"/>
    <w:rsid w:val="00A87C3F"/>
    <w:rsid w:val="00A92293"/>
    <w:rsid w:val="00A92E76"/>
    <w:rsid w:val="00A95B0D"/>
    <w:rsid w:val="00AA5F85"/>
    <w:rsid w:val="00AF6978"/>
    <w:rsid w:val="00B038BE"/>
    <w:rsid w:val="00B22CDC"/>
    <w:rsid w:val="00B33186"/>
    <w:rsid w:val="00B545CF"/>
    <w:rsid w:val="00B722C2"/>
    <w:rsid w:val="00BC01AF"/>
    <w:rsid w:val="00BE7797"/>
    <w:rsid w:val="00C019D2"/>
    <w:rsid w:val="00C230D2"/>
    <w:rsid w:val="00C823C4"/>
    <w:rsid w:val="00D1214C"/>
    <w:rsid w:val="00D221C3"/>
    <w:rsid w:val="00D242B1"/>
    <w:rsid w:val="00D3079A"/>
    <w:rsid w:val="00D33D15"/>
    <w:rsid w:val="00DA53EA"/>
    <w:rsid w:val="00DC0189"/>
    <w:rsid w:val="00DC55FF"/>
    <w:rsid w:val="00DC60F8"/>
    <w:rsid w:val="00DD0D13"/>
    <w:rsid w:val="00DD1DEB"/>
    <w:rsid w:val="00DE26DD"/>
    <w:rsid w:val="00E00D76"/>
    <w:rsid w:val="00E52716"/>
    <w:rsid w:val="00E92A90"/>
    <w:rsid w:val="00EA3FC4"/>
    <w:rsid w:val="00EA474E"/>
    <w:rsid w:val="00F029AF"/>
    <w:rsid w:val="00F04E48"/>
    <w:rsid w:val="00F31F88"/>
    <w:rsid w:val="00F44221"/>
    <w:rsid w:val="00F47511"/>
    <w:rsid w:val="00F82AAC"/>
    <w:rsid w:val="00F97AE0"/>
    <w:rsid w:val="00FA049D"/>
    <w:rsid w:val="00FA796D"/>
    <w:rsid w:val="00FE37EE"/>
    <w:rsid w:val="00FF3A2D"/>
    <w:rsid w:val="00FF3A8C"/>
    <w:rsid w:val="011A24F4"/>
    <w:rsid w:val="0159126E"/>
    <w:rsid w:val="016814B1"/>
    <w:rsid w:val="01715AB9"/>
    <w:rsid w:val="01B6046E"/>
    <w:rsid w:val="01C20BC1"/>
    <w:rsid w:val="01D37272"/>
    <w:rsid w:val="01D6466C"/>
    <w:rsid w:val="01E054EB"/>
    <w:rsid w:val="02023555"/>
    <w:rsid w:val="021A6C4F"/>
    <w:rsid w:val="023A2E4D"/>
    <w:rsid w:val="02A1111E"/>
    <w:rsid w:val="02C24BF1"/>
    <w:rsid w:val="02ED7EC0"/>
    <w:rsid w:val="0332621A"/>
    <w:rsid w:val="03A314FC"/>
    <w:rsid w:val="03A84C52"/>
    <w:rsid w:val="03BB7FBE"/>
    <w:rsid w:val="03EE0393"/>
    <w:rsid w:val="03EF22A7"/>
    <w:rsid w:val="041B1048"/>
    <w:rsid w:val="04267B2D"/>
    <w:rsid w:val="04616968"/>
    <w:rsid w:val="04697A1A"/>
    <w:rsid w:val="04732647"/>
    <w:rsid w:val="04AB3B8E"/>
    <w:rsid w:val="04D8694E"/>
    <w:rsid w:val="04DD3F64"/>
    <w:rsid w:val="04F574FF"/>
    <w:rsid w:val="050B0AD1"/>
    <w:rsid w:val="053D7FEC"/>
    <w:rsid w:val="05726DA2"/>
    <w:rsid w:val="05812B41"/>
    <w:rsid w:val="05890861"/>
    <w:rsid w:val="058A2ABD"/>
    <w:rsid w:val="05B20F4D"/>
    <w:rsid w:val="06113EC5"/>
    <w:rsid w:val="061E4834"/>
    <w:rsid w:val="063522A9"/>
    <w:rsid w:val="064047AA"/>
    <w:rsid w:val="066B5CCB"/>
    <w:rsid w:val="06930D7E"/>
    <w:rsid w:val="06E70948"/>
    <w:rsid w:val="06EC048E"/>
    <w:rsid w:val="06FD269B"/>
    <w:rsid w:val="071300AE"/>
    <w:rsid w:val="072145DC"/>
    <w:rsid w:val="074E5B90"/>
    <w:rsid w:val="075C3866"/>
    <w:rsid w:val="07666493"/>
    <w:rsid w:val="077A3CEC"/>
    <w:rsid w:val="07846F22"/>
    <w:rsid w:val="07893F2F"/>
    <w:rsid w:val="07976154"/>
    <w:rsid w:val="07CD6512"/>
    <w:rsid w:val="07D4164E"/>
    <w:rsid w:val="07FB4E2D"/>
    <w:rsid w:val="08114679"/>
    <w:rsid w:val="08290134"/>
    <w:rsid w:val="083C1EC2"/>
    <w:rsid w:val="083D3697"/>
    <w:rsid w:val="0845254C"/>
    <w:rsid w:val="087150EF"/>
    <w:rsid w:val="08716E9D"/>
    <w:rsid w:val="087B7D1C"/>
    <w:rsid w:val="089B216C"/>
    <w:rsid w:val="089C289E"/>
    <w:rsid w:val="089D5EE4"/>
    <w:rsid w:val="08A07782"/>
    <w:rsid w:val="08CF1E16"/>
    <w:rsid w:val="090250C7"/>
    <w:rsid w:val="09095327"/>
    <w:rsid w:val="091740FD"/>
    <w:rsid w:val="091B6D1A"/>
    <w:rsid w:val="092C7268"/>
    <w:rsid w:val="09320D22"/>
    <w:rsid w:val="09526CCE"/>
    <w:rsid w:val="095B1EA0"/>
    <w:rsid w:val="096D2A05"/>
    <w:rsid w:val="097C1F9D"/>
    <w:rsid w:val="09945539"/>
    <w:rsid w:val="09A84B40"/>
    <w:rsid w:val="09C26517"/>
    <w:rsid w:val="09C83435"/>
    <w:rsid w:val="09DB4F16"/>
    <w:rsid w:val="0A00497C"/>
    <w:rsid w:val="0A342878"/>
    <w:rsid w:val="0A51253F"/>
    <w:rsid w:val="0A6F1B02"/>
    <w:rsid w:val="0A714F81"/>
    <w:rsid w:val="0ADB7197"/>
    <w:rsid w:val="0B1C57E6"/>
    <w:rsid w:val="0B460AB5"/>
    <w:rsid w:val="0B626ED0"/>
    <w:rsid w:val="0B703A24"/>
    <w:rsid w:val="0B7A250D"/>
    <w:rsid w:val="0BAB4DBC"/>
    <w:rsid w:val="0BD479F9"/>
    <w:rsid w:val="0BE856C8"/>
    <w:rsid w:val="0BEF20AC"/>
    <w:rsid w:val="0BF36477"/>
    <w:rsid w:val="0C0D15D3"/>
    <w:rsid w:val="0C177D5B"/>
    <w:rsid w:val="0C1E10EA"/>
    <w:rsid w:val="0C6D2071"/>
    <w:rsid w:val="0C886EAB"/>
    <w:rsid w:val="0CA75583"/>
    <w:rsid w:val="0CBF3A1B"/>
    <w:rsid w:val="0CC46135"/>
    <w:rsid w:val="0CD5AEBD"/>
    <w:rsid w:val="0CF60E20"/>
    <w:rsid w:val="0CFE4D07"/>
    <w:rsid w:val="0D2546FA"/>
    <w:rsid w:val="0D35493D"/>
    <w:rsid w:val="0D7D62E4"/>
    <w:rsid w:val="0DAE46EF"/>
    <w:rsid w:val="0DB81FB0"/>
    <w:rsid w:val="0DE87C01"/>
    <w:rsid w:val="0E0013EF"/>
    <w:rsid w:val="0E6354DA"/>
    <w:rsid w:val="0E682AF0"/>
    <w:rsid w:val="0E7FB10E"/>
    <w:rsid w:val="0E912047"/>
    <w:rsid w:val="0E9629E4"/>
    <w:rsid w:val="0E9C279A"/>
    <w:rsid w:val="0EBC288C"/>
    <w:rsid w:val="0F005712"/>
    <w:rsid w:val="0F306EFA"/>
    <w:rsid w:val="0F6A2898"/>
    <w:rsid w:val="0F6B4794"/>
    <w:rsid w:val="0F8B4CE8"/>
    <w:rsid w:val="0F9A751B"/>
    <w:rsid w:val="0FB00BF3"/>
    <w:rsid w:val="0FD541B5"/>
    <w:rsid w:val="0FE32D76"/>
    <w:rsid w:val="100A43D1"/>
    <w:rsid w:val="10141182"/>
    <w:rsid w:val="10252EC6"/>
    <w:rsid w:val="1030763E"/>
    <w:rsid w:val="103F5AD3"/>
    <w:rsid w:val="105477D0"/>
    <w:rsid w:val="10B75AD1"/>
    <w:rsid w:val="10BC5375"/>
    <w:rsid w:val="10DE5DBB"/>
    <w:rsid w:val="111446ED"/>
    <w:rsid w:val="1122342A"/>
    <w:rsid w:val="11290C5D"/>
    <w:rsid w:val="113969C6"/>
    <w:rsid w:val="11671785"/>
    <w:rsid w:val="11740122"/>
    <w:rsid w:val="1191235E"/>
    <w:rsid w:val="11CC3396"/>
    <w:rsid w:val="11D230A2"/>
    <w:rsid w:val="120D5E88"/>
    <w:rsid w:val="12137217"/>
    <w:rsid w:val="12211934"/>
    <w:rsid w:val="12475515"/>
    <w:rsid w:val="12CF75E2"/>
    <w:rsid w:val="12EF1A32"/>
    <w:rsid w:val="12EF37E0"/>
    <w:rsid w:val="12FC7CAB"/>
    <w:rsid w:val="131B45D5"/>
    <w:rsid w:val="13390EFF"/>
    <w:rsid w:val="133D09EF"/>
    <w:rsid w:val="13405DEA"/>
    <w:rsid w:val="134A0A16"/>
    <w:rsid w:val="135438B8"/>
    <w:rsid w:val="139F561E"/>
    <w:rsid w:val="13A20852"/>
    <w:rsid w:val="13A26AA4"/>
    <w:rsid w:val="13B35FCC"/>
    <w:rsid w:val="13ED3C65"/>
    <w:rsid w:val="14107EED"/>
    <w:rsid w:val="141A3C20"/>
    <w:rsid w:val="143771ED"/>
    <w:rsid w:val="144731A8"/>
    <w:rsid w:val="144813FA"/>
    <w:rsid w:val="148D32B1"/>
    <w:rsid w:val="14B06F9F"/>
    <w:rsid w:val="14D709D0"/>
    <w:rsid w:val="15227E9D"/>
    <w:rsid w:val="153656F6"/>
    <w:rsid w:val="153D4CD7"/>
    <w:rsid w:val="155E4808"/>
    <w:rsid w:val="156C736A"/>
    <w:rsid w:val="1594066F"/>
    <w:rsid w:val="15B42ABF"/>
    <w:rsid w:val="15DE28A8"/>
    <w:rsid w:val="160E0421"/>
    <w:rsid w:val="160E21CF"/>
    <w:rsid w:val="165403D5"/>
    <w:rsid w:val="16557DFE"/>
    <w:rsid w:val="166451B1"/>
    <w:rsid w:val="16702E8A"/>
    <w:rsid w:val="169C7AD2"/>
    <w:rsid w:val="16CA259A"/>
    <w:rsid w:val="16DE4297"/>
    <w:rsid w:val="16EB5CE4"/>
    <w:rsid w:val="16F413C5"/>
    <w:rsid w:val="16FE81D6"/>
    <w:rsid w:val="1706734A"/>
    <w:rsid w:val="17193F45"/>
    <w:rsid w:val="17272936"/>
    <w:rsid w:val="172F4AF3"/>
    <w:rsid w:val="17365E81"/>
    <w:rsid w:val="17667DE9"/>
    <w:rsid w:val="17843D91"/>
    <w:rsid w:val="178564C1"/>
    <w:rsid w:val="178E7A6B"/>
    <w:rsid w:val="179E57D5"/>
    <w:rsid w:val="17AE25DE"/>
    <w:rsid w:val="17DB1078"/>
    <w:rsid w:val="17E56F60"/>
    <w:rsid w:val="17F59817"/>
    <w:rsid w:val="18154FDF"/>
    <w:rsid w:val="182F0322"/>
    <w:rsid w:val="183121A5"/>
    <w:rsid w:val="18636F02"/>
    <w:rsid w:val="18787809"/>
    <w:rsid w:val="188350F6"/>
    <w:rsid w:val="189D5A8C"/>
    <w:rsid w:val="18A00DD0"/>
    <w:rsid w:val="18B43502"/>
    <w:rsid w:val="18B54B84"/>
    <w:rsid w:val="18BD1C8B"/>
    <w:rsid w:val="18C72EA5"/>
    <w:rsid w:val="18CC437C"/>
    <w:rsid w:val="18D019BE"/>
    <w:rsid w:val="18D05E62"/>
    <w:rsid w:val="18EE0096"/>
    <w:rsid w:val="18F338FE"/>
    <w:rsid w:val="19081158"/>
    <w:rsid w:val="191F64A1"/>
    <w:rsid w:val="193261D5"/>
    <w:rsid w:val="19410B0E"/>
    <w:rsid w:val="1945415A"/>
    <w:rsid w:val="19600F94"/>
    <w:rsid w:val="19706CFD"/>
    <w:rsid w:val="19CE05F3"/>
    <w:rsid w:val="19E5031D"/>
    <w:rsid w:val="19EF52F8"/>
    <w:rsid w:val="1A3B555D"/>
    <w:rsid w:val="1A6E5932"/>
    <w:rsid w:val="1A7D5B75"/>
    <w:rsid w:val="1AAE3F81"/>
    <w:rsid w:val="1AFB2EE9"/>
    <w:rsid w:val="1B214753"/>
    <w:rsid w:val="1B291859"/>
    <w:rsid w:val="1B3A75C2"/>
    <w:rsid w:val="1B4D5548"/>
    <w:rsid w:val="1B4E306E"/>
    <w:rsid w:val="1B5508A0"/>
    <w:rsid w:val="1B5A7C65"/>
    <w:rsid w:val="1B684130"/>
    <w:rsid w:val="1B7E7DF7"/>
    <w:rsid w:val="1B7F4DED"/>
    <w:rsid w:val="1B854CE1"/>
    <w:rsid w:val="1BA84E74"/>
    <w:rsid w:val="1BB04732"/>
    <w:rsid w:val="1BC82E20"/>
    <w:rsid w:val="1BD619E1"/>
    <w:rsid w:val="1BDD0964"/>
    <w:rsid w:val="1BDE43F2"/>
    <w:rsid w:val="1BF30245"/>
    <w:rsid w:val="1C1C0EDB"/>
    <w:rsid w:val="1C6E1C1A"/>
    <w:rsid w:val="1C798A9C"/>
    <w:rsid w:val="1C866A4B"/>
    <w:rsid w:val="1CB82E95"/>
    <w:rsid w:val="1CC57C10"/>
    <w:rsid w:val="1CC730D8"/>
    <w:rsid w:val="1CCE4466"/>
    <w:rsid w:val="1CDA105D"/>
    <w:rsid w:val="1CE41EDC"/>
    <w:rsid w:val="1D036806"/>
    <w:rsid w:val="1D0D3A6E"/>
    <w:rsid w:val="1D2707CB"/>
    <w:rsid w:val="1D3E1CC2"/>
    <w:rsid w:val="1D4110DC"/>
    <w:rsid w:val="1D436C02"/>
    <w:rsid w:val="1D50131F"/>
    <w:rsid w:val="1D5D57EA"/>
    <w:rsid w:val="1DB01DBE"/>
    <w:rsid w:val="1DC31AF1"/>
    <w:rsid w:val="1DCC309C"/>
    <w:rsid w:val="1DD27F86"/>
    <w:rsid w:val="1DE877AA"/>
    <w:rsid w:val="1DFF181D"/>
    <w:rsid w:val="1E0C3498"/>
    <w:rsid w:val="1E2F53D8"/>
    <w:rsid w:val="1E403142"/>
    <w:rsid w:val="1E4264CF"/>
    <w:rsid w:val="1E735C2E"/>
    <w:rsid w:val="1E786D7F"/>
    <w:rsid w:val="1E7D6144"/>
    <w:rsid w:val="1E82375A"/>
    <w:rsid w:val="1E8F01FF"/>
    <w:rsid w:val="1EAA2CB1"/>
    <w:rsid w:val="1EDD3086"/>
    <w:rsid w:val="1EFD7285"/>
    <w:rsid w:val="1F091B0E"/>
    <w:rsid w:val="1F100D66"/>
    <w:rsid w:val="1F1545CE"/>
    <w:rsid w:val="1F1F6533"/>
    <w:rsid w:val="1F43738D"/>
    <w:rsid w:val="1F572E39"/>
    <w:rsid w:val="1F645556"/>
    <w:rsid w:val="1F6D61B8"/>
    <w:rsid w:val="1F7B3B50"/>
    <w:rsid w:val="1F8B663F"/>
    <w:rsid w:val="1F901EA7"/>
    <w:rsid w:val="1F9D6372"/>
    <w:rsid w:val="1FA94D17"/>
    <w:rsid w:val="1FADA397"/>
    <w:rsid w:val="1FBA6F24"/>
    <w:rsid w:val="1FBC0EEE"/>
    <w:rsid w:val="1FCF6E73"/>
    <w:rsid w:val="1FDA33E6"/>
    <w:rsid w:val="1FE44553"/>
    <w:rsid w:val="1FE50445"/>
    <w:rsid w:val="1FE542CB"/>
    <w:rsid w:val="1FF53680"/>
    <w:rsid w:val="1FFBABC1"/>
    <w:rsid w:val="1FFD0F2C"/>
    <w:rsid w:val="200A72B4"/>
    <w:rsid w:val="202F7912"/>
    <w:rsid w:val="204F1D62"/>
    <w:rsid w:val="205913FF"/>
    <w:rsid w:val="20AC4ABE"/>
    <w:rsid w:val="20CA3197"/>
    <w:rsid w:val="20DB1848"/>
    <w:rsid w:val="20DD736E"/>
    <w:rsid w:val="20DF30E6"/>
    <w:rsid w:val="20EF0E4F"/>
    <w:rsid w:val="20FF72E4"/>
    <w:rsid w:val="21070FFF"/>
    <w:rsid w:val="210D6AC2"/>
    <w:rsid w:val="215776E9"/>
    <w:rsid w:val="215A451A"/>
    <w:rsid w:val="215B0293"/>
    <w:rsid w:val="21613AFB"/>
    <w:rsid w:val="216929AF"/>
    <w:rsid w:val="2186530F"/>
    <w:rsid w:val="21A97250"/>
    <w:rsid w:val="21AD6D40"/>
    <w:rsid w:val="21CE74D4"/>
    <w:rsid w:val="21CF315A"/>
    <w:rsid w:val="21EC6BEB"/>
    <w:rsid w:val="2250591D"/>
    <w:rsid w:val="226014A0"/>
    <w:rsid w:val="2277734E"/>
    <w:rsid w:val="22AF6AE8"/>
    <w:rsid w:val="22C673AC"/>
    <w:rsid w:val="23221BD2"/>
    <w:rsid w:val="232E0476"/>
    <w:rsid w:val="2338088B"/>
    <w:rsid w:val="235D2C72"/>
    <w:rsid w:val="23A75A11"/>
    <w:rsid w:val="23BA5744"/>
    <w:rsid w:val="240F3CE2"/>
    <w:rsid w:val="24343749"/>
    <w:rsid w:val="2435126F"/>
    <w:rsid w:val="24523BCF"/>
    <w:rsid w:val="246A2172"/>
    <w:rsid w:val="248D10AB"/>
    <w:rsid w:val="24CF6FCD"/>
    <w:rsid w:val="24F15196"/>
    <w:rsid w:val="250017D3"/>
    <w:rsid w:val="250D7AF6"/>
    <w:rsid w:val="25311A36"/>
    <w:rsid w:val="2533755C"/>
    <w:rsid w:val="25385AD1"/>
    <w:rsid w:val="25396B3D"/>
    <w:rsid w:val="25576867"/>
    <w:rsid w:val="256A661A"/>
    <w:rsid w:val="25B74631"/>
    <w:rsid w:val="25BB6C67"/>
    <w:rsid w:val="25D7082F"/>
    <w:rsid w:val="26040CD6"/>
    <w:rsid w:val="26040EF9"/>
    <w:rsid w:val="26355556"/>
    <w:rsid w:val="26460697"/>
    <w:rsid w:val="269A360B"/>
    <w:rsid w:val="269D2F31"/>
    <w:rsid w:val="26BE72FA"/>
    <w:rsid w:val="26CD39E1"/>
    <w:rsid w:val="26FFA5B9"/>
    <w:rsid w:val="270F3098"/>
    <w:rsid w:val="272E0923"/>
    <w:rsid w:val="274A6DDF"/>
    <w:rsid w:val="275A34C6"/>
    <w:rsid w:val="2767173F"/>
    <w:rsid w:val="27755D2E"/>
    <w:rsid w:val="278E13C2"/>
    <w:rsid w:val="280E605F"/>
    <w:rsid w:val="281318C7"/>
    <w:rsid w:val="28355CE1"/>
    <w:rsid w:val="287560DE"/>
    <w:rsid w:val="287B7B98"/>
    <w:rsid w:val="288602EB"/>
    <w:rsid w:val="28A279AD"/>
    <w:rsid w:val="28A97B4E"/>
    <w:rsid w:val="28CE1648"/>
    <w:rsid w:val="28D9041B"/>
    <w:rsid w:val="2903193C"/>
    <w:rsid w:val="290D629E"/>
    <w:rsid w:val="294139FF"/>
    <w:rsid w:val="295959FF"/>
    <w:rsid w:val="29670068"/>
    <w:rsid w:val="2967011C"/>
    <w:rsid w:val="29C410CB"/>
    <w:rsid w:val="29E452C9"/>
    <w:rsid w:val="29FA0F90"/>
    <w:rsid w:val="29FB2613"/>
    <w:rsid w:val="2A00230C"/>
    <w:rsid w:val="2A0C4820"/>
    <w:rsid w:val="2A1D07DB"/>
    <w:rsid w:val="2A306760"/>
    <w:rsid w:val="2A337FFE"/>
    <w:rsid w:val="2A5743E1"/>
    <w:rsid w:val="2A581813"/>
    <w:rsid w:val="2A7C7BF7"/>
    <w:rsid w:val="2A8C6D67"/>
    <w:rsid w:val="2A8D3BB3"/>
    <w:rsid w:val="2A992557"/>
    <w:rsid w:val="2AA1670A"/>
    <w:rsid w:val="2AC1560A"/>
    <w:rsid w:val="2ADA5DA1"/>
    <w:rsid w:val="2AF459E0"/>
    <w:rsid w:val="2AF743AD"/>
    <w:rsid w:val="2AFB6D6E"/>
    <w:rsid w:val="2B0F6376"/>
    <w:rsid w:val="2B1F60DA"/>
    <w:rsid w:val="2B2C33CC"/>
    <w:rsid w:val="2B312790"/>
    <w:rsid w:val="2B4A5600"/>
    <w:rsid w:val="2B4C1378"/>
    <w:rsid w:val="2B585F6F"/>
    <w:rsid w:val="2B65243A"/>
    <w:rsid w:val="2B656A65"/>
    <w:rsid w:val="2B7560B8"/>
    <w:rsid w:val="2B911481"/>
    <w:rsid w:val="2B960845"/>
    <w:rsid w:val="2BC03B14"/>
    <w:rsid w:val="2BD27A22"/>
    <w:rsid w:val="2BE27F2E"/>
    <w:rsid w:val="2C0016AF"/>
    <w:rsid w:val="2C2B3683"/>
    <w:rsid w:val="2C31056E"/>
    <w:rsid w:val="2C3562B0"/>
    <w:rsid w:val="2C7566AC"/>
    <w:rsid w:val="2C761BDC"/>
    <w:rsid w:val="2C840FE5"/>
    <w:rsid w:val="2C98683F"/>
    <w:rsid w:val="2C9F3EEC"/>
    <w:rsid w:val="2CB52F4D"/>
    <w:rsid w:val="2CB745C8"/>
    <w:rsid w:val="2CBC42DB"/>
    <w:rsid w:val="2CC61DCC"/>
    <w:rsid w:val="2CD05FD9"/>
    <w:rsid w:val="2CFE2B46"/>
    <w:rsid w:val="2D0A3299"/>
    <w:rsid w:val="2D362E0A"/>
    <w:rsid w:val="2D6E3E24"/>
    <w:rsid w:val="2D756A59"/>
    <w:rsid w:val="2D9D235F"/>
    <w:rsid w:val="2DC53663"/>
    <w:rsid w:val="2DC866EF"/>
    <w:rsid w:val="2DD13DB6"/>
    <w:rsid w:val="2DD41AF8"/>
    <w:rsid w:val="2DF2EE8F"/>
    <w:rsid w:val="2DFF650C"/>
    <w:rsid w:val="2E124BDF"/>
    <w:rsid w:val="2E13617D"/>
    <w:rsid w:val="2E2A34C6"/>
    <w:rsid w:val="2E4C6E43"/>
    <w:rsid w:val="2E5C3FC8"/>
    <w:rsid w:val="2E641134"/>
    <w:rsid w:val="2E7C6418"/>
    <w:rsid w:val="2E9B6172"/>
    <w:rsid w:val="2EF57F78"/>
    <w:rsid w:val="2EFB4178"/>
    <w:rsid w:val="2EFEB0A9"/>
    <w:rsid w:val="2F5B427F"/>
    <w:rsid w:val="2F6B655C"/>
    <w:rsid w:val="2F6F1AD9"/>
    <w:rsid w:val="2F6F7D2B"/>
    <w:rsid w:val="2F78070E"/>
    <w:rsid w:val="2F8512FC"/>
    <w:rsid w:val="2F8F217B"/>
    <w:rsid w:val="2FA781DE"/>
    <w:rsid w:val="2FB35E69"/>
    <w:rsid w:val="2FC040E2"/>
    <w:rsid w:val="2FEE0DB2"/>
    <w:rsid w:val="2FF80EF4"/>
    <w:rsid w:val="2FFA3A98"/>
    <w:rsid w:val="2FFB511A"/>
    <w:rsid w:val="3005243D"/>
    <w:rsid w:val="302503E9"/>
    <w:rsid w:val="30332B06"/>
    <w:rsid w:val="30360848"/>
    <w:rsid w:val="30AC28B9"/>
    <w:rsid w:val="30FA7AC8"/>
    <w:rsid w:val="31093867"/>
    <w:rsid w:val="312004B7"/>
    <w:rsid w:val="312B08C5"/>
    <w:rsid w:val="3140197F"/>
    <w:rsid w:val="31413001"/>
    <w:rsid w:val="314D7BF8"/>
    <w:rsid w:val="314E4ECB"/>
    <w:rsid w:val="31530177"/>
    <w:rsid w:val="31682C84"/>
    <w:rsid w:val="3177D992"/>
    <w:rsid w:val="317F1D7B"/>
    <w:rsid w:val="318B6972"/>
    <w:rsid w:val="31AD68E8"/>
    <w:rsid w:val="31B5579D"/>
    <w:rsid w:val="31BD209E"/>
    <w:rsid w:val="31D2634F"/>
    <w:rsid w:val="324A2389"/>
    <w:rsid w:val="328533C1"/>
    <w:rsid w:val="32A65A50"/>
    <w:rsid w:val="32B53CA7"/>
    <w:rsid w:val="32D14858"/>
    <w:rsid w:val="3301513E"/>
    <w:rsid w:val="332B5D17"/>
    <w:rsid w:val="332D2534"/>
    <w:rsid w:val="33543E57"/>
    <w:rsid w:val="33750238"/>
    <w:rsid w:val="338A5133"/>
    <w:rsid w:val="338B0EAB"/>
    <w:rsid w:val="33AD497E"/>
    <w:rsid w:val="33D4646F"/>
    <w:rsid w:val="33D70C3B"/>
    <w:rsid w:val="33F22CD8"/>
    <w:rsid w:val="34272982"/>
    <w:rsid w:val="344A6670"/>
    <w:rsid w:val="344D5BA0"/>
    <w:rsid w:val="34580D8D"/>
    <w:rsid w:val="34592D57"/>
    <w:rsid w:val="346C2A8B"/>
    <w:rsid w:val="34795C01"/>
    <w:rsid w:val="34A9783B"/>
    <w:rsid w:val="34C12DD7"/>
    <w:rsid w:val="34EA39B0"/>
    <w:rsid w:val="34EE34A0"/>
    <w:rsid w:val="350818AE"/>
    <w:rsid w:val="35352E7D"/>
    <w:rsid w:val="354B444E"/>
    <w:rsid w:val="35556599"/>
    <w:rsid w:val="355E3E77"/>
    <w:rsid w:val="355F6F31"/>
    <w:rsid w:val="357D4824"/>
    <w:rsid w:val="358362DE"/>
    <w:rsid w:val="35845BB2"/>
    <w:rsid w:val="35B9D029"/>
    <w:rsid w:val="35C0308E"/>
    <w:rsid w:val="35E05C46"/>
    <w:rsid w:val="35E07883"/>
    <w:rsid w:val="35E531B8"/>
    <w:rsid w:val="35E63DEE"/>
    <w:rsid w:val="35E825E5"/>
    <w:rsid w:val="35FD49A1"/>
    <w:rsid w:val="361231BE"/>
    <w:rsid w:val="364A2958"/>
    <w:rsid w:val="365A5874"/>
    <w:rsid w:val="3666675D"/>
    <w:rsid w:val="36714388"/>
    <w:rsid w:val="369938DF"/>
    <w:rsid w:val="36A007CA"/>
    <w:rsid w:val="36B10C29"/>
    <w:rsid w:val="36CB76B3"/>
    <w:rsid w:val="36D36DF1"/>
    <w:rsid w:val="36F7B27D"/>
    <w:rsid w:val="36FFC7EF"/>
    <w:rsid w:val="370276D6"/>
    <w:rsid w:val="370C2303"/>
    <w:rsid w:val="372413FB"/>
    <w:rsid w:val="375A12C0"/>
    <w:rsid w:val="37602D53"/>
    <w:rsid w:val="37757EA8"/>
    <w:rsid w:val="37801723"/>
    <w:rsid w:val="37A34A15"/>
    <w:rsid w:val="37AD140A"/>
    <w:rsid w:val="37AF2FDC"/>
    <w:rsid w:val="37B52E48"/>
    <w:rsid w:val="37BC1633"/>
    <w:rsid w:val="37BE37E3"/>
    <w:rsid w:val="37C14E9C"/>
    <w:rsid w:val="37C64260"/>
    <w:rsid w:val="37DE3C9F"/>
    <w:rsid w:val="37DFA80A"/>
    <w:rsid w:val="37E961A0"/>
    <w:rsid w:val="37FEEF6A"/>
    <w:rsid w:val="37FF6C41"/>
    <w:rsid w:val="37FFCEEC"/>
    <w:rsid w:val="383E64EC"/>
    <w:rsid w:val="38455ACD"/>
    <w:rsid w:val="384A30E3"/>
    <w:rsid w:val="38806B05"/>
    <w:rsid w:val="388A34DF"/>
    <w:rsid w:val="38DC73DD"/>
    <w:rsid w:val="390B07C4"/>
    <w:rsid w:val="391D4354"/>
    <w:rsid w:val="39363667"/>
    <w:rsid w:val="39C3176B"/>
    <w:rsid w:val="39CFC003"/>
    <w:rsid w:val="39D92970"/>
    <w:rsid w:val="3A1324E5"/>
    <w:rsid w:val="3A137017"/>
    <w:rsid w:val="3A5913BB"/>
    <w:rsid w:val="3A59585F"/>
    <w:rsid w:val="3A6A7A6C"/>
    <w:rsid w:val="3A6B7341"/>
    <w:rsid w:val="3A7F400B"/>
    <w:rsid w:val="3A7F517D"/>
    <w:rsid w:val="3A805629"/>
    <w:rsid w:val="3A824F99"/>
    <w:rsid w:val="3A8521B0"/>
    <w:rsid w:val="3A8A77C7"/>
    <w:rsid w:val="3AAF1923"/>
    <w:rsid w:val="3ABC194A"/>
    <w:rsid w:val="3AD1189A"/>
    <w:rsid w:val="3ADE5D64"/>
    <w:rsid w:val="3B0E03F8"/>
    <w:rsid w:val="3B47390A"/>
    <w:rsid w:val="3B4756B8"/>
    <w:rsid w:val="3B4B61A3"/>
    <w:rsid w:val="3B653D90"/>
    <w:rsid w:val="3B6DA202"/>
    <w:rsid w:val="3B6E2252"/>
    <w:rsid w:val="3B7D557D"/>
    <w:rsid w:val="3B903503"/>
    <w:rsid w:val="3BA42B0A"/>
    <w:rsid w:val="3BC15D00"/>
    <w:rsid w:val="3BD258C9"/>
    <w:rsid w:val="3BE61375"/>
    <w:rsid w:val="3BEB868B"/>
    <w:rsid w:val="3BF4E748"/>
    <w:rsid w:val="3BFD221A"/>
    <w:rsid w:val="3C215F09"/>
    <w:rsid w:val="3C28373B"/>
    <w:rsid w:val="3C4165AB"/>
    <w:rsid w:val="3C461E13"/>
    <w:rsid w:val="3C5FFD3E"/>
    <w:rsid w:val="3C6866D6"/>
    <w:rsid w:val="3C8F5568"/>
    <w:rsid w:val="3C936C01"/>
    <w:rsid w:val="3C9506A5"/>
    <w:rsid w:val="3C964B49"/>
    <w:rsid w:val="3CAF5C0A"/>
    <w:rsid w:val="3CB015E0"/>
    <w:rsid w:val="3CC47283"/>
    <w:rsid w:val="3CD57C11"/>
    <w:rsid w:val="3CD613E9"/>
    <w:rsid w:val="3CDC62D4"/>
    <w:rsid w:val="3CFBBA12"/>
    <w:rsid w:val="3D1818C2"/>
    <w:rsid w:val="3D1E68EC"/>
    <w:rsid w:val="3D204412"/>
    <w:rsid w:val="3D2FC956"/>
    <w:rsid w:val="3D347EBE"/>
    <w:rsid w:val="3D3A1978"/>
    <w:rsid w:val="3D3B56F0"/>
    <w:rsid w:val="3D4225DB"/>
    <w:rsid w:val="3D74475E"/>
    <w:rsid w:val="3D74650C"/>
    <w:rsid w:val="3D874491"/>
    <w:rsid w:val="3D97084E"/>
    <w:rsid w:val="3DD03DB1"/>
    <w:rsid w:val="3DD71EEC"/>
    <w:rsid w:val="3DDFB099"/>
    <w:rsid w:val="3DEF1171"/>
    <w:rsid w:val="3DF3ABD8"/>
    <w:rsid w:val="3DFB9379"/>
    <w:rsid w:val="3DFECC65"/>
    <w:rsid w:val="3E2919ED"/>
    <w:rsid w:val="3E3A1813"/>
    <w:rsid w:val="3E3F2FBE"/>
    <w:rsid w:val="3E416D36"/>
    <w:rsid w:val="3E497999"/>
    <w:rsid w:val="3E681420"/>
    <w:rsid w:val="3E695AB4"/>
    <w:rsid w:val="3E6F38A3"/>
    <w:rsid w:val="3E7A2248"/>
    <w:rsid w:val="3E7F4B10"/>
    <w:rsid w:val="3E815385"/>
    <w:rsid w:val="3E974BA8"/>
    <w:rsid w:val="3E9F3258"/>
    <w:rsid w:val="3EAD7F28"/>
    <w:rsid w:val="3EBB5C97"/>
    <w:rsid w:val="3EBFBD97"/>
    <w:rsid w:val="3EF21DDE"/>
    <w:rsid w:val="3EFB0C93"/>
    <w:rsid w:val="3EFD95EA"/>
    <w:rsid w:val="3EFEBEBC"/>
    <w:rsid w:val="3F161F71"/>
    <w:rsid w:val="3F2350E9"/>
    <w:rsid w:val="3F2F6B8F"/>
    <w:rsid w:val="3F3348D1"/>
    <w:rsid w:val="3F369372"/>
    <w:rsid w:val="3F4E5D6B"/>
    <w:rsid w:val="3F5FC38C"/>
    <w:rsid w:val="3F73E069"/>
    <w:rsid w:val="3F755CC3"/>
    <w:rsid w:val="3F793F33"/>
    <w:rsid w:val="3F7D3E96"/>
    <w:rsid w:val="3F7D78FA"/>
    <w:rsid w:val="3F7EB0B8"/>
    <w:rsid w:val="3F836EDA"/>
    <w:rsid w:val="3F88629F"/>
    <w:rsid w:val="3F8954F2"/>
    <w:rsid w:val="3F984734"/>
    <w:rsid w:val="3FAB5443"/>
    <w:rsid w:val="3FB5178A"/>
    <w:rsid w:val="3FBF1E40"/>
    <w:rsid w:val="3FCA296B"/>
    <w:rsid w:val="3FD7A13B"/>
    <w:rsid w:val="3FDA20A1"/>
    <w:rsid w:val="3FDF4579"/>
    <w:rsid w:val="3FE1CE83"/>
    <w:rsid w:val="3FEF3F8C"/>
    <w:rsid w:val="3FFB8FE9"/>
    <w:rsid w:val="400610FA"/>
    <w:rsid w:val="40061FE5"/>
    <w:rsid w:val="400718BA"/>
    <w:rsid w:val="40161AFD"/>
    <w:rsid w:val="402D7572"/>
    <w:rsid w:val="40356427"/>
    <w:rsid w:val="403D352D"/>
    <w:rsid w:val="40503261"/>
    <w:rsid w:val="40682C96"/>
    <w:rsid w:val="406E36E7"/>
    <w:rsid w:val="40833636"/>
    <w:rsid w:val="4099592E"/>
    <w:rsid w:val="40BB2DD0"/>
    <w:rsid w:val="40CD48B1"/>
    <w:rsid w:val="40D774DE"/>
    <w:rsid w:val="40E165AE"/>
    <w:rsid w:val="40FF4C00"/>
    <w:rsid w:val="410746E6"/>
    <w:rsid w:val="41126768"/>
    <w:rsid w:val="41656898"/>
    <w:rsid w:val="419C4CB1"/>
    <w:rsid w:val="41A05B22"/>
    <w:rsid w:val="41CC6917"/>
    <w:rsid w:val="41DA7286"/>
    <w:rsid w:val="41F7EB0B"/>
    <w:rsid w:val="41FB544E"/>
    <w:rsid w:val="421A3B26"/>
    <w:rsid w:val="42246753"/>
    <w:rsid w:val="42415557"/>
    <w:rsid w:val="425D39B0"/>
    <w:rsid w:val="428F7412"/>
    <w:rsid w:val="42BA2C13"/>
    <w:rsid w:val="42C41CE4"/>
    <w:rsid w:val="42D31F27"/>
    <w:rsid w:val="42D33CD5"/>
    <w:rsid w:val="42DC527F"/>
    <w:rsid w:val="42EA799C"/>
    <w:rsid w:val="42FF4ACA"/>
    <w:rsid w:val="433E3844"/>
    <w:rsid w:val="435D440A"/>
    <w:rsid w:val="43686A6C"/>
    <w:rsid w:val="437454B8"/>
    <w:rsid w:val="437D25BE"/>
    <w:rsid w:val="439A1A2C"/>
    <w:rsid w:val="43A713E9"/>
    <w:rsid w:val="43B835F7"/>
    <w:rsid w:val="43E51F12"/>
    <w:rsid w:val="43EC1C30"/>
    <w:rsid w:val="442B6778"/>
    <w:rsid w:val="44316F05"/>
    <w:rsid w:val="44384737"/>
    <w:rsid w:val="44496945"/>
    <w:rsid w:val="44627A06"/>
    <w:rsid w:val="446A2417"/>
    <w:rsid w:val="448E4357"/>
    <w:rsid w:val="44A122DD"/>
    <w:rsid w:val="44A3507E"/>
    <w:rsid w:val="44AB4F09"/>
    <w:rsid w:val="44B21147"/>
    <w:rsid w:val="44C5260D"/>
    <w:rsid w:val="44F468B0"/>
    <w:rsid w:val="44F87A23"/>
    <w:rsid w:val="457D66F7"/>
    <w:rsid w:val="45811103"/>
    <w:rsid w:val="45C049E4"/>
    <w:rsid w:val="45E12B57"/>
    <w:rsid w:val="45F12DF0"/>
    <w:rsid w:val="45F67E46"/>
    <w:rsid w:val="45FB5A1D"/>
    <w:rsid w:val="45FC49E7"/>
    <w:rsid w:val="46132D66"/>
    <w:rsid w:val="46244F73"/>
    <w:rsid w:val="46A14CD3"/>
    <w:rsid w:val="46F81F5C"/>
    <w:rsid w:val="46FF32EA"/>
    <w:rsid w:val="470E79D1"/>
    <w:rsid w:val="47215957"/>
    <w:rsid w:val="47354F5E"/>
    <w:rsid w:val="474B4782"/>
    <w:rsid w:val="477A6E15"/>
    <w:rsid w:val="47D46525"/>
    <w:rsid w:val="47E6768A"/>
    <w:rsid w:val="47F60B91"/>
    <w:rsid w:val="48114597"/>
    <w:rsid w:val="48166B3E"/>
    <w:rsid w:val="4840005F"/>
    <w:rsid w:val="48466507"/>
    <w:rsid w:val="484904B9"/>
    <w:rsid w:val="484D0086"/>
    <w:rsid w:val="485853A8"/>
    <w:rsid w:val="48727E6A"/>
    <w:rsid w:val="487D096B"/>
    <w:rsid w:val="48934632"/>
    <w:rsid w:val="48A759E8"/>
    <w:rsid w:val="48B12D0A"/>
    <w:rsid w:val="48B30830"/>
    <w:rsid w:val="48B56357"/>
    <w:rsid w:val="48E44E8E"/>
    <w:rsid w:val="48FD5F50"/>
    <w:rsid w:val="49107A31"/>
    <w:rsid w:val="49136168"/>
    <w:rsid w:val="49317EC7"/>
    <w:rsid w:val="495A5150"/>
    <w:rsid w:val="4977360C"/>
    <w:rsid w:val="497D5ADF"/>
    <w:rsid w:val="498D3F30"/>
    <w:rsid w:val="49A5461D"/>
    <w:rsid w:val="49B52386"/>
    <w:rsid w:val="4A0B4362"/>
    <w:rsid w:val="4A176B9D"/>
    <w:rsid w:val="4A314103"/>
    <w:rsid w:val="4A570F3A"/>
    <w:rsid w:val="4A704C7F"/>
    <w:rsid w:val="4A871F75"/>
    <w:rsid w:val="4A8E6E5F"/>
    <w:rsid w:val="4AA5064D"/>
    <w:rsid w:val="4AB4263E"/>
    <w:rsid w:val="4ABE526B"/>
    <w:rsid w:val="4ADA20A4"/>
    <w:rsid w:val="4B0B6702"/>
    <w:rsid w:val="4B1E0FC4"/>
    <w:rsid w:val="4B412124"/>
    <w:rsid w:val="4B5A1437"/>
    <w:rsid w:val="4B616322"/>
    <w:rsid w:val="4B751DCD"/>
    <w:rsid w:val="4B756271"/>
    <w:rsid w:val="4B8B15F1"/>
    <w:rsid w:val="4BA460B0"/>
    <w:rsid w:val="4BA601D9"/>
    <w:rsid w:val="4BBF3C51"/>
    <w:rsid w:val="4BBFC8CA"/>
    <w:rsid w:val="4BC52D55"/>
    <w:rsid w:val="4BEFA3A6"/>
    <w:rsid w:val="4C064A07"/>
    <w:rsid w:val="4C453E95"/>
    <w:rsid w:val="4C4A5008"/>
    <w:rsid w:val="4C8A5D4C"/>
    <w:rsid w:val="4C8F6EBF"/>
    <w:rsid w:val="4C9D5A7F"/>
    <w:rsid w:val="4CB22BAD"/>
    <w:rsid w:val="4CC34DBA"/>
    <w:rsid w:val="4CC712A7"/>
    <w:rsid w:val="4CCA6149"/>
    <w:rsid w:val="4CE2665F"/>
    <w:rsid w:val="4D113D78"/>
    <w:rsid w:val="4D180BAD"/>
    <w:rsid w:val="4D1D5961"/>
    <w:rsid w:val="4D241CFD"/>
    <w:rsid w:val="4D3161C8"/>
    <w:rsid w:val="4D387556"/>
    <w:rsid w:val="4D5F5F13"/>
    <w:rsid w:val="4D6B4B4B"/>
    <w:rsid w:val="4D6E4D26"/>
    <w:rsid w:val="4D783DF7"/>
    <w:rsid w:val="4D7F4CF7"/>
    <w:rsid w:val="4D8473F3"/>
    <w:rsid w:val="4D847481"/>
    <w:rsid w:val="4DB4701C"/>
    <w:rsid w:val="4DCD5EF0"/>
    <w:rsid w:val="4DD454D1"/>
    <w:rsid w:val="4DFF10DC"/>
    <w:rsid w:val="4E404914"/>
    <w:rsid w:val="4E487C6D"/>
    <w:rsid w:val="4E4A12EF"/>
    <w:rsid w:val="4E564A6A"/>
    <w:rsid w:val="4E6F6FA8"/>
    <w:rsid w:val="4E7B78F8"/>
    <w:rsid w:val="4E86609F"/>
    <w:rsid w:val="4E9764FE"/>
    <w:rsid w:val="4E9E163B"/>
    <w:rsid w:val="4F132029"/>
    <w:rsid w:val="4F1D6A04"/>
    <w:rsid w:val="4F245FE4"/>
    <w:rsid w:val="4F5155E8"/>
    <w:rsid w:val="4F522B51"/>
    <w:rsid w:val="4F563CC4"/>
    <w:rsid w:val="4F672375"/>
    <w:rsid w:val="4F7253F0"/>
    <w:rsid w:val="4F7BB1BA"/>
    <w:rsid w:val="4F876573"/>
    <w:rsid w:val="4F8B7E11"/>
    <w:rsid w:val="4FA04AFC"/>
    <w:rsid w:val="4FAB2261"/>
    <w:rsid w:val="4FB7E42D"/>
    <w:rsid w:val="4FC151B1"/>
    <w:rsid w:val="4FC96B8B"/>
    <w:rsid w:val="4FDF5207"/>
    <w:rsid w:val="4FE614EB"/>
    <w:rsid w:val="4FF04118"/>
    <w:rsid w:val="4FF7BD83"/>
    <w:rsid w:val="4FF82FCD"/>
    <w:rsid w:val="4FFBF850"/>
    <w:rsid w:val="503429AC"/>
    <w:rsid w:val="505E72D4"/>
    <w:rsid w:val="50673A34"/>
    <w:rsid w:val="507F33B4"/>
    <w:rsid w:val="509524CD"/>
    <w:rsid w:val="509C1BAA"/>
    <w:rsid w:val="50AB58A2"/>
    <w:rsid w:val="50BF2C39"/>
    <w:rsid w:val="50CC06E1"/>
    <w:rsid w:val="50E724F8"/>
    <w:rsid w:val="50FA7A17"/>
    <w:rsid w:val="510D0454"/>
    <w:rsid w:val="51387B25"/>
    <w:rsid w:val="515A3F3F"/>
    <w:rsid w:val="5167665C"/>
    <w:rsid w:val="51762909"/>
    <w:rsid w:val="51890380"/>
    <w:rsid w:val="51A63640"/>
    <w:rsid w:val="51AA02F7"/>
    <w:rsid w:val="51AF590D"/>
    <w:rsid w:val="51CE66DB"/>
    <w:rsid w:val="51D05FAF"/>
    <w:rsid w:val="51D830B6"/>
    <w:rsid w:val="51DA6E2E"/>
    <w:rsid w:val="51E868C0"/>
    <w:rsid w:val="522478C8"/>
    <w:rsid w:val="526E7576"/>
    <w:rsid w:val="52946FDD"/>
    <w:rsid w:val="52A762FD"/>
    <w:rsid w:val="52B07656"/>
    <w:rsid w:val="52BC67C8"/>
    <w:rsid w:val="52D27B05"/>
    <w:rsid w:val="52F45CCD"/>
    <w:rsid w:val="53095C1D"/>
    <w:rsid w:val="531620E8"/>
    <w:rsid w:val="53230361"/>
    <w:rsid w:val="532540D9"/>
    <w:rsid w:val="53277E51"/>
    <w:rsid w:val="53560736"/>
    <w:rsid w:val="535B7DE3"/>
    <w:rsid w:val="536966BB"/>
    <w:rsid w:val="5371089E"/>
    <w:rsid w:val="538928BA"/>
    <w:rsid w:val="539D5347"/>
    <w:rsid w:val="53AD5BAA"/>
    <w:rsid w:val="53B92A73"/>
    <w:rsid w:val="53CF3349"/>
    <w:rsid w:val="53DF24DA"/>
    <w:rsid w:val="53E50372"/>
    <w:rsid w:val="53F51CFD"/>
    <w:rsid w:val="53FF5FB7"/>
    <w:rsid w:val="5411465D"/>
    <w:rsid w:val="548E6503"/>
    <w:rsid w:val="54B60678"/>
    <w:rsid w:val="54C55B73"/>
    <w:rsid w:val="550B5550"/>
    <w:rsid w:val="551B5793"/>
    <w:rsid w:val="55274C03"/>
    <w:rsid w:val="554967A4"/>
    <w:rsid w:val="556E0353"/>
    <w:rsid w:val="55760C1C"/>
    <w:rsid w:val="55801A9A"/>
    <w:rsid w:val="55992AEA"/>
    <w:rsid w:val="55B17EA6"/>
    <w:rsid w:val="55B31E70"/>
    <w:rsid w:val="55C23E61"/>
    <w:rsid w:val="560B3A5A"/>
    <w:rsid w:val="56275BB8"/>
    <w:rsid w:val="56293EE0"/>
    <w:rsid w:val="564A2742"/>
    <w:rsid w:val="56767114"/>
    <w:rsid w:val="56844DF7"/>
    <w:rsid w:val="56A45C5C"/>
    <w:rsid w:val="56C854A7"/>
    <w:rsid w:val="56F54CB9"/>
    <w:rsid w:val="57266671"/>
    <w:rsid w:val="5748483A"/>
    <w:rsid w:val="57575742"/>
    <w:rsid w:val="575B1A16"/>
    <w:rsid w:val="577914AE"/>
    <w:rsid w:val="57CC546B"/>
    <w:rsid w:val="57FF89E5"/>
    <w:rsid w:val="57FFAD5E"/>
    <w:rsid w:val="58044C05"/>
    <w:rsid w:val="582E73D8"/>
    <w:rsid w:val="584C010C"/>
    <w:rsid w:val="58647451"/>
    <w:rsid w:val="586E207E"/>
    <w:rsid w:val="58906498"/>
    <w:rsid w:val="58937D37"/>
    <w:rsid w:val="589E6E07"/>
    <w:rsid w:val="58E42340"/>
    <w:rsid w:val="58E81E30"/>
    <w:rsid w:val="58F5454D"/>
    <w:rsid w:val="59303F04"/>
    <w:rsid w:val="59576FB6"/>
    <w:rsid w:val="595849C0"/>
    <w:rsid w:val="596F949B"/>
    <w:rsid w:val="59715846"/>
    <w:rsid w:val="5980475F"/>
    <w:rsid w:val="59914276"/>
    <w:rsid w:val="59A87812"/>
    <w:rsid w:val="59DC230F"/>
    <w:rsid w:val="59DFE82E"/>
    <w:rsid w:val="5A082CA4"/>
    <w:rsid w:val="5A146C55"/>
    <w:rsid w:val="5A272E2C"/>
    <w:rsid w:val="5A2C21F1"/>
    <w:rsid w:val="5A44388B"/>
    <w:rsid w:val="5A56101C"/>
    <w:rsid w:val="5A6B0F6B"/>
    <w:rsid w:val="5A6D4479"/>
    <w:rsid w:val="5A7140A7"/>
    <w:rsid w:val="5A902347"/>
    <w:rsid w:val="5AAB580B"/>
    <w:rsid w:val="5AC07A2E"/>
    <w:rsid w:val="5AC71F19"/>
    <w:rsid w:val="5ADDADB1"/>
    <w:rsid w:val="5AF26F96"/>
    <w:rsid w:val="5AF32D0E"/>
    <w:rsid w:val="5AF7E91C"/>
    <w:rsid w:val="5AFD8E44"/>
    <w:rsid w:val="5AFF324F"/>
    <w:rsid w:val="5B3255E5"/>
    <w:rsid w:val="5B3E042E"/>
    <w:rsid w:val="5B417F1E"/>
    <w:rsid w:val="5B490B80"/>
    <w:rsid w:val="5B4D0671"/>
    <w:rsid w:val="5B575D5D"/>
    <w:rsid w:val="5B955B74"/>
    <w:rsid w:val="5BA33ACF"/>
    <w:rsid w:val="5BBB382C"/>
    <w:rsid w:val="5BBBB588"/>
    <w:rsid w:val="5BC30933"/>
    <w:rsid w:val="5BC85F49"/>
    <w:rsid w:val="5BDB5C7C"/>
    <w:rsid w:val="5BDB7A2A"/>
    <w:rsid w:val="5BE3831D"/>
    <w:rsid w:val="5BE865EB"/>
    <w:rsid w:val="5C001B87"/>
    <w:rsid w:val="5C125416"/>
    <w:rsid w:val="5C1331FA"/>
    <w:rsid w:val="5C141FD5"/>
    <w:rsid w:val="5C4C0928"/>
    <w:rsid w:val="5C5D0D87"/>
    <w:rsid w:val="5C6519EA"/>
    <w:rsid w:val="5C6C0FCA"/>
    <w:rsid w:val="5C867508"/>
    <w:rsid w:val="5C8956D8"/>
    <w:rsid w:val="5CC20BEA"/>
    <w:rsid w:val="5CD5091E"/>
    <w:rsid w:val="5CD821BC"/>
    <w:rsid w:val="5CDF79EE"/>
    <w:rsid w:val="5CF039A9"/>
    <w:rsid w:val="5CFEA57A"/>
    <w:rsid w:val="5D066D29"/>
    <w:rsid w:val="5D46181B"/>
    <w:rsid w:val="5D4B0BE0"/>
    <w:rsid w:val="5D4E247E"/>
    <w:rsid w:val="5D73B916"/>
    <w:rsid w:val="5DA14CA4"/>
    <w:rsid w:val="5DA36C6E"/>
    <w:rsid w:val="5DB744C7"/>
    <w:rsid w:val="5DBE7604"/>
    <w:rsid w:val="5DC27BE4"/>
    <w:rsid w:val="5DD70BDF"/>
    <w:rsid w:val="5DDC7A8A"/>
    <w:rsid w:val="5DE74DAC"/>
    <w:rsid w:val="5DEF949E"/>
    <w:rsid w:val="5DFD39BB"/>
    <w:rsid w:val="5DFF2A0A"/>
    <w:rsid w:val="5E0F60B1"/>
    <w:rsid w:val="5E1D7B0C"/>
    <w:rsid w:val="5E2B115E"/>
    <w:rsid w:val="5E317DD6"/>
    <w:rsid w:val="5E5835B4"/>
    <w:rsid w:val="5E671A49"/>
    <w:rsid w:val="5E7E9B1F"/>
    <w:rsid w:val="5E8F0FA0"/>
    <w:rsid w:val="5EA3F550"/>
    <w:rsid w:val="5EBBEA2D"/>
    <w:rsid w:val="5EBF3633"/>
    <w:rsid w:val="5ED84F1F"/>
    <w:rsid w:val="5EE70BBF"/>
    <w:rsid w:val="5EFA83ED"/>
    <w:rsid w:val="5EFF7ED4"/>
    <w:rsid w:val="5F1C295F"/>
    <w:rsid w:val="5F2E6A0B"/>
    <w:rsid w:val="5F335DCF"/>
    <w:rsid w:val="5F37EE69"/>
    <w:rsid w:val="5F397AD9"/>
    <w:rsid w:val="5F3D09FC"/>
    <w:rsid w:val="5F4104EC"/>
    <w:rsid w:val="5F5F3852"/>
    <w:rsid w:val="5F6E54B0"/>
    <w:rsid w:val="5F7F145D"/>
    <w:rsid w:val="5F7FDA75"/>
    <w:rsid w:val="5F865FED"/>
    <w:rsid w:val="5FAB1E0A"/>
    <w:rsid w:val="5FAECCDB"/>
    <w:rsid w:val="5FBA4432"/>
    <w:rsid w:val="5FBB660D"/>
    <w:rsid w:val="5FE62A90"/>
    <w:rsid w:val="5FE92E42"/>
    <w:rsid w:val="5FF6C666"/>
    <w:rsid w:val="5FF73757"/>
    <w:rsid w:val="5FF97CC7"/>
    <w:rsid w:val="5FF9EF9C"/>
    <w:rsid w:val="5FFA9241"/>
    <w:rsid w:val="5FFF770F"/>
    <w:rsid w:val="5FFFA202"/>
    <w:rsid w:val="5FFFE6AF"/>
    <w:rsid w:val="60077F09"/>
    <w:rsid w:val="600F2399"/>
    <w:rsid w:val="60116111"/>
    <w:rsid w:val="601C6864"/>
    <w:rsid w:val="60367925"/>
    <w:rsid w:val="603B318E"/>
    <w:rsid w:val="606049A2"/>
    <w:rsid w:val="6065020A"/>
    <w:rsid w:val="608763D3"/>
    <w:rsid w:val="609B3C2C"/>
    <w:rsid w:val="609D79A4"/>
    <w:rsid w:val="60BB607C"/>
    <w:rsid w:val="60C74A21"/>
    <w:rsid w:val="60CE5DB0"/>
    <w:rsid w:val="610619ED"/>
    <w:rsid w:val="6128643B"/>
    <w:rsid w:val="612873A9"/>
    <w:rsid w:val="61695AD8"/>
    <w:rsid w:val="61834DEC"/>
    <w:rsid w:val="61993717"/>
    <w:rsid w:val="61B431F8"/>
    <w:rsid w:val="61B50D1E"/>
    <w:rsid w:val="61B6DD20"/>
    <w:rsid w:val="61B74A96"/>
    <w:rsid w:val="61DFFF04"/>
    <w:rsid w:val="620F042E"/>
    <w:rsid w:val="622E4871"/>
    <w:rsid w:val="625F70EC"/>
    <w:rsid w:val="628A21AA"/>
    <w:rsid w:val="629372B1"/>
    <w:rsid w:val="62A50D92"/>
    <w:rsid w:val="62EF200D"/>
    <w:rsid w:val="62F35FA1"/>
    <w:rsid w:val="62F8DBDF"/>
    <w:rsid w:val="63071A4D"/>
    <w:rsid w:val="63224191"/>
    <w:rsid w:val="635051A2"/>
    <w:rsid w:val="635D341B"/>
    <w:rsid w:val="63754C08"/>
    <w:rsid w:val="638CD8B3"/>
    <w:rsid w:val="63BBDFAA"/>
    <w:rsid w:val="63C67212"/>
    <w:rsid w:val="63E458EA"/>
    <w:rsid w:val="63E853DA"/>
    <w:rsid w:val="63EAD635"/>
    <w:rsid w:val="63FF2724"/>
    <w:rsid w:val="64371EBE"/>
    <w:rsid w:val="64373C6C"/>
    <w:rsid w:val="64530632"/>
    <w:rsid w:val="649966D5"/>
    <w:rsid w:val="64B11C70"/>
    <w:rsid w:val="64CE2652"/>
    <w:rsid w:val="64E77440"/>
    <w:rsid w:val="651B7E76"/>
    <w:rsid w:val="65295CAB"/>
    <w:rsid w:val="654F4FE5"/>
    <w:rsid w:val="657C0AD4"/>
    <w:rsid w:val="658D00EE"/>
    <w:rsid w:val="659D21F5"/>
    <w:rsid w:val="65E63B9C"/>
    <w:rsid w:val="65FE6F03"/>
    <w:rsid w:val="661E50E3"/>
    <w:rsid w:val="664803B2"/>
    <w:rsid w:val="668D04BB"/>
    <w:rsid w:val="66B23A7E"/>
    <w:rsid w:val="66CD4D5B"/>
    <w:rsid w:val="66D6776C"/>
    <w:rsid w:val="66E14363"/>
    <w:rsid w:val="66E77BCB"/>
    <w:rsid w:val="66FE3167"/>
    <w:rsid w:val="67340937"/>
    <w:rsid w:val="67397CFB"/>
    <w:rsid w:val="673FA8BD"/>
    <w:rsid w:val="675B0DE4"/>
    <w:rsid w:val="675B58B8"/>
    <w:rsid w:val="676F196F"/>
    <w:rsid w:val="6773460E"/>
    <w:rsid w:val="677A6B91"/>
    <w:rsid w:val="67890C82"/>
    <w:rsid w:val="679DA3BF"/>
    <w:rsid w:val="67A23AF2"/>
    <w:rsid w:val="67BFB14D"/>
    <w:rsid w:val="67CD2D32"/>
    <w:rsid w:val="67F7FE62"/>
    <w:rsid w:val="67FADBF2"/>
    <w:rsid w:val="67FC4FBA"/>
    <w:rsid w:val="67FCEE75"/>
    <w:rsid w:val="67FD019D"/>
    <w:rsid w:val="67FF78CA"/>
    <w:rsid w:val="685927AA"/>
    <w:rsid w:val="68721717"/>
    <w:rsid w:val="687F5BE1"/>
    <w:rsid w:val="6884144A"/>
    <w:rsid w:val="68A35D74"/>
    <w:rsid w:val="68A37B22"/>
    <w:rsid w:val="68C1444C"/>
    <w:rsid w:val="68C369BB"/>
    <w:rsid w:val="68E343C2"/>
    <w:rsid w:val="690A59CE"/>
    <w:rsid w:val="692C3FBB"/>
    <w:rsid w:val="6942733B"/>
    <w:rsid w:val="69676DA1"/>
    <w:rsid w:val="69D837FB"/>
    <w:rsid w:val="69EA352F"/>
    <w:rsid w:val="69F04FE9"/>
    <w:rsid w:val="69FA7C16"/>
    <w:rsid w:val="69FB240D"/>
    <w:rsid w:val="6A0E1913"/>
    <w:rsid w:val="6A211646"/>
    <w:rsid w:val="6A440E91"/>
    <w:rsid w:val="6ACF2E50"/>
    <w:rsid w:val="6AFD8BEC"/>
    <w:rsid w:val="6B244B6D"/>
    <w:rsid w:val="6B376C47"/>
    <w:rsid w:val="6B3B0608"/>
    <w:rsid w:val="6B3B2294"/>
    <w:rsid w:val="6B4078AA"/>
    <w:rsid w:val="6B563571"/>
    <w:rsid w:val="6B72C521"/>
    <w:rsid w:val="6B767770"/>
    <w:rsid w:val="6B8D6867"/>
    <w:rsid w:val="6B99520C"/>
    <w:rsid w:val="6BAF2C82"/>
    <w:rsid w:val="6BCF6E80"/>
    <w:rsid w:val="6BEFCB26"/>
    <w:rsid w:val="6BF6440D"/>
    <w:rsid w:val="6BF84629"/>
    <w:rsid w:val="6BFB62D3"/>
    <w:rsid w:val="6C272818"/>
    <w:rsid w:val="6C2E7FA7"/>
    <w:rsid w:val="6C384ABE"/>
    <w:rsid w:val="6D3710F8"/>
    <w:rsid w:val="6D417909"/>
    <w:rsid w:val="6D778FC9"/>
    <w:rsid w:val="6D8132A7"/>
    <w:rsid w:val="6DC742B3"/>
    <w:rsid w:val="6DDD24C2"/>
    <w:rsid w:val="6DDD7632"/>
    <w:rsid w:val="6DE3533D"/>
    <w:rsid w:val="6DF66946"/>
    <w:rsid w:val="6DFB2E3E"/>
    <w:rsid w:val="6DFF8B45"/>
    <w:rsid w:val="6E0F17B6"/>
    <w:rsid w:val="6E1A6AD8"/>
    <w:rsid w:val="6E3B554F"/>
    <w:rsid w:val="6E662A5C"/>
    <w:rsid w:val="6EAF22F4"/>
    <w:rsid w:val="6EC30F1E"/>
    <w:rsid w:val="6EE83EEE"/>
    <w:rsid w:val="6EFA2466"/>
    <w:rsid w:val="6F0F4163"/>
    <w:rsid w:val="6F2D45E9"/>
    <w:rsid w:val="6F2F7ECF"/>
    <w:rsid w:val="6F2FCEDD"/>
    <w:rsid w:val="6F370FC4"/>
    <w:rsid w:val="6F4162E7"/>
    <w:rsid w:val="6F481423"/>
    <w:rsid w:val="6F5002D8"/>
    <w:rsid w:val="6F7F6A42"/>
    <w:rsid w:val="6F7F990E"/>
    <w:rsid w:val="6F8B54BD"/>
    <w:rsid w:val="6F8C57B4"/>
    <w:rsid w:val="6F9FEF09"/>
    <w:rsid w:val="6FBD6693"/>
    <w:rsid w:val="6FBF8D72"/>
    <w:rsid w:val="6FBFBE66"/>
    <w:rsid w:val="6FDE952B"/>
    <w:rsid w:val="6FEB2E1C"/>
    <w:rsid w:val="6FED6E18"/>
    <w:rsid w:val="6FEFE883"/>
    <w:rsid w:val="6FF7C7E8"/>
    <w:rsid w:val="6FFB09AD"/>
    <w:rsid w:val="6FFF9A9B"/>
    <w:rsid w:val="6FFFC61F"/>
    <w:rsid w:val="7004359C"/>
    <w:rsid w:val="70390D6C"/>
    <w:rsid w:val="7075449A"/>
    <w:rsid w:val="70910BA8"/>
    <w:rsid w:val="70B34FC2"/>
    <w:rsid w:val="70C44AD9"/>
    <w:rsid w:val="70E17439"/>
    <w:rsid w:val="70F7F3F8"/>
    <w:rsid w:val="711041C2"/>
    <w:rsid w:val="71167F0E"/>
    <w:rsid w:val="713D0247"/>
    <w:rsid w:val="7154496F"/>
    <w:rsid w:val="715E0A8A"/>
    <w:rsid w:val="7169065D"/>
    <w:rsid w:val="717007BD"/>
    <w:rsid w:val="71764672"/>
    <w:rsid w:val="718B3849"/>
    <w:rsid w:val="71BFEAF8"/>
    <w:rsid w:val="71C942C6"/>
    <w:rsid w:val="71DF7F09"/>
    <w:rsid w:val="71F02ED3"/>
    <w:rsid w:val="720535FB"/>
    <w:rsid w:val="724E6D50"/>
    <w:rsid w:val="72783DCD"/>
    <w:rsid w:val="729D3834"/>
    <w:rsid w:val="72AE3C93"/>
    <w:rsid w:val="72B33057"/>
    <w:rsid w:val="72B8066E"/>
    <w:rsid w:val="72C54B39"/>
    <w:rsid w:val="72C65FD5"/>
    <w:rsid w:val="72C74D55"/>
    <w:rsid w:val="72D50275"/>
    <w:rsid w:val="72E651DB"/>
    <w:rsid w:val="72F62F44"/>
    <w:rsid w:val="72F86E2E"/>
    <w:rsid w:val="72FAE014"/>
    <w:rsid w:val="73125FD0"/>
    <w:rsid w:val="73476C61"/>
    <w:rsid w:val="735BA119"/>
    <w:rsid w:val="736D76AA"/>
    <w:rsid w:val="7375030D"/>
    <w:rsid w:val="73B6372B"/>
    <w:rsid w:val="73B92279"/>
    <w:rsid w:val="73D634A1"/>
    <w:rsid w:val="73DB18CC"/>
    <w:rsid w:val="73DE4104"/>
    <w:rsid w:val="73F43927"/>
    <w:rsid w:val="73FCE53A"/>
    <w:rsid w:val="73FFA59F"/>
    <w:rsid w:val="74454183"/>
    <w:rsid w:val="74556789"/>
    <w:rsid w:val="745A5E80"/>
    <w:rsid w:val="745F3497"/>
    <w:rsid w:val="7467B02C"/>
    <w:rsid w:val="749A4775"/>
    <w:rsid w:val="74BD640F"/>
    <w:rsid w:val="74C01A5C"/>
    <w:rsid w:val="74CC6652"/>
    <w:rsid w:val="74CF7D3B"/>
    <w:rsid w:val="74DF4DDD"/>
    <w:rsid w:val="74FD680C"/>
    <w:rsid w:val="74FEF87A"/>
    <w:rsid w:val="74FFD75D"/>
    <w:rsid w:val="75022074"/>
    <w:rsid w:val="752D5343"/>
    <w:rsid w:val="755F1275"/>
    <w:rsid w:val="756F45DC"/>
    <w:rsid w:val="75875B4C"/>
    <w:rsid w:val="759A405B"/>
    <w:rsid w:val="759F5B15"/>
    <w:rsid w:val="75A1363B"/>
    <w:rsid w:val="75AD1FE0"/>
    <w:rsid w:val="75BC6C51"/>
    <w:rsid w:val="75E726D1"/>
    <w:rsid w:val="75EA4FE2"/>
    <w:rsid w:val="75F25C45"/>
    <w:rsid w:val="75F54B5A"/>
    <w:rsid w:val="75FD318A"/>
    <w:rsid w:val="763C3364"/>
    <w:rsid w:val="764A5A81"/>
    <w:rsid w:val="765B5EE0"/>
    <w:rsid w:val="766034F6"/>
    <w:rsid w:val="76674885"/>
    <w:rsid w:val="766DDBA6"/>
    <w:rsid w:val="7674FB4C"/>
    <w:rsid w:val="76761CBE"/>
    <w:rsid w:val="767D3917"/>
    <w:rsid w:val="76805946"/>
    <w:rsid w:val="76AE24B4"/>
    <w:rsid w:val="76B13D52"/>
    <w:rsid w:val="76B63116"/>
    <w:rsid w:val="76B86E8E"/>
    <w:rsid w:val="76CF9EEE"/>
    <w:rsid w:val="76DB492B"/>
    <w:rsid w:val="76DFE8D6"/>
    <w:rsid w:val="76EA2C0F"/>
    <w:rsid w:val="76EB7BDE"/>
    <w:rsid w:val="76FC8F31"/>
    <w:rsid w:val="772B3B04"/>
    <w:rsid w:val="773C186D"/>
    <w:rsid w:val="77422BFC"/>
    <w:rsid w:val="774BACEA"/>
    <w:rsid w:val="77584851"/>
    <w:rsid w:val="775D6334"/>
    <w:rsid w:val="77601ABD"/>
    <w:rsid w:val="7769462C"/>
    <w:rsid w:val="77707769"/>
    <w:rsid w:val="77731007"/>
    <w:rsid w:val="777325A1"/>
    <w:rsid w:val="7773C52D"/>
    <w:rsid w:val="777A4704"/>
    <w:rsid w:val="777B07D2"/>
    <w:rsid w:val="77850FA2"/>
    <w:rsid w:val="779A47E6"/>
    <w:rsid w:val="779D6084"/>
    <w:rsid w:val="77BF65AD"/>
    <w:rsid w:val="77C70D8E"/>
    <w:rsid w:val="77CD2481"/>
    <w:rsid w:val="77E2D1C7"/>
    <w:rsid w:val="77ED4F30"/>
    <w:rsid w:val="77EF0721"/>
    <w:rsid w:val="77F43EF6"/>
    <w:rsid w:val="77FDAE4F"/>
    <w:rsid w:val="78191BAF"/>
    <w:rsid w:val="783EE81F"/>
    <w:rsid w:val="78742457"/>
    <w:rsid w:val="78767001"/>
    <w:rsid w:val="78811502"/>
    <w:rsid w:val="78C80EDF"/>
    <w:rsid w:val="78D14237"/>
    <w:rsid w:val="78D67AA0"/>
    <w:rsid w:val="78E072D9"/>
    <w:rsid w:val="79135C5D"/>
    <w:rsid w:val="792A1B99"/>
    <w:rsid w:val="793A04F3"/>
    <w:rsid w:val="7956473D"/>
    <w:rsid w:val="795A69A1"/>
    <w:rsid w:val="799F0CA5"/>
    <w:rsid w:val="79A8143C"/>
    <w:rsid w:val="79BE0AAD"/>
    <w:rsid w:val="79DF0BD6"/>
    <w:rsid w:val="79E8137D"/>
    <w:rsid w:val="7A0D4354"/>
    <w:rsid w:val="7A2605B3"/>
    <w:rsid w:val="7A7F9D60"/>
    <w:rsid w:val="7A8F4065"/>
    <w:rsid w:val="7A993CB5"/>
    <w:rsid w:val="7AAF52FD"/>
    <w:rsid w:val="7AD93877"/>
    <w:rsid w:val="7ADB314B"/>
    <w:rsid w:val="7AEA7832"/>
    <w:rsid w:val="7B2E771F"/>
    <w:rsid w:val="7B3E36DA"/>
    <w:rsid w:val="7B5A652D"/>
    <w:rsid w:val="7B6FA248"/>
    <w:rsid w:val="7B72612C"/>
    <w:rsid w:val="7B7B516E"/>
    <w:rsid w:val="7B7BB9C9"/>
    <w:rsid w:val="7B8F0CE7"/>
    <w:rsid w:val="7B8F831D"/>
    <w:rsid w:val="7BB51BEE"/>
    <w:rsid w:val="7BB5E284"/>
    <w:rsid w:val="7BBB4D2B"/>
    <w:rsid w:val="7BBF3864"/>
    <w:rsid w:val="7BD77189"/>
    <w:rsid w:val="7BDB19BF"/>
    <w:rsid w:val="7BDF0A74"/>
    <w:rsid w:val="7BE81FC4"/>
    <w:rsid w:val="7BFA03E0"/>
    <w:rsid w:val="7BFD7BB8"/>
    <w:rsid w:val="7BFE0552"/>
    <w:rsid w:val="7BFEC74B"/>
    <w:rsid w:val="7BFF2B53"/>
    <w:rsid w:val="7BFF9D32"/>
    <w:rsid w:val="7C0861C2"/>
    <w:rsid w:val="7C120DEF"/>
    <w:rsid w:val="7C1E9DA4"/>
    <w:rsid w:val="7C240B22"/>
    <w:rsid w:val="7C291AB3"/>
    <w:rsid w:val="7C4D5A0A"/>
    <w:rsid w:val="7C51D934"/>
    <w:rsid w:val="7C5C4760"/>
    <w:rsid w:val="7C741AA9"/>
    <w:rsid w:val="7CA73C2D"/>
    <w:rsid w:val="7CBB67ED"/>
    <w:rsid w:val="7CBF01C1"/>
    <w:rsid w:val="7CBFE90B"/>
    <w:rsid w:val="7CCD11BA"/>
    <w:rsid w:val="7CDDB458"/>
    <w:rsid w:val="7CEC1640"/>
    <w:rsid w:val="7CEF6E29"/>
    <w:rsid w:val="7CF931C8"/>
    <w:rsid w:val="7CFEE213"/>
    <w:rsid w:val="7D18612D"/>
    <w:rsid w:val="7D2A660C"/>
    <w:rsid w:val="7D2F59D0"/>
    <w:rsid w:val="7D3B276D"/>
    <w:rsid w:val="7D3F971A"/>
    <w:rsid w:val="7D4CF4DE"/>
    <w:rsid w:val="7D580A83"/>
    <w:rsid w:val="7D596455"/>
    <w:rsid w:val="7D7B9E99"/>
    <w:rsid w:val="7D93A9A6"/>
    <w:rsid w:val="7DA5C473"/>
    <w:rsid w:val="7DA9064B"/>
    <w:rsid w:val="7DAE0FEB"/>
    <w:rsid w:val="7DB523E9"/>
    <w:rsid w:val="7DDA3DE8"/>
    <w:rsid w:val="7DDE639C"/>
    <w:rsid w:val="7DE60785"/>
    <w:rsid w:val="7DE71E07"/>
    <w:rsid w:val="7DF52776"/>
    <w:rsid w:val="7DF7A4E6"/>
    <w:rsid w:val="7DF7B40A"/>
    <w:rsid w:val="7DFBC995"/>
    <w:rsid w:val="7DFBFC71"/>
    <w:rsid w:val="7DFD20F7"/>
    <w:rsid w:val="7DFF5B13"/>
    <w:rsid w:val="7DFF743C"/>
    <w:rsid w:val="7E17093E"/>
    <w:rsid w:val="7E1FCA44"/>
    <w:rsid w:val="7E521976"/>
    <w:rsid w:val="7E5D7F61"/>
    <w:rsid w:val="7E70004F"/>
    <w:rsid w:val="7E978622"/>
    <w:rsid w:val="7EB5C7A9"/>
    <w:rsid w:val="7EBBC754"/>
    <w:rsid w:val="7ECE167A"/>
    <w:rsid w:val="7EDA196C"/>
    <w:rsid w:val="7EDB88BA"/>
    <w:rsid w:val="7EF53F7C"/>
    <w:rsid w:val="7EFC9774"/>
    <w:rsid w:val="7F0D2370"/>
    <w:rsid w:val="7F1E7AAB"/>
    <w:rsid w:val="7F2826D7"/>
    <w:rsid w:val="7F2E6AFB"/>
    <w:rsid w:val="7F345520"/>
    <w:rsid w:val="7F37D2EF"/>
    <w:rsid w:val="7F3E6D59"/>
    <w:rsid w:val="7F4642E1"/>
    <w:rsid w:val="7F5931D8"/>
    <w:rsid w:val="7F5D7C13"/>
    <w:rsid w:val="7F5F65D1"/>
    <w:rsid w:val="7F5FA77A"/>
    <w:rsid w:val="7F7AF0E4"/>
    <w:rsid w:val="7F7D2A23"/>
    <w:rsid w:val="7F7F75C6"/>
    <w:rsid w:val="7F9703BE"/>
    <w:rsid w:val="7F97D552"/>
    <w:rsid w:val="7FA77AA0"/>
    <w:rsid w:val="7FAB9F05"/>
    <w:rsid w:val="7FAC3308"/>
    <w:rsid w:val="7FAD8B21"/>
    <w:rsid w:val="7FB553D3"/>
    <w:rsid w:val="7FBE4D17"/>
    <w:rsid w:val="7FBE77E4"/>
    <w:rsid w:val="7FBF784A"/>
    <w:rsid w:val="7FBFC00F"/>
    <w:rsid w:val="7FBFDCC2"/>
    <w:rsid w:val="7FCF01AE"/>
    <w:rsid w:val="7FCFF717"/>
    <w:rsid w:val="7FD31132"/>
    <w:rsid w:val="7FD36B47"/>
    <w:rsid w:val="7FD7BFC6"/>
    <w:rsid w:val="7FDBF4D7"/>
    <w:rsid w:val="7FDFACFA"/>
    <w:rsid w:val="7FDFE96E"/>
    <w:rsid w:val="7FE7CA2C"/>
    <w:rsid w:val="7FE9D165"/>
    <w:rsid w:val="7FEC5DFB"/>
    <w:rsid w:val="7FEF164A"/>
    <w:rsid w:val="7FEF6F2D"/>
    <w:rsid w:val="7FEFB52F"/>
    <w:rsid w:val="7FEFEA6B"/>
    <w:rsid w:val="7FF0F0F1"/>
    <w:rsid w:val="7FF508C7"/>
    <w:rsid w:val="7FF5966A"/>
    <w:rsid w:val="7FF5D542"/>
    <w:rsid w:val="7FF63A7B"/>
    <w:rsid w:val="7FFA0D07"/>
    <w:rsid w:val="7FFAE0A8"/>
    <w:rsid w:val="7FFB5C11"/>
    <w:rsid w:val="7FFC1DEB"/>
    <w:rsid w:val="7FFDCCFD"/>
    <w:rsid w:val="7FFEB204"/>
    <w:rsid w:val="7FFF0463"/>
    <w:rsid w:val="7FFF341B"/>
    <w:rsid w:val="7FFF3F0D"/>
    <w:rsid w:val="7FFF8C98"/>
    <w:rsid w:val="86BB5F06"/>
    <w:rsid w:val="8CEF1507"/>
    <w:rsid w:val="8EA2D5A2"/>
    <w:rsid w:val="8F674D09"/>
    <w:rsid w:val="92D5B238"/>
    <w:rsid w:val="959F634A"/>
    <w:rsid w:val="97FF26BA"/>
    <w:rsid w:val="9BFE6BE9"/>
    <w:rsid w:val="9BFF6B22"/>
    <w:rsid w:val="9C683A78"/>
    <w:rsid w:val="9CFDB53C"/>
    <w:rsid w:val="9CFFB781"/>
    <w:rsid w:val="9DFDAA7B"/>
    <w:rsid w:val="9DFE88C6"/>
    <w:rsid w:val="9E8F4D9D"/>
    <w:rsid w:val="9EBB93D1"/>
    <w:rsid w:val="9FDFC98A"/>
    <w:rsid w:val="9FF737FC"/>
    <w:rsid w:val="9FFF9530"/>
    <w:rsid w:val="A7BC601B"/>
    <w:rsid w:val="A7DD3D0F"/>
    <w:rsid w:val="A8DF2789"/>
    <w:rsid w:val="AB65F8F9"/>
    <w:rsid w:val="AB7F9D2B"/>
    <w:rsid w:val="ABFF5BC0"/>
    <w:rsid w:val="AEFB9F8C"/>
    <w:rsid w:val="AEFF4258"/>
    <w:rsid w:val="AF6982DD"/>
    <w:rsid w:val="AFBF1F99"/>
    <w:rsid w:val="AFFF1928"/>
    <w:rsid w:val="B23E18C2"/>
    <w:rsid w:val="B3DEC38E"/>
    <w:rsid w:val="B3F745E8"/>
    <w:rsid w:val="B5598186"/>
    <w:rsid w:val="B5DEE4B7"/>
    <w:rsid w:val="B697C82B"/>
    <w:rsid w:val="B7C7C281"/>
    <w:rsid w:val="B7C7C44D"/>
    <w:rsid w:val="B7CE7048"/>
    <w:rsid w:val="B7DD318B"/>
    <w:rsid w:val="B7DF6757"/>
    <w:rsid w:val="B7F5DAD8"/>
    <w:rsid w:val="B8DE4418"/>
    <w:rsid w:val="B93F513D"/>
    <w:rsid w:val="B97ACF48"/>
    <w:rsid w:val="B9DF77A4"/>
    <w:rsid w:val="B9EF86DB"/>
    <w:rsid w:val="BACFA4CD"/>
    <w:rsid w:val="BAFF90A6"/>
    <w:rsid w:val="BBCF5001"/>
    <w:rsid w:val="BBEB1767"/>
    <w:rsid w:val="BDCCF5E9"/>
    <w:rsid w:val="BDDDF28F"/>
    <w:rsid w:val="BDFF52AC"/>
    <w:rsid w:val="BE5FD57F"/>
    <w:rsid w:val="BE71D724"/>
    <w:rsid w:val="BEEFFCE3"/>
    <w:rsid w:val="BF781E08"/>
    <w:rsid w:val="BF7AD791"/>
    <w:rsid w:val="BFAE0E6B"/>
    <w:rsid w:val="BFBB6721"/>
    <w:rsid w:val="BFEBE7AB"/>
    <w:rsid w:val="BFEF4D20"/>
    <w:rsid w:val="BFF763FE"/>
    <w:rsid w:val="C0F95B15"/>
    <w:rsid w:val="C2BD1944"/>
    <w:rsid w:val="C35B57D5"/>
    <w:rsid w:val="C73FD9BC"/>
    <w:rsid w:val="C7FEC769"/>
    <w:rsid w:val="C9DBFAD9"/>
    <w:rsid w:val="CA2FACE0"/>
    <w:rsid w:val="CB7E5E82"/>
    <w:rsid w:val="CBA3A514"/>
    <w:rsid w:val="CD3F271B"/>
    <w:rsid w:val="CDFD32FA"/>
    <w:rsid w:val="CE2B54E6"/>
    <w:rsid w:val="CE7F3B09"/>
    <w:rsid w:val="CE9F87A5"/>
    <w:rsid w:val="CEE464DB"/>
    <w:rsid w:val="CF7196C5"/>
    <w:rsid w:val="CF792189"/>
    <w:rsid w:val="CFBBB142"/>
    <w:rsid w:val="CFBF2913"/>
    <w:rsid w:val="CFCBC928"/>
    <w:rsid w:val="CFEFD580"/>
    <w:rsid w:val="CFFED411"/>
    <w:rsid w:val="D3FDBAA5"/>
    <w:rsid w:val="D45BD89E"/>
    <w:rsid w:val="D56634E4"/>
    <w:rsid w:val="D5FE8BA4"/>
    <w:rsid w:val="D7AF840D"/>
    <w:rsid w:val="D7D91B2B"/>
    <w:rsid w:val="D7EF6F69"/>
    <w:rsid w:val="D9BDEDE7"/>
    <w:rsid w:val="D9E94E49"/>
    <w:rsid w:val="DB3D5058"/>
    <w:rsid w:val="DB7C7275"/>
    <w:rsid w:val="DBAF9ADE"/>
    <w:rsid w:val="DBF220C9"/>
    <w:rsid w:val="DBFA65C9"/>
    <w:rsid w:val="DBFF8C96"/>
    <w:rsid w:val="DC7F40AF"/>
    <w:rsid w:val="DD77A72A"/>
    <w:rsid w:val="DD8FB541"/>
    <w:rsid w:val="DDBBBB07"/>
    <w:rsid w:val="DDD63B4F"/>
    <w:rsid w:val="DDDB453D"/>
    <w:rsid w:val="DDF5D6C6"/>
    <w:rsid w:val="DDFE0447"/>
    <w:rsid w:val="DE6F4874"/>
    <w:rsid w:val="DECFAA6C"/>
    <w:rsid w:val="DEEED972"/>
    <w:rsid w:val="DF6F4308"/>
    <w:rsid w:val="DFB4CAAA"/>
    <w:rsid w:val="DFB90EE1"/>
    <w:rsid w:val="DFBFE41F"/>
    <w:rsid w:val="DFEC5EA4"/>
    <w:rsid w:val="DFEEB0AE"/>
    <w:rsid w:val="DFFD2188"/>
    <w:rsid w:val="DFFD53D9"/>
    <w:rsid w:val="DFFD81A5"/>
    <w:rsid w:val="E17A555F"/>
    <w:rsid w:val="E361FAE4"/>
    <w:rsid w:val="E3EFDDD9"/>
    <w:rsid w:val="E3F7D280"/>
    <w:rsid w:val="E3FF6F05"/>
    <w:rsid w:val="E51E5805"/>
    <w:rsid w:val="E5F7AADC"/>
    <w:rsid w:val="E5FB6EBF"/>
    <w:rsid w:val="E77FB05A"/>
    <w:rsid w:val="E8FF6C4F"/>
    <w:rsid w:val="E99E0BAD"/>
    <w:rsid w:val="EA7F5581"/>
    <w:rsid w:val="EB6403E8"/>
    <w:rsid w:val="EB67C667"/>
    <w:rsid w:val="EB9EBCEB"/>
    <w:rsid w:val="EBF7F99D"/>
    <w:rsid w:val="EBFC1A3C"/>
    <w:rsid w:val="EBFD8434"/>
    <w:rsid w:val="EBFDEA68"/>
    <w:rsid w:val="EBFFA1B6"/>
    <w:rsid w:val="EC73383B"/>
    <w:rsid w:val="EC9DA145"/>
    <w:rsid w:val="ECEFF4FA"/>
    <w:rsid w:val="ECFEB22E"/>
    <w:rsid w:val="EDB9681E"/>
    <w:rsid w:val="EDBFEA8C"/>
    <w:rsid w:val="EDEE65FD"/>
    <w:rsid w:val="EDFD9839"/>
    <w:rsid w:val="EE56AB62"/>
    <w:rsid w:val="EE7F0E97"/>
    <w:rsid w:val="EE7F3C0E"/>
    <w:rsid w:val="EEBE56C0"/>
    <w:rsid w:val="EECF3170"/>
    <w:rsid w:val="EEFB0DF3"/>
    <w:rsid w:val="EEFFAE6D"/>
    <w:rsid w:val="EF222839"/>
    <w:rsid w:val="EF370D81"/>
    <w:rsid w:val="EF7EA644"/>
    <w:rsid w:val="EFABE7C2"/>
    <w:rsid w:val="EFB71646"/>
    <w:rsid w:val="EFDF7D46"/>
    <w:rsid w:val="EFEFCBF3"/>
    <w:rsid w:val="EFF925D5"/>
    <w:rsid w:val="EFFA4EEA"/>
    <w:rsid w:val="EFFD16D3"/>
    <w:rsid w:val="EFFF6AF0"/>
    <w:rsid w:val="F17358F2"/>
    <w:rsid w:val="F1FE0C16"/>
    <w:rsid w:val="F33D6C6E"/>
    <w:rsid w:val="F35F8EB3"/>
    <w:rsid w:val="F37FC4C9"/>
    <w:rsid w:val="F3B1E080"/>
    <w:rsid w:val="F3FF0F66"/>
    <w:rsid w:val="F4CF71A4"/>
    <w:rsid w:val="F4FFD2F1"/>
    <w:rsid w:val="F536EA56"/>
    <w:rsid w:val="F5476FAF"/>
    <w:rsid w:val="F5CBDB5C"/>
    <w:rsid w:val="F6FE22C9"/>
    <w:rsid w:val="F6FF35A4"/>
    <w:rsid w:val="F727B64E"/>
    <w:rsid w:val="F74A9A95"/>
    <w:rsid w:val="F76D9665"/>
    <w:rsid w:val="F76DDD30"/>
    <w:rsid w:val="F7772D09"/>
    <w:rsid w:val="F783518B"/>
    <w:rsid w:val="F7BD5213"/>
    <w:rsid w:val="F7DFBE7B"/>
    <w:rsid w:val="F7E7D8F4"/>
    <w:rsid w:val="F7F2B6D7"/>
    <w:rsid w:val="F7F7ECAE"/>
    <w:rsid w:val="F7FBA695"/>
    <w:rsid w:val="F7FDBB11"/>
    <w:rsid w:val="F7FDCD42"/>
    <w:rsid w:val="F7FE8B7D"/>
    <w:rsid w:val="F9DA988F"/>
    <w:rsid w:val="F9FF63EF"/>
    <w:rsid w:val="FA7F465D"/>
    <w:rsid w:val="FAE86A07"/>
    <w:rsid w:val="FB7EE7B6"/>
    <w:rsid w:val="FB8F51A7"/>
    <w:rsid w:val="FB92D257"/>
    <w:rsid w:val="FB9727D7"/>
    <w:rsid w:val="FB9B9968"/>
    <w:rsid w:val="FBAFEE4F"/>
    <w:rsid w:val="FBE508A6"/>
    <w:rsid w:val="FBED686C"/>
    <w:rsid w:val="FBF2ACF6"/>
    <w:rsid w:val="FBF5FE99"/>
    <w:rsid w:val="FBFF1950"/>
    <w:rsid w:val="FBFF58E8"/>
    <w:rsid w:val="FC54A063"/>
    <w:rsid w:val="FC7E2302"/>
    <w:rsid w:val="FCFD6D21"/>
    <w:rsid w:val="FCFF859C"/>
    <w:rsid w:val="FD151E90"/>
    <w:rsid w:val="FD2CF1C1"/>
    <w:rsid w:val="FD3B0051"/>
    <w:rsid w:val="FD3F7D3F"/>
    <w:rsid w:val="FD6EB229"/>
    <w:rsid w:val="FD7782FD"/>
    <w:rsid w:val="FD7D3F50"/>
    <w:rsid w:val="FDD3BB93"/>
    <w:rsid w:val="FDDD0BF4"/>
    <w:rsid w:val="FDDF408C"/>
    <w:rsid w:val="FDDFC82F"/>
    <w:rsid w:val="FDE72FB0"/>
    <w:rsid w:val="FDE7323A"/>
    <w:rsid w:val="FDF54C61"/>
    <w:rsid w:val="FDF5CBD4"/>
    <w:rsid w:val="FDFF635F"/>
    <w:rsid w:val="FE3DCDE9"/>
    <w:rsid w:val="FE4FFEA4"/>
    <w:rsid w:val="FE51F5F0"/>
    <w:rsid w:val="FE7B82E2"/>
    <w:rsid w:val="FEB34B9E"/>
    <w:rsid w:val="FEDDDB98"/>
    <w:rsid w:val="FEDFB916"/>
    <w:rsid w:val="FEF7EBFF"/>
    <w:rsid w:val="FF1BA745"/>
    <w:rsid w:val="FF1EE190"/>
    <w:rsid w:val="FF36FC4F"/>
    <w:rsid w:val="FF37229E"/>
    <w:rsid w:val="FF387BFC"/>
    <w:rsid w:val="FF3F757A"/>
    <w:rsid w:val="FF5B928E"/>
    <w:rsid w:val="FF6B7CE2"/>
    <w:rsid w:val="FF7671DF"/>
    <w:rsid w:val="FF774E79"/>
    <w:rsid w:val="FF77FDF1"/>
    <w:rsid w:val="FF7DA43A"/>
    <w:rsid w:val="FF7F4259"/>
    <w:rsid w:val="FF7F571F"/>
    <w:rsid w:val="FF8A89B7"/>
    <w:rsid w:val="FF8B76BB"/>
    <w:rsid w:val="FFB9E19C"/>
    <w:rsid w:val="FFBEF986"/>
    <w:rsid w:val="FFBF0E40"/>
    <w:rsid w:val="FFBF9EA1"/>
    <w:rsid w:val="FFBFA42A"/>
    <w:rsid w:val="FFC50923"/>
    <w:rsid w:val="FFCBCCB6"/>
    <w:rsid w:val="FFCF0C9C"/>
    <w:rsid w:val="FFCF87D9"/>
    <w:rsid w:val="FFD77C78"/>
    <w:rsid w:val="FFDD36A2"/>
    <w:rsid w:val="FFE40BA2"/>
    <w:rsid w:val="FFE7D3F6"/>
    <w:rsid w:val="FFEDB6EA"/>
    <w:rsid w:val="FFF5405E"/>
    <w:rsid w:val="FFF7B4B9"/>
    <w:rsid w:val="FFFB6AAA"/>
    <w:rsid w:val="FFFDE743"/>
    <w:rsid w:val="FFFF0A86"/>
    <w:rsid w:val="FFFFA1B1"/>
    <w:rsid w:val="FFFFB763"/>
    <w:rsid w:val="FFFFEF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semiHidden="0" w:name="heading 3"/>
    <w:lsdException w:qFormat="1" w:uiPriority="9" w:semiHidden="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spacing w:line="560" w:lineRule="exact"/>
      <w:ind w:firstLine="640" w:firstLineChars="200"/>
      <w:outlineLvl w:val="0"/>
    </w:pPr>
    <w:rPr>
      <w:rFonts w:ascii="黑体" w:hAnsi="黑体" w:eastAsia="黑体" w:cs="黑体"/>
      <w:sz w:val="32"/>
      <w:szCs w:val="32"/>
    </w:rPr>
  </w:style>
  <w:style w:type="paragraph" w:styleId="3">
    <w:name w:val="heading 2"/>
    <w:basedOn w:val="1"/>
    <w:next w:val="1"/>
    <w:autoRedefine/>
    <w:qFormat/>
    <w:uiPriority w:val="0"/>
    <w:pPr>
      <w:spacing w:line="560" w:lineRule="exact"/>
      <w:ind w:firstLine="640" w:firstLineChars="200"/>
      <w:outlineLvl w:val="1"/>
    </w:pPr>
    <w:rPr>
      <w:rFonts w:ascii="楷体_GB2312" w:hAnsi="楷体_GB2312" w:eastAsia="楷体_GB2312" w:cs="楷体_GB2312"/>
      <w:sz w:val="32"/>
      <w:szCs w:val="32"/>
    </w:rPr>
  </w:style>
  <w:style w:type="paragraph" w:styleId="4">
    <w:name w:val="heading 3"/>
    <w:basedOn w:val="1"/>
    <w:next w:val="1"/>
    <w:link w:val="25"/>
    <w:autoRedefine/>
    <w:unhideWhenUsed/>
    <w:qFormat/>
    <w:uiPriority w:val="0"/>
    <w:pPr>
      <w:spacing w:line="560" w:lineRule="exact"/>
      <w:ind w:firstLine="643" w:firstLineChars="200"/>
      <w:outlineLvl w:val="2"/>
    </w:pPr>
    <w:rPr>
      <w:rFonts w:ascii="仿宋_GB2312" w:hAnsi="仿宋_GB2312" w:eastAsia="仿宋_GB2312" w:cs="仿宋_GB2312"/>
      <w:b/>
      <w:bCs/>
      <w:sz w:val="32"/>
      <w:szCs w:val="32"/>
    </w:rPr>
  </w:style>
  <w:style w:type="paragraph" w:styleId="5">
    <w:name w:val="heading 4"/>
    <w:basedOn w:val="1"/>
    <w:next w:val="1"/>
    <w:autoRedefine/>
    <w:unhideWhenUsed/>
    <w:qFormat/>
    <w:uiPriority w:val="9"/>
    <w:pPr>
      <w:spacing w:line="560" w:lineRule="exact"/>
      <w:ind w:firstLine="640" w:firstLineChars="200"/>
      <w:outlineLvl w:val="3"/>
    </w:pPr>
    <w:rPr>
      <w:rFonts w:ascii="仿宋_GB2312" w:hAnsi="仿宋_GB2312" w:eastAsia="仿宋_GB2312" w:cs="仿宋_GB2312"/>
      <w:sz w:val="32"/>
      <w:szCs w:val="32"/>
    </w:rPr>
  </w:style>
  <w:style w:type="paragraph" w:styleId="6">
    <w:name w:val="heading 5"/>
    <w:basedOn w:val="1"/>
    <w:next w:val="1"/>
    <w:autoRedefine/>
    <w:unhideWhenUsed/>
    <w:qFormat/>
    <w:uiPriority w:val="9"/>
    <w:pPr>
      <w:keepNext/>
      <w:keepLines/>
      <w:spacing w:line="360" w:lineRule="auto"/>
      <w:ind w:firstLine="480" w:firstLineChars="200"/>
      <w:outlineLvl w:val="4"/>
    </w:pPr>
    <w:rPr>
      <w:rFonts w:ascii="仿宋_GB2312" w:hAnsi="仿宋_GB2312" w:eastAsia="仿宋_GB2312"/>
      <w:sz w:val="32"/>
    </w:rPr>
  </w:style>
  <w:style w:type="character" w:default="1" w:styleId="21">
    <w:name w:val="Default Paragraph Font"/>
    <w:autoRedefine/>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styleId="7">
    <w:name w:val="index 8"/>
    <w:basedOn w:val="1"/>
    <w:next w:val="1"/>
    <w:autoRedefine/>
    <w:unhideWhenUsed/>
    <w:qFormat/>
    <w:uiPriority w:val="99"/>
    <w:pPr>
      <w:ind w:left="1400" w:leftChars="1400"/>
    </w:pPr>
    <w:rPr>
      <w:rFonts w:ascii="Calibri" w:hAnsi="Calibri"/>
    </w:rPr>
  </w:style>
  <w:style w:type="paragraph" w:styleId="8">
    <w:name w:val="Normal Indent"/>
    <w:basedOn w:val="1"/>
    <w:autoRedefine/>
    <w:unhideWhenUsed/>
    <w:qFormat/>
    <w:uiPriority w:val="99"/>
    <w:pPr>
      <w:widowControl w:val="0"/>
      <w:ind w:firstLine="420" w:firstLineChars="200"/>
      <w:jc w:val="both"/>
    </w:pPr>
    <w:rPr>
      <w:rFonts w:ascii="Calibri" w:hAnsi="Calibri" w:eastAsia="宋体" w:cs="Calibri"/>
      <w:kern w:val="2"/>
      <w:sz w:val="21"/>
      <w:szCs w:val="24"/>
      <w:lang w:val="en-US" w:eastAsia="zh-CN" w:bidi="ar-SA"/>
    </w:rPr>
  </w:style>
  <w:style w:type="paragraph" w:styleId="9">
    <w:name w:val="annotation text"/>
    <w:basedOn w:val="1"/>
    <w:autoRedefine/>
    <w:qFormat/>
    <w:uiPriority w:val="0"/>
    <w:pPr>
      <w:jc w:val="left"/>
    </w:pPr>
  </w:style>
  <w:style w:type="paragraph" w:styleId="10">
    <w:name w:val="Body Text"/>
    <w:basedOn w:val="11"/>
    <w:next w:val="1"/>
    <w:autoRedefine/>
    <w:qFormat/>
    <w:uiPriority w:val="0"/>
    <w:pPr>
      <w:spacing w:line="600" w:lineRule="exact"/>
      <w:ind w:firstLine="200"/>
    </w:pPr>
  </w:style>
  <w:style w:type="paragraph" w:customStyle="1" w:styleId="11">
    <w:name w:val="报告正文"/>
    <w:basedOn w:val="1"/>
    <w:autoRedefine/>
    <w:qFormat/>
    <w:uiPriority w:val="0"/>
    <w:pPr>
      <w:spacing w:line="360" w:lineRule="auto"/>
      <w:ind w:firstLine="480" w:firstLineChars="200"/>
    </w:pPr>
    <w:rPr>
      <w:rFonts w:ascii="仿宋_GB2312" w:hAnsi="仿宋_GB2312" w:eastAsia="仿宋_GB2312"/>
      <w:sz w:val="32"/>
      <w:szCs w:val="32"/>
    </w:rPr>
  </w:style>
  <w:style w:type="paragraph" w:styleId="12">
    <w:name w:val="Body Text Indent"/>
    <w:basedOn w:val="1"/>
    <w:autoRedefine/>
    <w:unhideWhenUsed/>
    <w:qFormat/>
    <w:uiPriority w:val="99"/>
    <w:pPr>
      <w:spacing w:after="120"/>
      <w:ind w:left="420" w:leftChars="200"/>
    </w:pPr>
  </w:style>
  <w:style w:type="paragraph" w:styleId="13">
    <w:name w:val="Plain Text"/>
    <w:basedOn w:val="1"/>
    <w:next w:val="7"/>
    <w:autoRedefine/>
    <w:semiHidden/>
    <w:unhideWhenUsed/>
    <w:qFormat/>
    <w:uiPriority w:val="99"/>
    <w:rPr>
      <w:rFonts w:ascii="宋体" w:hAnsi="Courier New"/>
    </w:rPr>
  </w:style>
  <w:style w:type="paragraph" w:styleId="14">
    <w:name w:val="footer"/>
    <w:basedOn w:val="1"/>
    <w:autoRedefine/>
    <w:unhideWhenUsed/>
    <w:qFormat/>
    <w:uiPriority w:val="99"/>
    <w:pPr>
      <w:tabs>
        <w:tab w:val="center" w:pos="4153"/>
        <w:tab w:val="right" w:pos="8306"/>
      </w:tabs>
      <w:snapToGrid w:val="0"/>
      <w:jc w:val="left"/>
    </w:pPr>
    <w:rPr>
      <w:rFonts w:ascii="等线" w:hAnsi="等线" w:eastAsia="等线"/>
      <w:kern w:val="0"/>
      <w:sz w:val="18"/>
      <w:szCs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Title"/>
    <w:basedOn w:val="1"/>
    <w:next w:val="1"/>
    <w:autoRedefine/>
    <w:qFormat/>
    <w:uiPriority w:val="0"/>
    <w:pPr>
      <w:widowControl/>
      <w:spacing w:before="240" w:after="60"/>
      <w:jc w:val="center"/>
      <w:outlineLvl w:val="0"/>
    </w:pPr>
    <w:rPr>
      <w:rFonts w:ascii="Cambria" w:hAnsi="Cambria"/>
      <w:b/>
      <w:bCs/>
      <w:sz w:val="32"/>
      <w:szCs w:val="32"/>
    </w:rPr>
  </w:style>
  <w:style w:type="paragraph" w:styleId="17">
    <w:name w:val="Body Text First Indent"/>
    <w:basedOn w:val="10"/>
    <w:next w:val="1"/>
    <w:autoRedefine/>
    <w:unhideWhenUsed/>
    <w:qFormat/>
    <w:uiPriority w:val="99"/>
    <w:pPr>
      <w:spacing w:after="120" w:line="360" w:lineRule="auto"/>
      <w:ind w:firstLine="420" w:firstLineChars="100"/>
    </w:pPr>
    <w:rPr>
      <w:rFonts w:cs="仿宋_GB2312"/>
      <w:lang w:val="zh-CN" w:bidi="zh-CN"/>
    </w:rPr>
  </w:style>
  <w:style w:type="paragraph" w:styleId="18">
    <w:name w:val="Body Text First Indent 2"/>
    <w:basedOn w:val="12"/>
    <w:next w:val="1"/>
    <w:autoRedefine/>
    <w:unhideWhenUsed/>
    <w:qFormat/>
    <w:uiPriority w:val="99"/>
    <w:pPr>
      <w:spacing w:after="0"/>
      <w:ind w:firstLine="420" w:firstLineChars="200"/>
    </w:pPr>
    <w:rPr>
      <w:sz w:val="30"/>
    </w:rPr>
  </w:style>
  <w:style w:type="table" w:styleId="20">
    <w:name w:val="Table Grid"/>
    <w:basedOn w:val="1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autoRedefine/>
    <w:qFormat/>
    <w:uiPriority w:val="0"/>
  </w:style>
  <w:style w:type="character" w:styleId="23">
    <w:name w:val="annotation reference"/>
    <w:basedOn w:val="21"/>
    <w:autoRedefine/>
    <w:qFormat/>
    <w:uiPriority w:val="0"/>
    <w:rPr>
      <w:sz w:val="21"/>
      <w:szCs w:val="21"/>
    </w:rPr>
  </w:style>
  <w:style w:type="paragraph" w:customStyle="1" w:styleId="24">
    <w:name w:val="toc 11"/>
    <w:next w:val="1"/>
    <w:autoRedefine/>
    <w:qFormat/>
    <w:uiPriority w:val="0"/>
    <w:pPr>
      <w:widowControl/>
      <w:wordWrap w:val="0"/>
      <w:autoSpaceDE/>
      <w:autoSpaceDN/>
      <w:spacing w:before="0" w:after="0" w:line="240" w:lineRule="auto"/>
      <w:ind w:left="0" w:firstLine="0"/>
      <w:jc w:val="both"/>
    </w:pPr>
    <w:rPr>
      <w:rFonts w:ascii="Times New Roman" w:hAnsi="Times New Roman" w:eastAsia="宋体" w:cs="Times New Roman"/>
      <w:sz w:val="21"/>
      <w:szCs w:val="22"/>
    </w:rPr>
  </w:style>
  <w:style w:type="character" w:customStyle="1" w:styleId="25">
    <w:name w:val="标题 3 字符"/>
    <w:basedOn w:val="21"/>
    <w:link w:val="4"/>
    <w:autoRedefine/>
    <w:qFormat/>
    <w:uiPriority w:val="0"/>
    <w:rPr>
      <w:rFonts w:ascii="仿宋_GB2312" w:hAnsi="仿宋_GB2312" w:eastAsia="仿宋_GB2312" w:cs="仿宋_GB2312"/>
      <w:b/>
      <w:bCs/>
      <w:kern w:val="2"/>
      <w:sz w:val="32"/>
      <w:szCs w:val="32"/>
    </w:rPr>
  </w:style>
  <w:style w:type="paragraph" w:customStyle="1" w:styleId="26">
    <w:name w:val="表名"/>
    <w:basedOn w:val="11"/>
    <w:autoRedefine/>
    <w:qFormat/>
    <w:uiPriority w:val="0"/>
    <w:pPr>
      <w:spacing w:line="240" w:lineRule="auto"/>
      <w:ind w:firstLine="0" w:firstLineChars="0"/>
      <w:jc w:val="center"/>
    </w:pPr>
    <w:rPr>
      <w:rFonts w:ascii="黑体" w:hAnsi="黑体" w:eastAsia="黑体"/>
      <w:sz w:val="28"/>
    </w:rPr>
  </w:style>
  <w:style w:type="paragraph" w:customStyle="1" w:styleId="27">
    <w:name w:val="CM31"/>
    <w:basedOn w:val="28"/>
    <w:next w:val="28"/>
    <w:autoRedefine/>
    <w:unhideWhenUsed/>
    <w:qFormat/>
    <w:uiPriority w:val="99"/>
    <w:rPr>
      <w:rFonts w:hint="default"/>
    </w:rPr>
  </w:style>
  <w:style w:type="paragraph" w:customStyle="1" w:styleId="28">
    <w:name w:val="Default"/>
    <w:autoRedefine/>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paragraph" w:customStyle="1" w:styleId="29">
    <w:name w:val="CM28"/>
    <w:basedOn w:val="28"/>
    <w:next w:val="28"/>
    <w:autoRedefine/>
    <w:unhideWhenUsed/>
    <w:qFormat/>
    <w:uiPriority w:val="99"/>
    <w:rPr>
      <w:rFonts w:hint="default"/>
    </w:rPr>
  </w:style>
  <w:style w:type="paragraph" w:customStyle="1" w:styleId="30">
    <w:name w:val="表格文字"/>
    <w:basedOn w:val="26"/>
    <w:autoRedefine/>
    <w:qFormat/>
    <w:uiPriority w:val="0"/>
    <w:rPr>
      <w:rFonts w:ascii="仿宋_GB2312" w:hAnsi="仿宋_GB2312" w:eastAsia="仿宋_GB2312"/>
      <w:sz w:val="24"/>
    </w:rPr>
  </w:style>
  <w:style w:type="paragraph" w:customStyle="1" w:styleId="31">
    <w:name w:val="cont"/>
    <w:autoRedefine/>
    <w:qFormat/>
    <w:uiPriority w:val="0"/>
    <w:pPr>
      <w:widowControl w:val="0"/>
      <w:spacing w:line="360" w:lineRule="auto"/>
      <w:ind w:firstLine="200" w:firstLineChars="200"/>
      <w:jc w:val="both"/>
    </w:pPr>
    <w:rPr>
      <w:rFonts w:ascii="Calibri" w:hAnsi="Calibri" w:eastAsia="仿宋_GB2312" w:cs="Times New Roman"/>
      <w:kern w:val="2"/>
      <w:sz w:val="32"/>
      <w:szCs w:val="24"/>
      <w:lang w:val="en-US" w:eastAsia="zh-CN" w:bidi="ar-SA"/>
    </w:rPr>
  </w:style>
  <w:style w:type="paragraph" w:customStyle="1" w:styleId="32">
    <w:name w:val="Revision"/>
    <w:autoRedefine/>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11763</Words>
  <Characters>12622</Characters>
  <Lines>74</Lines>
  <Paragraphs>21</Paragraphs>
  <TotalTime>1</TotalTime>
  <ScaleCrop>false</ScaleCrop>
  <LinksUpToDate>false</LinksUpToDate>
  <CharactersWithSpaces>12916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2022-01-10T18:29:00Z</dcterms:created>
  <dc:creator>86151</dc:creator>
  <cp:lastModifiedBy>樊素华-13510917339</cp:lastModifiedBy>
  <dcterms:modified xsi:type="dcterms:W3CDTF">2025-01-09T01:28:41Z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E60115CA27B94CC69A05B3D65B4E5062_13</vt:lpwstr>
  </property>
</Properties>
</file>