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E22D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 w14:paraId="545C585F">
      <w:pPr>
        <w:spacing w:after="156" w:afterLines="50" w:line="420" w:lineRule="exact"/>
        <w:ind w:firstLine="3253" w:firstLineChars="9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履约评价报告书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42"/>
        <w:gridCol w:w="2119"/>
        <w:gridCol w:w="1221"/>
        <w:gridCol w:w="1440"/>
        <w:gridCol w:w="1080"/>
        <w:gridCol w:w="2520"/>
      </w:tblGrid>
      <w:tr w14:paraId="0E82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46A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评价部门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DB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EFE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评价日期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A7748A">
            <w:pPr>
              <w:rPr>
                <w:rFonts w:ascii="宋体" w:hAnsi="宋体"/>
                <w:szCs w:val="21"/>
              </w:rPr>
            </w:pPr>
          </w:p>
        </w:tc>
      </w:tr>
      <w:tr w14:paraId="4F2D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7B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被评价单位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F3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D9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CAC0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□货物   □服务  </w:t>
            </w:r>
          </w:p>
        </w:tc>
      </w:tr>
      <w:tr w14:paraId="5E5D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0B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A96764">
            <w:pPr>
              <w:rPr>
                <w:rFonts w:ascii="宋体" w:hAnsi="宋体"/>
                <w:szCs w:val="21"/>
              </w:rPr>
            </w:pPr>
          </w:p>
        </w:tc>
      </w:tr>
      <w:tr w14:paraId="1110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E8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合同号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2B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8B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9ACF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 w14:paraId="5C19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10BAD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履约评价分项内容及得分情况</w:t>
            </w:r>
          </w:p>
        </w:tc>
      </w:tr>
      <w:tr w14:paraId="5D0D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0A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71D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项  内  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CCE4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  分</w:t>
            </w:r>
          </w:p>
        </w:tc>
      </w:tr>
      <w:tr w14:paraId="62BF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8C5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C9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AEEAA5">
            <w:pPr>
              <w:rPr>
                <w:rFonts w:ascii="宋体" w:hAnsi="宋体"/>
                <w:szCs w:val="21"/>
              </w:rPr>
            </w:pPr>
          </w:p>
        </w:tc>
      </w:tr>
      <w:tr w14:paraId="3CB8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CC6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76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5280C0">
            <w:pPr>
              <w:rPr>
                <w:rFonts w:ascii="宋体" w:hAnsi="宋体"/>
                <w:szCs w:val="21"/>
              </w:rPr>
            </w:pPr>
          </w:p>
        </w:tc>
      </w:tr>
      <w:tr w14:paraId="557E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15E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88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93E302">
            <w:pPr>
              <w:rPr>
                <w:rFonts w:ascii="宋体" w:hAnsi="宋体"/>
                <w:szCs w:val="21"/>
              </w:rPr>
            </w:pPr>
          </w:p>
        </w:tc>
      </w:tr>
      <w:tr w14:paraId="2AC3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3F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AA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D15697">
            <w:pPr>
              <w:rPr>
                <w:rFonts w:ascii="宋体" w:hAnsi="宋体"/>
                <w:szCs w:val="21"/>
              </w:rPr>
            </w:pPr>
          </w:p>
        </w:tc>
      </w:tr>
      <w:tr w14:paraId="5719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E61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CC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4323A5">
            <w:pPr>
              <w:rPr>
                <w:rFonts w:ascii="宋体" w:hAnsi="宋体"/>
                <w:szCs w:val="21"/>
              </w:rPr>
            </w:pPr>
          </w:p>
        </w:tc>
      </w:tr>
      <w:tr w14:paraId="09EC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543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31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A684E8">
            <w:pPr>
              <w:rPr>
                <w:rFonts w:ascii="宋体" w:hAnsi="宋体"/>
                <w:szCs w:val="21"/>
              </w:rPr>
            </w:pPr>
          </w:p>
        </w:tc>
      </w:tr>
      <w:tr w14:paraId="3464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1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BA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存在以下情况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E770F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扣分</w:t>
            </w:r>
          </w:p>
        </w:tc>
      </w:tr>
      <w:tr w14:paraId="2A4A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870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8B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合同相对方未按合同约定履行被投诉、检举的，经集团公司纪检监察部门及投资采购部核实投诉、检举情况属实的，不得套用优秀、良好等级。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EB7945">
            <w:pPr>
              <w:rPr>
                <w:rFonts w:ascii="宋体" w:hAnsi="宋体"/>
                <w:szCs w:val="21"/>
              </w:rPr>
            </w:pPr>
          </w:p>
        </w:tc>
      </w:tr>
      <w:tr w14:paraId="1678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9BF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950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合同相对方使用不正当行为影响评价结果的，或存在其他违规、违纪行为的，经集团公司纪检监察部门及投资采购部核实投诉、检举情况属实的，其评价结果将降至不合格等级。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85B7EA">
            <w:pPr>
              <w:rPr>
                <w:rFonts w:ascii="宋体" w:hAnsi="宋体"/>
                <w:szCs w:val="21"/>
              </w:rPr>
            </w:pPr>
          </w:p>
        </w:tc>
      </w:tr>
      <w:tr w14:paraId="1AE9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2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最终得分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6B09D7">
            <w:pPr>
              <w:rPr>
                <w:rFonts w:ascii="宋体" w:hAnsi="宋体"/>
                <w:szCs w:val="21"/>
              </w:rPr>
            </w:pPr>
          </w:p>
        </w:tc>
      </w:tr>
      <w:tr w14:paraId="27E4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21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3B655C">
            <w:pPr>
              <w:rPr>
                <w:rFonts w:hint="eastAsia"/>
              </w:rPr>
            </w:pPr>
            <w:r>
              <w:rPr>
                <w:rFonts w:hint="eastAsia"/>
              </w:rPr>
              <w:t>□ 良好（75≤总分＜90分）   □ 合格（60≤总分＜75分）   □ 不合格（总分＜60分）</w:t>
            </w:r>
          </w:p>
          <w:p w14:paraId="3BB945AA">
            <w:pPr>
              <w:pStyle w:val="5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□ 优秀（100≤总分≤90分）</w:t>
            </w:r>
          </w:p>
        </w:tc>
      </w:tr>
      <w:tr w14:paraId="4AD9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D9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评价小组成员签字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79A2ACE9">
            <w:pPr>
              <w:rPr>
                <w:rFonts w:ascii="宋体" w:hAnsi="宋体"/>
                <w:szCs w:val="21"/>
              </w:rPr>
            </w:pPr>
          </w:p>
        </w:tc>
      </w:tr>
    </w:tbl>
    <w:p w14:paraId="6246AFBE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6752F909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79AB953D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4D981C06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服务类合同履约评价表</w:t>
      </w:r>
    </w:p>
    <w:p w14:paraId="69B9B9C8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27"/>
        <w:gridCol w:w="1132"/>
        <w:gridCol w:w="1036"/>
        <w:gridCol w:w="1228"/>
        <w:gridCol w:w="1223"/>
        <w:gridCol w:w="7"/>
      </w:tblGrid>
      <w:tr w14:paraId="6887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241D153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评价日期</w:t>
            </w:r>
          </w:p>
          <w:p w14:paraId="4427942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2F0216E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2607644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被评价单位：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6C39D34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BB2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67DF92C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主办部门：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327" w:type="dxa"/>
            <w:noWrap w:val="0"/>
            <w:vAlign w:val="top"/>
          </w:tcPr>
          <w:p w14:paraId="0665960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03C199B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评价人：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36D4913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7E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07" w:type="dxa"/>
            <w:noWrap w:val="0"/>
            <w:vAlign w:val="top"/>
          </w:tcPr>
          <w:p w14:paraId="3073276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合同名称</w:t>
            </w:r>
          </w:p>
        </w:tc>
        <w:tc>
          <w:tcPr>
            <w:tcW w:w="3327" w:type="dxa"/>
            <w:noWrap w:val="0"/>
            <w:vAlign w:val="top"/>
          </w:tcPr>
          <w:p w14:paraId="58A33C0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57399EF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合同编号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4961565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861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 w14:paraId="07CA7A12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分项内容</w:t>
            </w:r>
          </w:p>
        </w:tc>
        <w:tc>
          <w:tcPr>
            <w:tcW w:w="3327" w:type="dxa"/>
            <w:noWrap w:val="0"/>
            <w:vAlign w:val="top"/>
          </w:tcPr>
          <w:p w14:paraId="6AE6D648">
            <w:pPr>
              <w:spacing w:line="5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一般情形评价指标</w:t>
            </w:r>
          </w:p>
        </w:tc>
        <w:tc>
          <w:tcPr>
            <w:tcW w:w="1132" w:type="dxa"/>
            <w:noWrap w:val="0"/>
            <w:vAlign w:val="top"/>
          </w:tcPr>
          <w:p w14:paraId="219423C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1036" w:type="dxa"/>
            <w:noWrap w:val="0"/>
            <w:vAlign w:val="top"/>
          </w:tcPr>
          <w:p w14:paraId="67BF562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228" w:type="dxa"/>
            <w:noWrap w:val="0"/>
            <w:vAlign w:val="top"/>
          </w:tcPr>
          <w:p w14:paraId="71C8CFC4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1F962752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2BE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noWrap w:val="0"/>
            <w:vAlign w:val="top"/>
          </w:tcPr>
          <w:p w14:paraId="5884D5E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服务水平</w:t>
            </w:r>
          </w:p>
        </w:tc>
        <w:tc>
          <w:tcPr>
            <w:tcW w:w="3327" w:type="dxa"/>
            <w:noWrap w:val="0"/>
            <w:vAlign w:val="top"/>
          </w:tcPr>
          <w:p w14:paraId="5587AB1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服务方案表达是否清晰，是否存在歧义。</w:t>
            </w:r>
          </w:p>
        </w:tc>
        <w:tc>
          <w:tcPr>
            <w:tcW w:w="1132" w:type="dxa"/>
            <w:noWrap w:val="0"/>
            <w:vAlign w:val="top"/>
          </w:tcPr>
          <w:p w14:paraId="21D68060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36" w:type="dxa"/>
            <w:noWrap w:val="0"/>
            <w:vAlign w:val="top"/>
          </w:tcPr>
          <w:p w14:paraId="248A2A8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A90F7E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top"/>
          </w:tcPr>
          <w:p w14:paraId="23A961F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扣分说明：合同相对方存在评价内容情形的，直接扣除对应分值分数，反之得到对应分值分数。</w:t>
            </w:r>
          </w:p>
        </w:tc>
      </w:tr>
      <w:tr w14:paraId="0AF5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7E9428E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09EF8B4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服务方案能否准确反映公司提出的要求。</w:t>
            </w:r>
          </w:p>
        </w:tc>
        <w:tc>
          <w:tcPr>
            <w:tcW w:w="1132" w:type="dxa"/>
            <w:noWrap w:val="0"/>
            <w:vAlign w:val="top"/>
          </w:tcPr>
          <w:p w14:paraId="52AB6DD9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2B18F61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3401B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7196F35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FE7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34F867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422748A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</w:t>
            </w:r>
            <w:bookmarkStart w:id="0" w:name="_GoBack"/>
            <w:r>
              <w:rPr>
                <w:rFonts w:hint="eastAsia" w:ascii="仿宋_GB2312" w:eastAsia="仿宋_GB2312"/>
                <w:szCs w:val="21"/>
              </w:rPr>
              <w:t>均</w:t>
            </w:r>
            <w:bookmarkEnd w:id="0"/>
            <w:r>
              <w:rPr>
                <w:rFonts w:hint="eastAsia" w:ascii="仿宋_GB2312" w:eastAsia="仿宋_GB2312"/>
                <w:szCs w:val="21"/>
              </w:rPr>
              <w:t>有深入的分析，是否全面涵盖项目内容且有充分理由及法律依据。</w:t>
            </w:r>
          </w:p>
        </w:tc>
        <w:tc>
          <w:tcPr>
            <w:tcW w:w="1132" w:type="dxa"/>
            <w:noWrap w:val="0"/>
            <w:vAlign w:val="top"/>
          </w:tcPr>
          <w:p w14:paraId="64EC70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36" w:type="dxa"/>
            <w:noWrap w:val="0"/>
            <w:vAlign w:val="top"/>
          </w:tcPr>
          <w:p w14:paraId="70481D0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6F6D9C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8CEE02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2DF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65E0DC2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0A96BB1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服务方案是否囊括风险点且具有前瞻性。</w:t>
            </w:r>
          </w:p>
        </w:tc>
        <w:tc>
          <w:tcPr>
            <w:tcW w:w="1132" w:type="dxa"/>
            <w:noWrap w:val="0"/>
            <w:vAlign w:val="top"/>
          </w:tcPr>
          <w:p w14:paraId="21F0CE04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16FDFB6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45F477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BC5C54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CD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11E2B5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3570632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出具服务方案是否存在延误情形</w:t>
            </w:r>
          </w:p>
        </w:tc>
        <w:tc>
          <w:tcPr>
            <w:tcW w:w="1132" w:type="dxa"/>
            <w:noWrap w:val="0"/>
            <w:vAlign w:val="top"/>
          </w:tcPr>
          <w:p w14:paraId="7C6FB035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5B8AEBA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7D596D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8DC4E4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96B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5FC4C2F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7BE800B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（存在其中一项即扣除26分）</w:t>
            </w:r>
            <w:r>
              <w:rPr>
                <w:rFonts w:eastAsia="仿宋_GB2312" w:cs="Calibri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服务方案反复修改次数超过3次才能完成；</w:t>
            </w:r>
            <w:r>
              <w:rPr>
                <w:rFonts w:eastAsia="仿宋_GB2312" w:cs="Calibri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t>多次反复沟通协调后出具的服务方案仍未能完全满足项目要求的</w:t>
            </w:r>
            <w:r>
              <w:rPr>
                <w:rFonts w:hint="eastAsia" w:eastAsia="仿宋_GB2312" w:cs="Calibri"/>
                <w:szCs w:val="21"/>
              </w:rPr>
              <w:t>；</w:t>
            </w:r>
            <w:r>
              <w:rPr>
                <w:rFonts w:eastAsia="Gulim" w:cs="Calibri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t>未推荐或未提供保障公司最大利益的方案；</w:t>
            </w:r>
            <w:r>
              <w:rPr>
                <w:rFonts w:eastAsia="Gulim" w:cs="Calibri"/>
                <w:szCs w:val="21"/>
              </w:rPr>
              <w:t>④</w:t>
            </w:r>
            <w:r>
              <w:rPr>
                <w:rFonts w:hint="eastAsia" w:ascii="仿宋_GB2312" w:eastAsia="仿宋_GB2312"/>
                <w:szCs w:val="21"/>
              </w:rPr>
              <w:t>存在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其他不</w:t>
            </w:r>
            <w:r>
              <w:rPr>
                <w:rFonts w:hint="eastAsia" w:ascii="仿宋_GB2312" w:eastAsia="仿宋_GB2312"/>
                <w:szCs w:val="21"/>
              </w:rPr>
              <w:t>符合合同要求未及时整改的，但未造成不良影响的。</w:t>
            </w:r>
          </w:p>
        </w:tc>
        <w:tc>
          <w:tcPr>
            <w:tcW w:w="1132" w:type="dxa"/>
            <w:noWrap w:val="0"/>
            <w:vAlign w:val="top"/>
          </w:tcPr>
          <w:p w14:paraId="0BA27F3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28A38B4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8684B9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7D7BDD8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202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7" w:type="dxa"/>
            <w:vMerge w:val="restart"/>
            <w:noWrap w:val="0"/>
            <w:vAlign w:val="top"/>
          </w:tcPr>
          <w:p w14:paraId="41F082C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响应程度及服务态度</w:t>
            </w:r>
          </w:p>
        </w:tc>
        <w:tc>
          <w:tcPr>
            <w:tcW w:w="3327" w:type="dxa"/>
            <w:noWrap w:val="0"/>
            <w:vAlign w:val="top"/>
          </w:tcPr>
          <w:p w14:paraId="6E0A8F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响应程度差，积极性不强，经多次催促才配合项目进程。</w:t>
            </w:r>
          </w:p>
        </w:tc>
        <w:tc>
          <w:tcPr>
            <w:tcW w:w="1132" w:type="dxa"/>
            <w:noWrap w:val="0"/>
            <w:vAlign w:val="top"/>
          </w:tcPr>
          <w:p w14:paraId="004FC47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4707975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9B0C2B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BE71AB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891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7" w:type="dxa"/>
            <w:vMerge w:val="continue"/>
            <w:noWrap w:val="0"/>
            <w:vAlign w:val="top"/>
          </w:tcPr>
          <w:p w14:paraId="77D0470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53268E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服务团队是否稳定，是否经常变更。</w:t>
            </w:r>
          </w:p>
        </w:tc>
        <w:tc>
          <w:tcPr>
            <w:tcW w:w="1132" w:type="dxa"/>
            <w:noWrap w:val="0"/>
            <w:vAlign w:val="top"/>
          </w:tcPr>
          <w:p w14:paraId="64C88198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571F47C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C5752F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F9E97A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18D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0FA6D86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6A3ABC4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服务团队人员资质是否符合项目要求。 </w:t>
            </w:r>
          </w:p>
        </w:tc>
        <w:tc>
          <w:tcPr>
            <w:tcW w:w="1132" w:type="dxa"/>
            <w:noWrap w:val="0"/>
            <w:vAlign w:val="top"/>
          </w:tcPr>
          <w:p w14:paraId="7F066CEC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5C9E7C0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A84DDF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4A26A9A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44B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3F2D1DD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7CFCBA6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服务团队人员不符合项目要求时，是否及时更换符合项目要求的其他人员。</w:t>
            </w:r>
          </w:p>
        </w:tc>
        <w:tc>
          <w:tcPr>
            <w:tcW w:w="1132" w:type="dxa"/>
            <w:noWrap w:val="0"/>
            <w:vAlign w:val="top"/>
          </w:tcPr>
          <w:p w14:paraId="449E2B7F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49374B5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94779D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4B05FAD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22A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44A7E9F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132" w:type="dxa"/>
            <w:noWrap w:val="0"/>
            <w:vAlign w:val="top"/>
          </w:tcPr>
          <w:p w14:paraId="3BFBEAE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036" w:type="dxa"/>
            <w:noWrap w:val="0"/>
            <w:vAlign w:val="top"/>
          </w:tcPr>
          <w:p w14:paraId="545C419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BC5BE9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 w14:paraId="53003D9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C4E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34B40FC2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不合格情形评价指标</w:t>
            </w:r>
          </w:p>
          <w:p w14:paraId="02F94BF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（出现以下任一情形应当扣除41分，同时不再对一般情形评价指标进行评价。出现以下两项及以上即扣除100分）</w:t>
            </w:r>
          </w:p>
        </w:tc>
        <w:tc>
          <w:tcPr>
            <w:tcW w:w="1132" w:type="dxa"/>
            <w:noWrap w:val="0"/>
            <w:vAlign w:val="top"/>
          </w:tcPr>
          <w:p w14:paraId="5CB518C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036" w:type="dxa"/>
            <w:noWrap w:val="0"/>
            <w:vAlign w:val="top"/>
          </w:tcPr>
          <w:p w14:paraId="1683B0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请在需要扣分栏目打</w:t>
            </w:r>
            <w:r>
              <w:rPr>
                <w:rFonts w:ascii="Arial" w:hAnsi="Arial" w:eastAsia="仿宋_GB2312" w:cs="Arial"/>
                <w:szCs w:val="21"/>
              </w:rPr>
              <w:t>√</w:t>
            </w:r>
          </w:p>
        </w:tc>
        <w:tc>
          <w:tcPr>
            <w:tcW w:w="1228" w:type="dxa"/>
            <w:noWrap w:val="0"/>
            <w:vAlign w:val="top"/>
          </w:tcPr>
          <w:p w14:paraId="7DD5D43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38253B1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备注</w:t>
            </w:r>
          </w:p>
        </w:tc>
      </w:tr>
      <w:tr w14:paraId="5608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99" w:hRule="atLeast"/>
        </w:trPr>
        <w:tc>
          <w:tcPr>
            <w:tcW w:w="4434" w:type="dxa"/>
            <w:gridSpan w:val="2"/>
            <w:noWrap w:val="0"/>
            <w:vAlign w:val="top"/>
          </w:tcPr>
          <w:p w14:paraId="690A7B4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服务方案依据的法律条文适用错误（本款适用法律、审计、评估、税务等需要引用法律条文的服务方案）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 w14:paraId="5B55896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75F0A19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1015D65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restart"/>
            <w:noWrap w:val="0"/>
            <w:vAlign w:val="top"/>
          </w:tcPr>
          <w:p w14:paraId="75DCFA1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D4D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19E8D04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服务团队人数未达到合同约定人数。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3C99CC7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65ADF3E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1B4A6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1DC679C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CEE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190E501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未按合同约定配合参加工作超过3次。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0197D95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1B1D87E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5D18C7D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20BC01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0E0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38DB602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服务方案反复修改6次或以上仍出现错漏。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5637630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2B24309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62E59FD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D4E4BF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03B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5AF1B39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未能按照约定期限出具服务方案。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301BF1C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612516A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4D0849C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6E56677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BFD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41AC608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未经公司同意，泄露服务过程中获得公司信息、资料。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5284DEE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723834E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CA9126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226D516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E98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0" w:hRule="atLeast"/>
        </w:trPr>
        <w:tc>
          <w:tcPr>
            <w:tcW w:w="4434" w:type="dxa"/>
            <w:gridSpan w:val="2"/>
            <w:noWrap w:val="0"/>
            <w:vAlign w:val="top"/>
          </w:tcPr>
          <w:p w14:paraId="5EDCEAE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弄虚作假，串通损害公司利益或存在欺骗等不诚信行为；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291C934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1E2C0C4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0D73D27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720FBF4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571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04DA41A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在合同履行中受到政府有关部门严重行政处罚的；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3489257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29F700A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BBD3A3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6131EC8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163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9" w:hRule="atLeast"/>
        </w:trPr>
        <w:tc>
          <w:tcPr>
            <w:tcW w:w="4434" w:type="dxa"/>
            <w:gridSpan w:val="2"/>
            <w:noWrap w:val="0"/>
            <w:vAlign w:val="top"/>
          </w:tcPr>
          <w:p w14:paraId="7FF74D6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Cs w:val="21"/>
              </w:rPr>
              <w:t>违反合同约定或违反法律法规、职业道德行为。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4C6CF89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026806D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3C25FB1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7BF4901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2F6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1307A7A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总分100分</w:t>
            </w:r>
          </w:p>
        </w:tc>
        <w:tc>
          <w:tcPr>
            <w:tcW w:w="1132" w:type="dxa"/>
            <w:noWrap w:val="0"/>
            <w:vAlign w:val="top"/>
          </w:tcPr>
          <w:p w14:paraId="710ED5F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6AF5988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 w14:paraId="019EC93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61D0040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783B8ECD">
      <w:pPr>
        <w:pStyle w:val="5"/>
        <w:rPr>
          <w:rFonts w:hint="eastAsia" w:ascii="仿宋_GB2312" w:eastAsia="仿宋_GB2312"/>
          <w:color w:val="auto"/>
          <w:sz w:val="32"/>
          <w:szCs w:val="32"/>
        </w:rPr>
      </w:pPr>
    </w:p>
    <w:p w14:paraId="10716A0B">
      <w:pPr>
        <w:pStyle w:val="5"/>
        <w:rPr>
          <w:rFonts w:hint="eastAsia" w:ascii="仿宋_GB2312" w:eastAsia="仿宋_GB2312"/>
          <w:color w:val="auto"/>
          <w:sz w:val="32"/>
          <w:szCs w:val="32"/>
        </w:rPr>
      </w:pPr>
    </w:p>
    <w:p w14:paraId="76C18C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32B8"/>
    <w:rsid w:val="5D4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1023</Characters>
  <Lines>0</Lines>
  <Paragraphs>0</Paragraphs>
  <TotalTime>0</TotalTime>
  <ScaleCrop>false</ScaleCrop>
  <LinksUpToDate>false</LinksUpToDate>
  <CharactersWithSpaces>1086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2024-12-03T02:38:00Z</dcterms:created>
  <dc:creator>张健</dc:creator>
  <cp:lastModifiedBy>$</cp:lastModifiedBy>
  <dcterms:modified xsi:type="dcterms:W3CDTF">2024-12-05T09:04:57Z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6B6BAAAD1EC346229891A8ADE1D6FB1F_12</vt:lpwstr>
  </property>
</Properties>
</file>