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86FF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eastAsia" w:eastAsia="PingFang SC Regular"/>
          <w:b/>
          <w:bCs/>
          <w:sz w:val="36"/>
          <w:szCs w:val="36"/>
          <w:u w:color="000000"/>
          <w:lang w:val="zh-CN" w:eastAsia="zh-CN"/>
        </w:rPr>
      </w:pPr>
      <w:r>
        <w:rPr>
          <w:rFonts w:hint="eastAsia" w:eastAsia="宋体"/>
          <w:b/>
          <w:bCs/>
          <w:sz w:val="36"/>
          <w:szCs w:val="36"/>
          <w:u w:color="000000"/>
          <w:lang w:val="en-US" w:eastAsia="zh-CN"/>
        </w:rPr>
        <w:t>智慧家园项目4台扶梯维修有关事项采购</w:t>
      </w:r>
      <w:r>
        <w:rPr>
          <w:rFonts w:hint="eastAsia" w:eastAsia="PingFang SC Regular"/>
          <w:b/>
          <w:bCs/>
          <w:sz w:val="36"/>
          <w:szCs w:val="36"/>
          <w:u w:color="000000"/>
          <w:lang w:val="zh-CN" w:eastAsia="zh-CN"/>
        </w:rPr>
        <w:t>项目</w:t>
      </w:r>
    </w:p>
    <w:p w14:paraId="102DE771">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eastAsia="PingFang SC Regular"/>
          <w:kern w:val="2"/>
          <w:sz w:val="36"/>
          <w:szCs w:val="36"/>
          <w:u w:color="000000"/>
        </w:rPr>
      </w:pPr>
      <w:r>
        <w:rPr>
          <w:rFonts w:eastAsia="PingFang SC Regular"/>
          <w:kern w:val="2"/>
          <w:sz w:val="36"/>
          <w:szCs w:val="36"/>
          <w:u w:color="000000"/>
        </w:rPr>
        <w:t>综合评分表</w:t>
      </w:r>
    </w:p>
    <w:p w14:paraId="3B31BB1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default" w:eastAsia="PingFang SC Regular"/>
          <w:kern w:val="2"/>
          <w:sz w:val="36"/>
          <w:szCs w:val="36"/>
          <w:u w:color="000000"/>
        </w:rPr>
      </w:pPr>
    </w:p>
    <w:tbl>
      <w:tblPr>
        <w:tblStyle w:val="5"/>
        <w:tblW w:w="996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0" w:type="dxa"/>
          <w:bottom w:w="0" w:type="dxa"/>
          <w:right w:w="0" w:type="dxa"/>
        </w:tblCellMar>
      </w:tblPr>
      <w:tblGrid>
        <w:gridCol w:w="556"/>
        <w:gridCol w:w="795"/>
        <w:gridCol w:w="3931"/>
        <w:gridCol w:w="1535"/>
        <w:gridCol w:w="515"/>
        <w:gridCol w:w="840"/>
        <w:gridCol w:w="867"/>
        <w:gridCol w:w="922"/>
      </w:tblGrid>
      <w:tr w14:paraId="6ECF21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0" w:type="dxa"/>
            <w:bottom w:w="0" w:type="dxa"/>
            <w:right w:w="0" w:type="dxa"/>
          </w:tblCellMar>
        </w:tblPrEx>
        <w:trPr>
          <w:trHeight w:val="568" w:hRule="atLeast"/>
          <w:tblHeader/>
          <w:jc w:val="center"/>
        </w:trPr>
        <w:tc>
          <w:tcPr>
            <w:tcW w:w="556" w:type="dxa"/>
            <w:tcBorders>
              <w:top w:val="single" w:color="000000" w:sz="12" w:space="0"/>
              <w:left w:val="single" w:color="000000" w:sz="12"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62C0E981">
            <w:pPr>
              <w:tabs>
                <w:tab w:val="left" w:pos="420"/>
              </w:tabs>
              <w:spacing w:before="0" w:line="20" w:lineRule="atLeast"/>
              <w:jc w:val="center"/>
              <w:rPr>
                <w:rFonts w:hint="default"/>
              </w:rPr>
            </w:pPr>
            <w:r>
              <w:rPr>
                <w:rFonts w:ascii="宋体" w:hAnsi="宋体" w:eastAsia="宋体" w:cs="宋体"/>
                <w:b/>
                <w:bCs/>
                <w:kern w:val="2"/>
                <w:sz w:val="21"/>
                <w:szCs w:val="21"/>
                <w:u w:color="000000"/>
              </w:rPr>
              <w:t>序号</w:t>
            </w:r>
          </w:p>
        </w:tc>
        <w:tc>
          <w:tcPr>
            <w:tcW w:w="795"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69969354">
            <w:pPr>
              <w:tabs>
                <w:tab w:val="left" w:pos="420"/>
              </w:tabs>
              <w:spacing w:before="0" w:line="20" w:lineRule="atLeast"/>
              <w:jc w:val="center"/>
              <w:rPr>
                <w:rFonts w:hint="default" w:ascii="宋体" w:hAnsi="宋体" w:eastAsia="宋体" w:cs="宋体"/>
                <w:b/>
                <w:bCs/>
                <w:kern w:val="2"/>
                <w:sz w:val="21"/>
                <w:szCs w:val="21"/>
                <w:u w:color="000000"/>
              </w:rPr>
            </w:pPr>
            <w:r>
              <w:rPr>
                <w:rFonts w:ascii="宋体" w:hAnsi="宋体" w:eastAsia="宋体" w:cs="宋体"/>
                <w:b/>
                <w:bCs/>
                <w:kern w:val="2"/>
                <w:sz w:val="21"/>
                <w:szCs w:val="21"/>
                <w:u w:color="000000"/>
              </w:rPr>
              <w:t>评审</w:t>
            </w:r>
          </w:p>
          <w:p w14:paraId="04BBBB35">
            <w:pPr>
              <w:tabs>
                <w:tab w:val="left" w:pos="420"/>
              </w:tabs>
              <w:spacing w:before="0" w:line="20" w:lineRule="atLeast"/>
              <w:jc w:val="center"/>
              <w:rPr>
                <w:rFonts w:hint="default"/>
              </w:rPr>
            </w:pPr>
            <w:r>
              <w:rPr>
                <w:rFonts w:ascii="宋体" w:hAnsi="宋体" w:eastAsia="宋体" w:cs="宋体"/>
                <w:b/>
                <w:bCs/>
                <w:kern w:val="2"/>
                <w:sz w:val="21"/>
                <w:szCs w:val="21"/>
                <w:u w:color="000000"/>
              </w:rPr>
              <w:t>项目</w:t>
            </w:r>
          </w:p>
        </w:tc>
        <w:tc>
          <w:tcPr>
            <w:tcW w:w="3931"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4A9B1C8E">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rPr>
            </w:pPr>
            <w:r>
              <w:rPr>
                <w:rFonts w:ascii="宋体" w:hAnsi="宋体" w:eastAsia="宋体" w:cs="宋体"/>
                <w:b/>
                <w:bCs/>
                <w:kern w:val="2"/>
                <w:sz w:val="21"/>
                <w:szCs w:val="21"/>
                <w:u w:color="000000"/>
              </w:rPr>
              <w:t>评审标准</w:t>
            </w:r>
          </w:p>
        </w:tc>
        <w:tc>
          <w:tcPr>
            <w:tcW w:w="1535"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6120FCD0">
            <w:pPr>
              <w:tabs>
                <w:tab w:val="left" w:pos="420"/>
                <w:tab w:val="left" w:pos="840"/>
                <w:tab w:val="left" w:pos="1260"/>
              </w:tabs>
              <w:spacing w:before="0" w:line="20" w:lineRule="atLeast"/>
              <w:jc w:val="center"/>
              <w:rPr>
                <w:rFonts w:hint="default"/>
              </w:rPr>
            </w:pPr>
            <w:r>
              <w:rPr>
                <w:rFonts w:ascii="宋体" w:hAnsi="宋体" w:eastAsia="宋体" w:cs="宋体"/>
                <w:b/>
                <w:bCs/>
                <w:kern w:val="2"/>
                <w:sz w:val="21"/>
                <w:szCs w:val="21"/>
                <w:u w:color="000000"/>
              </w:rPr>
              <w:t>证明材料</w:t>
            </w:r>
          </w:p>
        </w:tc>
        <w:tc>
          <w:tcPr>
            <w:tcW w:w="515"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6863E467">
            <w:pPr>
              <w:tabs>
                <w:tab w:val="left" w:pos="420"/>
              </w:tabs>
              <w:spacing w:before="0" w:line="20" w:lineRule="atLeast"/>
              <w:jc w:val="center"/>
              <w:rPr>
                <w:rFonts w:hint="default"/>
              </w:rPr>
            </w:pPr>
            <w:r>
              <w:rPr>
                <w:rFonts w:ascii="宋体" w:hAnsi="宋体" w:eastAsia="宋体" w:cs="宋体"/>
                <w:b/>
                <w:bCs/>
                <w:kern w:val="2"/>
                <w:sz w:val="21"/>
                <w:szCs w:val="21"/>
                <w:u w:color="000000"/>
              </w:rPr>
              <w:t>分值</w:t>
            </w:r>
          </w:p>
        </w:tc>
        <w:tc>
          <w:tcPr>
            <w:tcW w:w="840"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122C84C1">
            <w:pPr>
              <w:tabs>
                <w:tab w:val="left" w:pos="420"/>
                <w:tab w:val="left" w:pos="840"/>
              </w:tabs>
              <w:spacing w:before="0" w:line="20" w:lineRule="atLeast"/>
              <w:jc w:val="center"/>
              <w:rPr>
                <w:rFonts w:hint="default"/>
              </w:rPr>
            </w:pPr>
          </w:p>
        </w:tc>
        <w:tc>
          <w:tcPr>
            <w:tcW w:w="867" w:type="dxa"/>
            <w:tcBorders>
              <w:top w:val="single" w:color="000000" w:sz="12" w:space="0"/>
              <w:left w:val="single" w:color="000000" w:sz="4" w:space="0"/>
              <w:bottom w:val="single" w:color="000000" w:sz="4" w:space="0"/>
              <w:right w:val="single" w:color="000000" w:sz="4" w:space="0"/>
            </w:tcBorders>
            <w:shd w:val="clear" w:color="auto" w:fill="DEEAF6"/>
            <w:tcMar>
              <w:top w:w="80" w:type="dxa"/>
              <w:left w:w="80" w:type="dxa"/>
              <w:bottom w:w="80" w:type="dxa"/>
              <w:right w:w="80" w:type="dxa"/>
            </w:tcMar>
            <w:vAlign w:val="center"/>
          </w:tcPr>
          <w:p w14:paraId="4DE9E48E">
            <w:pPr>
              <w:tabs>
                <w:tab w:val="left" w:pos="420"/>
                <w:tab w:val="left" w:pos="840"/>
              </w:tabs>
              <w:spacing w:before="0" w:line="20" w:lineRule="atLeast"/>
              <w:jc w:val="center"/>
              <w:rPr>
                <w:rFonts w:hint="default"/>
              </w:rPr>
            </w:pPr>
          </w:p>
        </w:tc>
        <w:tc>
          <w:tcPr>
            <w:tcW w:w="922" w:type="dxa"/>
            <w:tcBorders>
              <w:top w:val="single" w:color="000000" w:sz="12" w:space="0"/>
              <w:left w:val="single" w:color="000000" w:sz="4" w:space="0"/>
              <w:bottom w:val="single" w:color="000000" w:sz="4" w:space="0"/>
              <w:right w:val="single" w:color="000000" w:sz="12" w:space="0"/>
            </w:tcBorders>
            <w:shd w:val="clear" w:color="auto" w:fill="DEEAF6"/>
            <w:tcMar>
              <w:top w:w="80" w:type="dxa"/>
              <w:left w:w="80" w:type="dxa"/>
              <w:bottom w:w="80" w:type="dxa"/>
              <w:right w:w="80" w:type="dxa"/>
            </w:tcMar>
            <w:vAlign w:val="center"/>
          </w:tcPr>
          <w:p w14:paraId="141C0C84">
            <w:pPr>
              <w:tabs>
                <w:tab w:val="left" w:pos="420"/>
              </w:tabs>
              <w:spacing w:before="0" w:line="20" w:lineRule="atLeast"/>
              <w:jc w:val="center"/>
              <w:rPr>
                <w:rFonts w:hint="default"/>
              </w:rPr>
            </w:pPr>
          </w:p>
        </w:tc>
      </w:tr>
      <w:tr w14:paraId="017513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434"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F9E768D">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61BF9F8">
            <w:pPr>
              <w:widowControl w:val="0"/>
              <w:tabs>
                <w:tab w:val="left" w:pos="420"/>
              </w:tabs>
              <w:spacing w:before="0" w:line="20" w:lineRule="atLeast"/>
              <w:jc w:val="center"/>
              <w:rPr>
                <w:rFonts w:hint="default" w:ascii="宋体" w:hAnsi="宋体" w:eastAsia="宋体" w:cs="宋体"/>
                <w:kern w:val="2"/>
                <w:sz w:val="21"/>
                <w:szCs w:val="21"/>
                <w:u w:color="000000"/>
                <w:lang w:val="en-US"/>
              </w:rPr>
            </w:pPr>
            <w:r>
              <w:rPr>
                <w:rFonts w:ascii="宋体" w:hAnsi="宋体" w:eastAsia="宋体" w:cs="宋体"/>
                <w:kern w:val="2"/>
                <w:sz w:val="21"/>
                <w:szCs w:val="21"/>
                <w:u w:color="000000"/>
                <w:lang w:val="en-US"/>
              </w:rPr>
              <w:t>报价</w:t>
            </w:r>
          </w:p>
          <w:p w14:paraId="41B6ABF6">
            <w:pPr>
              <w:widowControl w:val="0"/>
              <w:tabs>
                <w:tab w:val="left" w:pos="420"/>
              </w:tabs>
              <w:spacing w:before="0" w:line="20" w:lineRule="atLeast"/>
              <w:jc w:val="center"/>
              <w:rPr>
                <w:rFonts w:hint="eastAsia" w:ascii="宋体" w:hAnsi="宋体" w:eastAsia="宋体" w:cs="宋体"/>
                <w:color w:val="000000"/>
                <w:kern w:val="2"/>
                <w:sz w:val="21"/>
                <w:szCs w:val="21"/>
                <w:u w:color="000000"/>
                <w:lang w:val="en-US" w:eastAsia="zh-CN" w:bidi="ar-SA"/>
              </w:rPr>
            </w:pPr>
            <w:r>
              <w:rPr>
                <w:rFonts w:ascii="宋体" w:hAnsi="宋体" w:eastAsia="宋体" w:cs="宋体"/>
                <w:kern w:val="2"/>
                <w:sz w:val="21"/>
                <w:szCs w:val="21"/>
                <w:u w:color="000000"/>
                <w:lang w:val="en-US"/>
              </w:rPr>
              <w:t>得分</w:t>
            </w:r>
          </w:p>
        </w:tc>
        <w:tc>
          <w:tcPr>
            <w:tcW w:w="393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A44CFF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rPr>
            </w:pPr>
            <w:r>
              <w:rPr>
                <w:rFonts w:ascii="宋体" w:hAnsi="宋体" w:eastAsia="宋体" w:cs="宋体"/>
                <w:kern w:val="2"/>
                <w:sz w:val="21"/>
                <w:szCs w:val="21"/>
                <w:u w:color="000000"/>
                <w:lang w:val="en-US"/>
              </w:rPr>
              <w:t>符合要求且最低的响应报价为基准价，其价格分为满分。</w:t>
            </w:r>
          </w:p>
          <w:p w14:paraId="033DC8D8">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000000"/>
                <w:kern w:val="2"/>
                <w:sz w:val="21"/>
                <w:szCs w:val="21"/>
                <w:u w:color="000000"/>
                <w:lang w:val="en-US" w:eastAsia="zh-CN" w:bidi="ar-SA"/>
              </w:rPr>
            </w:pPr>
            <w:r>
              <w:rPr>
                <w:rFonts w:ascii="宋体" w:hAnsi="宋体" w:eastAsia="宋体" w:cs="宋体"/>
                <w:kern w:val="2"/>
                <w:sz w:val="21"/>
                <w:szCs w:val="21"/>
                <w:u w:color="000000"/>
                <w:lang w:val="en-US"/>
              </w:rPr>
              <w:t>其他响应承包商的价格分统一按照报价得分=(基准价/响应报价)×</w:t>
            </w:r>
            <w:r>
              <w:rPr>
                <w:rFonts w:hint="eastAsia" w:ascii="宋体" w:hAnsi="宋体" w:eastAsia="宋体" w:cs="宋体"/>
                <w:kern w:val="2"/>
                <w:sz w:val="21"/>
                <w:szCs w:val="21"/>
                <w:u w:color="000000"/>
                <w:lang w:val="en-US" w:eastAsia="zh-CN"/>
              </w:rPr>
              <w:t>30分</w:t>
            </w:r>
            <w:r>
              <w:rPr>
                <w:rFonts w:ascii="宋体" w:hAnsi="宋体" w:eastAsia="宋体" w:cs="宋体"/>
                <w:kern w:val="2"/>
                <w:sz w:val="21"/>
                <w:szCs w:val="21"/>
                <w:u w:color="000000"/>
                <w:lang w:val="en-US"/>
              </w:rPr>
              <w:t>计算。</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78107AC">
            <w:pPr>
              <w:widowControl w:val="0"/>
              <w:tabs>
                <w:tab w:val="left" w:pos="420"/>
                <w:tab w:val="left" w:pos="840"/>
                <w:tab w:val="left" w:pos="1260"/>
              </w:tabs>
              <w:spacing w:before="0" w:line="20" w:lineRule="atLeast"/>
              <w:jc w:val="center"/>
              <w:rPr>
                <w:rFonts w:hint="eastAsia" w:ascii="Arial Unicode MS" w:hAnsi="Arial Unicode MS" w:eastAsia="Helvetica Neue" w:cs="Arial Unicode MS"/>
                <w:color w:val="000000"/>
                <w:sz w:val="24"/>
                <w:szCs w:val="24"/>
                <w:lang w:val="en-US" w:eastAsia="zh-CN" w:bidi="ar-SA"/>
              </w:rPr>
            </w:pPr>
            <w:r>
              <w:rPr>
                <w:rFonts w:ascii="宋体" w:hAnsi="宋体" w:eastAsia="宋体" w:cs="宋体"/>
                <w:kern w:val="2"/>
                <w:sz w:val="21"/>
                <w:szCs w:val="21"/>
                <w:u w:color="000000"/>
              </w:rPr>
              <w:t>提供响应报价，并加盖公章</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1F2A212">
            <w:pPr>
              <w:widowControl w:val="0"/>
              <w:tabs>
                <w:tab w:val="left" w:pos="420"/>
              </w:tabs>
              <w:spacing w:before="0" w:line="20" w:lineRule="atLeast"/>
              <w:jc w:val="center"/>
              <w:rPr>
                <w:rFonts w:hint="default" w:ascii="Arial Unicode MS" w:hAnsi="Arial Unicode MS" w:eastAsia="Helvetica Neue" w:cs="Arial Unicode MS"/>
                <w:color w:val="000000"/>
                <w:sz w:val="24"/>
                <w:szCs w:val="24"/>
                <w:lang w:val="en-US" w:eastAsia="zh-CN" w:bidi="ar-SA"/>
              </w:rPr>
            </w:pPr>
            <w:r>
              <w:rPr>
                <w:rFonts w:hint="eastAsia" w:ascii="宋体" w:hAnsi="宋体" w:eastAsia="宋体" w:cs="宋体"/>
                <w:kern w:val="2"/>
                <w:sz w:val="21"/>
                <w:szCs w:val="21"/>
                <w:u w:color="000000"/>
                <w:lang w:val="en-US" w:eastAsia="zh-CN"/>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D03AE0E">
            <w:pPr>
              <w:rPr>
                <w:rFonts w:hint="default" w:ascii="Arial Unicode MS" w:hAnsi="Arial Unicode MS" w:eastAsia="Helvetica Neue" w:cs="Arial Unicode MS"/>
                <w:color w:val="000000"/>
                <w:sz w:val="24"/>
                <w:szCs w:val="24"/>
                <w:lang w:val="zh-TW" w:eastAsia="zh-TW" w:bidi="ar-SA"/>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F2E3EA8">
            <w:pPr>
              <w:rPr>
                <w:rFonts w:hint="default" w:ascii="Arial Unicode MS" w:hAnsi="Arial Unicode MS" w:eastAsia="Helvetica Neue" w:cs="Arial Unicode MS"/>
                <w:color w:val="000000"/>
                <w:sz w:val="24"/>
                <w:szCs w:val="24"/>
                <w:lang w:val="zh-TW" w:eastAsia="zh-TW" w:bidi="ar-SA"/>
              </w:rPr>
            </w:pPr>
          </w:p>
        </w:tc>
        <w:tc>
          <w:tcPr>
            <w:tcW w:w="922"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2BE8FB73">
            <w:pPr>
              <w:rPr>
                <w:rFonts w:hint="default" w:ascii="Arial Unicode MS" w:hAnsi="Arial Unicode MS" w:eastAsia="Helvetica Neue" w:cs="Arial Unicode MS"/>
                <w:color w:val="000000"/>
                <w:sz w:val="24"/>
                <w:szCs w:val="24"/>
                <w:lang w:val="zh-TW" w:eastAsia="zh-TW" w:bidi="ar-SA"/>
              </w:rPr>
            </w:pPr>
          </w:p>
        </w:tc>
      </w:tr>
      <w:tr w14:paraId="735908A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27"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5297D4E">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8F3F086">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企业</w:t>
            </w:r>
          </w:p>
          <w:p w14:paraId="20FDD734">
            <w:pPr>
              <w:widowControl w:val="0"/>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资信</w:t>
            </w:r>
          </w:p>
        </w:tc>
        <w:tc>
          <w:tcPr>
            <w:tcW w:w="393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0842AF1">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eastAsia="zh-CN"/>
              </w:rPr>
              <w:t>近</w:t>
            </w:r>
            <w:r>
              <w:rPr>
                <w:rFonts w:hint="eastAsia" w:ascii="宋体" w:hAnsi="宋体" w:eastAsia="宋体" w:cs="宋体"/>
                <w:kern w:val="2"/>
                <w:sz w:val="21"/>
                <w:szCs w:val="21"/>
                <w:u w:color="000000"/>
                <w:lang w:val="en-US" w:eastAsia="zh-CN"/>
              </w:rPr>
              <w:t>2年（自公告日起前两年），企业无行政处罚记录及合同纠纷的得10分，每出现一例行政处罚或合同被告方的，扣2分，直到该项不得分。</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7DF05F12">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提供国家企业信息公示系统或企查查中提供企业信用信息</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87133CE">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A948DE4">
            <w:pPr>
              <w:rPr>
                <w:rFonts w:hint="default"/>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C4FA6FF">
            <w:pPr>
              <w:rPr>
                <w:rFonts w:hint="default"/>
              </w:rPr>
            </w:pPr>
          </w:p>
        </w:tc>
        <w:tc>
          <w:tcPr>
            <w:tcW w:w="922"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6EF62305">
            <w:pPr>
              <w:rPr>
                <w:rFonts w:hint="default"/>
              </w:rPr>
            </w:pPr>
          </w:p>
        </w:tc>
      </w:tr>
      <w:tr w14:paraId="4A4ED3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75"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165D0D3B">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75962B0D">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企业</w:t>
            </w:r>
          </w:p>
          <w:p w14:paraId="3F161506">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资质</w:t>
            </w:r>
          </w:p>
        </w:tc>
        <w:tc>
          <w:tcPr>
            <w:tcW w:w="393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F4DF7D6">
            <w:pPr>
              <w:widowControl w:val="0"/>
              <w:numPr>
                <w:ilvl w:val="0"/>
                <w:numId w:val="0"/>
              </w:numPr>
              <w:tabs>
                <w:tab w:val="left" w:pos="420"/>
                <w:tab w:val="left" w:pos="840"/>
                <w:tab w:val="left" w:pos="1260"/>
              </w:tabs>
              <w:spacing w:before="0" w:line="20" w:lineRule="atLeast"/>
              <w:ind w:left="0" w:leftChars="0" w:firstLine="0" w:firstLineChars="0"/>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响应单位获得质量管理体系认证、环境管理体系认证和职业监控安全管理体系认证的，每有一个认证，得3分，最多得9分；未提供则不得分。</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35F69CA">
            <w:pPr>
              <w:widowControl w:val="0"/>
              <w:tabs>
                <w:tab w:val="left" w:pos="420"/>
                <w:tab w:val="left" w:pos="840"/>
                <w:tab w:val="left" w:pos="126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提供相应证书复印件，并加盖公章</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2E88E8E">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9</w:t>
            </w:r>
          </w:p>
        </w:tc>
        <w:tc>
          <w:tcPr>
            <w:tcW w:w="8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88E3884">
            <w:pPr>
              <w:rPr>
                <w:rFonts w:hint="default"/>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69AFA72D">
            <w:pPr>
              <w:rPr>
                <w:rFonts w:hint="default"/>
              </w:rPr>
            </w:pPr>
          </w:p>
        </w:tc>
        <w:tc>
          <w:tcPr>
            <w:tcW w:w="922"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7D7015D4">
            <w:pPr>
              <w:rPr>
                <w:rFonts w:hint="default"/>
              </w:rPr>
            </w:pPr>
          </w:p>
        </w:tc>
      </w:tr>
      <w:tr w14:paraId="6BA8342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98" w:hRule="atLeast"/>
          <w:jc w:val="center"/>
        </w:trPr>
        <w:tc>
          <w:tcPr>
            <w:tcW w:w="556" w:type="dxa"/>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3A98E7A">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4</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249E05C7">
            <w:pPr>
              <w:widowControl w:val="0"/>
              <w:tabs>
                <w:tab w:val="left" w:pos="42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业绩</w:t>
            </w:r>
          </w:p>
        </w:tc>
        <w:tc>
          <w:tcPr>
            <w:tcW w:w="393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2CC25F0">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近2年（自公告日起前两年），企业提供扶梯梯级链轮或梯级轮安装业绩数量，每个得5分，最多得15分，未提供则不得分。</w:t>
            </w:r>
          </w:p>
        </w:tc>
        <w:tc>
          <w:tcPr>
            <w:tcW w:w="15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7599212">
            <w:pPr>
              <w:widowControl w:val="0"/>
              <w:tabs>
                <w:tab w:val="left" w:pos="420"/>
                <w:tab w:val="left" w:pos="840"/>
                <w:tab w:val="left" w:pos="1260"/>
              </w:tabs>
              <w:spacing w:before="0" w:line="20" w:lineRule="atLeast"/>
              <w:jc w:val="center"/>
              <w:rPr>
                <w:rFonts w:hint="eastAsia"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提供有效业绩复印件，并加盖公章</w:t>
            </w:r>
          </w:p>
        </w:tc>
        <w:tc>
          <w:tcPr>
            <w:tcW w:w="5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0B8383E1">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5763A646">
            <w:pPr>
              <w:rPr>
                <w:rFonts w:hint="default"/>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43251F72">
            <w:pPr>
              <w:rPr>
                <w:rFonts w:hint="default"/>
              </w:rPr>
            </w:pPr>
          </w:p>
        </w:tc>
        <w:tc>
          <w:tcPr>
            <w:tcW w:w="922" w:type="dxa"/>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2085EFCF">
            <w:pPr>
              <w:rPr>
                <w:rFonts w:hint="default"/>
              </w:rPr>
            </w:pPr>
          </w:p>
        </w:tc>
      </w:tr>
      <w:tr w14:paraId="517DBA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11"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1B5D0D">
            <w:pPr>
              <w:widowControl w:val="0"/>
              <w:tabs>
                <w:tab w:val="left" w:pos="420"/>
                <w:tab w:val="left" w:pos="840"/>
                <w:tab w:val="left" w:pos="1260"/>
                <w:tab w:val="left" w:pos="1680"/>
                <w:tab w:val="left" w:pos="2100"/>
                <w:tab w:val="left" w:pos="2520"/>
                <w:tab w:val="left" w:pos="2940"/>
                <w:tab w:val="left" w:pos="3360"/>
              </w:tabs>
              <w:spacing w:before="0" w:line="360" w:lineRule="auto"/>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30467C">
            <w:pPr>
              <w:widowControl w:val="0"/>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项目实施方案</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4227F3">
            <w:pPr>
              <w:widowControl w:val="0"/>
              <w:numPr>
                <w:ilvl w:val="0"/>
                <w:numId w:val="0"/>
              </w:numPr>
              <w:tabs>
                <w:tab w:val="left" w:pos="420"/>
                <w:tab w:val="left" w:pos="840"/>
                <w:tab w:val="left" w:pos="1260"/>
              </w:tabs>
              <w:spacing w:before="0" w:line="20" w:lineRule="atLeast"/>
              <w:ind w:left="0" w:leftChars="0" w:firstLine="0" w:firstLineChars="0"/>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对比项目实施方案，根据项目实际情况，从工期、安全质量保证措施、人员配置、施工工艺、质保服务等方面综合评价，优得20-30分，良好得10-20分，一般0-10分。</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298C7E">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提供实施方案及售后服务方案</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5EB1B0">
            <w:pPr>
              <w:widowControl w:val="0"/>
              <w:tabs>
                <w:tab w:val="left" w:pos="420"/>
                <w:tab w:val="left" w:pos="840"/>
                <w:tab w:val="left" w:pos="126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30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676F1B">
            <w:pPr>
              <w:rPr>
                <w:rFonts w:hint="default"/>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BEE49E">
            <w:pPr>
              <w:rPr>
                <w:rFonts w:hint="default"/>
              </w:rPr>
            </w:pPr>
          </w:p>
        </w:tc>
        <w:tc>
          <w:tcPr>
            <w:tcW w:w="922"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731345ED">
            <w:pPr>
              <w:rPr>
                <w:rFonts w:hint="default"/>
              </w:rPr>
            </w:pPr>
          </w:p>
        </w:tc>
      </w:tr>
      <w:tr w14:paraId="1F8A5E2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942"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4375AE">
            <w:pPr>
              <w:tabs>
                <w:tab w:val="left" w:pos="420"/>
              </w:tabs>
              <w:spacing w:before="0" w:line="20" w:lineRule="atLeast"/>
              <w:jc w:val="center"/>
              <w:rPr>
                <w:rFonts w:hint="default" w:ascii="宋体" w:hAnsi="宋体" w:eastAsia="宋体" w:cs="宋体"/>
                <w:kern w:val="2"/>
                <w:sz w:val="21"/>
                <w:szCs w:val="21"/>
                <w:u w:color="000000"/>
                <w:lang w:val="en-US" w:eastAsia="zh-CN"/>
              </w:rPr>
            </w:pPr>
            <w:r>
              <w:rPr>
                <w:rFonts w:hint="eastAsia" w:ascii="宋体" w:hAnsi="宋体" w:eastAsia="宋体" w:cs="宋体"/>
                <w:kern w:val="2"/>
                <w:sz w:val="21"/>
                <w:szCs w:val="21"/>
                <w:u w:color="000000"/>
                <w:lang w:val="en-US" w:eastAsia="zh-CN"/>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02D1C1">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kern w:val="2"/>
                <w:sz w:val="21"/>
                <w:szCs w:val="21"/>
                <w:u w:color="000000"/>
                <w:lang w:val="en-US" w:eastAsia="zh-CN"/>
              </w:rPr>
            </w:pPr>
            <w:r>
              <w:rPr>
                <w:rFonts w:ascii="宋体" w:hAnsi="宋体" w:eastAsia="宋体" w:cs="宋体"/>
                <w:kern w:val="2"/>
                <w:sz w:val="21"/>
                <w:szCs w:val="21"/>
                <w:u w:color="000000"/>
              </w:rPr>
              <w:t>响应文件编制质量</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447B26">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lang w:val="en-US"/>
              </w:rPr>
              <w:t>1</w:t>
            </w:r>
            <w:r>
              <w:rPr>
                <w:rFonts w:ascii="宋体" w:hAnsi="宋体" w:eastAsia="宋体" w:cs="宋体"/>
                <w:kern w:val="2"/>
                <w:sz w:val="21"/>
                <w:szCs w:val="21"/>
                <w:u w:color="000000"/>
              </w:rPr>
              <w:t>、响应文件有缺漏项或出现前后不一致但未导致实质性偏离的；</w:t>
            </w:r>
          </w:p>
          <w:p w14:paraId="1164143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lang w:val="en-US"/>
              </w:rPr>
              <w:t>2</w:t>
            </w:r>
            <w:r>
              <w:rPr>
                <w:rFonts w:ascii="宋体" w:hAnsi="宋体" w:eastAsia="宋体" w:cs="宋体"/>
                <w:kern w:val="2"/>
                <w:sz w:val="21"/>
                <w:szCs w:val="21"/>
                <w:u w:color="000000"/>
              </w:rPr>
              <w:t>、响应文件资料扫描不清晰的；</w:t>
            </w:r>
          </w:p>
          <w:p w14:paraId="09B239E1">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rPr>
            </w:pPr>
            <w:r>
              <w:rPr>
                <w:rFonts w:ascii="宋体" w:hAnsi="宋体" w:eastAsia="宋体" w:cs="宋体"/>
                <w:kern w:val="2"/>
                <w:sz w:val="21"/>
                <w:szCs w:val="21"/>
                <w:u w:color="000000"/>
                <w:lang w:val="en-US"/>
              </w:rPr>
              <w:t>3</w:t>
            </w:r>
            <w:r>
              <w:rPr>
                <w:rFonts w:ascii="宋体" w:hAnsi="宋体" w:eastAsia="宋体" w:cs="宋体"/>
                <w:kern w:val="2"/>
                <w:sz w:val="21"/>
                <w:szCs w:val="21"/>
                <w:u w:color="000000"/>
              </w:rPr>
              <w:t>、响应文件未按节点编排的。</w:t>
            </w:r>
          </w:p>
          <w:p w14:paraId="5305C06E">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kern w:val="2"/>
                <w:sz w:val="21"/>
                <w:szCs w:val="21"/>
                <w:u w:color="000000"/>
                <w:lang w:val="en-US" w:eastAsia="zh-CN"/>
              </w:rPr>
            </w:pPr>
            <w:r>
              <w:rPr>
                <w:rFonts w:ascii="宋体" w:hAnsi="宋体" w:eastAsia="宋体" w:cs="宋体"/>
                <w:kern w:val="2"/>
                <w:sz w:val="21"/>
                <w:szCs w:val="21"/>
                <w:u w:color="000000"/>
              </w:rPr>
              <w:t>以上情况每出现一种扣</w:t>
            </w:r>
            <w:r>
              <w:rPr>
                <w:rFonts w:hint="eastAsia" w:ascii="宋体" w:hAnsi="宋体" w:eastAsia="宋体" w:cs="宋体"/>
                <w:kern w:val="2"/>
                <w:sz w:val="21"/>
                <w:szCs w:val="21"/>
                <w:u w:color="000000"/>
                <w:lang w:val="en-US" w:eastAsia="zh-CN"/>
              </w:rPr>
              <w:t>2</w:t>
            </w:r>
            <w:bookmarkStart w:id="0" w:name="_GoBack"/>
            <w:bookmarkEnd w:id="0"/>
            <w:r>
              <w:rPr>
                <w:rFonts w:ascii="宋体" w:hAnsi="宋体" w:eastAsia="宋体" w:cs="宋体"/>
                <w:kern w:val="2"/>
                <w:sz w:val="21"/>
                <w:szCs w:val="21"/>
                <w:u w:color="000000"/>
              </w:rPr>
              <w:t>分</w:t>
            </w:r>
            <w:r>
              <w:rPr>
                <w:rFonts w:hint="eastAsia" w:ascii="宋体" w:hAnsi="宋体" w:eastAsia="宋体" w:cs="宋体"/>
                <w:kern w:val="2"/>
                <w:sz w:val="21"/>
                <w:szCs w:val="21"/>
                <w:u w:color="000000"/>
                <w:lang w:eastAsia="zh-CN"/>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E74A37">
            <w:pPr>
              <w:widowControl w:val="0"/>
              <w:tabs>
                <w:tab w:val="left" w:pos="420"/>
                <w:tab w:val="left" w:pos="840"/>
                <w:tab w:val="left" w:pos="1260"/>
              </w:tabs>
              <w:spacing w:before="0" w:line="20" w:lineRule="atLeast"/>
              <w:jc w:val="center"/>
              <w:rPr>
                <w:rFonts w:hint="default" w:ascii="Arial Unicode MS" w:hAnsi="Arial Unicode MS" w:eastAsia="Helvetica Neue" w:cs="Arial Unicode MS"/>
                <w:color w:val="000000"/>
                <w:sz w:val="24"/>
                <w:szCs w:val="24"/>
                <w:lang w:val="zh-TW" w:eastAsia="zh-TW" w:bidi="ar-SA"/>
              </w:rPr>
            </w:pPr>
            <w:r>
              <w:rPr>
                <w:rFonts w:ascii="宋体" w:hAnsi="宋体" w:eastAsia="宋体" w:cs="宋体"/>
                <w:sz w:val="21"/>
                <w:szCs w:val="21"/>
                <w:u w:color="000000"/>
              </w:rPr>
              <w:t>提供完整投标文件，</w:t>
            </w:r>
            <w:r>
              <w:rPr>
                <w:rFonts w:hint="eastAsia" w:ascii="宋体" w:hAnsi="宋体" w:eastAsia="宋体" w:cs="宋体"/>
                <w:sz w:val="21"/>
                <w:szCs w:val="21"/>
                <w:u w:color="000000"/>
                <w:lang w:eastAsia="zh-CN"/>
              </w:rPr>
              <w:t>评委</w:t>
            </w:r>
            <w:r>
              <w:rPr>
                <w:rFonts w:ascii="宋体" w:hAnsi="宋体" w:eastAsia="宋体" w:cs="宋体"/>
                <w:sz w:val="21"/>
                <w:szCs w:val="21"/>
                <w:u w:color="000000"/>
              </w:rPr>
              <w:t>评审</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76C5B5">
            <w:pPr>
              <w:widowControl w:val="0"/>
              <w:tabs>
                <w:tab w:val="left" w:pos="420"/>
              </w:tabs>
              <w:spacing w:before="0" w:line="20" w:lineRule="atLeast"/>
              <w:jc w:val="center"/>
              <w:rPr>
                <w:rFonts w:hint="default" w:ascii="Arial Unicode MS" w:hAnsi="Arial Unicode MS" w:eastAsia="Helvetica Neue" w:cs="Arial Unicode MS"/>
                <w:color w:val="000000"/>
                <w:sz w:val="24"/>
                <w:szCs w:val="24"/>
                <w:lang w:val="en-US" w:eastAsia="zh-CN" w:bidi="ar-SA"/>
              </w:rPr>
            </w:pPr>
            <w:r>
              <w:rPr>
                <w:rFonts w:hint="eastAsia" w:ascii="宋体" w:hAnsi="宋体" w:eastAsia="宋体" w:cs="宋体"/>
                <w:kern w:val="2"/>
                <w:sz w:val="21"/>
                <w:szCs w:val="21"/>
                <w:u w:color="000000"/>
                <w:lang w:val="en-US" w:eastAsia="zh-CN"/>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7C65C0">
            <w:pPr>
              <w:rPr>
                <w:rFonts w:hint="default"/>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DC720F">
            <w:pPr>
              <w:rPr>
                <w:rFonts w:hint="default"/>
              </w:rPr>
            </w:pPr>
          </w:p>
        </w:tc>
        <w:tc>
          <w:tcPr>
            <w:tcW w:w="922"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719A2AA8">
            <w:pPr>
              <w:rPr>
                <w:rFonts w:hint="default"/>
              </w:rPr>
            </w:pPr>
          </w:p>
        </w:tc>
      </w:tr>
      <w:tr w14:paraId="4C4F33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2" w:hRule="atLeast"/>
          <w:jc w:val="center"/>
        </w:trPr>
        <w:tc>
          <w:tcPr>
            <w:tcW w:w="6817" w:type="dxa"/>
            <w:gridSpan w:val="4"/>
            <w:tcBorders>
              <w:top w:val="single" w:color="000000" w:sz="4" w:space="0"/>
              <w:left w:val="single" w:color="000000" w:sz="12" w:space="0"/>
              <w:bottom w:val="single" w:color="000000" w:sz="4" w:space="0"/>
              <w:right w:val="single" w:color="000000" w:sz="4" w:space="0"/>
            </w:tcBorders>
            <w:shd w:val="clear" w:color="auto" w:fill="CCECFE" w:themeFill="accent1" w:themeFillTint="33"/>
            <w:tcMar>
              <w:top w:w="80" w:type="dxa"/>
              <w:left w:w="80" w:type="dxa"/>
              <w:bottom w:w="80" w:type="dxa"/>
              <w:right w:w="80" w:type="dxa"/>
            </w:tcMar>
            <w:vAlign w:val="center"/>
          </w:tcPr>
          <w:p w14:paraId="27C17F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rPr>
            </w:pPr>
            <w:r>
              <w:rPr>
                <w:rFonts w:ascii="宋体" w:hAnsi="宋体" w:eastAsia="宋体" w:cs="宋体"/>
                <w:kern w:val="2"/>
                <w:sz w:val="21"/>
                <w:szCs w:val="21"/>
                <w:u w:color="000000"/>
              </w:rPr>
              <w:t>合计</w:t>
            </w:r>
          </w:p>
        </w:tc>
        <w:tc>
          <w:tcPr>
            <w:tcW w:w="515" w:type="dxa"/>
            <w:tcBorders>
              <w:top w:val="single" w:color="000000" w:sz="4" w:space="0"/>
              <w:left w:val="single" w:color="000000" w:sz="4" w:space="0"/>
              <w:bottom w:val="single" w:color="000000" w:sz="4" w:space="0"/>
              <w:right w:val="single" w:color="000000" w:sz="4" w:space="0"/>
            </w:tcBorders>
            <w:shd w:val="clear" w:color="auto" w:fill="CCECFE" w:themeFill="accent1" w:themeFillTint="33"/>
            <w:tcMar>
              <w:top w:w="80" w:type="dxa"/>
              <w:left w:w="80" w:type="dxa"/>
              <w:bottom w:w="80" w:type="dxa"/>
              <w:right w:w="80" w:type="dxa"/>
            </w:tcMar>
            <w:vAlign w:val="center"/>
          </w:tcPr>
          <w:p w14:paraId="129C25CD">
            <w:pPr>
              <w:tabs>
                <w:tab w:val="left" w:pos="420"/>
              </w:tabs>
              <w:spacing w:before="0" w:line="20" w:lineRule="atLeast"/>
              <w:jc w:val="center"/>
              <w:rPr>
                <w:rFonts w:hint="default"/>
              </w:rPr>
            </w:pPr>
            <w:r>
              <w:rPr>
                <w:rFonts w:ascii="宋体" w:hAnsi="宋体" w:eastAsia="宋体" w:cs="宋体"/>
                <w:kern w:val="2"/>
                <w:sz w:val="21"/>
                <w:szCs w:val="21"/>
                <w:u w:color="000000"/>
                <w:lang w:val="en-US"/>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CCECFE" w:themeFill="accent1" w:themeFillTint="33"/>
            <w:tcMar>
              <w:top w:w="80" w:type="dxa"/>
              <w:left w:w="80" w:type="dxa"/>
              <w:bottom w:w="80" w:type="dxa"/>
              <w:right w:w="80" w:type="dxa"/>
            </w:tcMar>
            <w:vAlign w:val="center"/>
          </w:tcPr>
          <w:p w14:paraId="38EB994A">
            <w:pPr>
              <w:rPr>
                <w:rFonts w:hint="default"/>
              </w:rPr>
            </w:pPr>
          </w:p>
        </w:tc>
        <w:tc>
          <w:tcPr>
            <w:tcW w:w="867" w:type="dxa"/>
            <w:tcBorders>
              <w:top w:val="single" w:color="000000" w:sz="4" w:space="0"/>
              <w:left w:val="single" w:color="000000" w:sz="4" w:space="0"/>
              <w:bottom w:val="single" w:color="000000" w:sz="4" w:space="0"/>
              <w:right w:val="single" w:color="000000" w:sz="4" w:space="0"/>
            </w:tcBorders>
            <w:shd w:val="clear" w:color="auto" w:fill="CCECFE" w:themeFill="accent1" w:themeFillTint="33"/>
            <w:tcMar>
              <w:top w:w="80" w:type="dxa"/>
              <w:left w:w="80" w:type="dxa"/>
              <w:bottom w:w="80" w:type="dxa"/>
              <w:right w:w="80" w:type="dxa"/>
            </w:tcMar>
            <w:vAlign w:val="center"/>
          </w:tcPr>
          <w:p w14:paraId="3BACE12C">
            <w:pPr>
              <w:rPr>
                <w:rFonts w:hint="default"/>
              </w:rPr>
            </w:pPr>
          </w:p>
        </w:tc>
        <w:tc>
          <w:tcPr>
            <w:tcW w:w="922" w:type="dxa"/>
            <w:tcBorders>
              <w:top w:val="single" w:color="000000" w:sz="4" w:space="0"/>
              <w:left w:val="single" w:color="000000" w:sz="4" w:space="0"/>
              <w:bottom w:val="single" w:color="000000" w:sz="4" w:space="0"/>
              <w:right w:val="single" w:color="000000" w:sz="12" w:space="0"/>
            </w:tcBorders>
            <w:shd w:val="clear" w:color="auto" w:fill="CCECFE" w:themeFill="accent1" w:themeFillTint="33"/>
            <w:tcMar>
              <w:top w:w="80" w:type="dxa"/>
              <w:left w:w="80" w:type="dxa"/>
              <w:bottom w:w="80" w:type="dxa"/>
              <w:right w:w="80" w:type="dxa"/>
            </w:tcMar>
            <w:vAlign w:val="center"/>
          </w:tcPr>
          <w:p w14:paraId="33FF487F">
            <w:pPr>
              <w:rPr>
                <w:rFonts w:hint="default"/>
              </w:rPr>
            </w:pPr>
          </w:p>
        </w:tc>
      </w:tr>
      <w:tr w14:paraId="59777B7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23" w:hRule="atLeast"/>
          <w:jc w:val="center"/>
        </w:trPr>
        <w:tc>
          <w:tcPr>
            <w:tcW w:w="6817" w:type="dxa"/>
            <w:gridSpan w:val="4"/>
            <w:tcBorders>
              <w:top w:val="single" w:color="000000" w:sz="4" w:space="0"/>
              <w:left w:val="single" w:color="000000" w:sz="12" w:space="0"/>
              <w:bottom w:val="single" w:color="000000" w:sz="4" w:space="0"/>
              <w:right w:val="single" w:color="000000" w:sz="4" w:space="0"/>
            </w:tcBorders>
            <w:shd w:val="clear" w:color="auto" w:fill="FFFFFF" w:themeFill="background1"/>
            <w:tcMar>
              <w:top w:w="80" w:type="dxa"/>
              <w:left w:w="80" w:type="dxa"/>
              <w:bottom w:w="80" w:type="dxa"/>
              <w:right w:w="80" w:type="dxa"/>
            </w:tcMar>
            <w:vAlign w:val="center"/>
          </w:tcPr>
          <w:p w14:paraId="30D7319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rPr>
            </w:pPr>
            <w:r>
              <w:rPr>
                <w:rFonts w:ascii="宋体" w:hAnsi="宋体" w:eastAsia="宋体" w:cs="宋体"/>
                <w:b/>
                <w:bCs/>
                <w:kern w:val="2"/>
                <w:sz w:val="21"/>
                <w:szCs w:val="21"/>
                <w:u w:color="000000"/>
              </w:rPr>
              <w:t>拟推荐成交候选供应商（原则推荐评审综合得分最高的单位）</w:t>
            </w:r>
          </w:p>
        </w:tc>
        <w:tc>
          <w:tcPr>
            <w:tcW w:w="3144" w:type="dxa"/>
            <w:gridSpan w:val="4"/>
            <w:tcBorders>
              <w:top w:val="single" w:color="000000" w:sz="4" w:space="0"/>
              <w:left w:val="single" w:color="000000" w:sz="4" w:space="0"/>
              <w:bottom w:val="single" w:color="000000" w:sz="4" w:space="0"/>
              <w:right w:val="single" w:color="000000" w:sz="12" w:space="0"/>
            </w:tcBorders>
            <w:shd w:val="clear" w:color="auto" w:fill="FFFFFF" w:themeFill="background1"/>
            <w:tcMar>
              <w:top w:w="80" w:type="dxa"/>
              <w:left w:w="80" w:type="dxa"/>
              <w:bottom w:w="80" w:type="dxa"/>
              <w:right w:w="80" w:type="dxa"/>
            </w:tcMar>
            <w:vAlign w:val="center"/>
          </w:tcPr>
          <w:p w14:paraId="1FFFE9B9">
            <w:pPr>
              <w:rPr>
                <w:rFonts w:hint="default"/>
              </w:rPr>
            </w:pPr>
          </w:p>
        </w:tc>
      </w:tr>
    </w:tbl>
    <w:p w14:paraId="531EED7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both"/>
        <w:rPr>
          <w:rFonts w:hint="default" w:ascii="黑体" w:hAnsi="黑体" w:eastAsia="黑体" w:cs="黑体"/>
          <w:kern w:val="2"/>
          <w:sz w:val="21"/>
          <w:szCs w:val="21"/>
          <w:u w:color="000000"/>
        </w:rPr>
      </w:pPr>
      <w:r>
        <w:rPr>
          <w:rFonts w:ascii="黑体" w:hAnsi="黑体" w:eastAsia="黑体" w:cs="黑体"/>
          <w:kern w:val="2"/>
          <w:sz w:val="21"/>
          <w:szCs w:val="21"/>
          <w:u w:color="000000"/>
        </w:rPr>
        <w:t>备注：</w:t>
      </w:r>
      <w:r>
        <w:rPr>
          <w:rFonts w:ascii="黑体" w:hAnsi="黑体" w:eastAsia="黑体" w:cs="黑体"/>
          <w:kern w:val="2"/>
          <w:sz w:val="21"/>
          <w:szCs w:val="21"/>
          <w:u w:color="000000"/>
          <w:lang w:val="en-US"/>
        </w:rPr>
        <w:t>1.</w:t>
      </w:r>
      <w:r>
        <w:rPr>
          <w:rFonts w:ascii="黑体" w:hAnsi="黑体" w:eastAsia="黑体" w:cs="黑体"/>
          <w:kern w:val="2"/>
          <w:sz w:val="21"/>
          <w:szCs w:val="21"/>
          <w:u w:color="000000"/>
        </w:rPr>
        <w:t>各项评审打分按照四舍五入，小数点后保留</w:t>
      </w:r>
      <w:r>
        <w:rPr>
          <w:rFonts w:ascii="黑体" w:hAnsi="黑体" w:eastAsia="黑体" w:cs="黑体"/>
          <w:kern w:val="2"/>
          <w:sz w:val="21"/>
          <w:szCs w:val="21"/>
          <w:u w:color="000000"/>
          <w:lang w:val="en-US"/>
        </w:rPr>
        <w:t>2</w:t>
      </w:r>
      <w:r>
        <w:rPr>
          <w:rFonts w:ascii="黑体" w:hAnsi="黑体" w:eastAsia="黑体" w:cs="黑体"/>
          <w:kern w:val="2"/>
          <w:sz w:val="21"/>
          <w:szCs w:val="21"/>
          <w:u w:color="000000"/>
        </w:rPr>
        <w:t>位进行计算；</w:t>
      </w:r>
    </w:p>
    <w:p w14:paraId="7EB9F63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rPr>
      </w:pPr>
      <w:r>
        <w:rPr>
          <w:rFonts w:ascii="黑体" w:hAnsi="黑体" w:eastAsia="黑体" w:cs="黑体"/>
          <w:kern w:val="2"/>
          <w:sz w:val="21"/>
          <w:szCs w:val="21"/>
          <w:u w:color="000000"/>
          <w:lang w:val="en-US"/>
        </w:rPr>
        <w:t xml:space="preserve">     </w:t>
      </w:r>
      <w:r>
        <w:rPr>
          <w:rFonts w:hint="eastAsia" w:ascii="黑体" w:hAnsi="黑体" w:eastAsia="黑体" w:cs="黑体"/>
          <w:kern w:val="2"/>
          <w:sz w:val="21"/>
          <w:szCs w:val="21"/>
          <w:u w:color="000000"/>
          <w:lang w:val="en-US" w:eastAsia="zh-CN"/>
        </w:rPr>
        <w:t xml:space="preserve"> </w:t>
      </w:r>
      <w:r>
        <w:rPr>
          <w:rFonts w:ascii="黑体" w:hAnsi="黑体" w:eastAsia="黑体" w:cs="黑体"/>
          <w:kern w:val="2"/>
          <w:sz w:val="21"/>
          <w:szCs w:val="21"/>
          <w:u w:color="000000"/>
          <w:lang w:val="en-US"/>
        </w:rPr>
        <w:t>2.</w:t>
      </w:r>
      <w:r>
        <w:rPr>
          <w:rFonts w:ascii="黑体" w:hAnsi="黑体" w:eastAsia="黑体" w:cs="黑体"/>
          <w:kern w:val="2"/>
          <w:sz w:val="21"/>
          <w:szCs w:val="21"/>
          <w:u w:color="000000"/>
        </w:rPr>
        <w:t>若出现拟推荐成交候选供应商票数相同的情况，以未推荐上述单位的评审专家对并列第一的候选供应商既定打分排序作为最终选定依据。</w:t>
      </w:r>
    </w:p>
    <w:sectPr>
      <w:headerReference r:id="rId4" w:type="default"/>
      <w:footerReference r:id="rId5" w:type="default"/>
      <w:pgSz w:w="11906" w:h="16838"/>
      <w:pgMar w:top="1134" w:right="1134" w:bottom="1134" w:left="1134" w:header="709" w:footer="85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0" w:csb1="00000000"/>
  </w:font>
  <w:font w:name="Helvetica Neue">
    <w:altName w:val="Arial"/>
    <w:panose1 w:val="00000000000000000000"/>
    <w:charset w:val="00"/>
    <w:family w:val="roman"/>
    <w:pitch w:val="default"/>
    <w:sig w:usb0="00000000" w:usb1="00000000" w:usb2="00000000" w:usb3="00000000" w:csb0="00000000" w:csb1="00000000"/>
  </w:font>
  <w:font w:name="PingFang SC 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E226">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A7E20">
    <w:pP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kZjQ3OTQ2Zjc3NjA5ZjgwZjYwMGNhZGMzOGM4NTQifQ=="/>
  </w:docVars>
  <w:rsids>
    <w:rsidRoot w:val="00495DF8"/>
    <w:rsid w:val="00495DF8"/>
    <w:rsid w:val="00C74CA0"/>
    <w:rsid w:val="00F03ADC"/>
    <w:rsid w:val="00FF3EB1"/>
    <w:rsid w:val="022565C3"/>
    <w:rsid w:val="03DB0660"/>
    <w:rsid w:val="09371E95"/>
    <w:rsid w:val="0A4A5805"/>
    <w:rsid w:val="0F9712A6"/>
    <w:rsid w:val="139F6D7C"/>
    <w:rsid w:val="168242FF"/>
    <w:rsid w:val="169F6423"/>
    <w:rsid w:val="173D31C8"/>
    <w:rsid w:val="17E019BD"/>
    <w:rsid w:val="18243F2C"/>
    <w:rsid w:val="18F87776"/>
    <w:rsid w:val="19264B57"/>
    <w:rsid w:val="19410B0E"/>
    <w:rsid w:val="196E3837"/>
    <w:rsid w:val="19E33AAB"/>
    <w:rsid w:val="1AB86343"/>
    <w:rsid w:val="1C0C5403"/>
    <w:rsid w:val="1D3E7EDB"/>
    <w:rsid w:val="1E8559B0"/>
    <w:rsid w:val="1EB36510"/>
    <w:rsid w:val="1F9C2EC5"/>
    <w:rsid w:val="2280797B"/>
    <w:rsid w:val="230403A8"/>
    <w:rsid w:val="241D73C0"/>
    <w:rsid w:val="270218DC"/>
    <w:rsid w:val="27460C19"/>
    <w:rsid w:val="279D33B3"/>
    <w:rsid w:val="29923E25"/>
    <w:rsid w:val="2A377AEF"/>
    <w:rsid w:val="2A4F2CEC"/>
    <w:rsid w:val="2A8C0497"/>
    <w:rsid w:val="2BFA7C62"/>
    <w:rsid w:val="2C541DFF"/>
    <w:rsid w:val="2DD85145"/>
    <w:rsid w:val="2FB44EEF"/>
    <w:rsid w:val="301D1535"/>
    <w:rsid w:val="304406E1"/>
    <w:rsid w:val="308F0B1D"/>
    <w:rsid w:val="30E85FBB"/>
    <w:rsid w:val="31592B5C"/>
    <w:rsid w:val="31A3629F"/>
    <w:rsid w:val="36F2206A"/>
    <w:rsid w:val="372E4027"/>
    <w:rsid w:val="3B201ED9"/>
    <w:rsid w:val="3BBB0933"/>
    <w:rsid w:val="3C326368"/>
    <w:rsid w:val="3E9230EE"/>
    <w:rsid w:val="41A037AD"/>
    <w:rsid w:val="43372D08"/>
    <w:rsid w:val="436A4639"/>
    <w:rsid w:val="43DF6845"/>
    <w:rsid w:val="494929DF"/>
    <w:rsid w:val="4A413C1A"/>
    <w:rsid w:val="4AF43D81"/>
    <w:rsid w:val="4B7C34F8"/>
    <w:rsid w:val="4BB04F45"/>
    <w:rsid w:val="4D9950C2"/>
    <w:rsid w:val="4DBA440F"/>
    <w:rsid w:val="4E65437B"/>
    <w:rsid w:val="50A626FC"/>
    <w:rsid w:val="51352406"/>
    <w:rsid w:val="517C662B"/>
    <w:rsid w:val="5199169B"/>
    <w:rsid w:val="5430212F"/>
    <w:rsid w:val="54BF230B"/>
    <w:rsid w:val="557B2178"/>
    <w:rsid w:val="5D6D07E1"/>
    <w:rsid w:val="5E4575EA"/>
    <w:rsid w:val="5EF57055"/>
    <w:rsid w:val="5F815717"/>
    <w:rsid w:val="5FA8354E"/>
    <w:rsid w:val="61740930"/>
    <w:rsid w:val="638E7A78"/>
    <w:rsid w:val="64502F80"/>
    <w:rsid w:val="67E4410B"/>
    <w:rsid w:val="6837248C"/>
    <w:rsid w:val="68AD608A"/>
    <w:rsid w:val="69492010"/>
    <w:rsid w:val="6ACA7C59"/>
    <w:rsid w:val="6C0A4F1F"/>
    <w:rsid w:val="6C976E04"/>
    <w:rsid w:val="6CF05300"/>
    <w:rsid w:val="6E4B0621"/>
    <w:rsid w:val="6FF73D27"/>
    <w:rsid w:val="701D640C"/>
    <w:rsid w:val="71C628C1"/>
    <w:rsid w:val="73200C89"/>
    <w:rsid w:val="742C4E6F"/>
    <w:rsid w:val="74324450"/>
    <w:rsid w:val="77164B27"/>
    <w:rsid w:val="778915DB"/>
    <w:rsid w:val="787768D5"/>
    <w:rsid w:val="7A067F11"/>
    <w:rsid w:val="7BBE2922"/>
    <w:rsid w:val="7DE4502A"/>
    <w:rsid w:val="7EC16583"/>
    <w:rsid w:val="7F0E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spacing w:before="160"/>
    </w:pPr>
    <w:rPr>
      <w:rFonts w:hint="eastAsia" w:ascii="Arial Unicode MS" w:hAnsi="Arial Unicode MS" w:eastAsia="Helvetica Neue" w:cs="Arial Unicode MS"/>
      <w:color w:val="000000"/>
      <w:sz w:val="24"/>
      <w:szCs w:val="24"/>
      <w:lang w:val="zh-TW" w:eastAsia="zh-TW"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1</Pages>
  <Words>675</Words>
  <Characters>698</Characters>
  <Lines>6</Lines>
  <Paragraphs>1</Paragraphs>
  <TotalTime>6</TotalTime>
  <ScaleCrop>false</ScaleCrop>
  <LinksUpToDate>false</LinksUpToDate>
  <CharactersWithSpaces>704</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2020-11-30T01:41:00Z</dcterms:created>
  <dc:creator>user</dc:creator>
  <cp:lastModifiedBy>WPS_1642562330</cp:lastModifiedBy>
  <dcterms:modified xsi:type="dcterms:W3CDTF">2024-10-30T01:05:01Z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8A1F53CB4E6B471AA5BEBFBB2A182557</vt:lpwstr>
  </property>
</Properties>
</file>