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FB54E">
      <w:pPr>
        <w:jc w:val="center"/>
        <w:rPr>
          <w:rFonts w:hint="eastAsia"/>
          <w:b/>
          <w:bCs/>
          <w:sz w:val="28"/>
          <w:szCs w:val="36"/>
          <w:lang w:eastAsia="zh-CN"/>
        </w:rPr>
      </w:pPr>
      <w:bookmarkStart w:id="0" w:name="_GoBack"/>
      <w:bookmarkEnd w:id="0"/>
      <w:r>
        <w:rPr>
          <w:rFonts w:hint="eastAsia"/>
          <w:b/>
          <w:bCs/>
          <w:sz w:val="28"/>
          <w:szCs w:val="36"/>
          <w:lang w:val="en-US" w:eastAsia="zh-CN"/>
        </w:rPr>
        <w:t>充电桩采购</w:t>
      </w:r>
      <w:r>
        <w:rPr>
          <w:rFonts w:hint="eastAsia"/>
          <w:b/>
          <w:bCs/>
          <w:sz w:val="28"/>
          <w:szCs w:val="36"/>
          <w:lang w:eastAsia="zh-CN"/>
        </w:rPr>
        <w:t>项目综合评分表</w:t>
      </w:r>
    </w:p>
    <w:tbl>
      <w:tblPr>
        <w:tblStyle w:val="5"/>
        <w:tblW w:w="8868" w:type="dxa"/>
        <w:jc w:val="center"/>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4F81BD"/>
        <w:tblLayout w:type="fixed"/>
        <w:tblCellMar>
          <w:top w:w="0" w:type="dxa"/>
          <w:left w:w="0" w:type="dxa"/>
          <w:bottom w:w="0" w:type="dxa"/>
          <w:right w:w="0" w:type="dxa"/>
        </w:tblCellMar>
      </w:tblPr>
      <w:tblGrid>
        <w:gridCol w:w="711"/>
        <w:gridCol w:w="855"/>
        <w:gridCol w:w="4890"/>
        <w:gridCol w:w="1485"/>
        <w:gridCol w:w="927"/>
      </w:tblGrid>
      <w:tr w14:paraId="594B516B">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4F81BD"/>
          <w:tblCellMar>
            <w:top w:w="0" w:type="dxa"/>
            <w:left w:w="0" w:type="dxa"/>
            <w:bottom w:w="0" w:type="dxa"/>
            <w:right w:w="0" w:type="dxa"/>
          </w:tblCellMar>
        </w:tblPrEx>
        <w:trPr>
          <w:trHeight w:val="620" w:hRule="atLeast"/>
          <w:tblHeader/>
          <w:jc w:val="center"/>
        </w:trPr>
        <w:tc>
          <w:tcPr>
            <w:tcW w:w="8868" w:type="dxa"/>
            <w:gridSpan w:val="5"/>
            <w:tcBorders>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14:paraId="5AC0C060">
            <w:pPr>
              <w:keepNext w:val="0"/>
              <w:keepLines w:val="0"/>
              <w:widowControl/>
              <w:suppressLineNumbers w:val="0"/>
              <w:jc w:val="center"/>
              <w:rPr>
                <w:rFonts w:ascii="宋体" w:hAnsi="宋体" w:eastAsia="宋体" w:cs="宋体"/>
                <w:b w:val="0"/>
                <w:bCs w:val="0"/>
                <w:kern w:val="2"/>
                <w:sz w:val="21"/>
                <w:szCs w:val="21"/>
              </w:rPr>
            </w:pPr>
            <w:r>
              <w:rPr>
                <w:rFonts w:eastAsia="PingFang SC Regular"/>
                <w:kern w:val="2"/>
                <w:sz w:val="36"/>
                <w:szCs w:val="36"/>
              </w:rPr>
              <w:t>综合评分表</w:t>
            </w:r>
          </w:p>
        </w:tc>
      </w:tr>
      <w:tr w14:paraId="7B79F39D">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620" w:hRule="atLeast"/>
          <w:tblHeader/>
          <w:jc w:val="center"/>
        </w:trPr>
        <w:tc>
          <w:tcPr>
            <w:tcW w:w="711" w:type="dxa"/>
            <w:tcBorders>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14:paraId="41897A69">
            <w:pPr>
              <w:tabs>
                <w:tab w:val="left" w:pos="420"/>
              </w:tabs>
              <w:spacing w:before="0" w:line="20" w:lineRule="atLeast"/>
              <w:jc w:val="center"/>
              <w:rPr>
                <w:rFonts w:hint="default"/>
              </w:rPr>
            </w:pPr>
            <w:r>
              <w:rPr>
                <w:rFonts w:ascii="宋体" w:hAnsi="宋体" w:eastAsia="宋体" w:cs="宋体"/>
                <w:b/>
                <w:bCs/>
                <w:kern w:val="2"/>
                <w:sz w:val="21"/>
                <w:szCs w:val="21"/>
              </w:rPr>
              <w:t>序号</w:t>
            </w:r>
          </w:p>
        </w:tc>
        <w:tc>
          <w:tcPr>
            <w:tcW w:w="855" w:type="dxa"/>
            <w:tcBorders>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14:paraId="4E36C7BF">
            <w:pPr>
              <w:tabs>
                <w:tab w:val="left" w:pos="420"/>
              </w:tabs>
              <w:spacing w:before="0" w:line="20" w:lineRule="atLeast"/>
              <w:jc w:val="center"/>
              <w:rPr>
                <w:rFonts w:hint="default" w:ascii="宋体" w:hAnsi="宋体" w:eastAsia="宋体" w:cs="宋体"/>
                <w:b/>
                <w:bCs/>
                <w:kern w:val="2"/>
                <w:sz w:val="21"/>
                <w:szCs w:val="21"/>
              </w:rPr>
            </w:pPr>
            <w:r>
              <w:rPr>
                <w:rFonts w:ascii="宋体" w:hAnsi="宋体" w:eastAsia="宋体" w:cs="宋体"/>
                <w:b/>
                <w:bCs/>
                <w:kern w:val="2"/>
                <w:sz w:val="21"/>
                <w:szCs w:val="21"/>
              </w:rPr>
              <w:t>评审</w:t>
            </w:r>
          </w:p>
          <w:p w14:paraId="6AC5C542">
            <w:pPr>
              <w:tabs>
                <w:tab w:val="left" w:pos="420"/>
              </w:tabs>
              <w:spacing w:before="0" w:line="20" w:lineRule="atLeast"/>
              <w:jc w:val="center"/>
              <w:rPr>
                <w:rFonts w:hint="default"/>
              </w:rPr>
            </w:pPr>
            <w:r>
              <w:rPr>
                <w:rFonts w:ascii="宋体" w:hAnsi="宋体" w:eastAsia="宋体" w:cs="宋体"/>
                <w:b/>
                <w:bCs/>
                <w:kern w:val="2"/>
                <w:sz w:val="21"/>
                <w:szCs w:val="21"/>
              </w:rPr>
              <w:t>项目</w:t>
            </w:r>
          </w:p>
        </w:tc>
        <w:tc>
          <w:tcPr>
            <w:tcW w:w="4890" w:type="dxa"/>
            <w:tcBorders>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14:paraId="685E2396">
            <w:pPr>
              <w:tabs>
                <w:tab w:val="left" w:pos="420"/>
                <w:tab w:val="left" w:pos="840"/>
                <w:tab w:val="left" w:pos="1260"/>
                <w:tab w:val="left" w:pos="1680"/>
                <w:tab w:val="left" w:pos="2100"/>
                <w:tab w:val="left" w:pos="2520"/>
                <w:tab w:val="left" w:pos="2940"/>
                <w:tab w:val="left" w:pos="3360"/>
              </w:tabs>
              <w:spacing w:before="0" w:line="20" w:lineRule="atLeast"/>
              <w:jc w:val="center"/>
              <w:rPr>
                <w:rFonts w:hint="default"/>
              </w:rPr>
            </w:pPr>
            <w:r>
              <w:rPr>
                <w:rFonts w:ascii="宋体" w:hAnsi="宋体" w:eastAsia="宋体" w:cs="宋体"/>
                <w:b/>
                <w:bCs/>
                <w:kern w:val="2"/>
                <w:sz w:val="21"/>
                <w:szCs w:val="21"/>
              </w:rPr>
              <w:t>评审标准</w:t>
            </w:r>
          </w:p>
        </w:tc>
        <w:tc>
          <w:tcPr>
            <w:tcW w:w="1485" w:type="dxa"/>
            <w:tcBorders>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14:paraId="4ECFD571">
            <w:pPr>
              <w:tabs>
                <w:tab w:val="left" w:pos="420"/>
                <w:tab w:val="left" w:pos="840"/>
                <w:tab w:val="left" w:pos="1260"/>
              </w:tabs>
              <w:spacing w:before="0" w:line="20" w:lineRule="atLeast"/>
              <w:jc w:val="center"/>
              <w:rPr>
                <w:rFonts w:hint="default"/>
              </w:rPr>
            </w:pPr>
            <w:r>
              <w:rPr>
                <w:rFonts w:ascii="宋体" w:hAnsi="宋体" w:eastAsia="宋体" w:cs="宋体"/>
                <w:b/>
                <w:bCs/>
                <w:kern w:val="2"/>
                <w:sz w:val="21"/>
                <w:szCs w:val="21"/>
              </w:rPr>
              <w:t>证明材料</w:t>
            </w:r>
          </w:p>
        </w:tc>
        <w:tc>
          <w:tcPr>
            <w:tcW w:w="927" w:type="dxa"/>
            <w:tcBorders>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14:paraId="437AA51A">
            <w:pPr>
              <w:tabs>
                <w:tab w:val="left" w:pos="420"/>
              </w:tabs>
              <w:spacing w:before="0" w:line="20" w:lineRule="atLeast"/>
              <w:jc w:val="center"/>
              <w:rPr>
                <w:rFonts w:hint="default"/>
              </w:rPr>
            </w:pPr>
            <w:r>
              <w:rPr>
                <w:rFonts w:ascii="宋体" w:hAnsi="宋体" w:eastAsia="宋体" w:cs="宋体"/>
                <w:b/>
                <w:bCs/>
                <w:kern w:val="2"/>
                <w:sz w:val="21"/>
                <w:szCs w:val="21"/>
              </w:rPr>
              <w:t>分值</w:t>
            </w:r>
          </w:p>
        </w:tc>
      </w:tr>
      <w:tr w14:paraId="13435960">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CED7E7"/>
          <w:tblCellMar>
            <w:top w:w="0" w:type="dxa"/>
            <w:left w:w="0" w:type="dxa"/>
            <w:bottom w:w="0" w:type="dxa"/>
            <w:right w:w="0" w:type="dxa"/>
          </w:tblCellMar>
        </w:tblPrEx>
        <w:trPr>
          <w:trHeight w:val="1131" w:hRule="atLeast"/>
          <w:jc w:val="center"/>
        </w:trPr>
        <w:tc>
          <w:tcPr>
            <w:tcW w:w="711" w:type="dxa"/>
            <w:tcBorders>
              <w:top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14:paraId="35D17AC1">
            <w:pPr>
              <w:tabs>
                <w:tab w:val="left" w:pos="420"/>
              </w:tabs>
              <w:spacing w:before="0" w:line="20" w:lineRule="atLeast"/>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1</w:t>
            </w:r>
          </w:p>
        </w:tc>
        <w:tc>
          <w:tcPr>
            <w:tcW w:w="855" w:type="dxa"/>
            <w:tcBorders>
              <w:top w:val="single" w:color="000000" w:sz="12" w:space="0"/>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14:paraId="3D133A2A">
            <w:pPr>
              <w:widowControl w:val="0"/>
              <w:tabs>
                <w:tab w:val="left" w:pos="420"/>
                <w:tab w:val="left" w:pos="840"/>
                <w:tab w:val="left" w:pos="1260"/>
              </w:tabs>
              <w:spacing w:before="0" w:line="2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rPr>
              <w:t>报价得分</w:t>
            </w:r>
          </w:p>
        </w:tc>
        <w:tc>
          <w:tcPr>
            <w:tcW w:w="4890" w:type="dxa"/>
            <w:tcBorders>
              <w:top w:val="single" w:color="000000" w:sz="12" w:space="0"/>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14:paraId="5022A69E">
            <w:pPr>
              <w:widowControl w:val="0"/>
              <w:tabs>
                <w:tab w:val="left" w:pos="420"/>
                <w:tab w:val="left" w:pos="840"/>
                <w:tab w:val="left" w:pos="1260"/>
              </w:tabs>
              <w:spacing w:before="0" w:line="20" w:lineRule="atLeast"/>
              <w:jc w:val="center"/>
              <w:rPr>
                <w:rFonts w:hint="default"/>
                <w:lang w:val="en-US" w:eastAsia="zh-CN"/>
              </w:rPr>
            </w:pPr>
            <w:r>
              <w:rPr>
                <w:rFonts w:hint="eastAsia"/>
                <w:lang w:val="en-US" w:eastAsia="zh-CN"/>
              </w:rPr>
              <w:t>符合要求且报价最低的为基准价，其价格分为满分。</w:t>
            </w:r>
          </w:p>
          <w:p w14:paraId="658BDA9D">
            <w:pPr>
              <w:widowControl w:val="0"/>
              <w:tabs>
                <w:tab w:val="left" w:pos="420"/>
                <w:tab w:val="left" w:pos="840"/>
                <w:tab w:val="left" w:pos="1260"/>
              </w:tabs>
              <w:spacing w:before="0" w:line="20" w:lineRule="atLeast"/>
              <w:jc w:val="center"/>
              <w:rPr>
                <w:rFonts w:hint="eastAsia"/>
                <w:lang w:val="en-US" w:eastAsia="zh-CN"/>
              </w:rPr>
            </w:pPr>
            <w:r>
              <w:rPr>
                <w:rFonts w:hint="eastAsia"/>
                <w:lang w:val="en-US" w:eastAsia="zh-CN"/>
              </w:rPr>
              <w:t>其他响应承包商的价格分统一按照报价得分=(基准价格/响应报价)×35计算。</w:t>
            </w:r>
          </w:p>
          <w:p w14:paraId="000362B2">
            <w:pPr>
              <w:keepNext w:val="0"/>
              <w:keepLines w:val="0"/>
              <w:widowControl/>
              <w:suppressLineNumbers w:val="0"/>
              <w:jc w:val="left"/>
              <w:rPr>
                <w:rFonts w:hint="eastAsia"/>
                <w:lang w:val="en-US" w:eastAsia="zh-CN"/>
              </w:rPr>
            </w:pPr>
            <w:r>
              <w:rPr>
                <w:rFonts w:hint="eastAsia" w:ascii="宋体" w:hAnsi="宋体" w:eastAsia="宋体" w:cs="宋体"/>
                <w:kern w:val="2"/>
                <w:sz w:val="21"/>
                <w:szCs w:val="21"/>
                <w:lang w:val="en-US" w:eastAsia="zh-CN"/>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1485" w:type="dxa"/>
            <w:tcBorders>
              <w:top w:val="single" w:color="000000" w:sz="12" w:space="0"/>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14:paraId="5D3D54BD">
            <w:pPr>
              <w:widowControl w:val="0"/>
              <w:tabs>
                <w:tab w:val="left" w:pos="420"/>
                <w:tab w:val="left" w:pos="840"/>
                <w:tab w:val="left" w:pos="1260"/>
              </w:tabs>
              <w:spacing w:before="0" w:line="2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rPr>
              <w:t>提供响应报价承诺函，并加盖公章</w:t>
            </w:r>
          </w:p>
        </w:tc>
        <w:tc>
          <w:tcPr>
            <w:tcW w:w="927" w:type="dxa"/>
            <w:tcBorders>
              <w:top w:val="single" w:color="000000" w:sz="12" w:space="0"/>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14:paraId="71C0C485">
            <w:pPr>
              <w:widowControl w:val="0"/>
              <w:tabs>
                <w:tab w:val="left" w:pos="420"/>
                <w:tab w:val="left" w:pos="840"/>
                <w:tab w:val="left" w:pos="1260"/>
              </w:tabs>
              <w:spacing w:before="0" w:line="2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rPr>
              <w:t>35分</w:t>
            </w:r>
          </w:p>
        </w:tc>
      </w:tr>
      <w:tr w14:paraId="13863188">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CED7E7"/>
          <w:tblCellMar>
            <w:top w:w="0" w:type="dxa"/>
            <w:left w:w="0" w:type="dxa"/>
            <w:bottom w:w="0" w:type="dxa"/>
            <w:right w:w="0" w:type="dxa"/>
          </w:tblCellMar>
        </w:tblPrEx>
        <w:trPr>
          <w:trHeight w:val="1673" w:hRule="atLeast"/>
          <w:jc w:val="center"/>
        </w:trPr>
        <w:tc>
          <w:tcPr>
            <w:tcW w:w="711" w:type="dxa"/>
            <w:tcBorders>
              <w:top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14:paraId="0A9B7E46">
            <w:pPr>
              <w:tabs>
                <w:tab w:val="left" w:pos="420"/>
              </w:tabs>
              <w:spacing w:before="0" w:line="20" w:lineRule="atLeast"/>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w:t>
            </w:r>
          </w:p>
        </w:tc>
        <w:tc>
          <w:tcPr>
            <w:tcW w:w="855" w:type="dxa"/>
            <w:tcBorders>
              <w:top w:val="single" w:color="000000" w:sz="12" w:space="0"/>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14:paraId="05848318">
            <w:pPr>
              <w:widowControl w:val="0"/>
              <w:tabs>
                <w:tab w:val="left" w:pos="420"/>
                <w:tab w:val="left" w:pos="840"/>
                <w:tab w:val="left" w:pos="1260"/>
              </w:tabs>
              <w:spacing w:before="0" w:line="20" w:lineRule="atLeast"/>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企业资质</w:t>
            </w:r>
          </w:p>
        </w:tc>
        <w:tc>
          <w:tcPr>
            <w:tcW w:w="4890" w:type="dxa"/>
            <w:tcBorders>
              <w:top w:val="single" w:color="000000" w:sz="12" w:space="0"/>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14:paraId="09F6C6AF">
            <w:pPr>
              <w:spacing w:line="240" w:lineRule="auto"/>
              <w:rPr>
                <w:rFonts w:hint="default"/>
                <w:lang w:val="en-US" w:eastAsia="zh-CN"/>
              </w:rPr>
            </w:pPr>
            <w:r>
              <w:rPr>
                <w:rFonts w:hint="eastAsia" w:ascii="宋体" w:hAnsi="宋体" w:cs="宋体"/>
                <w:kern w:val="2"/>
                <w:sz w:val="21"/>
                <w:szCs w:val="21"/>
                <w:lang w:val="en-US" w:eastAsia="zh-CN"/>
              </w:rPr>
              <w:t>1、近3年（自公告日往前推算），响应单位无行政处罚记录的，得3分，每有一个行政处罚记录扣1分。</w:t>
            </w:r>
          </w:p>
        </w:tc>
        <w:tc>
          <w:tcPr>
            <w:tcW w:w="1485" w:type="dxa"/>
            <w:tcBorders>
              <w:top w:val="single" w:color="000000" w:sz="12" w:space="0"/>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14:paraId="6597EA5E">
            <w:pPr>
              <w:widowControl w:val="0"/>
              <w:tabs>
                <w:tab w:val="left" w:pos="420"/>
                <w:tab w:val="left" w:pos="840"/>
                <w:tab w:val="left" w:pos="1260"/>
              </w:tabs>
              <w:spacing w:before="0" w:line="20" w:lineRule="atLeast"/>
              <w:jc w:val="center"/>
              <w:rPr>
                <w:rFonts w:hint="default" w:ascii="宋体" w:hAnsi="宋体" w:eastAsia="宋体" w:cs="宋体"/>
                <w:kern w:val="2"/>
                <w:sz w:val="21"/>
                <w:szCs w:val="21"/>
                <w:lang w:val="en-US" w:eastAsia="zh-CN"/>
              </w:rPr>
            </w:pPr>
          </w:p>
        </w:tc>
        <w:tc>
          <w:tcPr>
            <w:tcW w:w="927" w:type="dxa"/>
            <w:tcBorders>
              <w:top w:val="single" w:color="000000" w:sz="12" w:space="0"/>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14:paraId="09FA4664">
            <w:pPr>
              <w:widowControl w:val="0"/>
              <w:tabs>
                <w:tab w:val="left" w:pos="420"/>
                <w:tab w:val="left" w:pos="840"/>
                <w:tab w:val="left" w:pos="1260"/>
              </w:tabs>
              <w:spacing w:before="0" w:line="20" w:lineRule="atLeast"/>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3分</w:t>
            </w:r>
          </w:p>
        </w:tc>
      </w:tr>
      <w:tr w14:paraId="6D940464">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CED7E7"/>
          <w:tblCellMar>
            <w:top w:w="0" w:type="dxa"/>
            <w:left w:w="0" w:type="dxa"/>
            <w:bottom w:w="0" w:type="dxa"/>
            <w:right w:w="0" w:type="dxa"/>
          </w:tblCellMar>
        </w:tblPrEx>
        <w:trPr>
          <w:trHeight w:val="3655" w:hRule="atLeast"/>
          <w:jc w:val="center"/>
        </w:trPr>
        <w:tc>
          <w:tcPr>
            <w:tcW w:w="711" w:type="dxa"/>
            <w:tcBorders>
              <w:top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14:paraId="45C62023">
            <w:pPr>
              <w:tabs>
                <w:tab w:val="left" w:pos="420"/>
              </w:tabs>
              <w:spacing w:before="0" w:line="20" w:lineRule="atLeast"/>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3</w:t>
            </w:r>
          </w:p>
        </w:tc>
        <w:tc>
          <w:tcPr>
            <w:tcW w:w="855" w:type="dxa"/>
            <w:tcBorders>
              <w:top w:val="single" w:color="000000" w:sz="12" w:space="0"/>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14:paraId="616EADEB">
            <w:pPr>
              <w:widowControl w:val="0"/>
              <w:tabs>
                <w:tab w:val="left" w:pos="420"/>
                <w:tab w:val="left" w:pos="840"/>
                <w:tab w:val="left" w:pos="1260"/>
              </w:tabs>
              <w:spacing w:before="0" w:line="20" w:lineRule="atLeast"/>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设备技术要求</w:t>
            </w:r>
          </w:p>
        </w:tc>
        <w:tc>
          <w:tcPr>
            <w:tcW w:w="4890" w:type="dxa"/>
            <w:tcBorders>
              <w:top w:val="single" w:color="000000" w:sz="12" w:space="0"/>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14:paraId="22C1DF41">
            <w:pPr>
              <w:widowControl w:val="0"/>
              <w:numPr>
                <w:ilvl w:val="0"/>
                <w:numId w:val="0"/>
              </w:numPr>
              <w:tabs>
                <w:tab w:val="left" w:pos="420"/>
                <w:tab w:val="left" w:pos="840"/>
                <w:tab w:val="left" w:pos="1260"/>
              </w:tabs>
              <w:spacing w:before="0" w:line="20" w:lineRule="atLeast"/>
              <w:jc w:val="left"/>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满足招标文件技术指标及 《电动汽车传导充电系统》（GB/T 18487.1-2015）标准的符合情况，其中采购文件明确的技术参数，由响应单位提供参数说明，标准符合情况应提供对应设备型式试验检测报告，均满足要求的（无负偏离及型式试验无不符合项），且已投保产品责任保险，得16分，每有一项负偏离的扣2分，扣减完为止。</w:t>
            </w:r>
          </w:p>
          <w:p w14:paraId="7D6158FE">
            <w:pPr>
              <w:widowControl w:val="0"/>
              <w:numPr>
                <w:ilvl w:val="0"/>
                <w:numId w:val="0"/>
              </w:numPr>
              <w:tabs>
                <w:tab w:val="left" w:pos="420"/>
                <w:tab w:val="left" w:pos="840"/>
                <w:tab w:val="left" w:pos="1260"/>
              </w:tabs>
              <w:spacing w:before="0" w:line="20" w:lineRule="atLeast"/>
              <w:jc w:val="left"/>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注：1、根据技术参数响应情况进行打分，响应单位需根据采购文件对产品的技术指标、参数要求如实填写技术规格偏离表。</w:t>
            </w:r>
          </w:p>
          <w:p w14:paraId="46AFB80F">
            <w:pPr>
              <w:pStyle w:val="2"/>
              <w:numPr>
                <w:ilvl w:val="0"/>
                <w:numId w:val="1"/>
              </w:numPr>
              <w:rPr>
                <w:rFonts w:hint="eastAsia" w:ascii="宋体" w:hAnsi="宋体" w:cs="宋体"/>
                <w:kern w:val="2"/>
                <w:sz w:val="21"/>
                <w:szCs w:val="21"/>
                <w:lang w:val="en-US" w:eastAsia="zh-CN"/>
              </w:rPr>
            </w:pPr>
            <w:r>
              <w:rPr>
                <w:rFonts w:hint="eastAsia" w:ascii="宋体" w:hAnsi="宋体" w:cs="宋体"/>
                <w:kern w:val="2"/>
                <w:sz w:val="21"/>
                <w:szCs w:val="21"/>
                <w:lang w:val="en-US" w:eastAsia="zh-CN"/>
              </w:rPr>
              <w:t>响应单位应提供拟使用设备的型式试验检测报告</w:t>
            </w:r>
          </w:p>
          <w:p w14:paraId="4250EEC2">
            <w:pPr>
              <w:numPr>
                <w:ilvl w:val="0"/>
                <w:numId w:val="1"/>
              </w:numPr>
              <w:rPr>
                <w:rFonts w:hint="eastAsia"/>
                <w:lang w:val="en-US" w:eastAsia="zh-CN"/>
              </w:rPr>
            </w:pPr>
            <w:r>
              <w:rPr>
                <w:rFonts w:hint="eastAsia"/>
                <w:lang w:val="en-US" w:eastAsia="zh-CN"/>
              </w:rPr>
              <w:t>产品责任保险</w:t>
            </w:r>
          </w:p>
        </w:tc>
        <w:tc>
          <w:tcPr>
            <w:tcW w:w="1485" w:type="dxa"/>
            <w:tcBorders>
              <w:top w:val="single" w:color="000000" w:sz="12" w:space="0"/>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14:paraId="137B642A">
            <w:pPr>
              <w:widowControl w:val="0"/>
              <w:tabs>
                <w:tab w:val="left" w:pos="420"/>
                <w:tab w:val="left" w:pos="840"/>
                <w:tab w:val="left" w:pos="1260"/>
              </w:tabs>
              <w:spacing w:before="0" w:line="20" w:lineRule="atLeast"/>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提供技术参数说明及偏离情况说明</w:t>
            </w:r>
          </w:p>
        </w:tc>
        <w:tc>
          <w:tcPr>
            <w:tcW w:w="927" w:type="dxa"/>
            <w:tcBorders>
              <w:top w:val="single" w:color="000000" w:sz="12" w:space="0"/>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14:paraId="133D9817">
            <w:pPr>
              <w:widowControl w:val="0"/>
              <w:tabs>
                <w:tab w:val="left" w:pos="420"/>
                <w:tab w:val="left" w:pos="840"/>
                <w:tab w:val="left" w:pos="1260"/>
              </w:tabs>
              <w:spacing w:before="0" w:line="20" w:lineRule="atLeast"/>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16分</w:t>
            </w:r>
          </w:p>
        </w:tc>
      </w:tr>
      <w:tr w14:paraId="43A76CA8">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CED7E7"/>
          <w:tblCellMar>
            <w:top w:w="0" w:type="dxa"/>
            <w:left w:w="0" w:type="dxa"/>
            <w:bottom w:w="0" w:type="dxa"/>
            <w:right w:w="0" w:type="dxa"/>
          </w:tblCellMar>
        </w:tblPrEx>
        <w:trPr>
          <w:trHeight w:val="1810" w:hRule="atLeast"/>
          <w:jc w:val="center"/>
        </w:trPr>
        <w:tc>
          <w:tcPr>
            <w:tcW w:w="711" w:type="dxa"/>
            <w:tcBorders>
              <w:top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14:paraId="25E94E67">
            <w:pPr>
              <w:tabs>
                <w:tab w:val="left" w:pos="420"/>
              </w:tabs>
              <w:spacing w:before="0" w:line="20" w:lineRule="atLeast"/>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4</w:t>
            </w:r>
          </w:p>
        </w:tc>
        <w:tc>
          <w:tcPr>
            <w:tcW w:w="855" w:type="dxa"/>
            <w:tcBorders>
              <w:top w:val="single" w:color="000000" w:sz="12" w:space="0"/>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14:paraId="21673B95">
            <w:pPr>
              <w:widowControl w:val="0"/>
              <w:tabs>
                <w:tab w:val="left" w:pos="420"/>
                <w:tab w:val="left" w:pos="840"/>
                <w:tab w:val="left" w:pos="1260"/>
              </w:tabs>
              <w:spacing w:before="0" w:line="20" w:lineRule="atLeast"/>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项目安装实施方案</w:t>
            </w:r>
          </w:p>
        </w:tc>
        <w:tc>
          <w:tcPr>
            <w:tcW w:w="4890" w:type="dxa"/>
            <w:tcBorders>
              <w:top w:val="single" w:color="000000" w:sz="12" w:space="0"/>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14:paraId="5788CE01">
            <w:pPr>
              <w:widowControl w:val="0"/>
              <w:tabs>
                <w:tab w:val="left" w:pos="420"/>
                <w:tab w:val="left" w:pos="840"/>
                <w:tab w:val="left" w:pos="1260"/>
              </w:tabs>
              <w:spacing w:before="0" w:line="20" w:lineRule="atLeast"/>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横向对比项目实施方案，根据项目实际情况，从工期，安全质量保证体系，安全文明施工、充电桩品牌logo可自定义等方面综合评价评优得7-10分，良得4-6分，一般得1-3分，差得0分。</w:t>
            </w:r>
          </w:p>
        </w:tc>
        <w:tc>
          <w:tcPr>
            <w:tcW w:w="1485" w:type="dxa"/>
            <w:tcBorders>
              <w:top w:val="single" w:color="000000" w:sz="12" w:space="0"/>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14:paraId="0C21AC7B">
            <w:pPr>
              <w:widowControl w:val="0"/>
              <w:tabs>
                <w:tab w:val="left" w:pos="420"/>
                <w:tab w:val="left" w:pos="840"/>
                <w:tab w:val="left" w:pos="1260"/>
              </w:tabs>
              <w:spacing w:before="0" w:line="20" w:lineRule="atLeast"/>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提供实施方案</w:t>
            </w:r>
          </w:p>
        </w:tc>
        <w:tc>
          <w:tcPr>
            <w:tcW w:w="927" w:type="dxa"/>
            <w:tcBorders>
              <w:top w:val="single" w:color="000000" w:sz="12" w:space="0"/>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14:paraId="01156BF9">
            <w:pPr>
              <w:widowControl w:val="0"/>
              <w:tabs>
                <w:tab w:val="left" w:pos="420"/>
                <w:tab w:val="left" w:pos="840"/>
                <w:tab w:val="left" w:pos="1260"/>
              </w:tabs>
              <w:spacing w:before="0" w:line="20" w:lineRule="atLeast"/>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10分</w:t>
            </w:r>
          </w:p>
        </w:tc>
      </w:tr>
      <w:tr w14:paraId="5B85BDD8">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CED7E7"/>
          <w:tblCellMar>
            <w:top w:w="0" w:type="dxa"/>
            <w:left w:w="0" w:type="dxa"/>
            <w:bottom w:w="0" w:type="dxa"/>
            <w:right w:w="0" w:type="dxa"/>
          </w:tblCellMar>
        </w:tblPrEx>
        <w:trPr>
          <w:trHeight w:val="1131" w:hRule="atLeast"/>
          <w:jc w:val="center"/>
        </w:trPr>
        <w:tc>
          <w:tcPr>
            <w:tcW w:w="711" w:type="dxa"/>
            <w:tcBorders>
              <w:top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14:paraId="53CB8443">
            <w:pPr>
              <w:tabs>
                <w:tab w:val="left" w:pos="420"/>
              </w:tabs>
              <w:spacing w:before="0" w:line="20" w:lineRule="atLeast"/>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5</w:t>
            </w:r>
          </w:p>
        </w:tc>
        <w:tc>
          <w:tcPr>
            <w:tcW w:w="855" w:type="dxa"/>
            <w:tcBorders>
              <w:top w:val="single" w:color="000000" w:sz="12" w:space="0"/>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14:paraId="1DDFD9B8">
            <w:pPr>
              <w:widowControl w:val="0"/>
              <w:tabs>
                <w:tab w:val="left" w:pos="420"/>
                <w:tab w:val="left" w:pos="840"/>
                <w:tab w:val="left" w:pos="1260"/>
              </w:tabs>
              <w:spacing w:before="0" w:line="20" w:lineRule="atLeast"/>
              <w:jc w:val="both"/>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充电桩平台</w:t>
            </w:r>
          </w:p>
        </w:tc>
        <w:tc>
          <w:tcPr>
            <w:tcW w:w="4890" w:type="dxa"/>
            <w:tcBorders>
              <w:top w:val="single" w:color="000000" w:sz="12" w:space="0"/>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14:paraId="53260D6E">
            <w:pPr>
              <w:pStyle w:val="2"/>
              <w:ind w:left="0" w:leftChars="0" w:firstLine="0" w:firstLineChars="0"/>
              <w:jc w:val="left"/>
              <w:rPr>
                <w:rFonts w:hint="eastAsia" w:asciiTheme="minorEastAsia" w:hAnsiTheme="minorEastAsia" w:eastAsiaTheme="minorEastAsia" w:cstheme="minorEastAsia"/>
                <w:sz w:val="21"/>
                <w:szCs w:val="21"/>
                <w:lang w:val="en-US" w:eastAsia="zh-CN"/>
              </w:rPr>
            </w:pPr>
            <w:r>
              <w:rPr>
                <w:rFonts w:hint="eastAsia"/>
                <w:lang w:val="en-US" w:eastAsia="zh-CN"/>
              </w:rPr>
              <w:t>1</w:t>
            </w:r>
            <w:r>
              <w:rPr>
                <w:rFonts w:hint="eastAsia" w:asciiTheme="minorEastAsia" w:hAnsiTheme="minorEastAsia" w:eastAsiaTheme="minorEastAsia" w:cstheme="minorEastAsia"/>
                <w:sz w:val="21"/>
                <w:szCs w:val="21"/>
                <w:lang w:val="en-US" w:eastAsia="zh-CN"/>
              </w:rPr>
              <w:t>、响应单位是否有自主研发充电运营平台（自有知识产权），有自主平台的得2分；</w:t>
            </w:r>
          </w:p>
          <w:p w14:paraId="3B2A7684">
            <w:pPr>
              <w:rPr>
                <w:rFonts w:hint="default"/>
                <w:lang w:val="en-US" w:eastAsia="zh-CN"/>
              </w:rPr>
            </w:pPr>
            <w:r>
              <w:rPr>
                <w:rFonts w:hint="eastAsia" w:asciiTheme="minorEastAsia" w:hAnsiTheme="minorEastAsia" w:eastAsiaTheme="minorEastAsia" w:cstheme="minorEastAsia"/>
                <w:kern w:val="0"/>
                <w:sz w:val="21"/>
                <w:szCs w:val="21"/>
                <w:lang w:val="en-US" w:eastAsia="zh-CN" w:bidi="ar-SA"/>
              </w:rPr>
              <w:t>2、响应单位</w:t>
            </w:r>
            <w:r>
              <w:rPr>
                <w:rFonts w:hint="eastAsia" w:asciiTheme="minorEastAsia" w:hAnsiTheme="minorEastAsia" w:cstheme="minorEastAsia"/>
                <w:kern w:val="0"/>
                <w:sz w:val="21"/>
                <w:szCs w:val="21"/>
                <w:lang w:val="en-US" w:eastAsia="zh-CN" w:bidi="ar-SA"/>
              </w:rPr>
              <w:t>承诺充电桩能通过设备直连的方式，使用甲方充电平台（龙悦充），并承担相应开发费用，在合同工期内调试上线的得6分，不满足不得分。</w:t>
            </w:r>
          </w:p>
        </w:tc>
        <w:tc>
          <w:tcPr>
            <w:tcW w:w="1485" w:type="dxa"/>
            <w:tcBorders>
              <w:top w:val="single" w:color="000000" w:sz="12" w:space="0"/>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14:paraId="2E983D09">
            <w:pPr>
              <w:widowControl w:val="0"/>
              <w:tabs>
                <w:tab w:val="left" w:pos="420"/>
                <w:tab w:val="left" w:pos="840"/>
                <w:tab w:val="left" w:pos="1260"/>
              </w:tabs>
              <w:spacing w:before="0" w:line="20" w:lineRule="atLeast"/>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提供平台截图、相关知识产权证书及免费使用承诺函及与甲方底层充电系统对接承诺</w:t>
            </w:r>
          </w:p>
        </w:tc>
        <w:tc>
          <w:tcPr>
            <w:tcW w:w="927" w:type="dxa"/>
            <w:tcBorders>
              <w:top w:val="single" w:color="000000" w:sz="12" w:space="0"/>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14:paraId="5CB5BEFF">
            <w:pPr>
              <w:widowControl w:val="0"/>
              <w:tabs>
                <w:tab w:val="left" w:pos="420"/>
                <w:tab w:val="left" w:pos="840"/>
                <w:tab w:val="left" w:pos="1260"/>
              </w:tabs>
              <w:spacing w:before="0" w:line="20" w:lineRule="atLeast"/>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8分</w:t>
            </w:r>
          </w:p>
        </w:tc>
      </w:tr>
      <w:tr w14:paraId="648AE237">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CED7E7"/>
          <w:tblCellMar>
            <w:top w:w="0" w:type="dxa"/>
            <w:left w:w="0" w:type="dxa"/>
            <w:bottom w:w="0" w:type="dxa"/>
            <w:right w:w="0" w:type="dxa"/>
          </w:tblCellMar>
        </w:tblPrEx>
        <w:trPr>
          <w:trHeight w:val="1084" w:hRule="atLeast"/>
          <w:jc w:val="center"/>
        </w:trPr>
        <w:tc>
          <w:tcPr>
            <w:tcW w:w="711" w:type="dxa"/>
            <w:tcBorders>
              <w:top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14:paraId="4CF1A9FE">
            <w:pPr>
              <w:tabs>
                <w:tab w:val="left" w:pos="420"/>
              </w:tabs>
              <w:spacing w:before="0" w:line="20" w:lineRule="atLeast"/>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6</w:t>
            </w:r>
          </w:p>
        </w:tc>
        <w:tc>
          <w:tcPr>
            <w:tcW w:w="855" w:type="dxa"/>
            <w:tcBorders>
              <w:top w:val="single" w:color="000000" w:sz="12" w:space="0"/>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14:paraId="45B526AC">
            <w:pPr>
              <w:widowControl w:val="0"/>
              <w:tabs>
                <w:tab w:val="left" w:pos="420"/>
                <w:tab w:val="left" w:pos="840"/>
                <w:tab w:val="left" w:pos="1260"/>
              </w:tabs>
              <w:spacing w:before="0" w:line="20" w:lineRule="atLeast"/>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项目案例</w:t>
            </w:r>
          </w:p>
        </w:tc>
        <w:tc>
          <w:tcPr>
            <w:tcW w:w="4890" w:type="dxa"/>
            <w:tcBorders>
              <w:top w:val="single" w:color="000000" w:sz="12" w:space="0"/>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14:paraId="1E625C46">
            <w:pPr>
              <w:widowControl w:val="0"/>
              <w:tabs>
                <w:tab w:val="left" w:pos="420"/>
                <w:tab w:val="left" w:pos="840"/>
                <w:tab w:val="left" w:pos="1260"/>
              </w:tabs>
              <w:spacing w:before="0" w:line="20" w:lineRule="atLeast"/>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响应单位近两年（从公告截止之日起倒算）有7KW慢充桩销售或安装业绩，每提供一项得2分，最多提供5项，最高得10分。</w:t>
            </w:r>
          </w:p>
        </w:tc>
        <w:tc>
          <w:tcPr>
            <w:tcW w:w="1485" w:type="dxa"/>
            <w:tcBorders>
              <w:top w:val="single" w:color="000000" w:sz="12" w:space="0"/>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14:paraId="542B6D9F">
            <w:pPr>
              <w:widowControl w:val="0"/>
              <w:tabs>
                <w:tab w:val="left" w:pos="420"/>
                <w:tab w:val="left" w:pos="840"/>
                <w:tab w:val="left" w:pos="1260"/>
              </w:tabs>
              <w:spacing w:before="0" w:line="20" w:lineRule="atLeast"/>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提供项目合同</w:t>
            </w:r>
          </w:p>
        </w:tc>
        <w:tc>
          <w:tcPr>
            <w:tcW w:w="927" w:type="dxa"/>
            <w:tcBorders>
              <w:top w:val="single" w:color="000000" w:sz="12" w:space="0"/>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14:paraId="1AEF3A00">
            <w:pPr>
              <w:widowControl w:val="0"/>
              <w:tabs>
                <w:tab w:val="left" w:pos="420"/>
                <w:tab w:val="left" w:pos="840"/>
                <w:tab w:val="left" w:pos="1260"/>
              </w:tabs>
              <w:spacing w:before="0" w:line="20" w:lineRule="atLeast"/>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10分</w:t>
            </w:r>
          </w:p>
        </w:tc>
      </w:tr>
      <w:tr w14:paraId="7A44B12C">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CED7E7"/>
          <w:tblCellMar>
            <w:top w:w="0" w:type="dxa"/>
            <w:left w:w="0" w:type="dxa"/>
            <w:bottom w:w="0" w:type="dxa"/>
            <w:right w:w="0" w:type="dxa"/>
          </w:tblCellMar>
        </w:tblPrEx>
        <w:trPr>
          <w:trHeight w:val="3651" w:hRule="atLeast"/>
          <w:jc w:val="center"/>
        </w:trPr>
        <w:tc>
          <w:tcPr>
            <w:tcW w:w="711" w:type="dxa"/>
            <w:tcBorders>
              <w:top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14:paraId="5172A95B">
            <w:pPr>
              <w:tabs>
                <w:tab w:val="left" w:pos="420"/>
              </w:tabs>
              <w:spacing w:before="0" w:line="20" w:lineRule="atLeast"/>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7</w:t>
            </w:r>
          </w:p>
        </w:tc>
        <w:tc>
          <w:tcPr>
            <w:tcW w:w="855" w:type="dxa"/>
            <w:tcBorders>
              <w:top w:val="single" w:color="000000" w:sz="12" w:space="0"/>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14:paraId="4393327E">
            <w:pPr>
              <w:widowControl w:val="0"/>
              <w:tabs>
                <w:tab w:val="left" w:pos="420"/>
                <w:tab w:val="left" w:pos="840"/>
                <w:tab w:val="left" w:pos="1260"/>
              </w:tabs>
              <w:spacing w:before="0" w:line="20" w:lineRule="atLeast"/>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售后</w:t>
            </w:r>
            <w:r>
              <w:rPr>
                <w:rFonts w:hint="eastAsia" w:ascii="宋体" w:hAnsi="宋体" w:eastAsia="宋体" w:cs="宋体"/>
                <w:kern w:val="2"/>
                <w:sz w:val="21"/>
                <w:szCs w:val="21"/>
                <w:u w:color="000000"/>
                <w:lang w:val="en-US" w:eastAsia="zh-CN"/>
              </w:rPr>
              <w:t>质保服务</w:t>
            </w:r>
          </w:p>
        </w:tc>
        <w:tc>
          <w:tcPr>
            <w:tcW w:w="4890" w:type="dxa"/>
            <w:tcBorders>
              <w:top w:val="single" w:color="000000" w:sz="12" w:space="0"/>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14:paraId="72C27E7E">
            <w:pPr>
              <w:widowControl w:val="0"/>
              <w:numPr>
                <w:ilvl w:val="0"/>
                <w:numId w:val="2"/>
              </w:numPr>
              <w:tabs>
                <w:tab w:val="left" w:pos="420"/>
                <w:tab w:val="left" w:pos="840"/>
                <w:tab w:val="left" w:pos="1260"/>
                <w:tab w:val="left" w:pos="1680"/>
                <w:tab w:val="left" w:pos="2100"/>
                <w:tab w:val="left" w:pos="2520"/>
                <w:tab w:val="left" w:pos="2940"/>
                <w:tab w:val="left" w:pos="3360"/>
              </w:tabs>
              <w:spacing w:before="0"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质保期：质保期至少为2年，每增加1年，加1分，最多增加2分；</w:t>
            </w:r>
          </w:p>
          <w:p w14:paraId="4E141461">
            <w:pPr>
              <w:widowControl w:val="0"/>
              <w:numPr>
                <w:ilvl w:val="0"/>
                <w:numId w:val="2"/>
              </w:numPr>
              <w:tabs>
                <w:tab w:val="left" w:pos="420"/>
                <w:tab w:val="left" w:pos="840"/>
                <w:tab w:val="left" w:pos="1260"/>
                <w:tab w:val="left" w:pos="1680"/>
                <w:tab w:val="left" w:pos="2100"/>
                <w:tab w:val="left" w:pos="2520"/>
                <w:tab w:val="left" w:pos="2940"/>
                <w:tab w:val="left" w:pos="3360"/>
              </w:tabs>
              <w:spacing w:before="0" w:line="240" w:lineRule="auto"/>
              <w:jc w:val="both"/>
              <w:rPr>
                <w:rFonts w:hint="eastAsia"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在</w:t>
            </w:r>
            <w:r>
              <w:rPr>
                <w:rFonts w:hint="eastAsia" w:ascii="宋体" w:hAnsi="宋体" w:eastAsia="宋体" w:cs="宋体"/>
                <w:kern w:val="2"/>
                <w:sz w:val="21"/>
                <w:szCs w:val="21"/>
                <w:lang w:val="en-US" w:eastAsia="zh-CN" w:bidi="ar-SA"/>
              </w:rPr>
              <w:t>深圳</w:t>
            </w:r>
            <w:r>
              <w:rPr>
                <w:rFonts w:hint="default" w:ascii="宋体" w:hAnsi="宋体" w:eastAsia="宋体" w:cs="宋体"/>
                <w:kern w:val="2"/>
                <w:sz w:val="21"/>
                <w:szCs w:val="21"/>
                <w:lang w:val="en-US" w:eastAsia="zh-CN" w:bidi="ar-SA"/>
              </w:rPr>
              <w:t>市内有固定办公场所</w:t>
            </w:r>
            <w:r>
              <w:rPr>
                <w:rFonts w:hint="eastAsia" w:ascii="宋体" w:hAnsi="宋体" w:eastAsia="宋体" w:cs="宋体"/>
                <w:kern w:val="2"/>
                <w:sz w:val="21"/>
                <w:szCs w:val="21"/>
                <w:lang w:val="en-US" w:eastAsia="zh-CN" w:bidi="ar-SA"/>
              </w:rPr>
              <w:t>，售后服务能在1小时内赶到现场处置的，得2分；</w:t>
            </w:r>
          </w:p>
          <w:p w14:paraId="1C24C542">
            <w:pPr>
              <w:pStyle w:val="2"/>
              <w:numPr>
                <w:ilvl w:val="0"/>
                <w:numId w:val="0"/>
              </w:num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3、根据投标人提供的售后服务方案，售后团队规模及能力的保障措施等情况进行对比：</w:t>
            </w:r>
          </w:p>
          <w:p w14:paraId="05B60E06">
            <w:pPr>
              <w:pStyle w:val="2"/>
              <w:numPr>
                <w:ilvl w:val="0"/>
                <w:numId w:val="0"/>
              </w:num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售后服务方案合理、有针对性、可行性强，售后团队强，服务承诺保证措施充分合理可行的，得</w:t>
            </w:r>
            <w:r>
              <w:rPr>
                <w:rFonts w:hint="eastAsia" w:ascii="宋体" w:hAnsi="宋体" w:cs="宋体"/>
                <w:kern w:val="2"/>
                <w:sz w:val="21"/>
                <w:szCs w:val="21"/>
                <w:lang w:val="en-US" w:eastAsia="zh-CN" w:bidi="ar-SA"/>
              </w:rPr>
              <w:t>4</w:t>
            </w:r>
            <w:r>
              <w:rPr>
                <w:rFonts w:hint="eastAsia" w:ascii="宋体" w:hAnsi="宋体" w:eastAsia="宋体" w:cs="宋体"/>
                <w:kern w:val="2"/>
                <w:sz w:val="21"/>
                <w:szCs w:val="21"/>
                <w:lang w:val="en-US" w:eastAsia="zh-CN" w:bidi="ar-SA"/>
              </w:rPr>
              <w:t>分；</w:t>
            </w:r>
          </w:p>
          <w:p w14:paraId="69C1A09D">
            <w:pPr>
              <w:pStyle w:val="2"/>
              <w:numPr>
                <w:ilvl w:val="0"/>
                <w:numId w:val="0"/>
              </w:num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售后服务方案较简单，售后团队一般，服务承诺保证措施一般的得1分；</w:t>
            </w:r>
          </w:p>
          <w:p w14:paraId="26F8C9FF">
            <w:pPr>
              <w:pStyle w:val="2"/>
              <w:numPr>
                <w:ilvl w:val="0"/>
                <w:numId w:val="0"/>
              </w:numPr>
              <w:spacing w:line="240" w:lineRule="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未提供的不得分。</w:t>
            </w:r>
          </w:p>
        </w:tc>
        <w:tc>
          <w:tcPr>
            <w:tcW w:w="1485" w:type="dxa"/>
            <w:tcBorders>
              <w:top w:val="single" w:color="000000" w:sz="12" w:space="0"/>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14:paraId="53D34F1D">
            <w:pPr>
              <w:widowControl w:val="0"/>
              <w:numPr>
                <w:ilvl w:val="0"/>
                <w:numId w:val="0"/>
              </w:numPr>
              <w:tabs>
                <w:tab w:val="left" w:pos="420"/>
                <w:tab w:val="left" w:pos="840"/>
                <w:tab w:val="left" w:pos="1260"/>
              </w:tabs>
              <w:spacing w:before="0" w:line="20" w:lineRule="atLeast"/>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bidi="ar-SA"/>
              </w:rPr>
              <w:t>1、</w:t>
            </w:r>
            <w:r>
              <w:rPr>
                <w:rFonts w:hint="eastAsia" w:ascii="宋体" w:hAnsi="宋体" w:eastAsia="宋体" w:cs="宋体"/>
                <w:kern w:val="2"/>
                <w:sz w:val="21"/>
                <w:szCs w:val="21"/>
                <w:lang w:val="en-US" w:eastAsia="zh-CN"/>
              </w:rPr>
              <w:t>提供质保期的有关承诺；</w:t>
            </w:r>
          </w:p>
          <w:p w14:paraId="450EC383">
            <w:pPr>
              <w:widowControl w:val="0"/>
              <w:tabs>
                <w:tab w:val="left" w:pos="420"/>
                <w:tab w:val="left" w:pos="840"/>
                <w:tab w:val="left" w:pos="1260"/>
              </w:tabs>
              <w:spacing w:before="0" w:line="20" w:lineRule="atLeast"/>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2、提供租赁合同及响应的承诺</w:t>
            </w:r>
          </w:p>
          <w:p w14:paraId="4D2715C5">
            <w:pPr>
              <w:pStyle w:val="2"/>
              <w:ind w:left="0" w:leftChars="0" w:firstLine="0" w:firstLineChars="0"/>
              <w:rPr>
                <w:rFonts w:hint="default"/>
                <w:lang w:val="en-US" w:eastAsia="zh-CN"/>
              </w:rPr>
            </w:pPr>
            <w:r>
              <w:rPr>
                <w:rFonts w:hint="eastAsia" w:ascii="宋体" w:hAnsi="宋体" w:cs="宋体"/>
                <w:kern w:val="2"/>
                <w:sz w:val="21"/>
                <w:szCs w:val="21"/>
                <w:lang w:val="en-US" w:eastAsia="zh-CN"/>
              </w:rPr>
              <w:t>3、提供售后保障方案</w:t>
            </w:r>
          </w:p>
        </w:tc>
        <w:tc>
          <w:tcPr>
            <w:tcW w:w="927" w:type="dxa"/>
            <w:tcBorders>
              <w:top w:val="single" w:color="000000" w:sz="12" w:space="0"/>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14:paraId="3F1C42AB">
            <w:pPr>
              <w:widowControl w:val="0"/>
              <w:tabs>
                <w:tab w:val="left" w:pos="420"/>
                <w:tab w:val="left" w:pos="840"/>
                <w:tab w:val="left" w:pos="1260"/>
              </w:tabs>
              <w:spacing w:before="0" w:line="20" w:lineRule="atLeast"/>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8分</w:t>
            </w:r>
          </w:p>
        </w:tc>
      </w:tr>
      <w:tr w14:paraId="641155C4">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CED7E7"/>
          <w:tblCellMar>
            <w:top w:w="0" w:type="dxa"/>
            <w:left w:w="0" w:type="dxa"/>
            <w:bottom w:w="0" w:type="dxa"/>
            <w:right w:w="0" w:type="dxa"/>
          </w:tblCellMar>
        </w:tblPrEx>
        <w:trPr>
          <w:trHeight w:val="3651" w:hRule="atLeast"/>
          <w:jc w:val="center"/>
        </w:trPr>
        <w:tc>
          <w:tcPr>
            <w:tcW w:w="711" w:type="dxa"/>
            <w:tcBorders>
              <w:top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14:paraId="44B45D4F">
            <w:pPr>
              <w:tabs>
                <w:tab w:val="left" w:pos="420"/>
              </w:tabs>
              <w:spacing w:before="0" w:line="20" w:lineRule="atLeast"/>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8</w:t>
            </w:r>
          </w:p>
        </w:tc>
        <w:tc>
          <w:tcPr>
            <w:tcW w:w="855" w:type="dxa"/>
            <w:tcBorders>
              <w:top w:val="single" w:color="000000" w:sz="12" w:space="0"/>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14:paraId="39A961C4">
            <w:pPr>
              <w:widowControl w:val="0"/>
              <w:tabs>
                <w:tab w:val="left" w:pos="420"/>
                <w:tab w:val="left" w:pos="840"/>
                <w:tab w:val="left" w:pos="1260"/>
              </w:tabs>
              <w:spacing w:before="0" w:line="20" w:lineRule="atLeast"/>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产品美观度</w:t>
            </w:r>
          </w:p>
        </w:tc>
        <w:tc>
          <w:tcPr>
            <w:tcW w:w="4890" w:type="dxa"/>
            <w:tcBorders>
              <w:top w:val="single" w:color="000000" w:sz="12" w:space="0"/>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14:paraId="57F334C8">
            <w:pPr>
              <w:pStyle w:val="2"/>
              <w:numPr>
                <w:ilvl w:val="0"/>
                <w:numId w:val="0"/>
              </w:num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1、产品美观度较高得8分；</w:t>
            </w:r>
          </w:p>
          <w:p w14:paraId="514733C0">
            <w:pPr>
              <w:pStyle w:val="2"/>
              <w:numPr>
                <w:ilvl w:val="0"/>
                <w:numId w:val="0"/>
              </w:num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2、产品美观度一般得4分；</w:t>
            </w:r>
          </w:p>
          <w:p w14:paraId="0C6B7A26">
            <w:pPr>
              <w:pStyle w:val="2"/>
              <w:numPr>
                <w:ilvl w:val="0"/>
                <w:numId w:val="0"/>
              </w:numPr>
              <w:spacing w:line="240" w:lineRule="auto"/>
              <w:rPr>
                <w:rFonts w:hint="default"/>
                <w:lang w:val="en-US" w:eastAsia="zh-CN"/>
              </w:rPr>
            </w:pPr>
            <w:r>
              <w:rPr>
                <w:rFonts w:hint="eastAsia" w:ascii="宋体" w:hAnsi="宋体" w:eastAsia="宋体" w:cs="宋体"/>
                <w:kern w:val="2"/>
                <w:sz w:val="21"/>
                <w:szCs w:val="21"/>
                <w:lang w:val="en-US" w:eastAsia="zh-CN" w:bidi="ar-SA"/>
              </w:rPr>
              <w:t>3、产品美观度差得0分。</w:t>
            </w:r>
          </w:p>
        </w:tc>
        <w:tc>
          <w:tcPr>
            <w:tcW w:w="1485" w:type="dxa"/>
            <w:tcBorders>
              <w:top w:val="single" w:color="000000" w:sz="12" w:space="0"/>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14:paraId="44E175F3">
            <w:pPr>
              <w:pStyle w:val="2"/>
              <w:ind w:left="0" w:leftChars="0" w:firstLine="0" w:firstLineChars="0"/>
              <w:rPr>
                <w:rFonts w:hint="default" w:ascii="宋体" w:hAnsi="宋体" w:cs="宋体"/>
                <w:kern w:val="2"/>
                <w:sz w:val="21"/>
                <w:szCs w:val="21"/>
                <w:lang w:val="en-US" w:eastAsia="zh-CN"/>
              </w:rPr>
            </w:pPr>
            <w:r>
              <w:rPr>
                <w:rFonts w:hint="eastAsia" w:ascii="宋体" w:hAnsi="宋体" w:cs="宋体"/>
                <w:kern w:val="2"/>
                <w:sz w:val="21"/>
                <w:szCs w:val="21"/>
                <w:lang w:val="en-US" w:eastAsia="zh-CN"/>
              </w:rPr>
              <w:t>要求提供产品图片（丝印城投LOGO）</w:t>
            </w:r>
          </w:p>
        </w:tc>
        <w:tc>
          <w:tcPr>
            <w:tcW w:w="927" w:type="dxa"/>
            <w:tcBorders>
              <w:top w:val="single" w:color="000000" w:sz="12" w:space="0"/>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14:paraId="03390B44">
            <w:pPr>
              <w:widowControl w:val="0"/>
              <w:tabs>
                <w:tab w:val="left" w:pos="420"/>
                <w:tab w:val="left" w:pos="840"/>
                <w:tab w:val="left" w:pos="1260"/>
              </w:tabs>
              <w:spacing w:before="0" w:line="20" w:lineRule="atLeast"/>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8分</w:t>
            </w:r>
          </w:p>
        </w:tc>
      </w:tr>
      <w:tr w14:paraId="2A7C8550">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CED7E7"/>
          <w:tblCellMar>
            <w:top w:w="0" w:type="dxa"/>
            <w:left w:w="0" w:type="dxa"/>
            <w:bottom w:w="0" w:type="dxa"/>
            <w:right w:w="0" w:type="dxa"/>
          </w:tblCellMar>
        </w:tblPrEx>
        <w:trPr>
          <w:trHeight w:val="1276" w:hRule="atLeast"/>
          <w:jc w:val="center"/>
        </w:trPr>
        <w:tc>
          <w:tcPr>
            <w:tcW w:w="711" w:type="dxa"/>
            <w:tcBorders>
              <w:top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14:paraId="28B7E98B">
            <w:pPr>
              <w:tabs>
                <w:tab w:val="left" w:pos="420"/>
              </w:tabs>
              <w:spacing w:before="0" w:line="20" w:lineRule="atLeast"/>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9</w:t>
            </w:r>
          </w:p>
        </w:tc>
        <w:tc>
          <w:tcPr>
            <w:tcW w:w="855" w:type="dxa"/>
            <w:tcBorders>
              <w:top w:val="single" w:color="000000" w:sz="12" w:space="0"/>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14:paraId="55935FA6">
            <w:pPr>
              <w:widowControl w:val="0"/>
              <w:tabs>
                <w:tab w:val="left" w:pos="420"/>
                <w:tab w:val="left" w:pos="840"/>
                <w:tab w:val="left" w:pos="1260"/>
              </w:tabs>
              <w:spacing w:before="0" w:line="2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rPr>
              <w:t>响应文件编制质量</w:t>
            </w:r>
          </w:p>
        </w:tc>
        <w:tc>
          <w:tcPr>
            <w:tcW w:w="4890" w:type="dxa"/>
            <w:tcBorders>
              <w:top w:val="single" w:color="000000" w:sz="12" w:space="0"/>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14:paraId="1578774E">
            <w:pPr>
              <w:widowControl w:val="0"/>
              <w:tabs>
                <w:tab w:val="left" w:pos="420"/>
                <w:tab w:val="left" w:pos="840"/>
                <w:tab w:val="left" w:pos="1260"/>
              </w:tabs>
              <w:spacing w:before="0" w:line="20" w:lineRule="atLeast"/>
              <w:jc w:val="left"/>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1、响应文件有缺漏项或出现前后不一致但未导致实质性偏离的；</w:t>
            </w:r>
          </w:p>
          <w:p w14:paraId="350EC213">
            <w:pPr>
              <w:widowControl w:val="0"/>
              <w:tabs>
                <w:tab w:val="left" w:pos="420"/>
                <w:tab w:val="left" w:pos="840"/>
                <w:tab w:val="left" w:pos="1260"/>
              </w:tabs>
              <w:spacing w:before="0" w:line="20" w:lineRule="atLeast"/>
              <w:jc w:val="left"/>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2、响应文件资料扫描不清晰的；</w:t>
            </w:r>
          </w:p>
          <w:p w14:paraId="3C521891">
            <w:pPr>
              <w:widowControl w:val="0"/>
              <w:tabs>
                <w:tab w:val="left" w:pos="420"/>
                <w:tab w:val="left" w:pos="840"/>
                <w:tab w:val="left" w:pos="1260"/>
              </w:tabs>
              <w:spacing w:before="0" w:line="20" w:lineRule="atLeast"/>
              <w:jc w:val="left"/>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3、响应文件未按节点编排的。</w:t>
            </w:r>
          </w:p>
          <w:p w14:paraId="1766E1FC">
            <w:pPr>
              <w:widowControl w:val="0"/>
              <w:tabs>
                <w:tab w:val="left" w:pos="420"/>
                <w:tab w:val="left" w:pos="840"/>
                <w:tab w:val="left" w:pos="1260"/>
              </w:tabs>
              <w:spacing w:before="0" w:line="2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rPr>
              <w:t>以上情况每出现一种扣1分，最低0分。无上述情况本项得2分。</w:t>
            </w:r>
          </w:p>
        </w:tc>
        <w:tc>
          <w:tcPr>
            <w:tcW w:w="1485" w:type="dxa"/>
            <w:tcBorders>
              <w:top w:val="single" w:color="000000" w:sz="12" w:space="0"/>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14:paraId="03D9C6F9">
            <w:pPr>
              <w:widowControl w:val="0"/>
              <w:tabs>
                <w:tab w:val="left" w:pos="420"/>
                <w:tab w:val="left" w:pos="840"/>
                <w:tab w:val="left" w:pos="1260"/>
              </w:tabs>
              <w:spacing w:before="0" w:line="2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rPr>
              <w:t>提供完整投标文件</w:t>
            </w:r>
          </w:p>
        </w:tc>
        <w:tc>
          <w:tcPr>
            <w:tcW w:w="927" w:type="dxa"/>
            <w:tcBorders>
              <w:top w:val="single" w:color="000000" w:sz="12" w:space="0"/>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14:paraId="654A29D2">
            <w:pPr>
              <w:widowControl w:val="0"/>
              <w:tabs>
                <w:tab w:val="left" w:pos="420"/>
                <w:tab w:val="left" w:pos="840"/>
                <w:tab w:val="left" w:pos="1260"/>
              </w:tabs>
              <w:spacing w:before="0" w:line="2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rPr>
              <w:t>2分</w:t>
            </w:r>
          </w:p>
        </w:tc>
      </w:tr>
      <w:tr w14:paraId="2E55777C">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CED7E7"/>
          <w:tblCellMar>
            <w:top w:w="0" w:type="dxa"/>
            <w:left w:w="0" w:type="dxa"/>
            <w:bottom w:w="0" w:type="dxa"/>
            <w:right w:w="0" w:type="dxa"/>
          </w:tblCellMar>
        </w:tblPrEx>
        <w:trPr>
          <w:trHeight w:val="347" w:hRule="atLeast"/>
          <w:jc w:val="center"/>
        </w:trPr>
        <w:tc>
          <w:tcPr>
            <w:tcW w:w="7941" w:type="dxa"/>
            <w:gridSpan w:val="4"/>
            <w:tcBorders>
              <w:top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14:paraId="187EF2FA">
            <w:pPr>
              <w:widowControl w:val="0"/>
              <w:tabs>
                <w:tab w:val="left" w:pos="420"/>
                <w:tab w:val="left" w:pos="840"/>
                <w:tab w:val="left" w:pos="1260"/>
              </w:tabs>
              <w:spacing w:before="0" w:line="20" w:lineRule="atLeast"/>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合计</w:t>
            </w:r>
          </w:p>
        </w:tc>
        <w:tc>
          <w:tcPr>
            <w:tcW w:w="927" w:type="dxa"/>
            <w:tcBorders>
              <w:top w:val="single" w:color="000000" w:sz="12" w:space="0"/>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14:paraId="3C67A9B8">
            <w:pPr>
              <w:widowControl w:val="0"/>
              <w:tabs>
                <w:tab w:val="left" w:pos="420"/>
                <w:tab w:val="left" w:pos="840"/>
                <w:tab w:val="left" w:pos="1260"/>
              </w:tabs>
              <w:spacing w:before="0" w:line="20" w:lineRule="atLeast"/>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100分</w:t>
            </w:r>
          </w:p>
        </w:tc>
      </w:tr>
      <w:tr w14:paraId="1369C7C3">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CED7E7"/>
          <w:tblCellMar>
            <w:top w:w="0" w:type="dxa"/>
            <w:left w:w="0" w:type="dxa"/>
            <w:bottom w:w="0" w:type="dxa"/>
            <w:right w:w="0" w:type="dxa"/>
          </w:tblCellMar>
        </w:tblPrEx>
        <w:trPr>
          <w:trHeight w:val="767" w:hRule="atLeast"/>
          <w:jc w:val="center"/>
        </w:trPr>
        <w:tc>
          <w:tcPr>
            <w:tcW w:w="7941" w:type="dxa"/>
            <w:gridSpan w:val="4"/>
            <w:tcBorders>
              <w:top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14:paraId="50F1D1AD">
            <w:pPr>
              <w:widowControl w:val="0"/>
              <w:tabs>
                <w:tab w:val="left" w:pos="420"/>
                <w:tab w:val="left" w:pos="840"/>
                <w:tab w:val="left" w:pos="1260"/>
              </w:tabs>
              <w:spacing w:before="0" w:line="20" w:lineRule="atLeast"/>
              <w:jc w:val="center"/>
              <w:rPr>
                <w:rFonts w:hint="eastAsia" w:ascii="宋体" w:hAnsi="宋体" w:eastAsia="宋体" w:cs="宋体"/>
                <w:kern w:val="2"/>
                <w:sz w:val="21"/>
                <w:szCs w:val="21"/>
                <w:lang w:val="en-US" w:eastAsia="zh-CN"/>
              </w:rPr>
            </w:pPr>
            <w:r>
              <w:rPr>
                <w:rFonts w:hint="eastAsia" w:ascii="宋体" w:hAnsi="宋体" w:eastAsia="宋体" w:cs="宋体"/>
                <w:b/>
                <w:bCs/>
                <w:kern w:val="2"/>
                <w:sz w:val="21"/>
                <w:szCs w:val="21"/>
                <w:lang w:val="en-US" w:eastAsia="zh-CN"/>
              </w:rPr>
              <w:t>拟推荐成交候选供应商（原则推荐评审综合得分最高的单位）</w:t>
            </w:r>
          </w:p>
        </w:tc>
        <w:tc>
          <w:tcPr>
            <w:tcW w:w="927" w:type="dxa"/>
            <w:tcBorders>
              <w:top w:val="single" w:color="000000" w:sz="12" w:space="0"/>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14:paraId="0254EEAB">
            <w:pPr>
              <w:widowControl w:val="0"/>
              <w:tabs>
                <w:tab w:val="left" w:pos="420"/>
                <w:tab w:val="left" w:pos="840"/>
                <w:tab w:val="left" w:pos="1260"/>
              </w:tabs>
              <w:spacing w:before="0" w:line="20" w:lineRule="atLeast"/>
              <w:jc w:val="center"/>
              <w:rPr>
                <w:rFonts w:hint="eastAsia" w:ascii="宋体" w:hAnsi="宋体" w:eastAsia="宋体" w:cs="宋体"/>
                <w:kern w:val="2"/>
                <w:sz w:val="21"/>
                <w:szCs w:val="21"/>
                <w:lang w:val="en-US" w:eastAsia="zh-CN"/>
              </w:rPr>
            </w:pPr>
          </w:p>
        </w:tc>
      </w:tr>
    </w:tbl>
    <w:p w14:paraId="796D8498">
      <w:pPr>
        <w:jc w:val="center"/>
        <w:rPr>
          <w:rFonts w:hint="eastAsia"/>
          <w:sz w:val="28"/>
          <w:szCs w:val="36"/>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ingFang SC Regular">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4FF8A1"/>
    <w:multiLevelType w:val="singleLevel"/>
    <w:tmpl w:val="CF4FF8A1"/>
    <w:lvl w:ilvl="0" w:tentative="0">
      <w:start w:val="1"/>
      <w:numFmt w:val="decimal"/>
      <w:suff w:val="nothing"/>
      <w:lvlText w:val="%1、"/>
      <w:lvlJc w:val="left"/>
    </w:lvl>
  </w:abstractNum>
  <w:abstractNum w:abstractNumId="1">
    <w:nsid w:val="1B499994"/>
    <w:multiLevelType w:val="singleLevel"/>
    <w:tmpl w:val="1B499994"/>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iNGNjNjM3ODE4NzI2YjgzZTk4NzhkNDlkYmU0YzUifQ=="/>
  </w:docVars>
  <w:rsids>
    <w:rsidRoot w:val="00000000"/>
    <w:rsid w:val="09734036"/>
    <w:rsid w:val="0D6426A0"/>
    <w:rsid w:val="1096257C"/>
    <w:rsid w:val="10E749B4"/>
    <w:rsid w:val="117E487B"/>
    <w:rsid w:val="12BF5EFF"/>
    <w:rsid w:val="17C80E27"/>
    <w:rsid w:val="206E1226"/>
    <w:rsid w:val="209B18D8"/>
    <w:rsid w:val="20F572B3"/>
    <w:rsid w:val="220515DB"/>
    <w:rsid w:val="2A9E2ED5"/>
    <w:rsid w:val="36810653"/>
    <w:rsid w:val="48D8201E"/>
    <w:rsid w:val="4C092654"/>
    <w:rsid w:val="4FD9151E"/>
    <w:rsid w:val="50EE41C3"/>
    <w:rsid w:val="51F003FF"/>
    <w:rsid w:val="548B2763"/>
    <w:rsid w:val="54F93A6F"/>
    <w:rsid w:val="5D9E3405"/>
    <w:rsid w:val="62D9469E"/>
    <w:rsid w:val="651A1B10"/>
    <w:rsid w:val="67CD4DA0"/>
    <w:rsid w:val="6AAC3550"/>
    <w:rsid w:val="6D671359"/>
    <w:rsid w:val="738D2BE1"/>
    <w:rsid w:val="757F7CCC"/>
    <w:rsid w:val="75B37548"/>
    <w:rsid w:val="7EBC0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widowControl/>
      <w:spacing w:after="100" w:line="276" w:lineRule="auto"/>
      <w:ind w:left="220"/>
      <w:jc w:val="left"/>
    </w:pPr>
    <w:rPr>
      <w:rFonts w:ascii="Calibri" w:hAnsi="Calibri" w:eastAsia="宋体" w:cs="Times New Roman"/>
      <w:kern w:val="0"/>
      <w:sz w:val="22"/>
      <w:szCs w:val="22"/>
    </w:rPr>
  </w:style>
  <w:style w:type="table" w:customStyle="1" w:styleId="5">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1281</Words>
  <Characters>1320</Characters>
  <Lines>0</Lines>
  <Paragraphs>0</Paragraphs>
  <TotalTime>19</TotalTime>
  <ScaleCrop>false</ScaleCrop>
  <LinksUpToDate>false</LinksUpToDate>
  <CharactersWithSpaces>1322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2023-04-26T11:31:00Z</dcterms:created>
  <dc:creator>Administrator</dc:creator>
  <cp:lastModifiedBy>红旗下的蛋</cp:lastModifiedBy>
  <dcterms:modified xsi:type="dcterms:W3CDTF">2024-11-07T08:45:45Z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5993D048A829412CBDF6C141787F3403_13</vt:lpwstr>
  </property>
</Properties>
</file>