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8A85D">
      <w:pPr>
        <w:keepNext/>
        <w:keepLines/>
        <w:pageBreakBefore w:val="0"/>
        <w:widowControl w:val="0"/>
        <w:kinsoku/>
        <w:wordWrap/>
        <w:overflowPunct/>
        <w:topLinePunct w:val="0"/>
        <w:autoSpaceDE/>
        <w:autoSpaceDN/>
        <w:bidi w:val="0"/>
        <w:adjustRightInd/>
        <w:snapToGrid/>
        <w:spacing w:before="156" w:after="156" w:line="400" w:lineRule="exact"/>
        <w:jc w:val="left"/>
        <w:textAlignment w:val="auto"/>
        <w:outlineLvl w:val="0"/>
        <w:rPr>
          <w:rFonts w:hint="eastAsia" w:ascii="仿宋_GB2312" w:eastAsia="仿宋_GB2312"/>
          <w:b/>
          <w:bCs/>
          <w:sz w:val="30"/>
          <w:szCs w:val="30"/>
          <w:lang w:eastAsia="zh-CN"/>
        </w:rPr>
      </w:pPr>
      <w:bookmarkStart w:id="4" w:name="_GoBack"/>
      <w:r>
        <w:rPr>
          <w:rFonts w:hint="eastAsia" w:ascii="仿宋_GB2312" w:eastAsia="仿宋_GB2312"/>
          <w:b/>
          <w:bCs/>
          <w:sz w:val="30"/>
          <w:szCs w:val="30"/>
          <w:lang w:eastAsia="zh-CN"/>
        </w:rPr>
        <w:t>附件二：综合评分表</w:t>
      </w:r>
    </w:p>
    <w:bookmarkEnd w:id="4"/>
    <w:p w14:paraId="16603C99">
      <w:pPr>
        <w:pStyle w:val="6"/>
        <w:rPr>
          <w:rFonts w:hint="eastAsia"/>
          <w:lang w:eastAsia="zh-CN"/>
        </w:rPr>
      </w:pPr>
    </w:p>
    <w:p w14:paraId="18D2F1F6">
      <w:pPr>
        <w:keepNext/>
        <w:keepLines/>
        <w:pageBreakBefore w:val="0"/>
        <w:widowControl w:val="0"/>
        <w:kinsoku/>
        <w:wordWrap/>
        <w:overflowPunct/>
        <w:topLinePunct w:val="0"/>
        <w:autoSpaceDE/>
        <w:autoSpaceDN/>
        <w:bidi w:val="0"/>
        <w:adjustRightInd/>
        <w:snapToGrid/>
        <w:spacing w:before="156" w:after="156" w:line="400" w:lineRule="exact"/>
        <w:jc w:val="center"/>
        <w:textAlignment w:val="auto"/>
        <w:outlineLvl w:val="0"/>
        <w:rPr>
          <w:rFonts w:hint="eastAsia" w:eastAsia="宋体"/>
          <w:sz w:val="36"/>
          <w:szCs w:val="36"/>
          <w:lang w:val="en-US" w:eastAsia="zh-CN"/>
        </w:rPr>
      </w:pPr>
      <w:r>
        <w:rPr>
          <w:rFonts w:eastAsia="PingFang SC Regular"/>
          <w:sz w:val="36"/>
          <w:szCs w:val="36"/>
          <w:lang w:val="zh-CN" w:eastAsia="zh-CN"/>
        </w:rPr>
        <w:t>城投集团</w:t>
      </w:r>
      <w:r>
        <w:rPr>
          <w:rFonts w:hint="eastAsia" w:eastAsia="宋体"/>
          <w:sz w:val="36"/>
          <w:szCs w:val="36"/>
          <w:lang w:val="en-US" w:eastAsia="zh-CN"/>
        </w:rPr>
        <w:t>发行公司债资信评级机构服务采购</w:t>
      </w:r>
    </w:p>
    <w:p w14:paraId="145916B6">
      <w:pPr>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before="0" w:line="400" w:lineRule="exact"/>
        <w:jc w:val="center"/>
        <w:textAlignment w:val="auto"/>
        <w:rPr>
          <w:rFonts w:eastAsia="PingFang SC Regular"/>
          <w:kern w:val="2"/>
          <w:sz w:val="36"/>
          <w:szCs w:val="36"/>
        </w:rPr>
      </w:pPr>
      <w:r>
        <w:rPr>
          <w:rFonts w:eastAsia="PingFang SC Regular"/>
          <w:kern w:val="2"/>
          <w:sz w:val="36"/>
          <w:szCs w:val="36"/>
        </w:rPr>
        <w:t>综合评分表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472"/>
        <w:gridCol w:w="4007"/>
        <w:gridCol w:w="689"/>
        <w:gridCol w:w="687"/>
        <w:gridCol w:w="674"/>
        <w:gridCol w:w="664"/>
      </w:tblGrid>
      <w:tr w14:paraId="3FFF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1797"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14:paraId="4DB2C817">
            <w:pPr>
              <w:snapToGrid w:val="0"/>
              <w:jc w:val="center"/>
              <w:rPr>
                <w:rFonts w:ascii="宋体" w:hAnsi="宋体"/>
                <w:b/>
                <w:color w:val="000000"/>
                <w:kern w:val="0"/>
                <w:sz w:val="21"/>
                <w:szCs w:val="24"/>
              </w:rPr>
            </w:pPr>
            <w:r>
              <w:rPr>
                <w:rFonts w:hint="eastAsia" w:ascii="宋体" w:hAnsi="宋体"/>
                <w:b/>
                <w:color w:val="000000"/>
                <w:kern w:val="0"/>
                <w:sz w:val="21"/>
                <w:szCs w:val="24"/>
              </w:rPr>
              <w:t>评审因素</w:t>
            </w:r>
          </w:p>
        </w:tc>
        <w:tc>
          <w:tcPr>
            <w:tcW w:w="400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2E0735DF">
            <w:pPr>
              <w:snapToGrid w:val="0"/>
              <w:jc w:val="center"/>
              <w:rPr>
                <w:rFonts w:ascii="宋体" w:hAnsi="宋体"/>
                <w:b/>
                <w:color w:val="000000"/>
                <w:kern w:val="0"/>
                <w:sz w:val="21"/>
                <w:szCs w:val="24"/>
              </w:rPr>
            </w:pPr>
            <w:r>
              <w:rPr>
                <w:rFonts w:hint="eastAsia" w:ascii="宋体" w:hAnsi="宋体"/>
                <w:b/>
                <w:color w:val="000000"/>
                <w:kern w:val="0"/>
                <w:sz w:val="21"/>
                <w:szCs w:val="24"/>
              </w:rPr>
              <w:t>评分标准</w:t>
            </w:r>
          </w:p>
        </w:tc>
        <w:tc>
          <w:tcPr>
            <w:tcW w:w="689"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5A439B93">
            <w:pPr>
              <w:snapToGrid w:val="0"/>
              <w:ind w:left="-74" w:leftChars="-57" w:right="-107" w:rightChars="-51" w:hanging="46"/>
              <w:jc w:val="center"/>
              <w:rPr>
                <w:rFonts w:ascii="宋体" w:hAnsi="宋体"/>
                <w:b/>
                <w:sz w:val="21"/>
                <w:szCs w:val="21"/>
                <w:lang w:val="en-GB"/>
              </w:rPr>
            </w:pPr>
            <w:r>
              <w:rPr>
                <w:rFonts w:hint="eastAsia" w:ascii="宋体" w:hAnsi="宋体"/>
                <w:b/>
                <w:sz w:val="21"/>
                <w:szCs w:val="21"/>
                <w:lang w:val="en-GB"/>
              </w:rPr>
              <w:t>满分值</w:t>
            </w:r>
          </w:p>
        </w:tc>
        <w:tc>
          <w:tcPr>
            <w:tcW w:w="68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43518657">
            <w:pPr>
              <w:snapToGrid w:val="0"/>
              <w:ind w:left="-74" w:leftChars="-57" w:right="-107" w:rightChars="-51" w:hanging="46"/>
              <w:jc w:val="center"/>
              <w:rPr>
                <w:rFonts w:hint="eastAsia" w:ascii="宋体" w:hAnsi="宋体" w:eastAsia="宋体"/>
                <w:b/>
                <w:sz w:val="21"/>
                <w:szCs w:val="21"/>
                <w:lang w:val="en-US" w:eastAsia="zh-CN"/>
              </w:rPr>
            </w:pPr>
            <w:r>
              <w:rPr>
                <w:rFonts w:hint="eastAsia" w:ascii="宋体" w:hAnsi="宋体"/>
                <w:b/>
                <w:sz w:val="21"/>
                <w:szCs w:val="21"/>
                <w:lang w:val="en-GB" w:eastAsia="zh-CN"/>
              </w:rPr>
              <w:t>单位</w:t>
            </w:r>
            <w:r>
              <w:rPr>
                <w:rFonts w:hint="eastAsia" w:ascii="宋体" w:hAnsi="宋体"/>
                <w:b/>
                <w:sz w:val="21"/>
                <w:szCs w:val="21"/>
                <w:lang w:val="en-US" w:eastAsia="zh-CN"/>
              </w:rPr>
              <w:t>A</w:t>
            </w:r>
          </w:p>
        </w:tc>
        <w:tc>
          <w:tcPr>
            <w:tcW w:w="67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2CA2339D">
            <w:pPr>
              <w:snapToGrid w:val="0"/>
              <w:ind w:left="-74" w:leftChars="-57" w:right="-107" w:rightChars="-51" w:hanging="46"/>
              <w:jc w:val="center"/>
              <w:rPr>
                <w:rFonts w:hint="eastAsia" w:ascii="宋体" w:hAnsi="宋体" w:eastAsia="宋体"/>
                <w:b/>
                <w:sz w:val="21"/>
                <w:szCs w:val="21"/>
                <w:lang w:val="en-US" w:eastAsia="zh-CN"/>
              </w:rPr>
            </w:pPr>
            <w:r>
              <w:rPr>
                <w:rFonts w:hint="eastAsia" w:ascii="宋体" w:hAnsi="宋体"/>
                <w:b/>
                <w:sz w:val="21"/>
                <w:szCs w:val="21"/>
                <w:lang w:val="en-US" w:eastAsia="zh-CN"/>
              </w:rPr>
              <w:t>单位B</w:t>
            </w:r>
          </w:p>
        </w:tc>
        <w:tc>
          <w:tcPr>
            <w:tcW w:w="66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14:paraId="5A509E62">
            <w:pPr>
              <w:snapToGrid w:val="0"/>
              <w:ind w:left="-74" w:leftChars="-57" w:right="-107" w:rightChars="-51" w:hanging="46"/>
              <w:jc w:val="center"/>
              <w:rPr>
                <w:rFonts w:hint="eastAsia" w:ascii="宋体" w:hAnsi="宋体" w:eastAsia="宋体"/>
                <w:b/>
                <w:sz w:val="21"/>
                <w:szCs w:val="21"/>
                <w:lang w:val="en-US" w:eastAsia="zh-CN"/>
              </w:rPr>
            </w:pPr>
            <w:r>
              <w:rPr>
                <w:rFonts w:hint="eastAsia" w:ascii="宋体" w:hAnsi="宋体"/>
                <w:b/>
                <w:sz w:val="21"/>
                <w:szCs w:val="21"/>
                <w:lang w:val="en-US" w:eastAsia="zh-CN"/>
              </w:rPr>
              <w:t>单位C</w:t>
            </w:r>
          </w:p>
        </w:tc>
      </w:tr>
      <w:tr w14:paraId="7A4D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699E7732">
            <w:pPr>
              <w:spacing w:line="288" w:lineRule="auto"/>
              <w:jc w:val="center"/>
              <w:rPr>
                <w:rFonts w:ascii="宋体" w:hAnsi="宋体"/>
                <w:color w:val="000000"/>
                <w:kern w:val="0"/>
                <w:sz w:val="21"/>
                <w:szCs w:val="24"/>
              </w:rPr>
            </w:pPr>
            <w:r>
              <w:rPr>
                <w:rFonts w:hint="eastAsia" w:ascii="宋体" w:hAnsi="宋体"/>
                <w:color w:val="000000"/>
                <w:kern w:val="0"/>
                <w:sz w:val="21"/>
                <w:szCs w:val="24"/>
              </w:rPr>
              <w:t>1</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C3BA1D">
            <w:pPr>
              <w:tabs>
                <w:tab w:val="left" w:pos="458"/>
              </w:tabs>
              <w:snapToGrid w:val="0"/>
              <w:jc w:val="center"/>
              <w:rPr>
                <w:rFonts w:ascii="宋体" w:hAnsi="宋体" w:cs="宋体"/>
                <w:color w:val="000000"/>
                <w:kern w:val="1"/>
                <w:sz w:val="21"/>
                <w:szCs w:val="21"/>
              </w:rPr>
            </w:pPr>
            <w:r>
              <w:rPr>
                <w:rFonts w:hint="eastAsia" w:ascii="宋体" w:hAnsi="宋体" w:cs="宋体"/>
                <w:color w:val="000000"/>
                <w:kern w:val="1"/>
                <w:sz w:val="21"/>
                <w:szCs w:val="21"/>
              </w:rPr>
              <w:t>服务方案</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702AEDA8">
            <w:pPr>
              <w:spacing w:line="276" w:lineRule="auto"/>
              <w:rPr>
                <w:rFonts w:ascii="宋体" w:hAnsi="宋体" w:cs="宋体"/>
                <w:color w:val="000000"/>
                <w:kern w:val="1"/>
                <w:sz w:val="21"/>
                <w:szCs w:val="21"/>
              </w:rPr>
            </w:pPr>
            <w:r>
              <w:rPr>
                <w:rFonts w:hint="eastAsia" w:ascii="宋体" w:hAnsi="宋体" w:cs="宋体"/>
                <w:color w:val="000000"/>
                <w:kern w:val="1"/>
                <w:sz w:val="21"/>
                <w:szCs w:val="21"/>
              </w:rPr>
              <w:t>为本次企业主体评级提供评级服务方案，评委根据服务方案的详尽程度、合理性、可行性等要素进行综合评分：</w:t>
            </w:r>
          </w:p>
          <w:p w14:paraId="33903EBA">
            <w:pPr>
              <w:rPr>
                <w:rFonts w:ascii="宋体" w:hAnsi="宋体" w:cs="宋体"/>
                <w:color w:val="000000"/>
                <w:kern w:val="1"/>
                <w:sz w:val="21"/>
                <w:szCs w:val="21"/>
              </w:rPr>
            </w:pPr>
            <w:r>
              <w:rPr>
                <w:rFonts w:hint="eastAsia" w:ascii="宋体" w:hAnsi="宋体" w:cs="宋体"/>
                <w:color w:val="000000"/>
                <w:kern w:val="1"/>
                <w:sz w:val="21"/>
                <w:szCs w:val="21"/>
              </w:rPr>
              <w:t>1.整体服务方案全面、具体、科学合理、可行性强，得</w:t>
            </w:r>
            <w:r>
              <w:rPr>
                <w:rFonts w:ascii="宋体" w:hAnsi="宋体" w:cs="宋体"/>
                <w:color w:val="000000"/>
                <w:kern w:val="1"/>
                <w:sz w:val="21"/>
                <w:szCs w:val="21"/>
              </w:rPr>
              <w:t>10</w:t>
            </w:r>
            <w:r>
              <w:rPr>
                <w:rFonts w:hint="eastAsia" w:ascii="宋体" w:hAnsi="宋体" w:cs="宋体"/>
                <w:color w:val="000000"/>
                <w:kern w:val="1"/>
                <w:sz w:val="21"/>
                <w:szCs w:val="21"/>
              </w:rPr>
              <w:t>分；</w:t>
            </w:r>
          </w:p>
          <w:p w14:paraId="2B60C102">
            <w:pPr>
              <w:rPr>
                <w:rFonts w:ascii="宋体" w:hAnsi="宋体" w:cs="宋体"/>
                <w:color w:val="000000"/>
                <w:kern w:val="1"/>
                <w:sz w:val="21"/>
                <w:szCs w:val="21"/>
              </w:rPr>
            </w:pPr>
            <w:r>
              <w:rPr>
                <w:rFonts w:hint="eastAsia" w:ascii="宋体" w:hAnsi="宋体" w:cs="宋体"/>
                <w:color w:val="000000"/>
                <w:kern w:val="1"/>
                <w:sz w:val="21"/>
                <w:szCs w:val="21"/>
              </w:rPr>
              <w:t>2.整体服务方案较全面、合理、可行性较强，得</w:t>
            </w:r>
            <w:r>
              <w:rPr>
                <w:rFonts w:ascii="宋体" w:hAnsi="宋体" w:cs="宋体"/>
                <w:color w:val="000000"/>
                <w:kern w:val="1"/>
                <w:sz w:val="21"/>
                <w:szCs w:val="21"/>
              </w:rPr>
              <w:t>8</w:t>
            </w:r>
            <w:r>
              <w:rPr>
                <w:rFonts w:hint="eastAsia" w:ascii="宋体" w:hAnsi="宋体" w:cs="宋体"/>
                <w:color w:val="000000"/>
                <w:kern w:val="1"/>
                <w:sz w:val="21"/>
                <w:szCs w:val="21"/>
              </w:rPr>
              <w:t>分；</w:t>
            </w:r>
          </w:p>
          <w:p w14:paraId="473D9973">
            <w:pPr>
              <w:rPr>
                <w:rFonts w:ascii="宋体" w:hAnsi="宋体" w:cs="宋体"/>
                <w:color w:val="000000"/>
                <w:kern w:val="1"/>
                <w:sz w:val="21"/>
                <w:szCs w:val="21"/>
              </w:rPr>
            </w:pPr>
            <w:r>
              <w:rPr>
                <w:rFonts w:hint="eastAsia" w:ascii="宋体" w:hAnsi="宋体" w:cs="宋体"/>
                <w:color w:val="000000"/>
                <w:kern w:val="1"/>
                <w:sz w:val="21"/>
                <w:szCs w:val="21"/>
              </w:rPr>
              <w:t>3.服务方案部分内容描述详细合理、可行性较差，得</w:t>
            </w:r>
            <w:r>
              <w:rPr>
                <w:rFonts w:ascii="宋体" w:hAnsi="宋体" w:cs="宋体"/>
                <w:color w:val="000000"/>
                <w:kern w:val="1"/>
                <w:sz w:val="21"/>
                <w:szCs w:val="21"/>
              </w:rPr>
              <w:t>5</w:t>
            </w:r>
            <w:r>
              <w:rPr>
                <w:rFonts w:hint="eastAsia" w:ascii="宋体" w:hAnsi="宋体" w:cs="宋体"/>
                <w:color w:val="000000"/>
                <w:kern w:val="1"/>
                <w:sz w:val="21"/>
                <w:szCs w:val="21"/>
              </w:rPr>
              <w:t>分；</w:t>
            </w:r>
          </w:p>
          <w:p w14:paraId="2E188874">
            <w:pPr>
              <w:rPr>
                <w:rFonts w:ascii="宋体" w:hAnsi="宋体" w:cs="宋体"/>
                <w:color w:val="000000"/>
                <w:kern w:val="1"/>
                <w:sz w:val="21"/>
                <w:szCs w:val="21"/>
              </w:rPr>
            </w:pPr>
            <w:r>
              <w:rPr>
                <w:rFonts w:hint="eastAsia" w:ascii="宋体" w:hAnsi="宋体" w:cs="宋体"/>
                <w:color w:val="000000"/>
                <w:kern w:val="1"/>
                <w:sz w:val="21"/>
                <w:szCs w:val="21"/>
              </w:rPr>
              <w:t>4.整体服务方案简单，可行性差的，或未提供服务方案的，得0分。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430EF608">
            <w:pPr>
              <w:spacing w:line="288" w:lineRule="auto"/>
              <w:jc w:val="center"/>
              <w:rPr>
                <w:rFonts w:ascii="宋体" w:hAnsi="宋体" w:cs="宋体"/>
                <w:color w:val="000000"/>
                <w:kern w:val="1"/>
                <w:sz w:val="21"/>
                <w:szCs w:val="21"/>
              </w:rPr>
            </w:pPr>
            <w:r>
              <w:rPr>
                <w:rFonts w:ascii="宋体" w:hAnsi="宋体" w:cs="宋体"/>
                <w:color w:val="000000"/>
                <w:kern w:val="1"/>
                <w:sz w:val="21"/>
                <w:szCs w:val="21"/>
              </w:rPr>
              <w:t>10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170C6F00">
            <w:pPr>
              <w:spacing w:line="288" w:lineRule="auto"/>
              <w:jc w:val="center"/>
              <w:rPr>
                <w:rFonts w:ascii="宋体" w:hAnsi="宋体" w:cs="宋体"/>
                <w:color w:val="000000"/>
                <w:kern w:val="1"/>
                <w:sz w:val="21"/>
                <w:szCs w:val="21"/>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5F8BDABD">
            <w:pPr>
              <w:spacing w:line="288" w:lineRule="auto"/>
              <w:jc w:val="center"/>
              <w:rPr>
                <w:rFonts w:ascii="宋体" w:hAnsi="宋体" w:cs="宋体"/>
                <w:color w:val="000000"/>
                <w:kern w:val="1"/>
                <w:sz w:val="21"/>
                <w:szCs w:val="21"/>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409DF7D0">
            <w:pPr>
              <w:spacing w:line="288" w:lineRule="auto"/>
              <w:jc w:val="center"/>
              <w:rPr>
                <w:rFonts w:ascii="宋体" w:hAnsi="宋体" w:cs="宋体"/>
                <w:color w:val="000000"/>
                <w:kern w:val="1"/>
                <w:sz w:val="21"/>
                <w:szCs w:val="21"/>
              </w:rPr>
            </w:pPr>
          </w:p>
        </w:tc>
      </w:tr>
      <w:tr w14:paraId="2AF2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7CA88133">
            <w:pPr>
              <w:spacing w:line="288" w:lineRule="auto"/>
              <w:jc w:val="center"/>
              <w:rPr>
                <w:rFonts w:ascii="宋体" w:hAnsi="宋体"/>
                <w:color w:val="000000"/>
                <w:kern w:val="0"/>
                <w:sz w:val="21"/>
                <w:szCs w:val="24"/>
              </w:rPr>
            </w:pPr>
            <w:r>
              <w:rPr>
                <w:rFonts w:hint="eastAsia" w:ascii="宋体" w:hAnsi="宋体"/>
                <w:color w:val="000000"/>
                <w:kern w:val="0"/>
                <w:sz w:val="21"/>
                <w:szCs w:val="24"/>
              </w:rPr>
              <w:t>2</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3AF7A8">
            <w:pPr>
              <w:tabs>
                <w:tab w:val="left" w:pos="458"/>
              </w:tabs>
              <w:snapToGrid w:val="0"/>
              <w:jc w:val="center"/>
              <w:rPr>
                <w:rFonts w:ascii="宋体" w:hAnsi="宋体"/>
                <w:color w:val="000000"/>
                <w:kern w:val="0"/>
                <w:sz w:val="21"/>
                <w:szCs w:val="24"/>
                <w:lang w:val="en-GB"/>
              </w:rPr>
            </w:pPr>
            <w:r>
              <w:rPr>
                <w:rFonts w:hint="eastAsia" w:ascii="Calibri" w:hAnsi="Calibri"/>
                <w:color w:val="000000"/>
                <w:kern w:val="0"/>
                <w:sz w:val="21"/>
                <w:szCs w:val="24"/>
              </w:rPr>
              <w:t>经营合规性</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72603ED5">
            <w:pPr>
              <w:spacing w:line="240" w:lineRule="auto"/>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根据投标人（含其评级业务子公司）自 20</w:t>
            </w:r>
            <w:r>
              <w:rPr>
                <w:rFonts w:hint="eastAsia" w:ascii="宋体" w:hAnsi="宋体" w:cs="宋体"/>
                <w:color w:val="000000"/>
                <w:kern w:val="1"/>
                <w:sz w:val="21"/>
                <w:szCs w:val="21"/>
                <w:lang w:val="en-US" w:eastAsia="zh-CN"/>
              </w:rPr>
              <w:t>21</w:t>
            </w:r>
            <w:r>
              <w:rPr>
                <w:rFonts w:hint="eastAsia" w:ascii="宋体" w:hAnsi="宋体" w:eastAsia="宋体" w:cs="宋体"/>
                <w:color w:val="000000"/>
                <w:kern w:val="1"/>
                <w:sz w:val="21"/>
                <w:szCs w:val="21"/>
              </w:rPr>
              <w:t>年1月1日至投标截止日是否受到中国证监会及其派出机构或中国银行间市场交易商协会对其出具警示函、采取责令改正措施、行政处罚或自律处分等行政监管措施的情况进行评分：</w:t>
            </w:r>
          </w:p>
          <w:p w14:paraId="203F79DA">
            <w:pPr>
              <w:spacing w:line="240" w:lineRule="auto"/>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（1）不存在被采取上述行政监管措施的，得15分；</w:t>
            </w:r>
          </w:p>
          <w:p w14:paraId="051EFD85">
            <w:pPr>
              <w:spacing w:line="240" w:lineRule="auto"/>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（2）合计每存在上述任何1项情况的，扣减3分，依此类推，该项最低得0分。</w:t>
            </w:r>
          </w:p>
          <w:p w14:paraId="7D89C3BD">
            <w:pPr>
              <w:spacing w:line="240" w:lineRule="auto"/>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【注：投标人应如实提供以下证明材料：</w:t>
            </w:r>
          </w:p>
          <w:p w14:paraId="58410FA1">
            <w:pPr>
              <w:spacing w:line="240" w:lineRule="auto"/>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1）不存在被采取上述行政监管措施的，提供承诺函和在响应文件中提供相应官方网站的查询截图并加盖投标人公章，承诺函格式自拟；</w:t>
            </w:r>
          </w:p>
          <w:p w14:paraId="37D84D62">
            <w:pPr>
              <w:spacing w:line="240" w:lineRule="auto"/>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2）如存在被采取上述行政监管措施的，提供情况说明和在响应文件中提供相应官方网站的查询截图并加盖投标人公章，情况说明格式自拟；</w:t>
            </w:r>
          </w:p>
          <w:p w14:paraId="0DFFF005">
            <w:pPr>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3）投标人需保证在本项目提供的资料均真实有效，若弄虚作假将自行承担一切法律责任并将按照废标处理该项不得分。】</w:t>
            </w:r>
          </w:p>
          <w:p w14:paraId="3FBE40B1">
            <w:pPr>
              <w:spacing w:line="240" w:lineRule="auto"/>
              <w:rPr>
                <w:rFonts w:hint="eastAsia" w:ascii="宋体" w:hAnsi="宋体" w:eastAsia="宋体" w:cs="宋体"/>
                <w:b/>
                <w:bCs/>
                <w:color w:val="000000"/>
                <w:kern w:val="1"/>
                <w:sz w:val="21"/>
                <w:szCs w:val="21"/>
              </w:rPr>
            </w:pPr>
            <w:r>
              <w:rPr>
                <w:rFonts w:hint="eastAsia" w:ascii="宋体" w:hAnsi="宋体" w:eastAsia="宋体" w:cs="宋体"/>
                <w:b/>
                <w:bCs/>
                <w:color w:val="000000"/>
                <w:kern w:val="1"/>
                <w:sz w:val="21"/>
                <w:szCs w:val="21"/>
              </w:rPr>
              <w:t>查询路径：</w:t>
            </w:r>
          </w:p>
          <w:p w14:paraId="15AA2E36">
            <w:pPr>
              <w:spacing w:line="240" w:lineRule="auto"/>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其一http://www.csrc.gov.cn-&gt;政府信息公开-&gt;主动公开信息-&gt;按体裁文种查看-&gt;分别选择行政处罚决定/市场禁入决定/监管措施-&gt;输入评级机构简称（或其评级业务子公司简称）进行查询；</w:t>
            </w:r>
          </w:p>
          <w:p w14:paraId="3D0546E2">
            <w:pPr>
              <w:spacing w:line="240" w:lineRule="auto"/>
              <w:rPr>
                <w:rFonts w:hint="eastAsia" w:ascii="宋体" w:hAnsi="宋体" w:eastAsia="宋体" w:cs="宋体"/>
                <w:color w:val="000000"/>
                <w:kern w:val="1"/>
                <w:sz w:val="21"/>
                <w:szCs w:val="21"/>
              </w:rPr>
            </w:pPr>
            <w:r>
              <w:rPr>
                <w:rFonts w:hint="eastAsia" w:ascii="宋体" w:hAnsi="宋体" w:eastAsia="宋体" w:cs="宋体"/>
                <w:color w:val="000000"/>
                <w:kern w:val="1"/>
                <w:sz w:val="21"/>
                <w:szCs w:val="21"/>
              </w:rPr>
              <w:t>其二http://www.csrc.gov.cn-&gt;政府信息公开-&gt;主动公开信息-&gt;证监局主题分类-&gt;行政执法-&gt;输入评级机构简称（或其评级业务子公司简称）进行查询；</w:t>
            </w:r>
          </w:p>
          <w:p w14:paraId="5E22840E">
            <w:pPr>
              <w:rPr>
                <w:rFonts w:hint="eastAsia" w:ascii="宋体" w:hAnsi="宋体" w:cs="宋体"/>
                <w:color w:val="000000"/>
                <w:kern w:val="1"/>
                <w:sz w:val="21"/>
                <w:szCs w:val="21"/>
              </w:rPr>
            </w:pPr>
            <w:r>
              <w:rPr>
                <w:rFonts w:hint="eastAsia" w:ascii="宋体" w:hAnsi="宋体" w:eastAsia="宋体" w:cs="宋体"/>
                <w:color w:val="000000"/>
                <w:kern w:val="1"/>
                <w:sz w:val="21"/>
                <w:szCs w:val="21"/>
              </w:rPr>
              <w:t>以上两种路径查询结果汇总得到最终监管处罚情况。</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2D440423">
            <w:pPr>
              <w:spacing w:line="288" w:lineRule="auto"/>
              <w:jc w:val="center"/>
              <w:rPr>
                <w:rFonts w:ascii="宋体" w:hAnsi="宋体"/>
                <w:color w:val="000000"/>
                <w:kern w:val="0"/>
                <w:sz w:val="21"/>
                <w:szCs w:val="24"/>
              </w:rPr>
            </w:pPr>
            <w:r>
              <w:rPr>
                <w:rFonts w:ascii="宋体" w:hAnsi="宋体"/>
                <w:color w:val="000000"/>
                <w:kern w:val="0"/>
                <w:sz w:val="21"/>
                <w:szCs w:val="24"/>
              </w:rPr>
              <w:t>15</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3DE98F17">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474478FC">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081DA929">
            <w:pPr>
              <w:spacing w:line="288" w:lineRule="auto"/>
              <w:jc w:val="center"/>
              <w:rPr>
                <w:rFonts w:ascii="宋体" w:hAnsi="宋体"/>
                <w:color w:val="000000"/>
                <w:kern w:val="0"/>
                <w:sz w:val="21"/>
                <w:szCs w:val="24"/>
              </w:rPr>
            </w:pPr>
          </w:p>
        </w:tc>
      </w:tr>
      <w:tr w14:paraId="657D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58A1EB96">
            <w:pPr>
              <w:spacing w:line="288" w:lineRule="auto"/>
              <w:jc w:val="center"/>
              <w:rPr>
                <w:rFonts w:ascii="宋体" w:hAnsi="宋体"/>
                <w:color w:val="000000"/>
                <w:kern w:val="0"/>
                <w:sz w:val="21"/>
                <w:szCs w:val="24"/>
              </w:rPr>
            </w:pPr>
            <w:r>
              <w:rPr>
                <w:rFonts w:hint="eastAsia" w:ascii="宋体" w:hAnsi="宋体"/>
                <w:color w:val="000000"/>
                <w:kern w:val="0"/>
                <w:sz w:val="21"/>
                <w:szCs w:val="24"/>
              </w:rPr>
              <w:t>3</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84731A5">
            <w:pPr>
              <w:tabs>
                <w:tab w:val="left" w:pos="458"/>
              </w:tabs>
              <w:snapToGrid w:val="0"/>
              <w:jc w:val="center"/>
              <w:rPr>
                <w:rFonts w:ascii="宋体" w:hAnsi="宋体"/>
                <w:color w:val="000000"/>
                <w:kern w:val="0"/>
                <w:sz w:val="21"/>
                <w:szCs w:val="24"/>
                <w:lang w:val="en-GB"/>
              </w:rPr>
            </w:pPr>
            <w:r>
              <w:rPr>
                <w:rFonts w:hint="eastAsia" w:ascii="Calibri" w:hAnsi="Calibri"/>
                <w:color w:val="000000"/>
                <w:kern w:val="0"/>
                <w:sz w:val="21"/>
                <w:szCs w:val="24"/>
              </w:rPr>
              <w:t>项目经验</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513DE0E2">
            <w:pPr>
              <w:spacing w:line="276" w:lineRule="auto"/>
              <w:rPr>
                <w:rFonts w:ascii="宋体" w:hAnsi="宋体"/>
                <w:color w:val="000000"/>
                <w:kern w:val="0"/>
                <w:sz w:val="21"/>
                <w:szCs w:val="24"/>
              </w:rPr>
            </w:pPr>
            <w:r>
              <w:rPr>
                <w:rFonts w:hint="eastAsia" w:ascii="宋体" w:hAnsi="宋体"/>
                <w:color w:val="000000"/>
                <w:kern w:val="0"/>
                <w:sz w:val="21"/>
                <w:szCs w:val="24"/>
              </w:rPr>
              <w:t>20</w:t>
            </w:r>
            <w:r>
              <w:rPr>
                <w:rFonts w:hint="eastAsia" w:ascii="宋体" w:hAnsi="宋体"/>
                <w:color w:val="000000"/>
                <w:kern w:val="0"/>
                <w:sz w:val="21"/>
                <w:szCs w:val="24"/>
                <w:lang w:val="en-US" w:eastAsia="zh-CN"/>
              </w:rPr>
              <w:t>21</w:t>
            </w:r>
            <w:r>
              <w:rPr>
                <w:rFonts w:hint="eastAsia" w:ascii="宋体" w:hAnsi="宋体"/>
                <w:color w:val="000000"/>
                <w:kern w:val="0"/>
                <w:sz w:val="21"/>
                <w:szCs w:val="24"/>
              </w:rPr>
              <w:t>年至今，投标人完成过深圳市“同类型的区属</w:t>
            </w:r>
            <w:r>
              <w:rPr>
                <w:rFonts w:hint="eastAsia" w:ascii="宋体" w:hAnsi="宋体"/>
                <w:color w:val="000000"/>
                <w:kern w:val="0"/>
                <w:sz w:val="21"/>
                <w:szCs w:val="24"/>
                <w:lang w:val="en-US" w:eastAsia="zh-CN"/>
              </w:rPr>
              <w:t>国企</w:t>
            </w:r>
            <w:r>
              <w:rPr>
                <w:rFonts w:hint="eastAsia" w:ascii="宋体" w:hAnsi="宋体"/>
                <w:color w:val="000000"/>
                <w:kern w:val="0"/>
                <w:sz w:val="21"/>
                <w:szCs w:val="24"/>
              </w:rPr>
              <w:t>”委托的服务案例，每提供一项得</w:t>
            </w:r>
            <w:r>
              <w:rPr>
                <w:rFonts w:hint="eastAsia" w:ascii="宋体" w:hAnsi="宋体"/>
                <w:color w:val="000000"/>
                <w:kern w:val="0"/>
                <w:sz w:val="21"/>
                <w:szCs w:val="24"/>
                <w:lang w:val="en-US" w:eastAsia="zh-CN"/>
              </w:rPr>
              <w:t>4</w:t>
            </w:r>
            <w:r>
              <w:rPr>
                <w:rFonts w:hint="eastAsia" w:ascii="宋体" w:hAnsi="宋体"/>
                <w:color w:val="000000"/>
                <w:kern w:val="0"/>
                <w:sz w:val="21"/>
                <w:szCs w:val="24"/>
              </w:rPr>
              <w:t>分，满分</w:t>
            </w:r>
            <w:r>
              <w:rPr>
                <w:rFonts w:hint="eastAsia" w:ascii="宋体" w:hAnsi="宋体"/>
                <w:color w:val="000000"/>
                <w:kern w:val="0"/>
                <w:sz w:val="21"/>
                <w:szCs w:val="24"/>
                <w:lang w:val="en-US" w:eastAsia="zh-CN"/>
              </w:rPr>
              <w:t>20</w:t>
            </w:r>
            <w:r>
              <w:rPr>
                <w:rFonts w:hint="eastAsia" w:ascii="宋体" w:hAnsi="宋体"/>
                <w:color w:val="000000"/>
                <w:kern w:val="0"/>
                <w:sz w:val="21"/>
                <w:szCs w:val="24"/>
              </w:rPr>
              <w:t>分</w:t>
            </w:r>
            <w:r>
              <w:rPr>
                <w:rFonts w:hint="eastAsia" w:ascii="宋体" w:hAnsi="宋体"/>
                <w:color w:val="000000"/>
                <w:kern w:val="0"/>
                <w:sz w:val="21"/>
                <w:szCs w:val="24"/>
                <w:lang w:eastAsia="zh-CN"/>
              </w:rPr>
              <w:t>，</w:t>
            </w:r>
            <w:r>
              <w:rPr>
                <w:rFonts w:hint="eastAsia" w:ascii="宋体" w:hAnsi="宋体"/>
                <w:color w:val="000000"/>
                <w:kern w:val="0"/>
                <w:sz w:val="21"/>
                <w:szCs w:val="24"/>
                <w:lang w:val="en-US" w:eastAsia="zh-CN"/>
              </w:rPr>
              <w:t>同一主体的不同合同不重复计分</w:t>
            </w:r>
            <w:r>
              <w:rPr>
                <w:rFonts w:hint="eastAsia" w:ascii="宋体" w:hAnsi="宋体"/>
                <w:color w:val="000000"/>
                <w:kern w:val="0"/>
                <w:sz w:val="21"/>
                <w:szCs w:val="24"/>
              </w:rPr>
              <w:t>。</w:t>
            </w:r>
          </w:p>
          <w:p w14:paraId="6182AB9B">
            <w:pPr>
              <w:rPr>
                <w:rFonts w:ascii="宋体" w:hAnsi="宋体"/>
              </w:rPr>
            </w:pPr>
            <w:r>
              <w:rPr>
                <w:rFonts w:hint="eastAsia" w:ascii="宋体" w:hAnsi="宋体"/>
                <w:color w:val="000000"/>
                <w:kern w:val="0"/>
                <w:sz w:val="21"/>
                <w:szCs w:val="24"/>
              </w:rPr>
              <w:t>【注：需在投标文件中提供评级合同首页和盖章页（可隐去关键信息）】</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3E959A69">
            <w:pPr>
              <w:spacing w:line="288" w:lineRule="auto"/>
              <w:jc w:val="center"/>
              <w:rPr>
                <w:rFonts w:hint="default" w:ascii="宋体" w:hAnsi="宋体" w:eastAsia="宋体"/>
                <w:color w:val="000000"/>
                <w:kern w:val="0"/>
                <w:sz w:val="21"/>
                <w:szCs w:val="24"/>
                <w:lang w:val="en-US" w:eastAsia="zh-CN"/>
              </w:rPr>
            </w:pPr>
            <w:r>
              <w:rPr>
                <w:rFonts w:hint="eastAsia" w:ascii="宋体" w:hAnsi="宋体"/>
                <w:color w:val="000000"/>
                <w:kern w:val="0"/>
                <w:sz w:val="21"/>
                <w:szCs w:val="24"/>
                <w:lang w:val="en-US" w:eastAsia="zh-CN"/>
              </w:rPr>
              <w:t>20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27ED4898">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689748D5">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3EF13D2B">
            <w:pPr>
              <w:spacing w:line="288" w:lineRule="auto"/>
              <w:jc w:val="center"/>
              <w:rPr>
                <w:rFonts w:ascii="宋体" w:hAnsi="宋体"/>
                <w:color w:val="000000"/>
                <w:kern w:val="0"/>
                <w:sz w:val="21"/>
                <w:szCs w:val="24"/>
              </w:rPr>
            </w:pPr>
          </w:p>
        </w:tc>
      </w:tr>
      <w:tr w14:paraId="4716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vMerge w:val="restart"/>
            <w:tcBorders>
              <w:top w:val="single" w:color="auto" w:sz="4" w:space="0"/>
              <w:left w:val="single" w:color="auto" w:sz="4" w:space="0"/>
              <w:right w:val="single" w:color="auto" w:sz="4" w:space="0"/>
            </w:tcBorders>
            <w:noWrap w:val="0"/>
            <w:vAlign w:val="center"/>
          </w:tcPr>
          <w:p w14:paraId="2B710107">
            <w:pPr>
              <w:spacing w:line="288" w:lineRule="auto"/>
              <w:jc w:val="center"/>
              <w:rPr>
                <w:rFonts w:ascii="宋体" w:hAnsi="宋体"/>
                <w:color w:val="000000"/>
                <w:kern w:val="0"/>
                <w:sz w:val="21"/>
                <w:szCs w:val="24"/>
              </w:rPr>
            </w:pPr>
            <w:r>
              <w:rPr>
                <w:rFonts w:hint="eastAsia" w:ascii="宋体" w:hAnsi="宋体"/>
                <w:color w:val="000000"/>
                <w:kern w:val="0"/>
                <w:sz w:val="21"/>
                <w:szCs w:val="24"/>
              </w:rPr>
              <w:t>4</w:t>
            </w:r>
          </w:p>
        </w:tc>
        <w:tc>
          <w:tcPr>
            <w:tcW w:w="1472" w:type="dxa"/>
            <w:vMerge w:val="restart"/>
            <w:tcBorders>
              <w:top w:val="single" w:color="auto" w:sz="4" w:space="0"/>
              <w:left w:val="single" w:color="auto" w:sz="4" w:space="0"/>
              <w:right w:val="single" w:color="auto" w:sz="4" w:space="0"/>
            </w:tcBorders>
            <w:noWrap w:val="0"/>
            <w:vAlign w:val="center"/>
          </w:tcPr>
          <w:p w14:paraId="5CF7E825">
            <w:pPr>
              <w:tabs>
                <w:tab w:val="left" w:pos="458"/>
              </w:tabs>
              <w:snapToGrid w:val="0"/>
              <w:jc w:val="center"/>
              <w:rPr>
                <w:rFonts w:ascii="宋体" w:hAnsi="宋体"/>
                <w:color w:val="000000"/>
                <w:kern w:val="0"/>
                <w:sz w:val="21"/>
                <w:szCs w:val="24"/>
                <w:lang w:val="en-GB"/>
              </w:rPr>
            </w:pPr>
            <w:r>
              <w:rPr>
                <w:rFonts w:hint="eastAsia" w:ascii="Calibri" w:hAnsi="Calibri"/>
                <w:color w:val="000000"/>
                <w:kern w:val="0"/>
                <w:sz w:val="21"/>
                <w:szCs w:val="24"/>
              </w:rPr>
              <w:t>各领域相关评级评价</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3BAA5ACE">
            <w:pPr>
              <w:rPr>
                <w:rFonts w:ascii="宋体" w:hAnsi="宋体" w:cs="宋体"/>
                <w:color w:val="000000"/>
                <w:kern w:val="1"/>
                <w:sz w:val="21"/>
                <w:szCs w:val="21"/>
              </w:rPr>
            </w:pPr>
            <w:r>
              <w:rPr>
                <w:rFonts w:hint="eastAsia" w:ascii="宋体" w:hAnsi="宋体" w:cs="宋体"/>
                <w:color w:val="000000"/>
                <w:kern w:val="1"/>
                <w:sz w:val="21"/>
                <w:szCs w:val="21"/>
              </w:rPr>
              <w:t>根据投标人在中国银行间市场交易商协会、中国证协联合公布</w:t>
            </w:r>
            <w:r>
              <w:rPr>
                <w:rFonts w:hint="eastAsia" w:ascii="宋体" w:hAnsi="宋体" w:cs="宋体"/>
                <w:color w:val="000000"/>
                <w:kern w:val="1"/>
                <w:sz w:val="21"/>
                <w:szCs w:val="21"/>
                <w:lang w:val="en-US" w:eastAsia="zh-CN"/>
              </w:rPr>
              <w:t>最新一期</w:t>
            </w:r>
            <w:r>
              <w:rPr>
                <w:rFonts w:hint="eastAsia" w:ascii="宋体" w:hAnsi="宋体" w:cs="宋体"/>
                <w:color w:val="000000"/>
                <w:kern w:val="1"/>
                <w:sz w:val="21"/>
                <w:szCs w:val="21"/>
              </w:rPr>
              <w:t>信用评级机构市场化评价结果的名单进行排名，排名最高的得分</w:t>
            </w:r>
            <w:r>
              <w:rPr>
                <w:rFonts w:ascii="宋体" w:hAnsi="宋体" w:cs="宋体"/>
                <w:color w:val="000000"/>
                <w:kern w:val="1"/>
                <w:sz w:val="21"/>
                <w:szCs w:val="21"/>
              </w:rPr>
              <w:t>10</w:t>
            </w:r>
            <w:r>
              <w:rPr>
                <w:rFonts w:hint="eastAsia" w:ascii="宋体" w:hAnsi="宋体" w:cs="宋体"/>
                <w:color w:val="000000"/>
                <w:kern w:val="1"/>
                <w:sz w:val="21"/>
                <w:szCs w:val="21"/>
              </w:rPr>
              <w:t>分，按名次依次递减，每个名次递减2分，最低得0分。</w:t>
            </w:r>
          </w:p>
          <w:p w14:paraId="53E65392">
            <w:r>
              <w:rPr>
                <w:rFonts w:hint="eastAsia" w:ascii="宋体" w:hAnsi="宋体" w:cs="宋体"/>
                <w:color w:val="000000"/>
                <w:kern w:val="1"/>
                <w:sz w:val="21"/>
                <w:szCs w:val="21"/>
              </w:rPr>
              <w:t>【注：需在投标文件中提供评价结果名单并清晰标明投标人所在排名的位置，没有提供或提供的材料不满足要求的不得分。】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44BF9AA">
            <w:pPr>
              <w:spacing w:line="288" w:lineRule="auto"/>
              <w:jc w:val="center"/>
              <w:rPr>
                <w:rFonts w:ascii="宋体" w:hAnsi="宋体"/>
                <w:color w:val="000000"/>
                <w:kern w:val="0"/>
                <w:sz w:val="21"/>
                <w:szCs w:val="24"/>
              </w:rPr>
            </w:pPr>
            <w:r>
              <w:rPr>
                <w:rFonts w:ascii="宋体" w:hAnsi="宋体"/>
                <w:color w:val="000000"/>
                <w:kern w:val="0"/>
                <w:sz w:val="21"/>
                <w:szCs w:val="24"/>
              </w:rPr>
              <w:t>10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63F574D5">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4FC03702">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491D6B33">
            <w:pPr>
              <w:spacing w:line="288" w:lineRule="auto"/>
              <w:jc w:val="center"/>
              <w:rPr>
                <w:rFonts w:ascii="宋体" w:hAnsi="宋体"/>
                <w:color w:val="000000"/>
                <w:kern w:val="0"/>
                <w:sz w:val="21"/>
                <w:szCs w:val="24"/>
              </w:rPr>
            </w:pPr>
          </w:p>
        </w:tc>
      </w:tr>
      <w:tr w14:paraId="0DDD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vMerge w:val="continue"/>
            <w:tcBorders>
              <w:left w:val="single" w:color="auto" w:sz="4" w:space="0"/>
              <w:right w:val="single" w:color="auto" w:sz="4" w:space="0"/>
            </w:tcBorders>
            <w:noWrap w:val="0"/>
            <w:vAlign w:val="center"/>
          </w:tcPr>
          <w:p w14:paraId="14B9A148">
            <w:pPr>
              <w:spacing w:line="276" w:lineRule="auto"/>
              <w:rPr>
                <w:rFonts w:ascii="宋体" w:hAnsi="宋体"/>
                <w:color w:val="000000"/>
                <w:kern w:val="0"/>
                <w:sz w:val="21"/>
                <w:szCs w:val="24"/>
              </w:rPr>
            </w:pPr>
          </w:p>
        </w:tc>
        <w:tc>
          <w:tcPr>
            <w:tcW w:w="1472" w:type="dxa"/>
            <w:vMerge w:val="continue"/>
            <w:tcBorders>
              <w:left w:val="single" w:color="auto" w:sz="4" w:space="0"/>
              <w:right w:val="single" w:color="auto" w:sz="4" w:space="0"/>
            </w:tcBorders>
            <w:noWrap w:val="0"/>
            <w:vAlign w:val="center"/>
          </w:tcPr>
          <w:p w14:paraId="68C44175">
            <w:pPr>
              <w:spacing w:line="276" w:lineRule="auto"/>
              <w:rPr>
                <w:rFonts w:ascii="宋体" w:hAnsi="宋体"/>
                <w:color w:val="000000"/>
                <w:kern w:val="0"/>
                <w:sz w:val="21"/>
                <w:szCs w:val="24"/>
              </w:rPr>
            </w:pPr>
          </w:p>
        </w:tc>
        <w:tc>
          <w:tcPr>
            <w:tcW w:w="4007" w:type="dxa"/>
            <w:tcBorders>
              <w:top w:val="single" w:color="auto" w:sz="4" w:space="0"/>
              <w:left w:val="single" w:color="auto" w:sz="4" w:space="0"/>
              <w:bottom w:val="single" w:color="auto" w:sz="4" w:space="0"/>
              <w:right w:val="single" w:color="auto" w:sz="4" w:space="0"/>
            </w:tcBorders>
            <w:noWrap w:val="0"/>
            <w:vAlign w:val="center"/>
          </w:tcPr>
          <w:p w14:paraId="000538F5">
            <w:pPr>
              <w:spacing w:line="276" w:lineRule="auto"/>
              <w:rPr>
                <w:rFonts w:ascii="宋体" w:hAnsi="宋体"/>
                <w:color w:val="000000"/>
                <w:kern w:val="0"/>
                <w:sz w:val="21"/>
                <w:szCs w:val="24"/>
              </w:rPr>
            </w:pPr>
            <w:r>
              <w:rPr>
                <w:rFonts w:hint="eastAsia" w:ascii="宋体" w:hAnsi="宋体" w:eastAsia="宋体" w:cs="宋体"/>
                <w:color w:val="000000"/>
                <w:kern w:val="1"/>
                <w:sz w:val="21"/>
                <w:szCs w:val="21"/>
              </w:rPr>
              <w:t>投标人在国家发展改革委或中国银行间市场交易商协会公布的202</w:t>
            </w:r>
            <w:r>
              <w:rPr>
                <w:rFonts w:hint="eastAsia" w:ascii="宋体" w:hAnsi="宋体" w:cs="宋体"/>
                <w:color w:val="000000"/>
                <w:kern w:val="1"/>
                <w:sz w:val="21"/>
                <w:szCs w:val="21"/>
                <w:lang w:val="en-US" w:eastAsia="zh-CN"/>
              </w:rPr>
              <w:t>0</w:t>
            </w:r>
            <w:r>
              <w:rPr>
                <w:rFonts w:hint="eastAsia" w:ascii="宋体" w:hAnsi="宋体" w:eastAsia="宋体" w:cs="宋体"/>
                <w:color w:val="000000"/>
                <w:kern w:val="1"/>
                <w:sz w:val="21"/>
                <w:szCs w:val="21"/>
              </w:rPr>
              <w:t>-202</w:t>
            </w:r>
            <w:r>
              <w:rPr>
                <w:rFonts w:hint="eastAsia" w:ascii="宋体" w:hAnsi="宋体" w:cs="宋体"/>
                <w:color w:val="000000"/>
                <w:kern w:val="1"/>
                <w:sz w:val="21"/>
                <w:szCs w:val="21"/>
                <w:lang w:val="en-US" w:eastAsia="zh-CN"/>
              </w:rPr>
              <w:t>2</w:t>
            </w:r>
            <w:r>
              <w:rPr>
                <w:rFonts w:hint="eastAsia" w:ascii="宋体" w:hAnsi="宋体" w:eastAsia="宋体" w:cs="宋体"/>
                <w:color w:val="000000"/>
                <w:kern w:val="1"/>
                <w:sz w:val="21"/>
                <w:szCs w:val="21"/>
              </w:rPr>
              <w:t>年度企业债券信用评级机构信用评价排名结果，连续三年排名前三名的得10分，连续两年排名前三名的得7分，仅有1年排名前三的得4分；未曾排名前三的，本项不得分。 【注：需在投标文件中提供评价结果名单并清晰标明投标人所在排名的位置，没有提供或提供的材料不满足要求的不得分。】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51FDB805">
            <w:pPr>
              <w:spacing w:line="276" w:lineRule="auto"/>
              <w:jc w:val="center"/>
              <w:rPr>
                <w:rFonts w:ascii="宋体" w:hAnsi="宋体"/>
                <w:color w:val="000000"/>
                <w:kern w:val="0"/>
                <w:sz w:val="21"/>
                <w:szCs w:val="24"/>
              </w:rPr>
            </w:pPr>
            <w:r>
              <w:rPr>
                <w:rFonts w:ascii="宋体" w:hAnsi="宋体"/>
                <w:color w:val="000000"/>
                <w:kern w:val="0"/>
                <w:sz w:val="21"/>
                <w:szCs w:val="24"/>
              </w:rPr>
              <w:t>10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6F94016C">
            <w:pPr>
              <w:spacing w:line="276"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78CABDAC">
            <w:pPr>
              <w:spacing w:line="276"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1521C45B">
            <w:pPr>
              <w:spacing w:line="276" w:lineRule="auto"/>
              <w:jc w:val="center"/>
              <w:rPr>
                <w:rFonts w:ascii="宋体" w:hAnsi="宋体"/>
                <w:color w:val="000000"/>
                <w:kern w:val="0"/>
                <w:sz w:val="21"/>
                <w:szCs w:val="24"/>
              </w:rPr>
            </w:pPr>
          </w:p>
        </w:tc>
      </w:tr>
      <w:tr w14:paraId="7B8A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7AF00E9D">
            <w:pPr>
              <w:spacing w:line="288" w:lineRule="auto"/>
              <w:jc w:val="center"/>
              <w:rPr>
                <w:rFonts w:ascii="宋体" w:hAnsi="宋体"/>
                <w:color w:val="000000"/>
                <w:kern w:val="0"/>
                <w:sz w:val="21"/>
                <w:szCs w:val="24"/>
              </w:rPr>
            </w:pPr>
            <w:r>
              <w:rPr>
                <w:rFonts w:ascii="宋体" w:hAnsi="宋体"/>
                <w:color w:val="000000"/>
                <w:kern w:val="0"/>
                <w:sz w:val="21"/>
                <w:szCs w:val="24"/>
              </w:rPr>
              <w:t>5</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583F36D">
            <w:pPr>
              <w:tabs>
                <w:tab w:val="left" w:pos="458"/>
              </w:tabs>
              <w:snapToGrid w:val="0"/>
              <w:jc w:val="center"/>
              <w:rPr>
                <w:rFonts w:ascii="宋体" w:hAnsi="宋体"/>
                <w:color w:val="000000"/>
                <w:kern w:val="0"/>
                <w:sz w:val="21"/>
                <w:szCs w:val="24"/>
                <w:lang w:val="en-GB"/>
              </w:rPr>
            </w:pPr>
            <w:r>
              <w:rPr>
                <w:rFonts w:hint="eastAsia" w:ascii="Calibri" w:hAnsi="Calibri"/>
                <w:color w:val="000000"/>
                <w:kern w:val="0"/>
                <w:sz w:val="21"/>
                <w:szCs w:val="24"/>
              </w:rPr>
              <w:t>其它服务及承诺</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3DA64A9E">
            <w:pPr>
              <w:spacing w:line="276" w:lineRule="auto"/>
              <w:rPr>
                <w:rFonts w:ascii="宋体" w:hAnsi="宋体"/>
                <w:color w:val="000000"/>
                <w:kern w:val="0"/>
                <w:sz w:val="21"/>
                <w:szCs w:val="24"/>
              </w:rPr>
            </w:pPr>
            <w:r>
              <w:rPr>
                <w:rFonts w:hint="eastAsia" w:ascii="宋体" w:hAnsi="宋体"/>
                <w:color w:val="000000"/>
                <w:kern w:val="0"/>
                <w:sz w:val="21"/>
                <w:szCs w:val="24"/>
              </w:rPr>
              <w:t>根据投标人承接本项目提供的其他服务及承诺（增值服务、后续服务等）进行综合评分：</w:t>
            </w:r>
          </w:p>
          <w:p w14:paraId="44152D4F">
            <w:pPr>
              <w:rPr>
                <w:rFonts w:ascii="宋体" w:hAnsi="宋体"/>
                <w:color w:val="000000"/>
                <w:kern w:val="0"/>
                <w:sz w:val="21"/>
                <w:szCs w:val="24"/>
              </w:rPr>
            </w:pPr>
            <w:r>
              <w:rPr>
                <w:rFonts w:hint="eastAsia" w:ascii="宋体" w:hAnsi="宋体"/>
                <w:color w:val="000000"/>
                <w:kern w:val="0"/>
                <w:sz w:val="21"/>
                <w:szCs w:val="24"/>
              </w:rPr>
              <w:t>1.其他服务方案全面、具体、科学合理、操作性强，有丰富的增值服务且有利于项目开展，得5分；</w:t>
            </w:r>
          </w:p>
          <w:p w14:paraId="29D73F8B">
            <w:pPr>
              <w:rPr>
                <w:rFonts w:ascii="宋体" w:hAnsi="宋体"/>
                <w:color w:val="000000"/>
                <w:kern w:val="0"/>
                <w:sz w:val="21"/>
                <w:szCs w:val="24"/>
              </w:rPr>
            </w:pPr>
            <w:r>
              <w:rPr>
                <w:rFonts w:hint="eastAsia" w:ascii="宋体" w:hAnsi="宋体"/>
                <w:color w:val="000000"/>
                <w:kern w:val="0"/>
                <w:sz w:val="21"/>
                <w:szCs w:val="24"/>
              </w:rPr>
              <w:t>2.其他服务方案较全面、操作性较强，有增值服务且部分内容有利于项目开展，得3分；</w:t>
            </w:r>
          </w:p>
          <w:p w14:paraId="568A8A50">
            <w:pPr>
              <w:rPr>
                <w:rFonts w:ascii="宋体" w:hAnsi="宋体"/>
                <w:color w:val="000000"/>
                <w:kern w:val="0"/>
                <w:sz w:val="21"/>
                <w:szCs w:val="24"/>
              </w:rPr>
            </w:pPr>
            <w:r>
              <w:rPr>
                <w:rFonts w:hint="eastAsia" w:ascii="宋体" w:hAnsi="宋体"/>
                <w:color w:val="000000"/>
                <w:kern w:val="0"/>
                <w:sz w:val="21"/>
                <w:szCs w:val="24"/>
              </w:rPr>
              <w:t>3.提供了其他服务方案，但不全面，有特色服务但内容对项目开展无促进作用，得1分；</w:t>
            </w:r>
          </w:p>
          <w:p w14:paraId="6906CB23">
            <w:pPr>
              <w:spacing w:line="276" w:lineRule="auto"/>
              <w:rPr>
                <w:rFonts w:ascii="宋体" w:hAnsi="宋体"/>
                <w:color w:val="000000"/>
                <w:kern w:val="0"/>
                <w:sz w:val="21"/>
                <w:szCs w:val="24"/>
              </w:rPr>
            </w:pPr>
            <w:r>
              <w:rPr>
                <w:rFonts w:hint="eastAsia" w:ascii="宋体" w:hAnsi="宋体"/>
                <w:color w:val="000000"/>
                <w:kern w:val="0"/>
                <w:sz w:val="21"/>
                <w:szCs w:val="24"/>
              </w:rPr>
              <w:t>4.未提供其他服务承诺、增值服务等内容的，本项不得分。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6EBFB372">
            <w:pPr>
              <w:spacing w:line="288" w:lineRule="auto"/>
              <w:jc w:val="center"/>
              <w:rPr>
                <w:rFonts w:ascii="宋体" w:hAnsi="宋体"/>
                <w:color w:val="000000"/>
                <w:kern w:val="0"/>
                <w:sz w:val="21"/>
                <w:szCs w:val="24"/>
              </w:rPr>
            </w:pPr>
            <w:r>
              <w:rPr>
                <w:rFonts w:hint="eastAsia" w:ascii="宋体" w:hAnsi="宋体"/>
                <w:color w:val="000000"/>
                <w:kern w:val="0"/>
                <w:sz w:val="21"/>
                <w:szCs w:val="24"/>
              </w:rPr>
              <w:t>5</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664F5C08">
            <w:pPr>
              <w:spacing w:line="288" w:lineRule="auto"/>
              <w:jc w:val="center"/>
              <w:rPr>
                <w:rFonts w:hint="eastAsia"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43047C1C">
            <w:pPr>
              <w:spacing w:line="288" w:lineRule="auto"/>
              <w:jc w:val="center"/>
              <w:rPr>
                <w:rFonts w:hint="eastAsia"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2C1E9072">
            <w:pPr>
              <w:spacing w:line="288" w:lineRule="auto"/>
              <w:jc w:val="center"/>
              <w:rPr>
                <w:rFonts w:hint="eastAsia" w:ascii="宋体" w:hAnsi="宋体"/>
                <w:color w:val="000000"/>
                <w:kern w:val="0"/>
                <w:sz w:val="21"/>
                <w:szCs w:val="24"/>
              </w:rPr>
            </w:pPr>
          </w:p>
        </w:tc>
      </w:tr>
      <w:tr w14:paraId="337D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10981B56">
            <w:pPr>
              <w:spacing w:line="288" w:lineRule="auto"/>
              <w:jc w:val="center"/>
              <w:rPr>
                <w:rFonts w:ascii="宋体" w:hAnsi="宋体"/>
                <w:color w:val="000000"/>
                <w:kern w:val="0"/>
                <w:sz w:val="21"/>
                <w:szCs w:val="24"/>
              </w:rPr>
            </w:pPr>
            <w:r>
              <w:rPr>
                <w:rFonts w:ascii="宋体" w:hAnsi="宋体"/>
                <w:color w:val="000000"/>
                <w:kern w:val="0"/>
                <w:sz w:val="21"/>
                <w:szCs w:val="24"/>
              </w:rPr>
              <w:t>6</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F1CB43B">
            <w:pPr>
              <w:tabs>
                <w:tab w:val="left" w:pos="458"/>
              </w:tabs>
              <w:snapToGrid w:val="0"/>
              <w:jc w:val="center"/>
              <w:rPr>
                <w:rFonts w:ascii="Calibri" w:hAnsi="Calibri"/>
                <w:color w:val="000000"/>
                <w:kern w:val="0"/>
                <w:sz w:val="21"/>
                <w:szCs w:val="24"/>
              </w:rPr>
            </w:pPr>
            <w:r>
              <w:rPr>
                <w:rFonts w:hint="eastAsia" w:ascii="Calibri" w:hAnsi="Calibri"/>
                <w:color w:val="000000"/>
                <w:kern w:val="0"/>
                <w:sz w:val="21"/>
                <w:szCs w:val="24"/>
              </w:rPr>
              <w:t>区域资源及优势</w:t>
            </w:r>
          </w:p>
        </w:tc>
        <w:tc>
          <w:tcPr>
            <w:tcW w:w="4007" w:type="dxa"/>
            <w:tcBorders>
              <w:top w:val="single" w:color="auto" w:sz="4" w:space="0"/>
              <w:left w:val="single" w:color="auto" w:sz="4" w:space="0"/>
              <w:bottom w:val="single" w:color="auto" w:sz="4" w:space="0"/>
              <w:right w:val="single" w:color="auto" w:sz="4" w:space="0"/>
            </w:tcBorders>
            <w:noWrap w:val="0"/>
            <w:vAlign w:val="center"/>
          </w:tcPr>
          <w:p w14:paraId="4E3D3B6C">
            <w:pPr>
              <w:spacing w:line="360" w:lineRule="exact"/>
              <w:rPr>
                <w:rFonts w:ascii="宋体" w:hAnsi="宋体" w:cs="宋体"/>
                <w:sz w:val="22"/>
              </w:rPr>
            </w:pPr>
            <w:r>
              <w:rPr>
                <w:rFonts w:hint="eastAsia" w:ascii="宋体" w:hAnsi="宋体" w:cs="宋体"/>
                <w:sz w:val="22"/>
              </w:rPr>
              <w:t>总部在广东省</w:t>
            </w:r>
            <w:r>
              <w:rPr>
                <w:rFonts w:hint="eastAsia" w:ascii="宋体" w:hAnsi="宋体" w:cs="宋体"/>
                <w:sz w:val="22"/>
                <w:lang w:val="en-US" w:eastAsia="zh-CN"/>
              </w:rPr>
              <w:t>且</w:t>
            </w:r>
            <w:r>
              <w:rPr>
                <w:rFonts w:hint="eastAsia" w:ascii="宋体" w:hAnsi="宋体" w:cs="宋体"/>
                <w:sz w:val="22"/>
              </w:rPr>
              <w:t>技术专门团队在广东得</w:t>
            </w:r>
            <w:r>
              <w:rPr>
                <w:rFonts w:ascii="宋体" w:hAnsi="宋体" w:cs="宋体"/>
                <w:sz w:val="22"/>
              </w:rPr>
              <w:t>10</w:t>
            </w:r>
            <w:r>
              <w:rPr>
                <w:rFonts w:hint="eastAsia" w:ascii="宋体" w:hAnsi="宋体" w:cs="宋体"/>
                <w:sz w:val="22"/>
              </w:rPr>
              <w:t>分，否则不得分。</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04B5791A">
            <w:pPr>
              <w:spacing w:line="288" w:lineRule="auto"/>
              <w:jc w:val="center"/>
              <w:rPr>
                <w:rFonts w:ascii="宋体" w:hAnsi="宋体"/>
                <w:color w:val="000000"/>
                <w:kern w:val="0"/>
                <w:sz w:val="21"/>
                <w:szCs w:val="24"/>
              </w:rPr>
            </w:pPr>
            <w:r>
              <w:rPr>
                <w:rFonts w:ascii="宋体" w:hAnsi="宋体"/>
                <w:color w:val="000000"/>
                <w:kern w:val="0"/>
                <w:sz w:val="21"/>
                <w:szCs w:val="24"/>
              </w:rPr>
              <w:t>10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69075384">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0198406C">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1AA5A130">
            <w:pPr>
              <w:spacing w:line="288" w:lineRule="auto"/>
              <w:jc w:val="center"/>
              <w:rPr>
                <w:rFonts w:ascii="宋体" w:hAnsi="宋体"/>
                <w:color w:val="000000"/>
                <w:kern w:val="0"/>
                <w:sz w:val="21"/>
                <w:szCs w:val="24"/>
              </w:rPr>
            </w:pPr>
          </w:p>
        </w:tc>
      </w:tr>
      <w:tr w14:paraId="6FF1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5" w:type="dxa"/>
            <w:tcBorders>
              <w:top w:val="single" w:color="auto" w:sz="4" w:space="0"/>
              <w:left w:val="single" w:color="auto" w:sz="4" w:space="0"/>
              <w:bottom w:val="single" w:color="auto" w:sz="4" w:space="0"/>
              <w:right w:val="single" w:color="auto" w:sz="4" w:space="0"/>
            </w:tcBorders>
            <w:noWrap w:val="0"/>
            <w:vAlign w:val="center"/>
          </w:tcPr>
          <w:p w14:paraId="40D5DA39">
            <w:pPr>
              <w:spacing w:line="288" w:lineRule="auto"/>
              <w:jc w:val="center"/>
              <w:rPr>
                <w:rFonts w:hint="eastAsia" w:ascii="宋体" w:hAnsi="宋体" w:eastAsia="宋体"/>
                <w:color w:val="000000"/>
                <w:kern w:val="0"/>
                <w:sz w:val="21"/>
                <w:szCs w:val="24"/>
                <w:lang w:val="en-US" w:eastAsia="zh-CN"/>
              </w:rPr>
            </w:pPr>
            <w:r>
              <w:rPr>
                <w:rFonts w:hint="eastAsia" w:ascii="宋体" w:hAnsi="宋体"/>
                <w:color w:val="000000"/>
                <w:kern w:val="0"/>
                <w:sz w:val="21"/>
                <w:szCs w:val="24"/>
                <w:lang w:val="en-US" w:eastAsia="zh-CN"/>
              </w:rPr>
              <w:t>7</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4B95F98">
            <w:pPr>
              <w:jc w:val="center"/>
              <w:rPr>
                <w:rFonts w:hint="eastAsia" w:ascii="Calibri" w:hAnsi="Calibri"/>
                <w:color w:val="000000"/>
                <w:kern w:val="0"/>
                <w:sz w:val="21"/>
                <w:szCs w:val="24"/>
              </w:rPr>
            </w:pPr>
            <w:r>
              <w:rPr>
                <w:rFonts w:hint="eastAsia" w:ascii="宋体" w:hAnsi="宋体"/>
                <w:color w:val="000000"/>
                <w:kern w:val="0"/>
                <w:sz w:val="21"/>
                <w:szCs w:val="24"/>
              </w:rPr>
              <w:t>价格部分</w:t>
            </w:r>
          </w:p>
        </w:tc>
        <w:tc>
          <w:tcPr>
            <w:tcW w:w="4007" w:type="dxa"/>
            <w:tcBorders>
              <w:top w:val="single" w:color="auto" w:sz="4" w:space="0"/>
              <w:left w:val="single" w:color="auto" w:sz="4" w:space="0"/>
              <w:bottom w:val="single" w:color="auto" w:sz="4" w:space="0"/>
              <w:right w:val="single" w:color="auto" w:sz="4" w:space="0"/>
            </w:tcBorders>
            <w:noWrap w:val="0"/>
            <w:vAlign w:val="top"/>
          </w:tcPr>
          <w:p w14:paraId="2E32DCDD">
            <w:pPr>
              <w:spacing w:before="35"/>
              <w:rPr>
                <w:rFonts w:ascii="宋体" w:hAnsi="宋体"/>
                <w:color w:val="000000"/>
                <w:kern w:val="0"/>
                <w:sz w:val="21"/>
                <w:szCs w:val="24"/>
              </w:rPr>
            </w:pPr>
            <w:r>
              <w:rPr>
                <w:rFonts w:ascii="宋体" w:hAnsi="宋体"/>
                <w:color w:val="000000"/>
                <w:kern w:val="0"/>
                <w:sz w:val="21"/>
                <w:szCs w:val="24"/>
              </w:rPr>
              <w:t>价格评分按照以下方法计算：</w:t>
            </w:r>
          </w:p>
          <w:p w14:paraId="755AEC30">
            <w:pPr>
              <w:spacing w:before="154"/>
              <w:rPr>
                <w:rFonts w:ascii="宋体" w:hAnsi="宋体"/>
                <w:color w:val="000000"/>
                <w:kern w:val="0"/>
                <w:sz w:val="21"/>
                <w:szCs w:val="24"/>
              </w:rPr>
            </w:pPr>
            <w:r>
              <w:rPr>
                <w:rFonts w:ascii="宋体" w:hAnsi="宋体"/>
                <w:color w:val="000000"/>
                <w:kern w:val="0"/>
                <w:sz w:val="21"/>
                <w:szCs w:val="24"/>
              </w:rPr>
              <w:t>1</w:t>
            </w:r>
            <w:r>
              <w:rPr>
                <w:rFonts w:hint="eastAsia" w:ascii="宋体" w:hAnsi="宋体"/>
                <w:color w:val="000000"/>
                <w:kern w:val="0"/>
                <w:sz w:val="21"/>
                <w:szCs w:val="24"/>
              </w:rPr>
              <w:t>、</w:t>
            </w:r>
            <w:r>
              <w:rPr>
                <w:rFonts w:ascii="宋体" w:hAnsi="宋体"/>
                <w:color w:val="000000"/>
                <w:kern w:val="0"/>
                <w:sz w:val="21"/>
                <w:szCs w:val="24"/>
              </w:rPr>
              <w:t>评审基准价（K）计算方法：</w:t>
            </w:r>
          </w:p>
          <w:p w14:paraId="58757A53">
            <w:pPr>
              <w:spacing w:before="155"/>
              <w:ind w:right="102"/>
              <w:rPr>
                <w:rFonts w:ascii="宋体" w:hAnsi="宋体"/>
                <w:color w:val="000000"/>
                <w:kern w:val="0"/>
                <w:sz w:val="21"/>
                <w:szCs w:val="24"/>
              </w:rPr>
            </w:pPr>
            <w:r>
              <w:rPr>
                <w:rFonts w:ascii="宋体" w:hAnsi="宋体"/>
                <w:color w:val="000000"/>
                <w:kern w:val="0"/>
                <w:sz w:val="21"/>
                <w:szCs w:val="24"/>
              </w:rPr>
              <w:t>通过初步评审的响应人有效评审价的平均值（K）为评审基准价。</w:t>
            </w:r>
          </w:p>
          <w:p w14:paraId="478284BF">
            <w:pPr>
              <w:spacing w:before="155"/>
              <w:ind w:right="102"/>
              <w:rPr>
                <w:rFonts w:ascii="宋体" w:hAnsi="宋体"/>
                <w:color w:val="000000"/>
                <w:kern w:val="0"/>
                <w:sz w:val="21"/>
                <w:szCs w:val="24"/>
              </w:rPr>
            </w:pPr>
            <w:r>
              <w:rPr>
                <w:rFonts w:ascii="宋体" w:hAnsi="宋体"/>
                <w:color w:val="000000"/>
                <w:kern w:val="0"/>
                <w:sz w:val="21"/>
                <w:szCs w:val="24"/>
              </w:rPr>
              <w:t>【基准价计算公式： K= { (P1+P2+P3+…+Pn)/n）}】</w:t>
            </w:r>
          </w:p>
          <w:p w14:paraId="234D63E7">
            <w:pPr>
              <w:spacing w:before="6"/>
              <w:ind w:right="102"/>
              <w:rPr>
                <w:rFonts w:ascii="宋体" w:hAnsi="宋体"/>
                <w:color w:val="000000"/>
                <w:kern w:val="0"/>
                <w:sz w:val="21"/>
                <w:szCs w:val="24"/>
              </w:rPr>
            </w:pPr>
            <w:r>
              <w:rPr>
                <w:rFonts w:ascii="宋体" w:hAnsi="宋体"/>
                <w:color w:val="000000"/>
                <w:kern w:val="0"/>
                <w:sz w:val="21"/>
                <w:szCs w:val="24"/>
              </w:rPr>
              <w:t>2</w:t>
            </w:r>
            <w:r>
              <w:rPr>
                <w:rFonts w:hint="eastAsia" w:ascii="宋体" w:hAnsi="宋体"/>
                <w:color w:val="000000"/>
                <w:kern w:val="0"/>
                <w:sz w:val="21"/>
                <w:szCs w:val="24"/>
              </w:rPr>
              <w:t>、</w:t>
            </w:r>
            <w:r>
              <w:rPr>
                <w:rFonts w:ascii="宋体" w:hAnsi="宋体"/>
                <w:color w:val="000000"/>
                <w:kern w:val="0"/>
                <w:sz w:val="21"/>
                <w:szCs w:val="24"/>
              </w:rPr>
              <w:t>偏差值（Q）计算方法：Q=响应人有效评审价-评审基准价，偏差值计算保留两位小数，四舍五入。</w:t>
            </w:r>
          </w:p>
          <w:p w14:paraId="358BA6A2">
            <w:pPr>
              <w:rPr>
                <w:rFonts w:ascii="宋体" w:hAnsi="宋体"/>
                <w:color w:val="000000"/>
                <w:kern w:val="0"/>
                <w:sz w:val="21"/>
                <w:szCs w:val="24"/>
              </w:rPr>
            </w:pPr>
            <w:r>
              <w:rPr>
                <w:rFonts w:ascii="宋体" w:hAnsi="宋体"/>
                <w:color w:val="000000"/>
                <w:kern w:val="0"/>
                <w:sz w:val="21"/>
                <w:szCs w:val="24"/>
              </w:rPr>
              <w:t>3</w:t>
            </w:r>
            <w:r>
              <w:rPr>
                <w:rFonts w:hint="eastAsia" w:ascii="宋体" w:hAnsi="宋体"/>
                <w:color w:val="000000"/>
                <w:kern w:val="0"/>
                <w:sz w:val="21"/>
                <w:szCs w:val="24"/>
              </w:rPr>
              <w:t>、</w:t>
            </w:r>
            <w:r>
              <w:rPr>
                <w:rFonts w:ascii="宋体" w:hAnsi="宋体"/>
                <w:color w:val="000000"/>
                <w:kern w:val="0"/>
                <w:sz w:val="21"/>
                <w:szCs w:val="24"/>
              </w:rPr>
              <w:t>报价分（A）计算方法：</w:t>
            </w:r>
          </w:p>
          <w:p w14:paraId="664C8D82">
            <w:pPr>
              <w:spacing w:before="148"/>
              <w:rPr>
                <w:rFonts w:ascii="宋体" w:hAnsi="宋体"/>
                <w:color w:val="000000"/>
                <w:kern w:val="0"/>
                <w:sz w:val="21"/>
                <w:szCs w:val="24"/>
              </w:rPr>
            </w:pPr>
            <w:r>
              <w:rPr>
                <w:rFonts w:hint="eastAsia" w:ascii="宋体" w:hAnsi="宋体"/>
                <w:color w:val="000000"/>
                <w:kern w:val="0"/>
                <w:sz w:val="21"/>
                <w:szCs w:val="24"/>
              </w:rPr>
              <w:t>①</w:t>
            </w:r>
            <w:r>
              <w:rPr>
                <w:rFonts w:ascii="宋体" w:hAnsi="宋体"/>
                <w:color w:val="000000"/>
                <w:kern w:val="0"/>
                <w:sz w:val="21"/>
                <w:szCs w:val="24"/>
              </w:rPr>
              <w:t>若偏差值 Q 等于 0 时，得 20 分（基准分）；</w:t>
            </w:r>
          </w:p>
          <w:p w14:paraId="4AEB1F74">
            <w:pPr>
              <w:spacing w:before="167"/>
              <w:ind w:right="154"/>
              <w:rPr>
                <w:rFonts w:ascii="宋体" w:hAnsi="宋体"/>
                <w:color w:val="000000"/>
                <w:kern w:val="0"/>
                <w:sz w:val="21"/>
                <w:szCs w:val="24"/>
              </w:rPr>
            </w:pPr>
            <w:r>
              <w:rPr>
                <w:rFonts w:hint="eastAsia" w:ascii="宋体" w:hAnsi="宋体"/>
                <w:color w:val="000000"/>
                <w:kern w:val="0"/>
                <w:sz w:val="21"/>
                <w:szCs w:val="24"/>
              </w:rPr>
              <w:t>②</w:t>
            </w:r>
            <w:r>
              <w:rPr>
                <w:rFonts w:ascii="宋体" w:hAnsi="宋体"/>
                <w:color w:val="000000"/>
                <w:kern w:val="0"/>
                <w:sz w:val="21"/>
                <w:szCs w:val="24"/>
              </w:rPr>
              <w:t>偏差值 Q 大于 0 时，Q 每大于 1 万元，在基准分基础上扣 1 分，最低得 5 分；</w:t>
            </w:r>
          </w:p>
          <w:p w14:paraId="64865FB0">
            <w:pPr>
              <w:ind w:right="154"/>
              <w:rPr>
                <w:rFonts w:ascii="宋体" w:hAnsi="宋体"/>
                <w:color w:val="000000"/>
                <w:kern w:val="0"/>
                <w:sz w:val="21"/>
                <w:szCs w:val="24"/>
              </w:rPr>
            </w:pPr>
            <w:r>
              <w:rPr>
                <w:rFonts w:hint="eastAsia" w:ascii="宋体" w:hAnsi="宋体"/>
                <w:color w:val="000000"/>
                <w:kern w:val="0"/>
                <w:sz w:val="21"/>
                <w:szCs w:val="24"/>
              </w:rPr>
              <w:t>③</w:t>
            </w:r>
            <w:r>
              <w:rPr>
                <w:rFonts w:ascii="宋体" w:hAnsi="宋体"/>
                <w:color w:val="000000"/>
                <w:kern w:val="0"/>
                <w:sz w:val="21"/>
                <w:szCs w:val="24"/>
              </w:rPr>
              <w:t>偏差值 Q 小于 0 时，Q 每小于 1 万元， 在基准分基础上扣 0.5 分， 最低得 5 分。</w:t>
            </w:r>
          </w:p>
          <w:p w14:paraId="578C532C">
            <w:pPr>
              <w:spacing w:before="1"/>
              <w:rPr>
                <w:rFonts w:ascii="宋体" w:hAnsi="宋体"/>
                <w:color w:val="000000"/>
                <w:kern w:val="0"/>
                <w:sz w:val="21"/>
                <w:szCs w:val="24"/>
              </w:rPr>
            </w:pPr>
            <w:r>
              <w:rPr>
                <w:rFonts w:ascii="宋体" w:hAnsi="宋体"/>
                <w:color w:val="000000"/>
                <w:kern w:val="0"/>
                <w:sz w:val="21"/>
                <w:szCs w:val="24"/>
              </w:rPr>
              <w:t>其他情形，按中间插入法计算报价得分。</w:t>
            </w:r>
          </w:p>
          <w:p w14:paraId="388F0DFA">
            <w:pPr>
              <w:rPr>
                <w:rFonts w:ascii="宋体" w:hAnsi="宋体"/>
                <w:color w:val="000000"/>
                <w:kern w:val="0"/>
                <w:sz w:val="21"/>
                <w:szCs w:val="24"/>
              </w:rPr>
            </w:pPr>
            <w:r>
              <w:rPr>
                <w:rFonts w:ascii="宋体" w:hAnsi="宋体"/>
                <w:color w:val="000000"/>
                <w:kern w:val="0"/>
                <w:sz w:val="21"/>
                <w:szCs w:val="24"/>
              </w:rPr>
              <w:t>注：报价得分计算保留两位小数，四舍五入。</w:t>
            </w:r>
          </w:p>
          <w:p w14:paraId="26F39D4B">
            <w:pPr>
              <w:spacing w:before="35"/>
              <w:rPr>
                <w:rFonts w:hint="eastAsia" w:ascii="宋体" w:hAnsi="宋体" w:cs="宋体"/>
                <w:sz w:val="22"/>
              </w:rPr>
            </w:pPr>
          </w:p>
        </w:tc>
        <w:tc>
          <w:tcPr>
            <w:tcW w:w="689" w:type="dxa"/>
            <w:tcBorders>
              <w:top w:val="single" w:color="auto" w:sz="4" w:space="0"/>
              <w:left w:val="single" w:color="auto" w:sz="4" w:space="0"/>
              <w:bottom w:val="single" w:color="auto" w:sz="4" w:space="0"/>
              <w:right w:val="single" w:color="auto" w:sz="4" w:space="0"/>
            </w:tcBorders>
            <w:noWrap w:val="0"/>
            <w:vAlign w:val="center"/>
          </w:tcPr>
          <w:p w14:paraId="53CCCE84">
            <w:pPr>
              <w:spacing w:line="288" w:lineRule="auto"/>
              <w:jc w:val="center"/>
              <w:rPr>
                <w:rFonts w:ascii="宋体" w:hAnsi="宋体"/>
                <w:color w:val="000000"/>
                <w:kern w:val="0"/>
                <w:sz w:val="21"/>
                <w:szCs w:val="24"/>
              </w:rPr>
            </w:pPr>
            <w:r>
              <w:rPr>
                <w:rFonts w:ascii="宋体" w:hAnsi="宋体"/>
                <w:color w:val="000000"/>
                <w:kern w:val="0"/>
                <w:sz w:val="21"/>
                <w:szCs w:val="24"/>
              </w:rPr>
              <w:t>20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6EC77F1C">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35BE1DE7">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359A2DDB">
            <w:pPr>
              <w:spacing w:line="288" w:lineRule="auto"/>
              <w:jc w:val="center"/>
              <w:rPr>
                <w:rFonts w:ascii="宋体" w:hAnsi="宋体"/>
                <w:color w:val="000000"/>
                <w:kern w:val="0"/>
                <w:sz w:val="21"/>
                <w:szCs w:val="24"/>
              </w:rPr>
            </w:pPr>
          </w:p>
        </w:tc>
      </w:tr>
      <w:tr w14:paraId="443F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04" w:type="dxa"/>
            <w:gridSpan w:val="3"/>
            <w:tcBorders>
              <w:top w:val="single" w:color="auto" w:sz="4" w:space="0"/>
              <w:left w:val="single" w:color="auto" w:sz="4" w:space="0"/>
              <w:bottom w:val="single" w:color="auto" w:sz="4" w:space="0"/>
              <w:right w:val="single" w:color="auto" w:sz="4" w:space="0"/>
            </w:tcBorders>
            <w:noWrap w:val="0"/>
            <w:vAlign w:val="center"/>
          </w:tcPr>
          <w:p w14:paraId="71EC113F">
            <w:pPr>
              <w:spacing w:line="360" w:lineRule="exact"/>
              <w:jc w:val="center"/>
              <w:rPr>
                <w:rFonts w:ascii="宋体" w:hAnsi="宋体" w:cs="宋体"/>
                <w:sz w:val="22"/>
              </w:rPr>
            </w:pPr>
            <w:r>
              <w:rPr>
                <w:rFonts w:ascii="宋体" w:hAnsi="宋体" w:eastAsia="宋体" w:cs="宋体"/>
                <w:color w:val="auto"/>
                <w:kern w:val="2"/>
                <w:sz w:val="21"/>
                <w:szCs w:val="21"/>
              </w:rPr>
              <w:t>合计</w:t>
            </w:r>
          </w:p>
        </w:tc>
        <w:tc>
          <w:tcPr>
            <w:tcW w:w="689" w:type="dxa"/>
            <w:tcBorders>
              <w:top w:val="single" w:color="auto" w:sz="4" w:space="0"/>
              <w:left w:val="single" w:color="auto" w:sz="4" w:space="0"/>
              <w:bottom w:val="single" w:color="auto" w:sz="4" w:space="0"/>
              <w:right w:val="single" w:color="auto" w:sz="4" w:space="0"/>
            </w:tcBorders>
            <w:noWrap w:val="0"/>
            <w:vAlign w:val="center"/>
          </w:tcPr>
          <w:p w14:paraId="46381A1F">
            <w:pPr>
              <w:spacing w:line="288" w:lineRule="auto"/>
              <w:jc w:val="center"/>
              <w:rPr>
                <w:rFonts w:hint="eastAsia" w:ascii="宋体" w:hAnsi="宋体" w:eastAsia="宋体"/>
                <w:color w:val="000000"/>
                <w:kern w:val="0"/>
                <w:sz w:val="21"/>
                <w:szCs w:val="24"/>
                <w:lang w:val="en-US" w:eastAsia="zh-CN"/>
              </w:rPr>
            </w:pPr>
            <w:r>
              <w:rPr>
                <w:rFonts w:hint="eastAsia" w:ascii="宋体" w:hAnsi="宋体"/>
                <w:color w:val="000000"/>
                <w:kern w:val="0"/>
                <w:sz w:val="21"/>
                <w:szCs w:val="24"/>
                <w:lang w:val="en-US" w:eastAsia="zh-CN"/>
              </w:rPr>
              <w:t>100</w:t>
            </w:r>
          </w:p>
        </w:tc>
        <w:tc>
          <w:tcPr>
            <w:tcW w:w="687" w:type="dxa"/>
            <w:tcBorders>
              <w:top w:val="single" w:color="auto" w:sz="4" w:space="0"/>
              <w:left w:val="single" w:color="auto" w:sz="4" w:space="0"/>
              <w:bottom w:val="single" w:color="auto" w:sz="4" w:space="0"/>
              <w:right w:val="single" w:color="auto" w:sz="4" w:space="0"/>
            </w:tcBorders>
            <w:noWrap w:val="0"/>
            <w:vAlign w:val="center"/>
          </w:tcPr>
          <w:p w14:paraId="7B59F45F">
            <w:pPr>
              <w:spacing w:line="288" w:lineRule="auto"/>
              <w:jc w:val="center"/>
              <w:rPr>
                <w:rFonts w:ascii="宋体" w:hAnsi="宋体"/>
                <w:color w:val="000000"/>
                <w:kern w:val="0"/>
                <w:sz w:val="21"/>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3243A320">
            <w:pPr>
              <w:spacing w:line="288" w:lineRule="auto"/>
              <w:jc w:val="center"/>
              <w:rPr>
                <w:rFonts w:ascii="宋体" w:hAnsi="宋体"/>
                <w:color w:val="000000"/>
                <w:kern w:val="0"/>
                <w:sz w:val="21"/>
                <w:szCs w:val="24"/>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1F23A876">
            <w:pPr>
              <w:spacing w:line="288" w:lineRule="auto"/>
              <w:jc w:val="center"/>
              <w:rPr>
                <w:rFonts w:ascii="宋体" w:hAnsi="宋体"/>
                <w:color w:val="000000"/>
                <w:kern w:val="0"/>
                <w:sz w:val="21"/>
                <w:szCs w:val="24"/>
              </w:rPr>
            </w:pPr>
          </w:p>
        </w:tc>
      </w:tr>
      <w:tr w14:paraId="6456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804" w:type="dxa"/>
            <w:gridSpan w:val="3"/>
            <w:tcBorders>
              <w:top w:val="single" w:color="auto" w:sz="4" w:space="0"/>
              <w:left w:val="single" w:color="auto" w:sz="4" w:space="0"/>
              <w:bottom w:val="single" w:color="auto" w:sz="4" w:space="0"/>
              <w:right w:val="single" w:color="auto" w:sz="4" w:space="0"/>
            </w:tcBorders>
            <w:noWrap w:val="0"/>
            <w:vAlign w:val="center"/>
          </w:tcPr>
          <w:p w14:paraId="5A3BDE38">
            <w:pPr>
              <w:spacing w:line="360" w:lineRule="exact"/>
              <w:jc w:val="center"/>
              <w:rPr>
                <w:rFonts w:ascii="宋体" w:hAnsi="宋体" w:cs="宋体"/>
                <w:sz w:val="22"/>
              </w:rPr>
            </w:pPr>
            <w:r>
              <w:rPr>
                <w:rFonts w:ascii="宋体" w:hAnsi="宋体" w:eastAsia="宋体" w:cs="宋体"/>
                <w:b/>
                <w:bCs/>
                <w:color w:val="auto"/>
                <w:kern w:val="2"/>
                <w:sz w:val="21"/>
                <w:szCs w:val="21"/>
                <w:highlight w:val="none"/>
              </w:rPr>
              <w:t>拟推荐成交候选供应商（原则推荐</w:t>
            </w:r>
            <w:r>
              <w:rPr>
                <w:rFonts w:hint="eastAsia" w:ascii="宋体" w:hAnsi="宋体" w:eastAsia="宋体" w:cs="宋体"/>
                <w:b/>
                <w:bCs/>
                <w:color w:val="auto"/>
                <w:kern w:val="2"/>
                <w:sz w:val="21"/>
                <w:szCs w:val="21"/>
                <w:highlight w:val="none"/>
              </w:rPr>
              <w:t>评审得票最高的</w:t>
            </w:r>
            <w:r>
              <w:rPr>
                <w:rFonts w:ascii="宋体" w:hAnsi="宋体" w:eastAsia="宋体" w:cs="宋体"/>
                <w:b/>
                <w:bCs/>
                <w:color w:val="auto"/>
                <w:kern w:val="2"/>
                <w:sz w:val="21"/>
                <w:szCs w:val="21"/>
                <w:highlight w:val="none"/>
              </w:rPr>
              <w:t>单位）</w:t>
            </w:r>
          </w:p>
        </w:tc>
        <w:tc>
          <w:tcPr>
            <w:tcW w:w="2714" w:type="dxa"/>
            <w:gridSpan w:val="4"/>
            <w:tcBorders>
              <w:top w:val="single" w:color="auto" w:sz="4" w:space="0"/>
              <w:left w:val="single" w:color="auto" w:sz="4" w:space="0"/>
              <w:bottom w:val="single" w:color="auto" w:sz="4" w:space="0"/>
              <w:right w:val="single" w:color="auto" w:sz="4" w:space="0"/>
            </w:tcBorders>
            <w:noWrap w:val="0"/>
            <w:vAlign w:val="center"/>
          </w:tcPr>
          <w:p w14:paraId="31188232">
            <w:pPr>
              <w:spacing w:line="288" w:lineRule="auto"/>
              <w:jc w:val="center"/>
              <w:rPr>
                <w:rFonts w:ascii="宋体" w:hAnsi="宋体"/>
                <w:color w:val="000000"/>
                <w:kern w:val="0"/>
                <w:sz w:val="21"/>
                <w:szCs w:val="24"/>
              </w:rPr>
            </w:pPr>
          </w:p>
        </w:tc>
      </w:tr>
    </w:tbl>
    <w:p w14:paraId="127FC913">
      <w:pPr>
        <w:pStyle w:val="2"/>
      </w:pPr>
    </w:p>
    <w:p w14:paraId="503CA92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ascii="黑体" w:hAnsi="黑体" w:eastAsia="黑体" w:cs="黑体"/>
          <w:kern w:val="2"/>
          <w:sz w:val="21"/>
          <w:szCs w:val="21"/>
          <w:highlight w:val="none"/>
        </w:rPr>
      </w:pPr>
      <w:bookmarkStart w:id="0" w:name="_Toc325982546"/>
      <w:bookmarkEnd w:id="0"/>
      <w:bookmarkStart w:id="1" w:name="_Toc261437158"/>
      <w:bookmarkEnd w:id="1"/>
      <w:bookmarkStart w:id="2" w:name="_Toc236889543"/>
      <w:bookmarkEnd w:id="2"/>
      <w:bookmarkStart w:id="3" w:name="_Toc217989654"/>
      <w:bookmarkEnd w:id="3"/>
      <w:r>
        <w:rPr>
          <w:rFonts w:hint="eastAsia" w:ascii="仿宋" w:hAnsi="仿宋" w:eastAsia="仿宋"/>
          <w:b/>
          <w:color w:val="000000"/>
          <w:kern w:val="0"/>
          <w:sz w:val="21"/>
          <w:szCs w:val="24"/>
          <w:lang w:eastAsia="zh-CN"/>
        </w:rPr>
        <w:t>备</w:t>
      </w:r>
      <w:r>
        <w:rPr>
          <w:rFonts w:hint="eastAsia" w:ascii="仿宋" w:hAnsi="仿宋" w:eastAsia="仿宋"/>
          <w:b/>
          <w:color w:val="000000"/>
          <w:kern w:val="0"/>
          <w:sz w:val="21"/>
          <w:szCs w:val="24"/>
        </w:rPr>
        <w:t>注：</w:t>
      </w:r>
      <w:r>
        <w:rPr>
          <w:rFonts w:hint="eastAsia" w:ascii="仿宋" w:hAnsi="仿宋" w:eastAsia="仿宋"/>
          <w:color w:val="000000"/>
          <w:kern w:val="0"/>
          <w:sz w:val="21"/>
          <w:szCs w:val="24"/>
        </w:rPr>
        <w:t>证明材料均为复印件或扫描件或打印件，并加盖单位公章。</w:t>
      </w:r>
    </w:p>
    <w:p w14:paraId="0F503B8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ascii="黑体" w:hAnsi="黑体" w:eastAsia="黑体" w:cs="黑体"/>
          <w:kern w:val="2"/>
          <w:sz w:val="21"/>
          <w:szCs w:val="21"/>
          <w:highlight w:val="none"/>
        </w:rPr>
      </w:pPr>
    </w:p>
    <w:p w14:paraId="19AA175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highlight w:val="none"/>
        </w:rPr>
      </w:pPr>
      <w:r>
        <w:rPr>
          <w:rFonts w:ascii="黑体" w:hAnsi="黑体" w:eastAsia="黑体" w:cs="黑体"/>
          <w:kern w:val="2"/>
          <w:sz w:val="21"/>
          <w:szCs w:val="21"/>
          <w:highlight w:val="none"/>
        </w:rPr>
        <w:t>备注：</w:t>
      </w:r>
      <w:r>
        <w:rPr>
          <w:rFonts w:ascii="黑体" w:hAnsi="黑体" w:eastAsia="黑体" w:cs="黑体"/>
          <w:kern w:val="2"/>
          <w:sz w:val="21"/>
          <w:szCs w:val="21"/>
          <w:highlight w:val="none"/>
          <w:lang w:val="en-US"/>
        </w:rPr>
        <w:t>1.</w:t>
      </w:r>
      <w:r>
        <w:rPr>
          <w:rFonts w:ascii="黑体" w:hAnsi="黑体" w:eastAsia="黑体" w:cs="黑体"/>
          <w:kern w:val="2"/>
          <w:sz w:val="21"/>
          <w:szCs w:val="21"/>
          <w:highlight w:val="none"/>
        </w:rPr>
        <w:t>各项评审打分按照四舍五入，小数点后保留</w:t>
      </w:r>
      <w:r>
        <w:rPr>
          <w:rFonts w:ascii="黑体" w:hAnsi="黑体" w:eastAsia="黑体" w:cs="黑体"/>
          <w:kern w:val="2"/>
          <w:sz w:val="21"/>
          <w:szCs w:val="21"/>
          <w:highlight w:val="none"/>
          <w:lang w:val="en-US"/>
        </w:rPr>
        <w:t>2</w:t>
      </w:r>
      <w:r>
        <w:rPr>
          <w:rFonts w:ascii="黑体" w:hAnsi="黑体" w:eastAsia="黑体" w:cs="黑体"/>
          <w:kern w:val="2"/>
          <w:sz w:val="21"/>
          <w:szCs w:val="21"/>
          <w:highlight w:val="none"/>
        </w:rPr>
        <w:t>位进行计算；</w:t>
      </w:r>
    </w:p>
    <w:p w14:paraId="6A18BA6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highlight w:val="none"/>
        </w:rPr>
      </w:pPr>
      <w:r>
        <w:rPr>
          <w:rFonts w:ascii="黑体" w:hAnsi="黑体" w:eastAsia="黑体" w:cs="黑体"/>
          <w:kern w:val="2"/>
          <w:sz w:val="21"/>
          <w:szCs w:val="21"/>
          <w:highlight w:val="none"/>
          <w:lang w:val="en-US"/>
        </w:rPr>
        <w:t xml:space="preserve">          2.</w:t>
      </w:r>
      <w:r>
        <w:rPr>
          <w:rFonts w:ascii="黑体" w:hAnsi="黑体" w:eastAsia="黑体" w:cs="黑体"/>
          <w:kern w:val="2"/>
          <w:sz w:val="21"/>
          <w:szCs w:val="21"/>
          <w:highlight w:val="none"/>
        </w:rPr>
        <w:t>若出现拟推荐成交候选供应商票数相同的情况，以未推荐上述单位的评审专家对并列第一的候选供应商既定打分排序作为最终选定依据。</w:t>
      </w:r>
    </w:p>
    <w:p w14:paraId="4142BD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ingFang SC Regular">
    <w:altName w:val="Cambria"/>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zVjMTg0MTZmYTdjNTNhMjFmYzJjYmQ0YWRjNTEifQ=="/>
  </w:docVars>
  <w:rsids>
    <w:rsidRoot w:val="2FC8024A"/>
    <w:rsid w:val="2FC8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customStyle="1" w:styleId="6">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2024-10-18T06:47:00Z</dcterms:created>
  <dc:creator>廖蜀黍</dc:creator>
  <cp:lastModifiedBy>廖蜀黍</cp:lastModifiedBy>
  <dcterms:modified xsi:type="dcterms:W3CDTF">2024-10-18T06:48:00Z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B4FF662D8DBB48F5AC9E445369CEA3CF_11</vt:lpwstr>
  </property>
</Properties>
</file>