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0" w:firstLineChars="0"/>
        <w:jc w:val="center"/>
        <w:rPr>
          <w:rFonts w:hint="eastAsia" w:ascii="宋体" w:hAnsi="宋体" w:eastAsia="宋体" w:cs="宋体"/>
          <w:b/>
          <w:bCs/>
          <w:color w:val="auto"/>
          <w:sz w:val="44"/>
          <w:szCs w:val="44"/>
          <w:lang w:eastAsia="zh-CN"/>
        </w:rPr>
      </w:pPr>
      <w:bookmarkStart w:id="0" w:name="_GoBack"/>
      <w:bookmarkEnd w:id="0"/>
      <w:r>
        <w:rPr>
          <w:rFonts w:hint="eastAsia" w:ascii="宋体" w:hAnsi="宋体" w:eastAsia="宋体" w:cs="宋体"/>
          <w:b/>
          <w:bCs/>
          <w:color w:val="auto"/>
          <w:sz w:val="44"/>
          <w:szCs w:val="44"/>
          <w:lang w:eastAsia="zh-CN"/>
        </w:rPr>
        <w:t>深圳市龙岗区保障性住房投资有限公司</w:t>
      </w:r>
    </w:p>
    <w:p>
      <w:pPr>
        <w:adjustRightInd w:val="0"/>
        <w:snapToGrid w:val="0"/>
        <w:spacing w:line="560" w:lineRule="exact"/>
        <w:ind w:firstLine="0" w:firstLineChars="0"/>
        <w:jc w:val="center"/>
        <w:rPr>
          <w:rFonts w:hint="eastAsia" w:ascii="方正小标宋简体" w:eastAsia="方正小标宋简体" w:hAnsiTheme="minorEastAsia"/>
          <w:color w:val="auto"/>
          <w:sz w:val="44"/>
          <w:szCs w:val="44"/>
          <w:lang w:eastAsia="zh-CN"/>
        </w:rPr>
      </w:pPr>
      <w:r>
        <w:rPr>
          <w:rFonts w:hint="eastAsia" w:ascii="宋体" w:hAnsi="宋体" w:eastAsia="宋体" w:cs="宋体"/>
          <w:b/>
          <w:bCs/>
          <w:color w:val="auto"/>
          <w:sz w:val="44"/>
          <w:szCs w:val="44"/>
          <w:lang w:val="en-US" w:eastAsia="zh-CN"/>
        </w:rPr>
        <w:t>关于龙岗区锦上花园3套住宅的自行招租公告</w:t>
      </w:r>
    </w:p>
    <w:tbl>
      <w:tblPr>
        <w:tblStyle w:val="3"/>
        <w:tblW w:w="10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208"/>
        <w:gridCol w:w="1067"/>
        <w:gridCol w:w="285"/>
        <w:gridCol w:w="720"/>
        <w:gridCol w:w="930"/>
        <w:gridCol w:w="390"/>
        <w:gridCol w:w="488"/>
        <w:gridCol w:w="367"/>
        <w:gridCol w:w="1635"/>
        <w:gridCol w:w="120"/>
        <w:gridCol w:w="438"/>
        <w:gridCol w:w="912"/>
        <w:gridCol w:w="705"/>
        <w:gridCol w:w="27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1" w:type="dxa"/>
            <w:vMerge w:val="restart"/>
            <w:vAlign w:val="center"/>
          </w:tcPr>
          <w:p>
            <w:pPr>
              <w:adjustRightInd w:val="0"/>
              <w:snapToGrid w:val="0"/>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招租物业</w:t>
            </w:r>
          </w:p>
        </w:tc>
        <w:tc>
          <w:tcPr>
            <w:tcW w:w="1275" w:type="dxa"/>
            <w:gridSpan w:val="2"/>
            <w:vAlign w:val="center"/>
          </w:tcPr>
          <w:p>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宋体" w:hAnsi="宋体" w:eastAsia="宋体" w:cs="宋体"/>
                <w:b/>
                <w:bCs/>
                <w:i w:val="0"/>
                <w:iCs w:val="0"/>
                <w:color w:val="000000"/>
                <w:kern w:val="0"/>
                <w:sz w:val="22"/>
                <w:szCs w:val="22"/>
                <w:u w:val="none"/>
                <w:lang w:val="en-US" w:eastAsia="zh-CN" w:bidi="ar"/>
              </w:rPr>
              <w:t>物业名称</w:t>
            </w:r>
          </w:p>
        </w:tc>
        <w:tc>
          <w:tcPr>
            <w:tcW w:w="1005" w:type="dxa"/>
            <w:gridSpan w:val="2"/>
            <w:vAlign w:val="center"/>
          </w:tcPr>
          <w:p>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宋体" w:hAnsi="宋体" w:eastAsia="宋体" w:cs="宋体"/>
                <w:b/>
                <w:bCs/>
                <w:i w:val="0"/>
                <w:iCs w:val="0"/>
                <w:color w:val="000000"/>
                <w:kern w:val="0"/>
                <w:sz w:val="22"/>
                <w:szCs w:val="22"/>
                <w:u w:val="none"/>
                <w:lang w:val="en-US" w:eastAsia="zh-CN" w:bidi="ar"/>
              </w:rPr>
              <w:t>栋号</w:t>
            </w:r>
          </w:p>
        </w:tc>
        <w:tc>
          <w:tcPr>
            <w:tcW w:w="930" w:type="dxa"/>
            <w:vAlign w:val="center"/>
          </w:tcPr>
          <w:p>
            <w:pPr>
              <w:keepNext w:val="0"/>
              <w:keepLines w:val="0"/>
              <w:widowControl/>
              <w:suppressLineNumbers w:val="0"/>
              <w:jc w:val="center"/>
              <w:textAlignment w:val="center"/>
              <w:rPr>
                <w:rFonts w:hint="eastAsia" w:ascii="仿宋" w:hAnsi="仿宋" w:eastAsia="仿宋" w:cs="仿宋"/>
                <w:b/>
                <w:bCs/>
                <w:sz w:val="24"/>
                <w:szCs w:val="24"/>
                <w:lang w:val="en-US" w:eastAsia="zh-CN"/>
              </w:rPr>
            </w:pPr>
            <w:r>
              <w:rPr>
                <w:rFonts w:hint="eastAsia" w:ascii="宋体" w:hAnsi="宋体" w:eastAsia="宋体" w:cs="宋体"/>
                <w:b/>
                <w:bCs/>
                <w:i w:val="0"/>
                <w:iCs w:val="0"/>
                <w:color w:val="000000"/>
                <w:kern w:val="0"/>
                <w:sz w:val="22"/>
                <w:szCs w:val="22"/>
                <w:u w:val="none"/>
                <w:lang w:val="en-US" w:eastAsia="zh-CN" w:bidi="ar"/>
              </w:rPr>
              <w:t>房号</w:t>
            </w:r>
          </w:p>
        </w:tc>
        <w:tc>
          <w:tcPr>
            <w:tcW w:w="1245" w:type="dxa"/>
            <w:gridSpan w:val="3"/>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面积</w:t>
            </w:r>
          </w:p>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p>
        </w:tc>
        <w:tc>
          <w:tcPr>
            <w:tcW w:w="1635" w:type="dxa"/>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招租底价</w:t>
            </w:r>
          </w:p>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元/㎡/月）</w:t>
            </w:r>
          </w:p>
        </w:tc>
        <w:tc>
          <w:tcPr>
            <w:tcW w:w="1470" w:type="dxa"/>
            <w:gridSpan w:val="3"/>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竞租保证金</w:t>
            </w:r>
          </w:p>
          <w:p>
            <w:pPr>
              <w:adjustRightInd w:val="0"/>
              <w:snapToGrid w:val="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（元）</w:t>
            </w:r>
          </w:p>
        </w:tc>
        <w:tc>
          <w:tcPr>
            <w:tcW w:w="705" w:type="dxa"/>
            <w:vAlign w:val="center"/>
          </w:tcPr>
          <w:p>
            <w:pPr>
              <w:adjustRightInd w:val="0"/>
              <w:snapToGrid w:val="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租期</w:t>
            </w:r>
          </w:p>
        </w:tc>
        <w:tc>
          <w:tcPr>
            <w:tcW w:w="1319" w:type="dxa"/>
            <w:gridSpan w:val="2"/>
            <w:vAlign w:val="center"/>
          </w:tcPr>
          <w:p>
            <w:pPr>
              <w:adjustRightInd w:val="0"/>
              <w:snapToGrid w:val="0"/>
              <w:jc w:val="center"/>
              <w:rPr>
                <w:rFonts w:hint="eastAsia" w:ascii="仿宋" w:hAnsi="仿宋" w:eastAsia="仿宋" w:cs="仿宋"/>
                <w:b/>
                <w:bCs/>
                <w:kern w:val="2"/>
                <w:sz w:val="24"/>
                <w:szCs w:val="24"/>
                <w:lang w:val="en-US" w:eastAsia="zh-CN" w:bidi="ar-SA"/>
              </w:rPr>
            </w:pPr>
            <w:r>
              <w:rPr>
                <w:rFonts w:hint="eastAsia" w:ascii="仿宋" w:hAnsi="仿宋" w:eastAsia="仿宋" w:cs="仿宋"/>
                <w:b/>
                <w:bCs/>
                <w:sz w:val="24"/>
                <w:szCs w:val="24"/>
                <w:lang w:val="en-US" w:eastAsia="zh-CN"/>
              </w:rPr>
              <w:t>物业性质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1" w:type="dxa"/>
            <w:vMerge w:val="continue"/>
            <w:vAlign w:val="center"/>
          </w:tcPr>
          <w:p>
            <w:pPr>
              <w:adjustRightInd w:val="0"/>
              <w:snapToGrid w:val="0"/>
              <w:jc w:val="center"/>
              <w:rPr>
                <w:rFonts w:hint="default" w:ascii="仿宋_GB2312" w:eastAsia="仿宋_GB2312"/>
                <w:b/>
                <w:bCs/>
                <w:sz w:val="24"/>
                <w:szCs w:val="24"/>
                <w:lang w:val="en-US" w:eastAsia="zh-CN"/>
              </w:rPr>
            </w:pPr>
          </w:p>
        </w:tc>
        <w:tc>
          <w:tcPr>
            <w:tcW w:w="127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地铁锦上花园</w:t>
            </w:r>
          </w:p>
        </w:tc>
        <w:tc>
          <w:tcPr>
            <w:tcW w:w="100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8栋</w:t>
            </w:r>
          </w:p>
        </w:tc>
        <w:tc>
          <w:tcPr>
            <w:tcW w:w="930" w:type="dxa"/>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3403</w:t>
            </w:r>
          </w:p>
        </w:tc>
        <w:tc>
          <w:tcPr>
            <w:tcW w:w="1245" w:type="dxa"/>
            <w:gridSpan w:val="3"/>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129.92</w:t>
            </w:r>
          </w:p>
        </w:tc>
        <w:tc>
          <w:tcPr>
            <w:tcW w:w="1635" w:type="dxa"/>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1470" w:type="dxa"/>
            <w:gridSpan w:val="3"/>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11174.00</w:t>
            </w:r>
          </w:p>
        </w:tc>
        <w:tc>
          <w:tcPr>
            <w:tcW w:w="705" w:type="dxa"/>
            <w:vAlign w:val="center"/>
          </w:tcPr>
          <w:p>
            <w:pPr>
              <w:adjustRightInd w:val="0"/>
              <w:snapToGrid w:val="0"/>
              <w:jc w:val="center"/>
              <w:rPr>
                <w:rFonts w:hint="eastAsia" w:ascii="仿宋" w:hAnsi="仿宋" w:eastAsia="仿宋" w:cs="仿宋"/>
                <w:sz w:val="24"/>
                <w:szCs w:val="24"/>
                <w:lang w:val="en-US" w:eastAsia="zh-CN"/>
              </w:rPr>
            </w:pPr>
            <w:r>
              <w:rPr>
                <w:rFonts w:hint="eastAsia" w:ascii="宋体" w:hAnsi="宋体" w:eastAsia="宋体" w:cs="宋体"/>
                <w:sz w:val="24"/>
                <w:szCs w:val="24"/>
                <w:lang w:val="en-US" w:eastAsia="zh-CN"/>
              </w:rPr>
              <w:t>1年</w:t>
            </w:r>
          </w:p>
        </w:tc>
        <w:tc>
          <w:tcPr>
            <w:tcW w:w="1319" w:type="dxa"/>
            <w:gridSpan w:val="2"/>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1" w:type="dxa"/>
            <w:vMerge w:val="continue"/>
            <w:vAlign w:val="center"/>
          </w:tcPr>
          <w:p>
            <w:pPr>
              <w:adjustRightInd w:val="0"/>
              <w:snapToGrid w:val="0"/>
              <w:jc w:val="center"/>
              <w:rPr>
                <w:rFonts w:hint="default" w:ascii="仿宋_GB2312" w:eastAsia="仿宋_GB2312"/>
                <w:b/>
                <w:bCs/>
                <w:sz w:val="24"/>
                <w:szCs w:val="24"/>
                <w:lang w:val="en-US" w:eastAsia="zh-CN"/>
              </w:rPr>
            </w:pPr>
          </w:p>
        </w:tc>
        <w:tc>
          <w:tcPr>
            <w:tcW w:w="127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地铁锦上花园</w:t>
            </w:r>
          </w:p>
        </w:tc>
        <w:tc>
          <w:tcPr>
            <w:tcW w:w="100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7栋B座</w:t>
            </w:r>
          </w:p>
        </w:tc>
        <w:tc>
          <w:tcPr>
            <w:tcW w:w="930" w:type="dxa"/>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302</w:t>
            </w:r>
          </w:p>
        </w:tc>
        <w:tc>
          <w:tcPr>
            <w:tcW w:w="1245" w:type="dxa"/>
            <w:gridSpan w:val="3"/>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127.77</w:t>
            </w:r>
          </w:p>
        </w:tc>
        <w:tc>
          <w:tcPr>
            <w:tcW w:w="1635"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1470" w:type="dxa"/>
            <w:gridSpan w:val="3"/>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10732.00</w:t>
            </w:r>
          </w:p>
        </w:tc>
        <w:tc>
          <w:tcPr>
            <w:tcW w:w="705" w:type="dxa"/>
            <w:vAlign w:val="center"/>
          </w:tcPr>
          <w:p>
            <w:pPr>
              <w:adjustRightInd w:val="0"/>
              <w:snapToGrid w:val="0"/>
              <w:jc w:val="center"/>
              <w:rPr>
                <w:rFonts w:hint="eastAsia" w:ascii="仿宋" w:hAnsi="仿宋" w:eastAsia="仿宋" w:cs="仿宋"/>
                <w:sz w:val="24"/>
                <w:szCs w:val="24"/>
                <w:lang w:val="en-US" w:eastAsia="zh-CN"/>
              </w:rPr>
            </w:pPr>
            <w:r>
              <w:rPr>
                <w:rFonts w:hint="eastAsia" w:ascii="宋体" w:hAnsi="宋体" w:eastAsia="宋体" w:cs="宋体"/>
                <w:sz w:val="24"/>
                <w:szCs w:val="24"/>
                <w:lang w:val="en-US" w:eastAsia="zh-CN"/>
              </w:rPr>
              <w:t>1年</w:t>
            </w:r>
          </w:p>
        </w:tc>
        <w:tc>
          <w:tcPr>
            <w:tcW w:w="1319" w:type="dxa"/>
            <w:gridSpan w:val="2"/>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051" w:type="dxa"/>
            <w:vMerge w:val="continue"/>
            <w:vAlign w:val="center"/>
          </w:tcPr>
          <w:p>
            <w:pPr>
              <w:adjustRightInd w:val="0"/>
              <w:snapToGrid w:val="0"/>
              <w:jc w:val="center"/>
              <w:rPr>
                <w:rFonts w:hint="default" w:ascii="仿宋_GB2312" w:eastAsia="仿宋_GB2312"/>
                <w:b/>
                <w:bCs/>
                <w:sz w:val="24"/>
                <w:szCs w:val="24"/>
                <w:lang w:val="en-US" w:eastAsia="zh-CN"/>
              </w:rPr>
            </w:pPr>
          </w:p>
        </w:tc>
        <w:tc>
          <w:tcPr>
            <w:tcW w:w="127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地铁锦上花园</w:t>
            </w:r>
          </w:p>
        </w:tc>
        <w:tc>
          <w:tcPr>
            <w:tcW w:w="1005" w:type="dxa"/>
            <w:gridSpan w:val="2"/>
            <w:vAlign w:val="center"/>
          </w:tcPr>
          <w:p>
            <w:pPr>
              <w:adjustRightInd w:val="0"/>
              <w:snapToGrid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7栋B座</w:t>
            </w:r>
          </w:p>
        </w:tc>
        <w:tc>
          <w:tcPr>
            <w:tcW w:w="930" w:type="dxa"/>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1702</w:t>
            </w:r>
          </w:p>
        </w:tc>
        <w:tc>
          <w:tcPr>
            <w:tcW w:w="1245" w:type="dxa"/>
            <w:gridSpan w:val="3"/>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127.77</w:t>
            </w:r>
          </w:p>
        </w:tc>
        <w:tc>
          <w:tcPr>
            <w:tcW w:w="1635" w:type="dxa"/>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1470" w:type="dxa"/>
            <w:gridSpan w:val="3"/>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10732.00</w:t>
            </w:r>
          </w:p>
        </w:tc>
        <w:tc>
          <w:tcPr>
            <w:tcW w:w="705" w:type="dxa"/>
            <w:vAlign w:val="center"/>
          </w:tcPr>
          <w:p>
            <w:pPr>
              <w:adjustRightInd w:val="0"/>
              <w:snapToGrid w:val="0"/>
              <w:jc w:val="center"/>
              <w:rPr>
                <w:rFonts w:hint="eastAsia" w:ascii="仿宋" w:hAnsi="仿宋" w:eastAsia="仿宋" w:cs="仿宋"/>
                <w:sz w:val="24"/>
                <w:szCs w:val="24"/>
                <w:lang w:val="en-US" w:eastAsia="zh-CN"/>
              </w:rPr>
            </w:pPr>
            <w:r>
              <w:rPr>
                <w:rFonts w:hint="eastAsia" w:ascii="宋体" w:hAnsi="宋体" w:eastAsia="宋体" w:cs="宋体"/>
                <w:sz w:val="24"/>
                <w:szCs w:val="24"/>
                <w:lang w:val="en-US" w:eastAsia="zh-CN"/>
              </w:rPr>
              <w:t>1年</w:t>
            </w:r>
          </w:p>
        </w:tc>
        <w:tc>
          <w:tcPr>
            <w:tcW w:w="1319" w:type="dxa"/>
            <w:gridSpan w:val="2"/>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59" w:type="dxa"/>
            <w:gridSpan w:val="2"/>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公告起止</w:t>
            </w:r>
          </w:p>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时间</w:t>
            </w:r>
          </w:p>
        </w:tc>
        <w:tc>
          <w:tcPr>
            <w:tcW w:w="9376" w:type="dxa"/>
            <w:gridSpan w:val="14"/>
            <w:vAlign w:val="center"/>
          </w:tcPr>
          <w:p>
            <w:pPr>
              <w:adjustRightInd w:val="0"/>
              <w:snapToGrid w:val="0"/>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2024年9月30日至2024年10月17日（到期后调整为长期有效公告）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259" w:type="dxa"/>
            <w:gridSpan w:val="2"/>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招租方式</w:t>
            </w:r>
          </w:p>
        </w:tc>
        <w:tc>
          <w:tcPr>
            <w:tcW w:w="9376" w:type="dxa"/>
            <w:gridSpan w:val="14"/>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自行公开招租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59" w:type="dxa"/>
            <w:gridSpan w:val="2"/>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是否允许转租</w:t>
            </w:r>
          </w:p>
        </w:tc>
        <w:tc>
          <w:tcPr>
            <w:tcW w:w="1352" w:type="dxa"/>
            <w:gridSpan w:val="2"/>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否</w:t>
            </w:r>
          </w:p>
        </w:tc>
        <w:tc>
          <w:tcPr>
            <w:tcW w:w="2040" w:type="dxa"/>
            <w:gridSpan w:val="3"/>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是否允许</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联合体竞租</w:t>
            </w:r>
          </w:p>
        </w:tc>
        <w:tc>
          <w:tcPr>
            <w:tcW w:w="3048" w:type="dxa"/>
            <w:gridSpan w:val="5"/>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否</w:t>
            </w:r>
          </w:p>
        </w:tc>
        <w:tc>
          <w:tcPr>
            <w:tcW w:w="1892" w:type="dxa"/>
            <w:gridSpan w:val="3"/>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是否允许二次装修</w:t>
            </w:r>
          </w:p>
        </w:tc>
        <w:tc>
          <w:tcPr>
            <w:tcW w:w="1044" w:type="dxa"/>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259" w:type="dxa"/>
            <w:gridSpan w:val="2"/>
            <w:vAlign w:val="center"/>
          </w:tcPr>
          <w:p>
            <w:pPr>
              <w:adjustRightInd w:val="0"/>
              <w:snapToGrid w:val="0"/>
              <w:jc w:val="center"/>
              <w:rPr>
                <w:rFonts w:hint="eastAsia" w:ascii="仿宋" w:hAnsi="仿宋" w:eastAsia="仿宋" w:cs="仿宋"/>
                <w:b/>
                <w:bCs/>
                <w:sz w:val="24"/>
                <w:szCs w:val="24"/>
              </w:rPr>
            </w:pPr>
            <w:r>
              <w:rPr>
                <w:rFonts w:hint="eastAsia" w:ascii="仿宋" w:hAnsi="仿宋" w:eastAsia="仿宋" w:cs="仿宋"/>
                <w:b/>
                <w:bCs/>
                <w:sz w:val="24"/>
                <w:szCs w:val="24"/>
              </w:rPr>
              <w:t>租金支付方式</w:t>
            </w:r>
          </w:p>
        </w:tc>
        <w:tc>
          <w:tcPr>
            <w:tcW w:w="9376" w:type="dxa"/>
            <w:gridSpan w:val="14"/>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一月一付。租金采用“先付后用、按月支付”的方式，应于每个</w:t>
            </w:r>
            <w:r>
              <w:rPr>
                <w:rFonts w:hint="eastAsia" w:ascii="仿宋" w:hAnsi="仿宋" w:eastAsia="仿宋" w:cs="仿宋"/>
                <w:sz w:val="24"/>
                <w:szCs w:val="24"/>
                <w:lang w:val="en-US" w:eastAsia="zh-CN"/>
              </w:rPr>
              <w:t>自然</w:t>
            </w:r>
            <w:r>
              <w:rPr>
                <w:rFonts w:hint="eastAsia" w:ascii="仿宋" w:hAnsi="仿宋" w:eastAsia="仿宋" w:cs="仿宋"/>
                <w:sz w:val="24"/>
                <w:szCs w:val="24"/>
              </w:rPr>
              <w:t>月的第五（5）日或之前向甲方支付当月的租金。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259" w:type="dxa"/>
            <w:gridSpan w:val="2"/>
            <w:vMerge w:val="restart"/>
            <w:vAlign w:val="center"/>
          </w:tcPr>
          <w:p>
            <w:pPr>
              <w:adjustRightInd w:val="0"/>
              <w:snapToGrid w:val="0"/>
              <w:jc w:val="center"/>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资格审查</w:t>
            </w:r>
            <w:r>
              <w:rPr>
                <w:rFonts w:hint="eastAsia" w:ascii="仿宋" w:hAnsi="仿宋" w:eastAsia="仿宋" w:cs="仿宋"/>
                <w:b/>
                <w:bCs/>
                <w:sz w:val="24"/>
                <w:szCs w:val="24"/>
                <w:highlight w:val="none"/>
                <w:lang w:val="en-US" w:eastAsia="zh-CN"/>
              </w:rPr>
              <w:t>流程</w:t>
            </w:r>
          </w:p>
        </w:tc>
        <w:tc>
          <w:tcPr>
            <w:tcW w:w="1352" w:type="dxa"/>
            <w:gridSpan w:val="2"/>
            <w:vMerge w:val="restart"/>
            <w:vAlign w:val="center"/>
          </w:tcPr>
          <w:p>
            <w:pPr>
              <w:adjustRightInd w:val="0"/>
              <w:snapToGrid w:val="0"/>
              <w:jc w:val="both"/>
              <w:rPr>
                <w:rFonts w:hint="eastAsia" w:ascii="仿宋" w:hAnsi="仿宋" w:eastAsia="仿宋" w:cs="仿宋"/>
                <w:sz w:val="24"/>
                <w:szCs w:val="24"/>
                <w:highlight w:val="none"/>
              </w:rPr>
            </w:pP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竞租文件</w:t>
            </w:r>
          </w:p>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获取</w:t>
            </w:r>
          </w:p>
          <w:p>
            <w:pPr>
              <w:adjustRightInd w:val="0"/>
              <w:snapToGrid w:val="0"/>
              <w:jc w:val="center"/>
              <w:rPr>
                <w:rFonts w:hint="eastAsia" w:ascii="仿宋" w:hAnsi="仿宋" w:eastAsia="仿宋" w:cs="仿宋"/>
                <w:sz w:val="24"/>
                <w:szCs w:val="24"/>
                <w:highlight w:val="none"/>
              </w:rPr>
            </w:pPr>
          </w:p>
        </w:tc>
        <w:tc>
          <w:tcPr>
            <w:tcW w:w="8024" w:type="dxa"/>
            <w:gridSpan w:val="12"/>
            <w:vAlign w:val="center"/>
          </w:tcPr>
          <w:p>
            <w:pPr>
              <w:adjustRightInd w:val="0"/>
              <w:snapToGrid w:val="0"/>
              <w:rPr>
                <w:rFonts w:hint="eastAsia" w:ascii="仿宋" w:hAnsi="仿宋" w:eastAsia="仿宋" w:cs="仿宋"/>
                <w:sz w:val="24"/>
                <w:szCs w:val="24"/>
                <w:highlight w:val="none"/>
              </w:rPr>
            </w:pPr>
            <w:r>
              <w:rPr>
                <w:rFonts w:hint="eastAsia" w:ascii="仿宋" w:hAnsi="仿宋" w:eastAsia="仿宋" w:cs="仿宋"/>
                <w:sz w:val="24"/>
                <w:szCs w:val="24"/>
                <w:highlight w:val="none"/>
              </w:rPr>
              <w:t>获取文件时间：</w:t>
            </w:r>
            <w:r>
              <w:rPr>
                <w:rFonts w:hint="eastAsia" w:ascii="仿宋" w:hAnsi="仿宋" w:eastAsia="仿宋" w:cs="仿宋"/>
                <w:sz w:val="24"/>
                <w:szCs w:val="24"/>
                <w:highlight w:val="none"/>
                <w:lang w:val="en-US" w:eastAsia="zh-CN"/>
              </w:rPr>
              <w:t>2024年9月30日至2024年10月17日（到期后调整为长期有效公告）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rPr>
            </w:pPr>
          </w:p>
        </w:tc>
        <w:tc>
          <w:tcPr>
            <w:tcW w:w="1352" w:type="dxa"/>
            <w:gridSpan w:val="2"/>
            <w:vMerge w:val="continue"/>
            <w:vAlign w:val="center"/>
          </w:tcPr>
          <w:p>
            <w:pPr>
              <w:adjustRightInd w:val="0"/>
              <w:snapToGrid w:val="0"/>
              <w:jc w:val="center"/>
              <w:rPr>
                <w:rFonts w:hint="eastAsia" w:ascii="仿宋" w:hAnsi="仿宋" w:eastAsia="仿宋" w:cs="仿宋"/>
                <w:sz w:val="24"/>
                <w:szCs w:val="24"/>
              </w:rPr>
            </w:pPr>
          </w:p>
        </w:tc>
        <w:tc>
          <w:tcPr>
            <w:tcW w:w="8024" w:type="dxa"/>
            <w:gridSpan w:val="12"/>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方式1.填写《意向竞租人报名确认表》并提交竞租资料；</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方式2.电话咨询并提供电子邮箱用于发送《意向竞租人报名确认表》等资料。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rPr>
            </w:pPr>
          </w:p>
        </w:tc>
        <w:tc>
          <w:tcPr>
            <w:tcW w:w="1352" w:type="dxa"/>
            <w:gridSpan w:val="2"/>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竞租人应具备的资格条件</w:t>
            </w:r>
          </w:p>
        </w:tc>
        <w:tc>
          <w:tcPr>
            <w:tcW w:w="8024" w:type="dxa"/>
            <w:gridSpan w:val="12"/>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竞租人报名后，详细阅读竞租文件，按项目简介表中要求的资格条件提供证明材料。（提供近三年企业（个人）无不良记录承诺书）。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竞租人需提交的资格审查材料</w:t>
            </w:r>
          </w:p>
        </w:tc>
        <w:tc>
          <w:tcPr>
            <w:tcW w:w="8024" w:type="dxa"/>
            <w:gridSpan w:val="12"/>
            <w:vAlign w:val="center"/>
          </w:tcPr>
          <w:p>
            <w:pPr>
              <w:adjustRightInd w:val="0"/>
              <w:snapToGrid w:val="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w:t>
            </w:r>
            <w:r>
              <w:rPr>
                <w:rFonts w:hint="eastAsia" w:ascii="仿宋" w:hAnsi="仿宋" w:eastAsia="仿宋" w:cs="仿宋"/>
                <w:sz w:val="24"/>
                <w:szCs w:val="24"/>
                <w:highlight w:val="none"/>
              </w:rPr>
              <w:t>个人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需提交以下材料：企业营业执照、法人代表证明、法定代表人身份证复印件、被授权人身份证复印件和报价</w:t>
            </w:r>
            <w:r>
              <w:rPr>
                <w:rFonts w:hint="eastAsia" w:ascii="仿宋" w:hAnsi="仿宋" w:eastAsia="仿宋" w:cs="仿宋"/>
                <w:sz w:val="24"/>
                <w:szCs w:val="24"/>
                <w:highlight w:val="none"/>
                <w:lang w:val="en-US" w:eastAsia="zh-CN"/>
              </w:rPr>
              <w:t>单</w:t>
            </w:r>
            <w:r>
              <w:rPr>
                <w:rFonts w:hint="eastAsia" w:ascii="仿宋" w:hAnsi="仿宋" w:eastAsia="仿宋" w:cs="仿宋"/>
                <w:sz w:val="24"/>
                <w:szCs w:val="24"/>
                <w:highlight w:val="none"/>
              </w:rPr>
              <w:t>等</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个人需提交以下材料：身份证复印件（核原件）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有效居住证复印件（核原件）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en-US" w:eastAsia="zh-CN"/>
              </w:rPr>
              <w:t>单及</w:t>
            </w:r>
            <w:r>
              <w:rPr>
                <w:rFonts w:hint="eastAsia" w:ascii="仿宋" w:hAnsi="仿宋" w:eastAsia="仿宋" w:cs="仿宋"/>
                <w:sz w:val="24"/>
                <w:szCs w:val="24"/>
                <w:highlight w:val="none"/>
              </w:rPr>
              <w:t>出租方要求的其他材料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上述资料一式二份，须使用文件袋分别密封包装，在文件袋口处采用封条密封并骑缝加盖公章，文件袋正面应工整、醒目标记“XXX项目自行公开招租申请资料”字样，并注明竞租人；竞租申请资料不得涂改，一经提交，不再接受更改、替换和撤回的请求。）未按要求提交资料或未能到达开标现场，视为自动放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59" w:type="dxa"/>
            <w:gridSpan w:val="2"/>
            <w:vMerge w:val="restart"/>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资格审查资料递交截止时间</w:t>
            </w:r>
          </w:p>
        </w:tc>
        <w:tc>
          <w:tcPr>
            <w:tcW w:w="8024" w:type="dxa"/>
            <w:gridSpan w:val="1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2024年10月17日（到期后调整为长期可递交资料）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资格材料递交地点</w:t>
            </w:r>
          </w:p>
        </w:tc>
        <w:tc>
          <w:tcPr>
            <w:tcW w:w="8024" w:type="dxa"/>
            <w:gridSpan w:val="1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深圳市龙岗区飞扬路669号天昊华庭西门服务大厅3楼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val="en-US" w:eastAsia="zh-CN"/>
              </w:rPr>
              <w:br w:type="textWrapping"/>
            </w:r>
            <w:r>
              <w:rPr>
                <w:rFonts w:hint="eastAsia" w:ascii="仿宋" w:hAnsi="仿宋" w:eastAsia="仿宋" w:cs="仿宋"/>
                <w:sz w:val="24"/>
                <w:szCs w:val="24"/>
                <w:highlight w:val="none"/>
              </w:rPr>
              <w:t>收件人：</w:t>
            </w:r>
            <w:r>
              <w:rPr>
                <w:rFonts w:hint="eastAsia" w:ascii="仿宋" w:hAnsi="仿宋" w:eastAsia="仿宋" w:cs="仿宋"/>
                <w:sz w:val="24"/>
                <w:szCs w:val="24"/>
                <w:highlight w:val="none"/>
                <w:lang w:val="en-US" w:eastAsia="zh-CN"/>
              </w:rPr>
              <w:t>高先生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联系方式：0755-899</w:t>
            </w:r>
            <w:r>
              <w:rPr>
                <w:rFonts w:hint="eastAsia" w:ascii="仿宋" w:hAnsi="仿宋" w:eastAsia="仿宋" w:cs="仿宋"/>
                <w:sz w:val="24"/>
                <w:szCs w:val="24"/>
                <w:highlight w:val="none"/>
                <w:lang w:val="en-US" w:eastAsia="zh-CN"/>
              </w:rPr>
              <w:t>8 6875</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履约条件</w:t>
            </w:r>
          </w:p>
        </w:tc>
        <w:tc>
          <w:tcPr>
            <w:tcW w:w="8024" w:type="dxa"/>
            <w:gridSpan w:val="12"/>
            <w:vAlign w:val="center"/>
          </w:tcPr>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、按时缴纳租金、保证金等费用；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、负责物业使用期间的消防安全；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、承租方租用期间不得搭建任何建筑物；</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、房屋装修图纸须经招租人审查同意，且不得损害房屋主体结构，影响房屋使用安全；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、承租方不得将物业转租或分租；</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、租赁</w:t>
            </w:r>
            <w:r>
              <w:rPr>
                <w:rFonts w:hint="eastAsia" w:ascii="仿宋" w:hAnsi="仿宋" w:eastAsia="仿宋" w:cs="仿宋"/>
                <w:sz w:val="24"/>
                <w:szCs w:val="24"/>
                <w:highlight w:val="none"/>
                <w:lang w:val="en-US" w:eastAsia="zh-CN"/>
              </w:rPr>
              <w:t>保证金</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最后一年2</w:t>
            </w:r>
            <w:r>
              <w:rPr>
                <w:rFonts w:hint="eastAsia" w:ascii="仿宋" w:hAnsi="仿宋" w:eastAsia="仿宋" w:cs="仿宋"/>
                <w:sz w:val="24"/>
                <w:szCs w:val="24"/>
                <w:highlight w:val="none"/>
              </w:rPr>
              <w:t>个月租金（以最终成交价计算）；</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、承租方承租后不得变更租赁物业用途；</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、到期退租，承租方应按时缴清租金及各项费用；</w:t>
            </w:r>
          </w:p>
          <w:p>
            <w:pPr>
              <w:adjustRightInd w:val="0"/>
              <w:snapToGrid w:val="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、物业禁止危化行业及对环境影响大的行业使用；</w:t>
            </w:r>
          </w:p>
          <w:p>
            <w:pPr>
              <w:adjustRightInd w:val="0"/>
              <w:snapToGrid w:val="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、承租方在签订合同后，应立即与本租赁房屋的物业管理公司签订物业管理服务合同（协议）。承租方同意并接受在本合同履行过程中，遵守并执行物业管理服务合同（协议）中相关约定事项</w:t>
            </w:r>
            <w:r>
              <w:rPr>
                <w:rFonts w:hint="eastAsia" w:ascii="仿宋" w:hAnsi="仿宋" w:eastAsia="仿宋" w:cs="仿宋"/>
                <w:sz w:val="24"/>
                <w:szCs w:val="24"/>
                <w:highlight w:val="none"/>
                <w:lang w:eastAsia="zh-CN"/>
              </w:rPr>
              <w:t>；</w:t>
            </w:r>
          </w:p>
          <w:p>
            <w:pPr>
              <w:adjustRightInd w:val="0"/>
              <w:snapToGrid w:val="0"/>
              <w:jc w:val="left"/>
              <w:rPr>
                <w:rFonts w:hint="eastAsia" w:ascii="仿宋" w:hAnsi="仿宋" w:eastAsia="仿宋" w:cs="仿宋"/>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59" w:type="dxa"/>
            <w:gridSpan w:val="2"/>
            <w:vMerge w:val="restart"/>
            <w:vAlign w:val="center"/>
          </w:tcPr>
          <w:p>
            <w:pPr>
              <w:adjustRightInd w:val="0"/>
              <w:snapToGrid w:val="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竞租保证金</w:t>
            </w:r>
          </w:p>
        </w:tc>
        <w:tc>
          <w:tcPr>
            <w:tcW w:w="1352" w:type="dxa"/>
            <w:gridSpan w:val="2"/>
            <w:vAlign w:val="center"/>
          </w:tcPr>
          <w:p>
            <w:pPr>
              <w:adjustRightInd w:val="0"/>
              <w:snapToGrid w:val="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缴纳截止时间</w:t>
            </w:r>
          </w:p>
        </w:tc>
        <w:tc>
          <w:tcPr>
            <w:tcW w:w="8024" w:type="dxa"/>
            <w:gridSpan w:val="1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2024年10月17日（到期后调整为长期可缴纳保证金）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收款单位</w:t>
            </w:r>
          </w:p>
        </w:tc>
        <w:tc>
          <w:tcPr>
            <w:tcW w:w="8024" w:type="dxa"/>
            <w:gridSpan w:val="12"/>
            <w:vAlign w:val="center"/>
          </w:tcPr>
          <w:p>
            <w:pPr>
              <w:adjustRightInd w:val="0"/>
              <w:snapToGrid w:val="0"/>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深圳市龙岗区保障性住房投资有限公司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8024" w:type="dxa"/>
            <w:gridSpan w:val="1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民生银行龙岗支行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59" w:type="dxa"/>
            <w:gridSpan w:val="2"/>
            <w:vMerge w:val="continue"/>
            <w:vAlign w:val="center"/>
          </w:tcPr>
          <w:p>
            <w:pPr>
              <w:adjustRightInd w:val="0"/>
              <w:snapToGrid w:val="0"/>
              <w:jc w:val="center"/>
              <w:rPr>
                <w:rFonts w:hint="eastAsia" w:ascii="仿宋" w:hAnsi="仿宋" w:eastAsia="仿宋" w:cs="仿宋"/>
                <w:b/>
                <w:bCs/>
                <w:sz w:val="24"/>
                <w:szCs w:val="24"/>
                <w:highlight w:val="none"/>
              </w:rPr>
            </w:pPr>
          </w:p>
        </w:tc>
        <w:tc>
          <w:tcPr>
            <w:tcW w:w="1352" w:type="dxa"/>
            <w:gridSpan w:val="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开户账号</w:t>
            </w:r>
          </w:p>
        </w:tc>
        <w:tc>
          <w:tcPr>
            <w:tcW w:w="8024" w:type="dxa"/>
            <w:gridSpan w:val="12"/>
            <w:vAlign w:val="center"/>
          </w:tcPr>
          <w:p>
            <w:pPr>
              <w:adjustRightInd w:val="0"/>
              <w:snapToGrid w:val="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605222996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59" w:type="dxa"/>
            <w:gridSpan w:val="2"/>
            <w:vMerge w:val="restart"/>
            <w:vAlign w:val="center"/>
          </w:tcPr>
          <w:p>
            <w:pPr>
              <w:adjustRightInd w:val="0"/>
              <w:snapToGrid w:val="0"/>
              <w:jc w:val="center"/>
              <w:rPr>
                <w:rFonts w:hint="eastAsia" w:ascii="仿宋_GB2312" w:eastAsia="仿宋_GB2312"/>
                <w:b/>
                <w:bCs/>
                <w:sz w:val="24"/>
                <w:szCs w:val="24"/>
                <w:highlight w:val="none"/>
              </w:rPr>
            </w:pPr>
          </w:p>
          <w:p>
            <w:pPr>
              <w:adjustRightInd w:val="0"/>
              <w:snapToGrid w:val="0"/>
              <w:jc w:val="center"/>
              <w:rPr>
                <w:rFonts w:hint="eastAsia" w:ascii="仿宋_GB2312" w:eastAsia="仿宋_GB2312"/>
                <w:b/>
                <w:bCs/>
                <w:sz w:val="24"/>
                <w:szCs w:val="24"/>
                <w:highlight w:val="none"/>
              </w:rPr>
            </w:pPr>
          </w:p>
          <w:p>
            <w:pPr>
              <w:adjustRightInd w:val="0"/>
              <w:snapToGrid w:val="0"/>
              <w:jc w:val="both"/>
              <w:rPr>
                <w:rFonts w:hint="eastAsia" w:ascii="仿宋_GB2312" w:eastAsia="仿宋_GB2312"/>
                <w:b/>
                <w:bCs/>
                <w:sz w:val="24"/>
                <w:szCs w:val="24"/>
                <w:highlight w:val="none"/>
              </w:rPr>
            </w:pPr>
            <w:r>
              <w:rPr>
                <w:rFonts w:hint="eastAsia" w:ascii="仿宋_GB2312" w:eastAsia="仿宋_GB2312"/>
                <w:b/>
                <w:bCs/>
                <w:sz w:val="24"/>
                <w:szCs w:val="24"/>
                <w:highlight w:val="none"/>
              </w:rPr>
              <w:t>确定承租人程序</w:t>
            </w:r>
          </w:p>
          <w:p>
            <w:pPr>
              <w:jc w:val="center"/>
              <w:rPr>
                <w:rFonts w:hint="eastAsia" w:eastAsiaTheme="minorEastAsia"/>
                <w:b/>
                <w:bCs/>
                <w:highlight w:val="none"/>
                <w:lang w:val="en-US" w:eastAsia="zh-CN"/>
              </w:rPr>
            </w:pPr>
            <w:r>
              <w:rPr>
                <w:rFonts w:hint="eastAsia" w:ascii="仿宋_GB2312" w:eastAsia="仿宋_GB2312"/>
                <w:b/>
                <w:bCs/>
                <w:sz w:val="24"/>
                <w:szCs w:val="24"/>
                <w:highlight w:val="none"/>
              </w:rPr>
              <w:t>（公告日为10日</w:t>
            </w:r>
            <w:r>
              <w:rPr>
                <w:rFonts w:hint="eastAsia" w:ascii="仿宋_GB2312" w:eastAsia="仿宋_GB2312"/>
                <w:b/>
                <w:bCs/>
                <w:sz w:val="24"/>
                <w:szCs w:val="24"/>
                <w:highlight w:val="none"/>
                <w:lang w:eastAsia="zh-CN"/>
              </w:rPr>
              <w:t>，</w:t>
            </w:r>
            <w:r>
              <w:rPr>
                <w:rFonts w:hint="eastAsia" w:ascii="仿宋_GB2312" w:eastAsia="仿宋_GB2312"/>
                <w:b/>
                <w:bCs/>
                <w:sz w:val="24"/>
                <w:szCs w:val="24"/>
                <w:highlight w:val="none"/>
                <w:lang w:val="en-US" w:eastAsia="zh-CN"/>
              </w:rPr>
              <w:t>公告日内无人应标则调整为长期有效公告。</w:t>
            </w:r>
            <w:r>
              <w:rPr>
                <w:rFonts w:hint="eastAsia" w:ascii="仿宋_GB2312" w:eastAsia="仿宋_GB2312"/>
                <w:b/>
                <w:bCs/>
                <w:sz w:val="24"/>
                <w:szCs w:val="24"/>
                <w:highlight w:val="none"/>
              </w:rPr>
              <w:t>）</w:t>
            </w:r>
          </w:p>
          <w:p>
            <w:pPr>
              <w:adjustRightInd w:val="0"/>
              <w:snapToGrid w:val="0"/>
              <w:jc w:val="center"/>
              <w:rPr>
                <w:rFonts w:ascii="仿宋_GB2312" w:eastAsia="仿宋_GB2312"/>
                <w:b/>
                <w:bCs/>
                <w:sz w:val="24"/>
                <w:szCs w:val="24"/>
                <w:highlight w:val="none"/>
              </w:rPr>
            </w:pPr>
          </w:p>
          <w:p>
            <w:pPr>
              <w:adjustRightInd w:val="0"/>
              <w:snapToGrid w:val="0"/>
              <w:jc w:val="center"/>
              <w:rPr>
                <w:rFonts w:ascii="仿宋_GB2312" w:eastAsia="仿宋_GB2312"/>
                <w:b/>
                <w:bCs/>
                <w:sz w:val="24"/>
                <w:szCs w:val="24"/>
                <w:highlight w:val="none"/>
              </w:rPr>
            </w:pPr>
          </w:p>
        </w:tc>
        <w:tc>
          <w:tcPr>
            <w:tcW w:w="1352" w:type="dxa"/>
            <w:gridSpan w:val="2"/>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处理方式</w:t>
            </w:r>
          </w:p>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公告次数</w:t>
            </w:r>
          </w:p>
        </w:tc>
        <w:tc>
          <w:tcPr>
            <w:tcW w:w="2528" w:type="dxa"/>
            <w:gridSpan w:val="4"/>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2家合格报名者及以上</w:t>
            </w:r>
          </w:p>
        </w:tc>
        <w:tc>
          <w:tcPr>
            <w:tcW w:w="2122" w:type="dxa"/>
            <w:gridSpan w:val="3"/>
            <w:vAlign w:val="center"/>
          </w:tcPr>
          <w:p>
            <w:pPr>
              <w:adjustRightInd w:val="0"/>
              <w:snapToGrid w:val="0"/>
              <w:jc w:val="center"/>
              <w:rPr>
                <w:rFonts w:hint="eastAsia" w:ascii="仿宋_GB2312" w:eastAsia="仿宋_GB2312"/>
                <w:sz w:val="24"/>
                <w:szCs w:val="24"/>
                <w:highlight w:val="none"/>
              </w:rPr>
            </w:pPr>
          </w:p>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1家合格报名者</w:t>
            </w:r>
          </w:p>
          <w:p>
            <w:pPr>
              <w:adjustRightInd w:val="0"/>
              <w:snapToGrid w:val="0"/>
              <w:jc w:val="center"/>
              <w:rPr>
                <w:rFonts w:ascii="仿宋_GB2312" w:eastAsia="仿宋_GB2312" w:hAnsiTheme="minorHAnsi" w:cstheme="minorBidi"/>
                <w:kern w:val="2"/>
                <w:sz w:val="24"/>
                <w:szCs w:val="24"/>
                <w:highlight w:val="none"/>
                <w:lang w:val="en-US" w:eastAsia="zh-CN" w:bidi="ar-SA"/>
              </w:rPr>
            </w:pPr>
          </w:p>
        </w:tc>
        <w:tc>
          <w:tcPr>
            <w:tcW w:w="3374" w:type="dxa"/>
            <w:gridSpan w:val="5"/>
            <w:vAlign w:val="center"/>
          </w:tcPr>
          <w:p>
            <w:pPr>
              <w:adjustRightInd w:val="0"/>
              <w:snapToGrid w:val="0"/>
              <w:jc w:val="center"/>
              <w:rPr>
                <w:rFonts w:hint="eastAsia" w:ascii="仿宋_GB2312" w:eastAsia="仿宋_GB2312"/>
                <w:sz w:val="24"/>
                <w:szCs w:val="24"/>
                <w:highlight w:val="none"/>
              </w:rPr>
            </w:pPr>
            <w:r>
              <w:rPr>
                <w:rFonts w:hint="eastAsia" w:ascii="仿宋" w:hAnsi="仿宋" w:eastAsia="仿宋" w:cs="仿宋"/>
                <w:sz w:val="24"/>
                <w:szCs w:val="24"/>
                <w:highlight w:val="none"/>
                <w:lang w:val="en-US" w:eastAsia="zh-CN"/>
              </w:rPr>
              <w:t>无人报名或无合格报名者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1259" w:type="dxa"/>
            <w:gridSpan w:val="2"/>
            <w:vMerge w:val="continue"/>
            <w:vAlign w:val="center"/>
          </w:tcPr>
          <w:p>
            <w:pPr>
              <w:adjustRightInd w:val="0"/>
              <w:snapToGrid w:val="0"/>
              <w:jc w:val="center"/>
              <w:rPr>
                <w:rFonts w:ascii="仿宋_GB2312" w:eastAsia="仿宋_GB2312"/>
                <w:b/>
                <w:bCs/>
                <w:sz w:val="24"/>
                <w:szCs w:val="24"/>
                <w:highlight w:val="none"/>
              </w:rPr>
            </w:pPr>
          </w:p>
        </w:tc>
        <w:tc>
          <w:tcPr>
            <w:tcW w:w="1352" w:type="dxa"/>
            <w:gridSpan w:val="2"/>
            <w:vAlign w:val="center"/>
          </w:tcPr>
          <w:p>
            <w:pPr>
              <w:adjustRightInd w:val="0"/>
              <w:snapToGrid w:val="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rPr>
              <w:t>公告</w:t>
            </w:r>
            <w:r>
              <w:rPr>
                <w:rFonts w:hint="eastAsia" w:ascii="仿宋_GB2312" w:eastAsia="仿宋_GB2312"/>
                <w:sz w:val="24"/>
                <w:szCs w:val="24"/>
                <w:highlight w:val="none"/>
                <w:lang w:val="en-US" w:eastAsia="zh-CN"/>
              </w:rPr>
              <w:t>方式</w:t>
            </w:r>
          </w:p>
        </w:tc>
        <w:tc>
          <w:tcPr>
            <w:tcW w:w="2528" w:type="dxa"/>
            <w:gridSpan w:val="4"/>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公开竞租，采用高价者得交易方式确定中标人。</w:t>
            </w:r>
            <w:r>
              <w:rPr>
                <w:rFonts w:hint="eastAsia" w:ascii="仿宋_GB2312" w:eastAsia="仿宋_GB2312"/>
                <w:sz w:val="24"/>
                <w:szCs w:val="24"/>
                <w:highlight w:val="none"/>
                <w:lang w:val="en-US" w:eastAsia="zh-CN"/>
              </w:rPr>
              <w:t>如有报价相同的情形，则双方现场再次进行报价。</w:t>
            </w:r>
          </w:p>
        </w:tc>
        <w:tc>
          <w:tcPr>
            <w:tcW w:w="2122" w:type="dxa"/>
            <w:gridSpan w:val="3"/>
            <w:vAlign w:val="center"/>
          </w:tcPr>
          <w:p>
            <w:pPr>
              <w:adjustRightInd w:val="0"/>
              <w:snapToGrid w:val="0"/>
              <w:jc w:val="center"/>
              <w:rPr>
                <w:rFonts w:ascii="仿宋_GB2312" w:eastAsia="仿宋_GB2312"/>
                <w:sz w:val="24"/>
                <w:szCs w:val="24"/>
                <w:highlight w:val="none"/>
              </w:rPr>
            </w:pPr>
            <w:r>
              <w:rPr>
                <w:rFonts w:hint="eastAsia" w:ascii="仿宋_GB2312" w:eastAsia="仿宋_GB2312"/>
                <w:sz w:val="24"/>
                <w:szCs w:val="24"/>
                <w:highlight w:val="none"/>
              </w:rPr>
              <w:t>采取协议租赁的方式确认承租人，并按照规定公示5个工作日后无异议方可实施</w:t>
            </w:r>
            <w:r>
              <w:rPr>
                <w:rFonts w:hint="eastAsia" w:ascii="仿宋_GB2312" w:eastAsia="仿宋_GB2312"/>
                <w:sz w:val="24"/>
                <w:szCs w:val="24"/>
                <w:highlight w:val="none"/>
                <w:lang w:eastAsia="zh-CN"/>
              </w:rPr>
              <w:t>。</w:t>
            </w:r>
          </w:p>
          <w:p>
            <w:pPr>
              <w:adjustRightInd w:val="0"/>
              <w:snapToGrid w:val="0"/>
              <w:jc w:val="center"/>
              <w:rPr>
                <w:rFonts w:ascii="仿宋_GB2312" w:eastAsia="仿宋_GB2312" w:hAnsiTheme="minorHAnsi" w:cstheme="minorBidi"/>
                <w:kern w:val="2"/>
                <w:sz w:val="24"/>
                <w:szCs w:val="24"/>
                <w:highlight w:val="none"/>
                <w:lang w:val="en-US" w:eastAsia="zh-CN" w:bidi="ar-SA"/>
              </w:rPr>
            </w:pPr>
          </w:p>
        </w:tc>
        <w:tc>
          <w:tcPr>
            <w:tcW w:w="3374" w:type="dxa"/>
            <w:gridSpan w:val="5"/>
            <w:vAlign w:val="center"/>
          </w:tcPr>
          <w:p>
            <w:pPr>
              <w:adjustRightInd w:val="0"/>
              <w:snapToGrid w:val="0"/>
              <w:jc w:val="center"/>
              <w:rPr>
                <w:rFonts w:hint="eastAsia" w:ascii="仿宋_GB2312" w:eastAsia="仿宋_GB2312"/>
                <w:sz w:val="24"/>
                <w:szCs w:val="24"/>
                <w:highlight w:val="none"/>
              </w:rPr>
            </w:pPr>
            <w:r>
              <w:rPr>
                <w:rFonts w:hint="eastAsia" w:ascii="仿宋" w:hAnsi="仿宋" w:eastAsia="仿宋" w:cs="仿宋"/>
                <w:sz w:val="24"/>
                <w:szCs w:val="24"/>
                <w:highlight w:val="none"/>
                <w:lang w:val="en-US" w:eastAsia="zh-CN"/>
              </w:rPr>
              <w:t>无人报名或无合格报名的物业，</w:t>
            </w:r>
            <w:r>
              <w:rPr>
                <w:rFonts w:hint="eastAsia" w:ascii="仿宋" w:hAnsi="仿宋" w:eastAsia="仿宋" w:cs="仿宋"/>
                <w:sz w:val="24"/>
                <w:szCs w:val="24"/>
                <w:highlight w:val="none"/>
              </w:rPr>
              <w:t>资格审查资料递交截止时间</w:t>
            </w:r>
            <w:r>
              <w:rPr>
                <w:rFonts w:hint="eastAsia" w:ascii="仿宋" w:hAnsi="仿宋" w:eastAsia="仿宋" w:cs="仿宋"/>
                <w:sz w:val="24"/>
                <w:szCs w:val="24"/>
                <w:highlight w:val="none"/>
                <w:lang w:val="en-US" w:eastAsia="zh-CN"/>
              </w:rPr>
              <w:t>过后将改为长期有效公告，长期公告期内如有人递交资料则按第一次收到材料当日18点为资料递交截止日期。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259" w:type="dxa"/>
            <w:gridSpan w:val="2"/>
            <w:vMerge w:val="continue"/>
            <w:vAlign w:val="center"/>
          </w:tcPr>
          <w:p>
            <w:pPr>
              <w:adjustRightInd w:val="0"/>
              <w:snapToGrid w:val="0"/>
              <w:rPr>
                <w:rFonts w:ascii="仿宋_GB2312" w:eastAsia="仿宋_GB2312"/>
                <w:b/>
                <w:bCs/>
                <w:sz w:val="24"/>
                <w:szCs w:val="24"/>
                <w:highlight w:val="none"/>
              </w:rPr>
            </w:pPr>
          </w:p>
        </w:tc>
        <w:tc>
          <w:tcPr>
            <w:tcW w:w="9376" w:type="dxa"/>
            <w:gridSpan w:val="14"/>
            <w:vAlign w:val="center"/>
          </w:tcPr>
          <w:p>
            <w:pPr>
              <w:adjustRightInd w:val="0"/>
              <w:snapToGrid w:val="0"/>
              <w:jc w:val="center"/>
              <w:rPr>
                <w:rFonts w:hint="eastAsia" w:ascii="仿宋_GB2312" w:eastAsia="仿宋_GB2312"/>
                <w:sz w:val="24"/>
                <w:szCs w:val="24"/>
                <w:highlight w:val="none"/>
              </w:rPr>
            </w:pPr>
            <w:r>
              <w:rPr>
                <w:rFonts w:hint="eastAsia" w:ascii="仿宋_GB2312" w:eastAsia="仿宋_GB2312"/>
                <w:sz w:val="24"/>
                <w:szCs w:val="24"/>
                <w:highlight w:val="none"/>
              </w:rPr>
              <w:t>挂牌期满，如没有征集到符合条件的意向承租方，</w:t>
            </w:r>
            <w:r>
              <w:rPr>
                <w:rFonts w:hint="eastAsia" w:ascii="仿宋_GB2312" w:eastAsia="仿宋_GB2312"/>
                <w:sz w:val="24"/>
                <w:szCs w:val="24"/>
                <w:highlight w:val="none"/>
                <w:lang w:val="en-US" w:eastAsia="zh-CN"/>
              </w:rPr>
              <w:t>公告日内无人应标则调整为长期有效公告。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jc w:val="center"/>
        </w:trPr>
        <w:tc>
          <w:tcPr>
            <w:tcW w:w="1259" w:type="dxa"/>
            <w:gridSpan w:val="2"/>
            <w:vAlign w:val="center"/>
          </w:tcPr>
          <w:p>
            <w:pPr>
              <w:adjustRightInd w:val="0"/>
              <w:snapToGrid w:val="0"/>
              <w:jc w:val="center"/>
              <w:rPr>
                <w:rFonts w:ascii="仿宋_GB2312" w:eastAsia="仿宋_GB2312"/>
                <w:b/>
                <w:bCs/>
                <w:sz w:val="24"/>
                <w:szCs w:val="24"/>
                <w:highlight w:val="none"/>
              </w:rPr>
            </w:pPr>
            <w:r>
              <w:rPr>
                <w:rFonts w:hint="eastAsia" w:ascii="仿宋_GB2312" w:eastAsia="仿宋_GB2312"/>
                <w:b/>
                <w:bCs/>
                <w:sz w:val="24"/>
                <w:szCs w:val="24"/>
                <w:highlight w:val="none"/>
              </w:rPr>
              <w:t>特别事项</w:t>
            </w:r>
          </w:p>
          <w:p>
            <w:pPr>
              <w:adjustRightInd w:val="0"/>
              <w:snapToGrid w:val="0"/>
              <w:jc w:val="center"/>
              <w:rPr>
                <w:rFonts w:ascii="仿宋_GB2312" w:eastAsia="仿宋_GB2312"/>
                <w:b/>
                <w:bCs/>
                <w:sz w:val="24"/>
                <w:szCs w:val="24"/>
                <w:highlight w:val="none"/>
              </w:rPr>
            </w:pPr>
            <w:r>
              <w:rPr>
                <w:rFonts w:hint="eastAsia" w:ascii="仿宋_GB2312" w:eastAsia="仿宋_GB2312"/>
                <w:b/>
                <w:bCs/>
                <w:sz w:val="24"/>
                <w:szCs w:val="24"/>
                <w:highlight w:val="none"/>
              </w:rPr>
              <w:t>说明及风险提示</w:t>
            </w:r>
          </w:p>
        </w:tc>
        <w:tc>
          <w:tcPr>
            <w:tcW w:w="9376" w:type="dxa"/>
            <w:gridSpan w:val="14"/>
            <w:vAlign w:val="center"/>
          </w:tcPr>
          <w:p>
            <w:pPr>
              <w:pStyle w:val="6"/>
              <w:numPr>
                <w:ilvl w:val="0"/>
                <w:numId w:val="1"/>
              </w:numPr>
              <w:adjustRightInd w:val="0"/>
              <w:snapToGrid w:val="0"/>
              <w:ind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意向承租方未中标的，将无息退还招租保证金。</w:t>
            </w:r>
            <w:r>
              <w:rPr>
                <w:rFonts w:hint="eastAsia" w:ascii="仿宋_GB2312" w:hAnsi="Calibri" w:eastAsia="仿宋_GB2312" w:cs="Times New Roman"/>
                <w:sz w:val="24"/>
                <w:highlight w:val="none"/>
              </w:rPr>
              <w:t>意向承租方如有下列情形之一的，取消承租资格并没收招租保证金</w:t>
            </w:r>
            <w:r>
              <w:rPr>
                <w:rFonts w:hint="eastAsia" w:ascii="仿宋_GB2312" w:hAnsi="Calibri" w:eastAsia="仿宋_GB2312" w:cs="Times New Roman"/>
                <w:sz w:val="24"/>
                <w:highlight w:val="none"/>
                <w:lang w:eastAsia="zh-CN"/>
              </w:rPr>
              <w:t>；</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eastAsia="仿宋_GB2312"/>
                <w:sz w:val="24"/>
                <w:highlight w:val="none"/>
                <w:lang w:val="en-US" w:eastAsia="zh-CN"/>
              </w:rPr>
              <w:t>1</w:t>
            </w:r>
            <w:r>
              <w:rPr>
                <w:rFonts w:hint="eastAsia" w:ascii="仿宋_GB2312" w:eastAsia="仿宋_GB2312"/>
                <w:sz w:val="24"/>
                <w:highlight w:val="none"/>
              </w:rPr>
              <w:t>.1</w:t>
            </w:r>
            <w:r>
              <w:rPr>
                <w:rFonts w:hint="eastAsia" w:ascii="仿宋_GB2312" w:hAnsi="Calibri" w:eastAsia="仿宋_GB2312" w:cs="Times New Roman"/>
                <w:sz w:val="24"/>
                <w:highlight w:val="none"/>
              </w:rPr>
              <w:t>意向承租方在被确认为最终承租方后不按约定时间内签</w:t>
            </w:r>
            <w:r>
              <w:rPr>
                <w:rFonts w:hint="eastAsia" w:ascii="仿宋_GB2312" w:hAnsi="Calibri" w:eastAsia="仿宋_GB2312" w:cs="Times New Roman"/>
                <w:sz w:val="24"/>
                <w:highlight w:val="none"/>
                <w:lang w:val="en-US" w:eastAsia="zh-CN"/>
              </w:rPr>
              <w:t>订</w:t>
            </w:r>
            <w:r>
              <w:rPr>
                <w:rFonts w:hint="eastAsia" w:ascii="仿宋_GB2312" w:hAnsi="Calibri" w:eastAsia="仿宋_GB2312" w:cs="Times New Roman"/>
                <w:sz w:val="24"/>
                <w:highlight w:val="none"/>
              </w:rPr>
              <w:t>租赁合同的；</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.2与其他意向承租方进行串通报价或联合统一报价影响公平公正的；</w:t>
            </w:r>
          </w:p>
          <w:p>
            <w:pPr>
              <w:pStyle w:val="6"/>
              <w:adjustRightInd w:val="0"/>
              <w:snapToGrid w:val="0"/>
              <w:ind w:left="360" w:firstLine="0" w:firstLineChars="0"/>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.3提供虚假主体材料和证明文件等材料的；</w:t>
            </w:r>
          </w:p>
          <w:p>
            <w:pPr>
              <w:pStyle w:val="6"/>
              <w:adjustRightInd w:val="0"/>
              <w:snapToGrid w:val="0"/>
              <w:ind w:left="360" w:firstLine="0" w:firstLineChars="0"/>
              <w:rPr>
                <w:rFonts w:ascii="仿宋_GB2312" w:eastAsia="仿宋_GB2312"/>
                <w:sz w:val="24"/>
                <w:highlight w:val="none"/>
              </w:rPr>
            </w:pPr>
            <w:r>
              <w:rPr>
                <w:rFonts w:hint="eastAsia" w:ascii="仿宋_GB2312" w:hAnsi="Calibri" w:eastAsia="仿宋_GB2312" w:cs="Times New Roman"/>
                <w:sz w:val="24"/>
                <w:highlight w:val="none"/>
                <w:lang w:val="en-US" w:eastAsia="zh-CN"/>
              </w:rPr>
              <w:t>1</w:t>
            </w:r>
            <w:r>
              <w:rPr>
                <w:rFonts w:hint="eastAsia" w:ascii="仿宋_GB2312" w:hAnsi="Calibri" w:eastAsia="仿宋_GB2312" w:cs="Times New Roman"/>
                <w:sz w:val="24"/>
                <w:highlight w:val="none"/>
              </w:rPr>
              <w:t>.4存在其他违约情况的。</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租赁房屋按现状交付承租方使用，并办理相关移交手续。承租方确认已对承租物业、当地政策、法律法规的现状进行深入了解及实地考察，充分知情并完全接受该物业现状，不存在任何异议。</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eastAsia="仿宋_GB2312"/>
                <w:sz w:val="24"/>
                <w:highlight w:val="none"/>
              </w:rPr>
              <w:t>此次出租</w:t>
            </w:r>
            <w:r>
              <w:rPr>
                <w:rFonts w:hint="eastAsia" w:ascii="仿宋_GB2312" w:hAnsi="Calibri" w:eastAsia="仿宋_GB2312" w:cs="Times New Roman"/>
                <w:sz w:val="24"/>
                <w:highlight w:val="none"/>
              </w:rPr>
              <w:t>物业</w:t>
            </w:r>
            <w:r>
              <w:rPr>
                <w:rFonts w:hint="eastAsia" w:ascii="仿宋_GB2312" w:eastAsia="仿宋_GB2312"/>
                <w:sz w:val="24"/>
                <w:highlight w:val="none"/>
              </w:rPr>
              <w:t>部分</w:t>
            </w:r>
            <w:r>
              <w:rPr>
                <w:rFonts w:hint="eastAsia" w:ascii="仿宋_GB2312" w:hAnsi="Calibri" w:eastAsia="仿宋_GB2312" w:cs="Times New Roman"/>
                <w:sz w:val="24"/>
                <w:highlight w:val="none"/>
              </w:rPr>
              <w:t>未办产权手续（但产权清晰，有相应证明）</w:t>
            </w:r>
            <w:r>
              <w:rPr>
                <w:rFonts w:hint="eastAsia" w:ascii="仿宋_GB2312" w:eastAsia="仿宋_GB2312"/>
                <w:sz w:val="24"/>
                <w:highlight w:val="none"/>
              </w:rPr>
              <w:t>，</w:t>
            </w:r>
            <w:r>
              <w:rPr>
                <w:rFonts w:hint="eastAsia" w:ascii="仿宋_GB2312" w:hAnsi="Calibri" w:eastAsia="仿宋_GB2312" w:cs="Times New Roman"/>
                <w:sz w:val="24"/>
                <w:highlight w:val="none"/>
              </w:rPr>
              <w:t>报名参加物业承租的承租方不得以租赁物业没有房产证、无法办理租赁备案等提出赔偿（补偿）及退还</w:t>
            </w:r>
            <w:r>
              <w:rPr>
                <w:rFonts w:hint="eastAsia" w:ascii="仿宋_GB2312" w:eastAsia="仿宋_GB2312"/>
                <w:sz w:val="24"/>
                <w:highlight w:val="none"/>
              </w:rPr>
              <w:t>投标</w:t>
            </w:r>
            <w:r>
              <w:rPr>
                <w:rFonts w:hint="eastAsia" w:ascii="仿宋_GB2312" w:hAnsi="Calibri" w:eastAsia="仿宋_GB2312" w:cs="Times New Roman"/>
                <w:sz w:val="24"/>
                <w:highlight w:val="none"/>
              </w:rPr>
              <w:t>保证金的要求。</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如需装修及改建的报批、验收等手续及有关费用由承租方自行负责，承租方装修及改建必须达到政府或出租方标准或要求，并及时将消防等相关部门的审批，验收合格文件复印给出租方。</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本物业租赁面积以出租方提供的证明材料为准。</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lang w:val="en-US" w:eastAsia="zh-CN"/>
              </w:rPr>
              <w:t>该租赁房屋的</w:t>
            </w:r>
            <w:r>
              <w:rPr>
                <w:rFonts w:hint="eastAsia" w:ascii="仿宋_GB2312" w:hAnsi="Calibri" w:eastAsia="仿宋_GB2312" w:cs="Times New Roman"/>
                <w:sz w:val="24"/>
                <w:highlight w:val="none"/>
              </w:rPr>
              <w:t>水电设施等以现状移交，承租方不得以水电设施不齐全、未能满足其使用等为由，向出租方提出赔偿（补偿）。</w:t>
            </w:r>
            <w:r>
              <w:rPr>
                <w:rFonts w:hint="eastAsia" w:ascii="仿宋_GB2312" w:hAnsi="Calibri" w:eastAsia="仿宋_GB2312" w:cs="Times New Roman"/>
                <w:sz w:val="24"/>
                <w:highlight w:val="none"/>
                <w:lang w:val="en-US" w:eastAsia="zh-CN"/>
              </w:rPr>
              <w:t>若物业现状存在装修装饰的，承租方必须自行负责并采用合理措施，包括但不限于拆除、改造或重新装修等以保证房屋现状符合相关安全、经营标准。</w:t>
            </w:r>
          </w:p>
          <w:p>
            <w:pPr>
              <w:pStyle w:val="6"/>
              <w:numPr>
                <w:ilvl w:val="0"/>
                <w:numId w:val="1"/>
              </w:numPr>
              <w:adjustRightInd w:val="0"/>
              <w:snapToGrid w:val="0"/>
              <w:ind w:firstLineChars="0"/>
              <w:rPr>
                <w:rFonts w:ascii="仿宋_GB2312" w:eastAsia="仿宋_GB2312"/>
                <w:sz w:val="24"/>
                <w:highlight w:val="none"/>
              </w:rPr>
            </w:pPr>
            <w:r>
              <w:rPr>
                <w:rFonts w:hint="eastAsia" w:ascii="仿宋_GB2312" w:hAnsi="Calibri" w:eastAsia="仿宋_GB2312" w:cs="Times New Roman"/>
                <w:sz w:val="24"/>
                <w:highlight w:val="none"/>
              </w:rPr>
              <w:t>承租方应在成交结果公示期满后的</w:t>
            </w:r>
            <w:r>
              <w:rPr>
                <w:rFonts w:hint="eastAsia" w:ascii="仿宋_GB2312" w:hAnsi="Calibri" w:eastAsia="仿宋_GB2312" w:cs="Times New Roman"/>
                <w:sz w:val="24"/>
                <w:highlight w:val="none"/>
                <w:lang w:val="en-US" w:eastAsia="zh-CN"/>
              </w:rPr>
              <w:t>5</w:t>
            </w:r>
            <w:r>
              <w:rPr>
                <w:rFonts w:hint="eastAsia" w:ascii="仿宋_GB2312" w:hAnsi="Calibri" w:eastAsia="仿宋_GB2312" w:cs="Times New Roman"/>
                <w:sz w:val="24"/>
                <w:highlight w:val="none"/>
              </w:rPr>
              <w:t>个工作日内签订租赁合同</w:t>
            </w:r>
            <w:r>
              <w:rPr>
                <w:rFonts w:hint="eastAsia" w:ascii="仿宋_GB2312" w:eastAsia="仿宋_GB2312"/>
                <w:sz w:val="24"/>
                <w:highlight w:val="none"/>
              </w:rPr>
              <w:t>，否则视为承租方违约，出租方有权不予退还投标</w:t>
            </w:r>
            <w:r>
              <w:rPr>
                <w:rFonts w:hint="eastAsia" w:ascii="仿宋_GB2312" w:hAnsi="Calibri" w:eastAsia="仿宋_GB2312" w:cs="Times New Roman"/>
                <w:sz w:val="24"/>
                <w:highlight w:val="none"/>
              </w:rPr>
              <w:t>保证金，并重新出租物业，且无需对承租方承担赔偿责任。</w:t>
            </w:r>
          </w:p>
          <w:p>
            <w:pPr>
              <w:pStyle w:val="6"/>
              <w:numPr>
                <w:ilvl w:val="0"/>
                <w:numId w:val="1"/>
              </w:numPr>
              <w:adjustRightInd w:val="0"/>
              <w:snapToGrid w:val="0"/>
              <w:ind w:firstLineChars="0"/>
              <w:rPr>
                <w:rFonts w:ascii="仿宋_GB2312" w:hAnsi="Calibri" w:eastAsia="仿宋_GB2312" w:cs="Times New Roman"/>
                <w:sz w:val="24"/>
                <w:highlight w:val="none"/>
              </w:rPr>
            </w:pPr>
            <w:r>
              <w:rPr>
                <w:rFonts w:hint="eastAsia" w:ascii="仿宋_GB2312" w:eastAsia="仿宋_GB2312"/>
                <w:sz w:val="24"/>
                <w:highlight w:val="none"/>
              </w:rPr>
              <w:t>其他条款见出租方制订的</w:t>
            </w:r>
            <w:r>
              <w:rPr>
                <w:rFonts w:hint="eastAsia" w:ascii="仿宋_GB2312" w:hAnsi="Calibri" w:eastAsia="仿宋_GB2312" w:cs="Times New Roman"/>
                <w:sz w:val="24"/>
                <w:highlight w:val="none"/>
              </w:rPr>
              <w:t>租赁合同版本，出租方有权在签订租赁合同之前对不影响租赁合同实质性条款作适当的调整。</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rPr>
              <w:t>此次出租的物业用途以</w:t>
            </w:r>
            <w:r>
              <w:rPr>
                <w:rFonts w:hint="eastAsia" w:ascii="仿宋_GB2312" w:eastAsia="仿宋_GB2312"/>
                <w:sz w:val="24"/>
                <w:highlight w:val="none"/>
              </w:rPr>
              <w:t>租赁合同</w:t>
            </w:r>
            <w:r>
              <w:rPr>
                <w:rFonts w:hint="eastAsia" w:ascii="仿宋_GB2312" w:eastAsia="仿宋_GB2312"/>
                <w:sz w:val="24"/>
                <w:highlight w:val="none"/>
                <w:lang w:val="en-US" w:eastAsia="zh-CN"/>
              </w:rPr>
              <w:t>约</w:t>
            </w:r>
            <w:r>
              <w:rPr>
                <w:rFonts w:hint="eastAsia" w:ascii="仿宋_GB2312" w:hAnsi="Calibri" w:eastAsia="仿宋_GB2312" w:cs="Times New Roman"/>
                <w:sz w:val="24"/>
                <w:highlight w:val="none"/>
              </w:rPr>
              <w:t>定的用途为准，若要改变物业用途的，乙方应自行办理好相关政府审批程序，包括但不限于消防报审、政府批文、经营证照等。</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rPr>
              <w:t>根据招租物业所在</w:t>
            </w:r>
            <w:r>
              <w:rPr>
                <w:rFonts w:hint="eastAsia" w:ascii="仿宋_GB2312" w:hAnsi="Calibri" w:eastAsia="仿宋_GB2312" w:cs="Times New Roman"/>
                <w:sz w:val="24"/>
                <w:highlight w:val="none"/>
                <w:lang w:val="en-US" w:eastAsia="zh-CN"/>
              </w:rPr>
              <w:t>地</w:t>
            </w:r>
            <w:r>
              <w:rPr>
                <w:rFonts w:hint="eastAsia" w:ascii="仿宋_GB2312" w:hAnsi="Calibri" w:eastAsia="仿宋_GB2312" w:cs="Times New Roman"/>
                <w:sz w:val="24"/>
                <w:highlight w:val="none"/>
              </w:rPr>
              <w:t>物业公司的收费标准：</w:t>
            </w:r>
            <w:r>
              <w:rPr>
                <w:rFonts w:hint="eastAsia" w:ascii="仿宋_GB2312" w:hAnsi="Calibri" w:eastAsia="仿宋_GB2312" w:cs="Times New Roman"/>
                <w:sz w:val="24"/>
                <w:highlight w:val="none"/>
                <w:lang w:val="en-US" w:eastAsia="zh-CN"/>
              </w:rPr>
              <w:t>相关</w:t>
            </w:r>
            <w:r>
              <w:rPr>
                <w:rFonts w:hint="eastAsia" w:ascii="仿宋_GB2312" w:hAnsi="Calibri" w:eastAsia="仿宋_GB2312" w:cs="Times New Roman"/>
                <w:sz w:val="24"/>
                <w:highlight w:val="none"/>
              </w:rPr>
              <w:t>费用</w:t>
            </w:r>
            <w:r>
              <w:rPr>
                <w:rFonts w:hint="eastAsia" w:ascii="仿宋_GB2312" w:hAnsi="Calibri" w:eastAsia="仿宋_GB2312" w:cs="Times New Roman"/>
                <w:sz w:val="24"/>
                <w:highlight w:val="none"/>
                <w:lang w:val="en-US" w:eastAsia="zh-CN"/>
              </w:rPr>
              <w:t>详询物业公司</w:t>
            </w:r>
            <w:r>
              <w:rPr>
                <w:rFonts w:hint="eastAsia" w:ascii="仿宋_GB2312" w:hAnsi="Calibri" w:eastAsia="仿宋_GB2312" w:cs="Times New Roman"/>
                <w:sz w:val="24"/>
                <w:highlight w:val="none"/>
              </w:rPr>
              <w:t>。</w:t>
            </w:r>
          </w:p>
          <w:p>
            <w:pPr>
              <w:pStyle w:val="6"/>
              <w:numPr>
                <w:ilvl w:val="0"/>
                <w:numId w:val="1"/>
              </w:numPr>
              <w:adjustRightInd w:val="0"/>
              <w:snapToGrid w:val="0"/>
              <w:ind w:firstLineChars="0"/>
              <w:jc w:val="left"/>
              <w:rPr>
                <w:rFonts w:ascii="仿宋_GB2312" w:hAnsi="Calibri" w:eastAsia="仿宋_GB2312" w:cs="Times New Roman"/>
                <w:sz w:val="24"/>
                <w:highlight w:val="none"/>
              </w:rPr>
            </w:pPr>
            <w:r>
              <w:rPr>
                <w:rFonts w:hint="eastAsia" w:ascii="仿宋_GB2312" w:hAnsi="Calibri" w:eastAsia="仿宋_GB2312" w:cs="Times New Roman"/>
                <w:sz w:val="24"/>
                <w:highlight w:val="none"/>
                <w:lang w:val="en-US" w:eastAsia="zh-CN"/>
              </w:rPr>
              <w:t>本公告最终解析权归</w:t>
            </w:r>
            <w:r>
              <w:rPr>
                <w:rFonts w:hint="eastAsia" w:ascii="仿宋_GB2312" w:hAnsi="Calibri" w:eastAsia="仿宋_GB2312" w:cs="Times New Roman"/>
                <w:sz w:val="24"/>
                <w:highlight w:val="none"/>
              </w:rPr>
              <w:t>深圳市龙岗区保障性住房投资有限公司</w:t>
            </w:r>
            <w:r>
              <w:rPr>
                <w:rFonts w:hint="eastAsia" w:ascii="仿宋_GB2312" w:hAnsi="Calibri" w:eastAsia="仿宋_GB2312" w:cs="Times New Roman"/>
                <w:sz w:val="24"/>
                <w:highlight w:val="none"/>
                <w:lang w:val="en-US" w:eastAsia="zh-CN"/>
              </w:rPr>
              <w:t>所有。</w:t>
            </w:r>
          </w:p>
          <w:p>
            <w:pPr>
              <w:pStyle w:val="6"/>
              <w:numPr>
                <w:ilvl w:val="-1"/>
                <w:numId w:val="0"/>
              </w:numPr>
              <w:adjustRightInd w:val="0"/>
              <w:snapToGrid w:val="0"/>
              <w:ind w:left="0" w:firstLine="0" w:firstLineChars="0"/>
              <w:jc w:val="left"/>
              <w:rPr>
                <w:rFonts w:hint="eastAsia" w:ascii="仿宋_GB2312" w:hAnsi="Calibri" w:eastAsia="仿宋_GB2312"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59" w:type="dxa"/>
            <w:gridSpan w:val="2"/>
            <w:vAlign w:val="center"/>
          </w:tcPr>
          <w:p>
            <w:pPr>
              <w:adjustRightInd w:val="0"/>
              <w:snapToGrid w:val="0"/>
              <w:jc w:val="center"/>
              <w:rPr>
                <w:rFonts w:hint="eastAsia" w:ascii="仿宋_GB2312" w:eastAsia="仿宋_GB2312"/>
                <w:b/>
                <w:bCs/>
                <w:sz w:val="24"/>
                <w:szCs w:val="24"/>
                <w:highlight w:val="none"/>
                <w:lang w:val="en-US" w:eastAsia="zh-CN"/>
              </w:rPr>
            </w:pPr>
            <w:r>
              <w:rPr>
                <w:rFonts w:hint="eastAsia" w:ascii="仿宋_GB2312" w:eastAsia="仿宋_GB2312"/>
                <w:b/>
                <w:bCs/>
                <w:sz w:val="24"/>
                <w:szCs w:val="24"/>
                <w:highlight w:val="none"/>
                <w:lang w:val="en-US" w:eastAsia="zh-CN"/>
              </w:rPr>
              <w:t>本公告附件</w:t>
            </w:r>
          </w:p>
        </w:tc>
        <w:tc>
          <w:tcPr>
            <w:tcW w:w="9376" w:type="dxa"/>
            <w:gridSpan w:val="14"/>
            <w:vAlign w:val="center"/>
          </w:tcPr>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1、意向竞租人报名确认表</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2、报价单</w:t>
            </w:r>
            <w:r>
              <w:rPr>
                <w:rFonts w:hint="eastAsia" w:ascii="仿宋_GB2312" w:hAnsi="Calibri" w:eastAsia="仿宋_GB2312" w:cs="Times New Roman"/>
                <w:sz w:val="24"/>
                <w:highlight w:val="none"/>
                <w:lang w:val="en-US" w:eastAsia="zh-CN"/>
              </w:rPr>
              <w:br w:type="textWrapping"/>
            </w:r>
            <w:r>
              <w:rPr>
                <w:rFonts w:hint="eastAsia" w:ascii="仿宋_GB2312" w:hAnsi="Calibri" w:eastAsia="仿宋_GB2312" w:cs="Times New Roman"/>
                <w:sz w:val="24"/>
                <w:highlight w:val="none"/>
                <w:lang w:val="en-US" w:eastAsia="zh-CN"/>
              </w:rPr>
              <w:t>3、《承租申请与承诺》</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4、《深圳市龙岗区保障性住房投资有限公司反商业贿赂承诺书》</w:t>
            </w:r>
          </w:p>
          <w:p>
            <w:pPr>
              <w:pStyle w:val="6"/>
              <w:numPr>
                <w:ilvl w:val="0"/>
                <w:numId w:val="0"/>
              </w:numPr>
              <w:adjustRightInd w:val="0"/>
              <w:snapToGrid w:val="0"/>
              <w:jc w:val="left"/>
              <w:rPr>
                <w:rFonts w:hint="default"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5、授权委托书（如需）</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6、意向竞租人提交材料</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7、《近三年企业无不良记录承诺书》</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8、个人承租须提供个人征信报告</w:t>
            </w:r>
          </w:p>
          <w:p>
            <w:pPr>
              <w:pStyle w:val="6"/>
              <w:numPr>
                <w:ilvl w:val="0"/>
                <w:numId w:val="0"/>
              </w:numPr>
              <w:adjustRightInd w:val="0"/>
              <w:snapToGrid w:val="0"/>
              <w:jc w:val="left"/>
              <w:rPr>
                <w:rFonts w:hint="eastAsia" w:ascii="仿宋_GB2312" w:hAnsi="Calibri" w:eastAsia="仿宋_GB2312" w:cs="Times New Roman"/>
                <w:sz w:val="24"/>
                <w:highlight w:val="none"/>
                <w:lang w:val="en-US" w:eastAsia="zh-CN"/>
              </w:rPr>
            </w:pPr>
            <w:r>
              <w:rPr>
                <w:rFonts w:hint="eastAsia" w:ascii="仿宋_GB2312" w:hAnsi="Calibri" w:eastAsia="仿宋_GB2312" w:cs="Times New Roman"/>
                <w:sz w:val="24"/>
                <w:highlight w:val="none"/>
                <w:lang w:val="en-US" w:eastAsia="zh-CN"/>
              </w:rPr>
              <w:t>9、企业承租须提供法定代表人征信报告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611" w:type="dxa"/>
            <w:gridSpan w:val="4"/>
            <w:vAlign w:val="center"/>
          </w:tcPr>
          <w:p>
            <w:pPr>
              <w:adjustRightInd w:val="0"/>
              <w:snapToGrid w:val="0"/>
              <w:jc w:val="center"/>
              <w:rPr>
                <w:rFonts w:hint="default" w:ascii="仿宋_GB2312" w:eastAsia="仿宋_GB2312"/>
                <w:sz w:val="24"/>
                <w:szCs w:val="24"/>
                <w:highlight w:val="none"/>
                <w:lang w:val="en-US" w:eastAsia="zh-CN"/>
              </w:rPr>
            </w:pPr>
            <w:r>
              <w:rPr>
                <w:rFonts w:hint="eastAsia" w:ascii="仿宋_GB2312" w:eastAsia="仿宋_GB2312"/>
                <w:b/>
                <w:bCs/>
                <w:sz w:val="24"/>
                <w:szCs w:val="24"/>
                <w:highlight w:val="none"/>
              </w:rPr>
              <w:t>联系人</w:t>
            </w:r>
            <w:r>
              <w:rPr>
                <w:rFonts w:hint="eastAsia" w:ascii="仿宋_GB2312" w:eastAsia="仿宋_GB2312"/>
                <w:b/>
                <w:bCs/>
                <w:sz w:val="24"/>
                <w:szCs w:val="24"/>
                <w:highlight w:val="none"/>
                <w:lang w:val="en-US" w:eastAsia="zh-CN"/>
              </w:rPr>
              <w:t>及联系方式</w:t>
            </w:r>
          </w:p>
        </w:tc>
        <w:tc>
          <w:tcPr>
            <w:tcW w:w="8024" w:type="dxa"/>
            <w:gridSpan w:val="12"/>
            <w:vAlign w:val="center"/>
          </w:tcPr>
          <w:p>
            <w:pPr>
              <w:adjustRightInd w:val="0"/>
              <w:snapToGrid w:val="0"/>
              <w:jc w:val="center"/>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高先生/0755-89986875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53EC9"/>
    <w:multiLevelType w:val="multilevel"/>
    <w:tmpl w:val="5E453E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hYWUxMDgxODE0ZTk4NTJhOTVkYmEwNThkNjQzYjcifQ=="/>
  </w:docVars>
  <w:rsids>
    <w:rsidRoot w:val="6D6E01AE"/>
    <w:rsid w:val="00C91BFF"/>
    <w:rsid w:val="0E35096D"/>
    <w:rsid w:val="1264003C"/>
    <w:rsid w:val="1266183C"/>
    <w:rsid w:val="13AC18F4"/>
    <w:rsid w:val="16082C8A"/>
    <w:rsid w:val="1728657C"/>
    <w:rsid w:val="1A934A38"/>
    <w:rsid w:val="235B27CC"/>
    <w:rsid w:val="275F7D17"/>
    <w:rsid w:val="2CA23219"/>
    <w:rsid w:val="2F1431DD"/>
    <w:rsid w:val="30EB1722"/>
    <w:rsid w:val="343F74F9"/>
    <w:rsid w:val="37640B7D"/>
    <w:rsid w:val="39827C3F"/>
    <w:rsid w:val="3C1F7858"/>
    <w:rsid w:val="3C7204AC"/>
    <w:rsid w:val="40E7742F"/>
    <w:rsid w:val="445E2F8F"/>
    <w:rsid w:val="49145F26"/>
    <w:rsid w:val="49292E4D"/>
    <w:rsid w:val="53ED5787"/>
    <w:rsid w:val="56A153E0"/>
    <w:rsid w:val="619239A0"/>
    <w:rsid w:val="623B48AB"/>
    <w:rsid w:val="699510E7"/>
    <w:rsid w:val="6AAA3A71"/>
    <w:rsid w:val="6D6E01AE"/>
    <w:rsid w:val="6DEB4EF6"/>
    <w:rsid w:val="71A37A4F"/>
    <w:rsid w:val="74725539"/>
    <w:rsid w:val="76481332"/>
    <w:rsid w:val="772D6E0E"/>
    <w:rsid w:val="7E426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Heading1"/>
    <w:basedOn w:val="1"/>
    <w:next w:val="1"/>
    <w:autoRedefine/>
    <w:qFormat/>
    <w:uiPriority w:val="0"/>
    <w:pPr>
      <w:keepNext/>
      <w:keepLines/>
      <w:spacing w:before="340" w:after="330" w:line="578" w:lineRule="auto"/>
      <w:jc w:val="both"/>
    </w:pPr>
    <w:rPr>
      <w:rFonts w:ascii="Calibri" w:hAnsi="Calibri" w:eastAsia="宋体"/>
      <w:b/>
      <w:kern w:val="44"/>
      <w:sz w:val="44"/>
      <w:szCs w:val="24"/>
      <w:lang w:val="en-US" w:eastAsia="zh-CN" w:bidi="ar-SA"/>
    </w:rPr>
  </w:style>
  <w:style w:type="paragraph" w:styleId="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2349</Words>
  <Characters>2473</Characters>
  <Lines>0</Lines>
  <Paragraphs>0</Paragraphs>
  <TotalTime>8</TotalTime>
  <ScaleCrop>false</ScaleCrop>
  <LinksUpToDate>false</LinksUpToDate>
  <CharactersWithSpaces>2476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2023-04-19T02:47:00Z</dcterms:created>
  <dc:creator>T.O.P</dc:creator>
  <cp:lastModifiedBy>FLY</cp:lastModifiedBy>
  <dcterms:modified xsi:type="dcterms:W3CDTF">2024-10-14T01:58:19Z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4EE510A0D122411F9CDB45E4AA6B620A_13</vt:lpwstr>
  </property>
</Properties>
</file>