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龙城工业园超充站休息室（苹果仓）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遴选采购公告</w:t>
      </w:r>
    </w:p>
    <w:p>
      <w:pPr>
        <w:pStyle w:val="2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一、</w:t>
      </w:r>
      <w:r>
        <w:rPr>
          <w:rFonts w:hint="eastAsia" w:ascii="宋体" w:hAnsi="宋体" w:cs="宋体"/>
          <w:b/>
          <w:bCs/>
          <w:sz w:val="21"/>
          <w:szCs w:val="21"/>
        </w:rPr>
        <w:t>项目名称：</w:t>
      </w:r>
      <w:r>
        <w:rPr>
          <w:rFonts w:hint="eastAsia" w:ascii="宋体" w:hAnsi="宋体" w:eastAsia="宋体" w:cs="宋体"/>
          <w:snapToGrid w:val="0"/>
          <w:spacing w:val="0"/>
          <w:sz w:val="21"/>
          <w:szCs w:val="21"/>
          <w:lang w:val="en-US" w:eastAsia="zh-CN"/>
        </w:rPr>
        <w:t>龙城工业园超充站休息室（苹果仓）采购</w:t>
      </w:r>
      <w:r>
        <w:rPr>
          <w:rFonts w:hint="eastAsia" w:ascii="宋体" w:hAnsi="宋体" w:eastAsia="宋体" w:cs="宋体"/>
          <w:snapToGrid w:val="0"/>
          <w:spacing w:val="0"/>
          <w:sz w:val="21"/>
          <w:szCs w:val="21"/>
          <w:lang w:eastAsia="zh-CN"/>
        </w:rPr>
        <w:t>项</w:t>
      </w:r>
      <w:r>
        <w:rPr>
          <w:rFonts w:hint="eastAsia" w:ascii="宋体" w:hAnsi="宋体" w:cs="宋体"/>
          <w:snapToGrid w:val="0"/>
          <w:spacing w:val="0"/>
          <w:sz w:val="21"/>
          <w:szCs w:val="21"/>
          <w:lang w:eastAsia="zh-CN"/>
        </w:rPr>
        <w:t>目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二、</w:t>
      </w:r>
      <w:r>
        <w:rPr>
          <w:rFonts w:hint="eastAsia" w:ascii="宋体" w:hAnsi="宋体" w:cs="宋体"/>
          <w:b/>
          <w:bCs/>
          <w:sz w:val="21"/>
          <w:szCs w:val="21"/>
        </w:rPr>
        <w:t>采购方式：</w:t>
      </w:r>
      <w:r>
        <w:rPr>
          <w:rFonts w:hint="eastAsia" w:ascii="宋体" w:hAnsi="宋体" w:cs="宋体"/>
          <w:snapToGrid w:val="0"/>
          <w:spacing w:val="0"/>
          <w:sz w:val="21"/>
          <w:szCs w:val="21"/>
        </w:rPr>
        <w:t>遴选采购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三、采购上限</w:t>
      </w:r>
      <w:r>
        <w:rPr>
          <w:rFonts w:hint="eastAsia" w:ascii="宋体" w:hAnsi="宋体" w:cs="宋体"/>
          <w:b/>
          <w:bCs/>
          <w:sz w:val="21"/>
          <w:szCs w:val="21"/>
        </w:rPr>
        <w:t>价：</w:t>
      </w:r>
      <w:r>
        <w:rPr>
          <w:rFonts w:hint="eastAsia" w:ascii="宋体" w:hAnsi="宋体" w:cs="宋体"/>
          <w:snapToGrid w:val="0"/>
          <w:spacing w:val="0"/>
          <w:sz w:val="21"/>
          <w:szCs w:val="21"/>
        </w:rPr>
        <w:t>最</w:t>
      </w:r>
      <w:r>
        <w:rPr>
          <w:rFonts w:hint="eastAsia" w:ascii="宋体" w:hAnsi="宋体" w:eastAsia="宋体" w:cs="宋体"/>
          <w:snapToGrid w:val="0"/>
          <w:spacing w:val="0"/>
          <w:sz w:val="21"/>
          <w:szCs w:val="21"/>
        </w:rPr>
        <w:t>高限价</w:t>
      </w:r>
      <w:r>
        <w:rPr>
          <w:rFonts w:hint="eastAsia" w:ascii="宋体" w:hAnsi="宋体" w:eastAsia="宋体" w:cs="宋体"/>
          <w:snapToGrid w:val="0"/>
          <w:spacing w:val="0"/>
          <w:sz w:val="21"/>
          <w:szCs w:val="21"/>
          <w:lang w:val="en-US" w:eastAsia="zh-CN"/>
        </w:rPr>
        <w:t>4.4万元</w:t>
      </w:r>
      <w:r>
        <w:rPr>
          <w:rFonts w:hint="eastAsia" w:ascii="宋体" w:hAnsi="宋体" w:eastAsia="宋体" w:cs="宋体"/>
          <w:snapToGrid w:val="0"/>
          <w:spacing w:val="0"/>
          <w:sz w:val="21"/>
          <w:szCs w:val="21"/>
        </w:rPr>
        <w:t>人民币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四、</w:t>
      </w:r>
      <w:r>
        <w:rPr>
          <w:rFonts w:hint="eastAsia" w:ascii="宋体" w:hAnsi="宋体" w:cs="宋体"/>
          <w:b/>
          <w:bCs/>
          <w:sz w:val="21"/>
          <w:szCs w:val="21"/>
        </w:rPr>
        <w:t>评标方法：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综合评分法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五、采购</w:t>
      </w:r>
      <w:r>
        <w:rPr>
          <w:rFonts w:hint="eastAsia" w:ascii="宋体" w:hAnsi="宋体" w:cs="宋体"/>
          <w:b/>
          <w:bCs/>
          <w:sz w:val="21"/>
          <w:szCs w:val="21"/>
        </w:rPr>
        <w:t>内容：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napToGrid w:val="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napToGrid w:val="0"/>
          <w:spacing w:val="0"/>
          <w:sz w:val="21"/>
          <w:szCs w:val="21"/>
          <w:lang w:val="en-US" w:eastAsia="zh-CN"/>
        </w:rPr>
        <w:t>（一）拟采购内容及相关参数要求</w:t>
      </w:r>
    </w:p>
    <w:tbl>
      <w:tblPr>
        <w:tblStyle w:val="9"/>
        <w:tblW w:w="828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0"/>
        <w:gridCol w:w="64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8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苹果仓（1个）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8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尺寸：5000*3500*3000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主体框架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龙骨框架+50mm岩棉板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地面材料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硅酸钙板+spc地板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地面装饰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塑胶地板1.6mm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顶部保温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镀锌钢板+喷漆（白色）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前板装饰材料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木塑板(wpc)外墙装饰材料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内墙装饰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木纹  竹木纤维板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吊顶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4mm铝扣板集成吊顶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外墙材料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铝塑板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玻璃幕墙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铝合金推拉窗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仓门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铝合金门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电配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路品牌电配，入户6㎡，4m²、2.5m²、1.5㎡铜线（灯线两芯）</w:t>
            </w: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1个三孔插座、5个五孔插座1个单开、10个筒灯、</w:t>
            </w:r>
          </w:p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1个高级八回路配电箱、1个2P32A漏电保护器</w:t>
            </w: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2个25A断路器，1个10A断路器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外部样式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4123055" cy="2487295"/>
                  <wp:effectExtent l="0" t="0" r="10795" b="8255"/>
                  <wp:docPr id="1" name="图片 1" descr="444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4444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055" cy="248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t>内部样式</w:t>
            </w:r>
          </w:p>
        </w:tc>
        <w:tc>
          <w:tcPr>
            <w:tcW w:w="6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spacing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3975100" cy="2421890"/>
                  <wp:effectExtent l="0" t="0" r="6350" b="16510"/>
                  <wp:docPr id="2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0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napToGrid w:val="0"/>
          <w:spacing w:val="0"/>
          <w:sz w:val="21"/>
          <w:szCs w:val="21"/>
          <w:lang w:val="en-US" w:eastAsia="zh-CN"/>
        </w:rPr>
      </w:pPr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（二）服务期限：10个自然日，自合同签订之日起计算。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六、报价单位资格要求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具有独立法人资格，具有独立承担民事责任的能力。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七、报价要求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（一）报价人应于202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年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10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月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12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日18：00前将响应文件1正4副密封（统一密封，密封处加盖公章）送交到龙岗区清林路城投商务中心15楼（联系人：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欧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工，0755-28906103），逾期送达或未按要求密封将予以拒收。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（二）响应单位报价不得超过相应采购项目的上限金额控制价，否则作废处理。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（三）响应单位报价包含运输费、服务费、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安装费、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人工费、税金等一切可能发生的费用。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（四）响应单位不得擅自更改报价模板中的物品规格尺寸，如擅自更改其报价认定为无效报价。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（五）截标后说明：递交响应文件截止时间后，如未达到3家（含）符合条件的供应商，将发布第二次采购公告。若第二次公告期内仍未达到3家（含）符合条件的供应商，将直接从响应的供应商中选定，而不再另行发布采购公告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八、合同价款和支付方式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（一）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签订合同后，乙方完成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苹果仓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的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运输和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安装调试至正常运行后，经甲方验收合格，甲方支付至总费用的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97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%；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szCs w:val="32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（二）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质保期1年（至验收后计算），在质保到期后经甲方审核同意后，乙方提出书面申请，向乙方支付剩余费用。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九、结果公示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递交响应文件截止后，采购人将自行组织响应文件开启、评审等工作，确定成交服务单位后将在龙岗城投集团官网进行公示。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2" w:firstLineChars="200"/>
        <w:textAlignment w:val="auto"/>
        <w:rPr>
          <w:rFonts w:hint="eastAsia" w:ascii="宋体" w:hAnsi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十、特别说明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1.资格不符合要求的供应商不能进入比选程序。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2.所有响应单位视为同意上述公告内容，确定为成交服务单位后按公告约定与采购人签署合同。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3.公告期满后，若有效响应单位不足3家的，将进行第二次公告；经二次公告后，若合格响应单位仅有2家的，将直接进行评审，若有效响应单位仅有1家的，将直接选定成交单位。</w:t>
      </w:r>
    </w:p>
    <w:p>
      <w:pPr>
        <w:pStyle w:val="2"/>
        <w:spacing w:line="360" w:lineRule="auto"/>
        <w:ind w:left="420" w:leftChars="200"/>
        <w:jc w:val="both"/>
        <w:rPr>
          <w:rFonts w:hint="eastAsia" w:hAnsi="宋体" w:cs="宋体"/>
          <w:szCs w:val="21"/>
          <w:lang w:val="en-US" w:eastAsia="zh-CN"/>
        </w:rPr>
      </w:pPr>
      <w:r>
        <w:rPr>
          <w:rFonts w:hint="eastAsia" w:hAnsi="宋体" w:cs="宋体"/>
          <w:szCs w:val="21"/>
        </w:rPr>
        <w:t>联系人：</w:t>
      </w:r>
      <w:r>
        <w:rPr>
          <w:rFonts w:hint="eastAsia" w:hAnsi="宋体" w:cs="宋体"/>
          <w:szCs w:val="21"/>
          <w:lang w:eastAsia="zh-CN"/>
        </w:rPr>
        <w:t>欧工；</w:t>
      </w:r>
      <w:r>
        <w:rPr>
          <w:rFonts w:hint="eastAsia" w:hAnsi="宋体" w:cs="宋体"/>
          <w:szCs w:val="21"/>
        </w:rPr>
        <w:t>联系电话：</w:t>
      </w:r>
      <w:r>
        <w:rPr>
          <w:rFonts w:hint="eastAsia" w:hAnsi="宋体" w:cs="宋体"/>
          <w:szCs w:val="21"/>
          <w:lang w:val="en-US" w:eastAsia="zh-CN"/>
        </w:rPr>
        <w:t>0755-28906103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附件：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1.响应单位提交资料明细表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2.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报价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承诺函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3.</w:t>
      </w:r>
      <w:r>
        <w:rPr>
          <w:rFonts w:hint="eastAsia" w:ascii="宋体" w:hAnsi="宋体" w:eastAsia="宋体" w:cs="宋体"/>
          <w:snapToGrid w:val="0"/>
          <w:spacing w:val="0"/>
          <w:sz w:val="21"/>
          <w:szCs w:val="21"/>
          <w:lang w:val="en-US" w:eastAsia="zh-CN"/>
        </w:rPr>
        <w:t>龙城工业园超充站休息室（苹果仓）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遴选采购报价表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Theme="minorHAnsi" w:cstheme="minorBidi"/>
          <w:kern w:val="2"/>
          <w:sz w:val="21"/>
          <w:szCs w:val="24"/>
          <w:lang w:val="en-US" w:eastAsia="zh-CN" w:bidi="ar-SA"/>
        </w:rPr>
        <w:t xml:space="preserve">    4.综合评分表</w:t>
      </w:r>
    </w:p>
    <w:p>
      <w:pPr>
        <w:widowControl w:val="0"/>
        <w:numPr>
          <w:ilvl w:val="0"/>
          <w:numId w:val="0"/>
        </w:numPr>
        <w:overflowPunct/>
        <w:autoSpaceDE/>
        <w:autoSpaceDN/>
        <w:adjustRightInd/>
        <w:spacing w:line="360" w:lineRule="auto"/>
        <w:ind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5.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龙岗区进一步规范政商交往行为告知书</w:t>
      </w:r>
    </w:p>
    <w:p>
      <w:pPr>
        <w:pStyle w:val="2"/>
        <w:numPr>
          <w:ilvl w:val="0"/>
          <w:numId w:val="0"/>
        </w:numPr>
        <w:ind w:left="1050" w:leftChars="0"/>
        <w:rPr>
          <w:rFonts w:hint="eastAsia"/>
          <w:lang w:val="en-US" w:eastAsia="zh-CN"/>
        </w:rPr>
      </w:pPr>
    </w:p>
    <w:p>
      <w:pPr>
        <w:pStyle w:val="2"/>
        <w:spacing w:line="360" w:lineRule="auto"/>
        <w:rPr>
          <w:rFonts w:hint="eastAsia" w:hAnsi="宋体" w:cs="宋体"/>
          <w:szCs w:val="21"/>
        </w:rPr>
      </w:pPr>
    </w:p>
    <w:p>
      <w:pPr>
        <w:pStyle w:val="3"/>
        <w:rPr>
          <w:rFonts w:hint="default"/>
          <w:lang w:val="en-US"/>
        </w:rPr>
      </w:pPr>
    </w:p>
    <w:p>
      <w:pPr>
        <w:widowControl w:val="0"/>
        <w:overflowPunct/>
        <w:autoSpaceDE/>
        <w:autoSpaceDN/>
        <w:adjustRightInd/>
        <w:spacing w:line="360" w:lineRule="auto"/>
        <w:ind w:firstLine="48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                         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cs="宋体"/>
          <w:snapToGrid w:val="0"/>
          <w:spacing w:val="0"/>
          <w:sz w:val="21"/>
          <w:szCs w:val="21"/>
        </w:rPr>
        <w:t>深圳市龙岗区城投产业发展运营有限公司</w:t>
      </w:r>
    </w:p>
    <w:p>
      <w:pPr>
        <w:widowControl w:val="0"/>
        <w:overflowPunct/>
        <w:autoSpaceDE/>
        <w:autoSpaceDN/>
        <w:adjustRightInd/>
        <w:spacing w:line="360" w:lineRule="auto"/>
        <w:ind w:firstLine="480"/>
        <w:textAlignment w:val="auto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shd w:val="clear" w:fill="FFFFFF"/>
        </w:rPr>
      </w:pPr>
      <w:r>
        <w:rPr>
          <w:rFonts w:hint="eastAsia" w:ascii="宋体" w:hAnsi="宋体" w:cs="宋体"/>
          <w:sz w:val="21"/>
          <w:szCs w:val="21"/>
        </w:rPr>
        <w:t xml:space="preserve">                                   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cs="宋体"/>
          <w:sz w:val="21"/>
          <w:szCs w:val="21"/>
        </w:rPr>
        <w:t>202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cs="宋体"/>
          <w:sz w:val="21"/>
          <w:szCs w:val="21"/>
        </w:rPr>
        <w:t>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cs="宋体"/>
          <w:sz w:val="21"/>
          <w:szCs w:val="21"/>
        </w:rPr>
        <w:t>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cs="宋体"/>
          <w:sz w:val="21"/>
          <w:szCs w:val="21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hYWUxMDgxODE0ZTk4NTJhOTVkYmEwNThkNjQzYjcifQ=="/>
  </w:docVars>
  <w:rsids>
    <w:rsidRoot w:val="00000000"/>
    <w:rsid w:val="000B34C5"/>
    <w:rsid w:val="005E5CB9"/>
    <w:rsid w:val="009E5347"/>
    <w:rsid w:val="026C2A10"/>
    <w:rsid w:val="02A914F1"/>
    <w:rsid w:val="0634022C"/>
    <w:rsid w:val="07941252"/>
    <w:rsid w:val="0A3A5C0A"/>
    <w:rsid w:val="0A786C09"/>
    <w:rsid w:val="0B50212B"/>
    <w:rsid w:val="0B5D06BB"/>
    <w:rsid w:val="0C8C24F7"/>
    <w:rsid w:val="0E8F3338"/>
    <w:rsid w:val="0F7B4FDE"/>
    <w:rsid w:val="10A50003"/>
    <w:rsid w:val="11885D76"/>
    <w:rsid w:val="12336E09"/>
    <w:rsid w:val="126A502B"/>
    <w:rsid w:val="12F45485"/>
    <w:rsid w:val="13C44C6D"/>
    <w:rsid w:val="140B289C"/>
    <w:rsid w:val="15883168"/>
    <w:rsid w:val="162C08A7"/>
    <w:rsid w:val="16D0537B"/>
    <w:rsid w:val="1A5E6344"/>
    <w:rsid w:val="1B9600B4"/>
    <w:rsid w:val="1C362480"/>
    <w:rsid w:val="1CC02E35"/>
    <w:rsid w:val="1EA072B2"/>
    <w:rsid w:val="1F4C7841"/>
    <w:rsid w:val="20120BC3"/>
    <w:rsid w:val="202F4EE2"/>
    <w:rsid w:val="204C3B21"/>
    <w:rsid w:val="20F73A65"/>
    <w:rsid w:val="21FE134A"/>
    <w:rsid w:val="225451CF"/>
    <w:rsid w:val="248B3B66"/>
    <w:rsid w:val="254D3B1A"/>
    <w:rsid w:val="256F255E"/>
    <w:rsid w:val="274149F4"/>
    <w:rsid w:val="27554102"/>
    <w:rsid w:val="29BF3AB4"/>
    <w:rsid w:val="2AD71472"/>
    <w:rsid w:val="2C3F0D9A"/>
    <w:rsid w:val="30156064"/>
    <w:rsid w:val="30A04FAC"/>
    <w:rsid w:val="314445B7"/>
    <w:rsid w:val="316A07AA"/>
    <w:rsid w:val="3171005E"/>
    <w:rsid w:val="320F30FF"/>
    <w:rsid w:val="346E6803"/>
    <w:rsid w:val="34F61120"/>
    <w:rsid w:val="35447A1A"/>
    <w:rsid w:val="35D62337"/>
    <w:rsid w:val="361E1AD2"/>
    <w:rsid w:val="37227431"/>
    <w:rsid w:val="37D01583"/>
    <w:rsid w:val="3AEE244B"/>
    <w:rsid w:val="3B755CA2"/>
    <w:rsid w:val="3B9D5C20"/>
    <w:rsid w:val="3E0D6FE4"/>
    <w:rsid w:val="3EFC4A0B"/>
    <w:rsid w:val="3F061CF0"/>
    <w:rsid w:val="3F4C0EB5"/>
    <w:rsid w:val="40575327"/>
    <w:rsid w:val="4168141B"/>
    <w:rsid w:val="43845665"/>
    <w:rsid w:val="445B1C85"/>
    <w:rsid w:val="44A343A0"/>
    <w:rsid w:val="479A11DD"/>
    <w:rsid w:val="48404D51"/>
    <w:rsid w:val="48E24C72"/>
    <w:rsid w:val="48FD5F50"/>
    <w:rsid w:val="4C8F6EBF"/>
    <w:rsid w:val="4D737365"/>
    <w:rsid w:val="4DA76869"/>
    <w:rsid w:val="4F3A5808"/>
    <w:rsid w:val="52CA50F4"/>
    <w:rsid w:val="530F755B"/>
    <w:rsid w:val="53CF48A7"/>
    <w:rsid w:val="567126E9"/>
    <w:rsid w:val="57C2283E"/>
    <w:rsid w:val="598D4786"/>
    <w:rsid w:val="5AFC6067"/>
    <w:rsid w:val="5B615445"/>
    <w:rsid w:val="5C115B42"/>
    <w:rsid w:val="5C5559B0"/>
    <w:rsid w:val="5D480C31"/>
    <w:rsid w:val="5D573A29"/>
    <w:rsid w:val="5F4E647B"/>
    <w:rsid w:val="616A4797"/>
    <w:rsid w:val="643C5726"/>
    <w:rsid w:val="64D90742"/>
    <w:rsid w:val="65536B61"/>
    <w:rsid w:val="66302322"/>
    <w:rsid w:val="665B406B"/>
    <w:rsid w:val="66B81714"/>
    <w:rsid w:val="671E5247"/>
    <w:rsid w:val="67A83590"/>
    <w:rsid w:val="68C33D20"/>
    <w:rsid w:val="6ABB336B"/>
    <w:rsid w:val="6B5F4C99"/>
    <w:rsid w:val="6C197B1D"/>
    <w:rsid w:val="6CAC2EE2"/>
    <w:rsid w:val="6DC25590"/>
    <w:rsid w:val="6E8805C7"/>
    <w:rsid w:val="6EEF2273"/>
    <w:rsid w:val="7006419F"/>
    <w:rsid w:val="70EE752B"/>
    <w:rsid w:val="71274438"/>
    <w:rsid w:val="71B20DD6"/>
    <w:rsid w:val="72594E6B"/>
    <w:rsid w:val="72BA0D3A"/>
    <w:rsid w:val="735760D9"/>
    <w:rsid w:val="73DB0246"/>
    <w:rsid w:val="7400034B"/>
    <w:rsid w:val="74105481"/>
    <w:rsid w:val="74123DAE"/>
    <w:rsid w:val="754048AD"/>
    <w:rsid w:val="776A1547"/>
    <w:rsid w:val="782567A5"/>
    <w:rsid w:val="78A80EF1"/>
    <w:rsid w:val="79CB17D1"/>
    <w:rsid w:val="7A5125D5"/>
    <w:rsid w:val="7B046B46"/>
    <w:rsid w:val="7B542672"/>
    <w:rsid w:val="7C997A7A"/>
    <w:rsid w:val="7CEB6BC4"/>
    <w:rsid w:val="7D4F2352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unhideWhenUsed/>
    <w:qFormat/>
    <w:uiPriority w:val="99"/>
    <w:rPr>
      <w:rFonts w:ascii="宋体" w:cs="Courier New"/>
      <w:szCs w:val="21"/>
    </w:rPr>
  </w:style>
  <w:style w:type="paragraph" w:styleId="3">
    <w:name w:val="index 8"/>
    <w:basedOn w:val="1"/>
    <w:next w:val="1"/>
    <w:qFormat/>
    <w:uiPriority w:val="0"/>
    <w:pPr>
      <w:ind w:left="1400" w:leftChars="1400"/>
    </w:pPr>
  </w:style>
  <w:style w:type="paragraph" w:styleId="4">
    <w:name w:val="Normal Indent"/>
    <w:basedOn w:val="1"/>
    <w:qFormat/>
    <w:uiPriority w:val="0"/>
    <w:pPr>
      <w:ind w:firstLine="4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 w:eastAsia="宋体" w:cs="Times New Roman"/>
      <w:kern w:val="0"/>
      <w:sz w:val="22"/>
      <w:szCs w:val="22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page number"/>
    <w:basedOn w:val="11"/>
    <w:autoRedefine/>
    <w:qFormat/>
    <w:uiPriority w:val="0"/>
  </w:style>
  <w:style w:type="table" w:customStyle="1" w:styleId="14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1121</Words>
  <Characters>1217</Characters>
  <Lines>0</Lines>
  <Paragraphs>0</Paragraphs>
  <TotalTime>3</TotalTime>
  <ScaleCrop>false</ScaleCrop>
  <LinksUpToDate>false</LinksUpToDate>
  <CharactersWithSpaces>1314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2021-02-25T03:55:00Z</dcterms:created>
  <dc:creator>Administrator</dc:creator>
  <cp:lastModifiedBy>FLY</cp:lastModifiedBy>
  <dcterms:modified xsi:type="dcterms:W3CDTF">2024-09-30T02:06:06Z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F5AB5E96878B46E0AA5E4E4FD0F49AD1_13</vt:lpwstr>
  </property>
</Properties>
</file>