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spacing w:line="360" w:lineRule="auto"/>
        <w:jc w:val="center"/>
        <w:rPr>
          <w:rFonts w:ascii="宋体" w:hAnsi="宋体"/>
          <w:b/>
          <w:sz w:val="48"/>
          <w:szCs w:val="48"/>
          <w:highlight w:val="none"/>
        </w:rPr>
      </w:pPr>
    </w:p>
    <w:p>
      <w:pPr>
        <w:spacing w:beforeLines="50" w:afterLines="100" w:line="360" w:lineRule="auto"/>
        <w:jc w:val="center"/>
        <w:rPr>
          <w:rFonts w:hint="eastAsia" w:ascii="宋体" w:hAnsi="宋体" w:eastAsia="宋体"/>
          <w:b/>
          <w:sz w:val="44"/>
          <w:szCs w:val="44"/>
          <w:highlight w:val="none"/>
        </w:rPr>
      </w:pPr>
      <w:r>
        <w:rPr>
          <w:rFonts w:hint="eastAsia" w:ascii="宋体" w:hAnsi="宋体"/>
          <w:b/>
          <w:sz w:val="44"/>
          <w:szCs w:val="44"/>
          <w:highlight w:val="none"/>
          <w:lang w:val="en-US" w:eastAsia="zh-CN"/>
        </w:rPr>
        <w:t>深圳建筑产业生态智谷总部基地一期主体第三方监测</w:t>
      </w:r>
    </w:p>
    <w:p>
      <w:pPr>
        <w:spacing w:beforeLines="50" w:afterLines="100" w:line="360" w:lineRule="auto"/>
        <w:jc w:val="center"/>
        <w:rPr>
          <w:rFonts w:hint="eastAsia" w:ascii="宋体" w:hAnsi="宋体"/>
          <w:b/>
          <w:sz w:val="44"/>
          <w:szCs w:val="44"/>
          <w:highlight w:val="none"/>
        </w:rPr>
      </w:pPr>
      <w:bookmarkStart w:id="20" w:name="_GoBack"/>
      <w:bookmarkEnd w:id="20"/>
    </w:p>
    <w:p>
      <w:pPr>
        <w:spacing w:beforeLines="50" w:afterLines="100" w:line="360" w:lineRule="auto"/>
        <w:jc w:val="center"/>
        <w:rPr>
          <w:rFonts w:ascii="宋体" w:hAnsi="宋体"/>
          <w:b/>
          <w:sz w:val="72"/>
          <w:szCs w:val="72"/>
          <w:highlight w:val="none"/>
        </w:rPr>
      </w:pPr>
      <w:r>
        <w:rPr>
          <w:rFonts w:hint="eastAsia" w:ascii="宋体" w:hAnsi="宋体"/>
          <w:b/>
          <w:sz w:val="72"/>
          <w:szCs w:val="72"/>
          <w:highlight w:val="none"/>
        </w:rPr>
        <w:t>公开招标（自主）文件</w:t>
      </w:r>
    </w:p>
    <w:p>
      <w:pPr>
        <w:spacing w:line="360" w:lineRule="auto"/>
        <w:jc w:val="center"/>
        <w:rPr>
          <w:rFonts w:ascii="宋体" w:hAnsi="宋体"/>
          <w:b/>
          <w:sz w:val="32"/>
          <w:szCs w:val="32"/>
          <w:highlight w:val="none"/>
        </w:rPr>
      </w:pPr>
    </w:p>
    <w:p>
      <w:pPr>
        <w:spacing w:line="360" w:lineRule="auto"/>
        <w:jc w:val="center"/>
        <w:rPr>
          <w:rFonts w:ascii="宋体" w:hAnsi="宋体"/>
          <w:b/>
          <w:sz w:val="32"/>
          <w:szCs w:val="32"/>
          <w:highlight w:val="none"/>
        </w:rPr>
      </w:pPr>
    </w:p>
    <w:p>
      <w:pPr>
        <w:spacing w:line="360" w:lineRule="auto"/>
        <w:jc w:val="center"/>
        <w:rPr>
          <w:rFonts w:ascii="宋体" w:hAnsi="宋体"/>
          <w:b/>
          <w:sz w:val="32"/>
          <w:szCs w:val="32"/>
          <w:highlight w:val="none"/>
        </w:rPr>
      </w:pPr>
    </w:p>
    <w:p>
      <w:pPr>
        <w:spacing w:line="360" w:lineRule="auto"/>
        <w:jc w:val="center"/>
        <w:rPr>
          <w:rFonts w:ascii="宋体" w:hAnsi="宋体"/>
          <w:b/>
          <w:sz w:val="32"/>
          <w:szCs w:val="32"/>
          <w:highlight w:val="none"/>
        </w:rPr>
      </w:pPr>
    </w:p>
    <w:p>
      <w:pPr>
        <w:spacing w:line="360" w:lineRule="auto"/>
        <w:jc w:val="center"/>
        <w:rPr>
          <w:rFonts w:ascii="宋体" w:hAnsi="宋体"/>
          <w:b/>
          <w:sz w:val="32"/>
          <w:szCs w:val="32"/>
          <w:highlight w:val="none"/>
        </w:rPr>
      </w:pPr>
    </w:p>
    <w:p>
      <w:pPr>
        <w:spacing w:line="360" w:lineRule="auto"/>
        <w:jc w:val="center"/>
        <w:rPr>
          <w:rFonts w:ascii="宋体" w:hAnsi="宋体"/>
          <w:b/>
          <w:sz w:val="32"/>
          <w:szCs w:val="32"/>
          <w:highlight w:val="none"/>
        </w:rPr>
      </w:pPr>
    </w:p>
    <w:p>
      <w:pPr>
        <w:spacing w:line="360" w:lineRule="auto"/>
        <w:jc w:val="center"/>
        <w:rPr>
          <w:rFonts w:ascii="宋体" w:hAnsi="宋体"/>
          <w:b/>
          <w:sz w:val="32"/>
          <w:szCs w:val="32"/>
          <w:highlight w:val="none"/>
        </w:rPr>
      </w:pPr>
    </w:p>
    <w:p>
      <w:pPr>
        <w:adjustRightInd w:val="0"/>
        <w:snapToGrid w:val="0"/>
        <w:spacing w:line="560" w:lineRule="atLeast"/>
        <w:ind w:firstLine="602" w:firstLineChars="200"/>
        <w:jc w:val="center"/>
        <w:rPr>
          <w:rFonts w:hint="eastAsia" w:ascii="宋体" w:hAnsi="宋体" w:eastAsia="宋体" w:cs="宋体"/>
          <w:sz w:val="28"/>
          <w:szCs w:val="28"/>
          <w:highlight w:val="none"/>
        </w:rPr>
      </w:pPr>
      <w:r>
        <w:rPr>
          <w:rFonts w:hint="eastAsia" w:ascii="仿宋_GB2312" w:hAnsi="宋体" w:eastAsia="仿宋_GB2312"/>
          <w:b/>
          <w:sz w:val="30"/>
          <w:szCs w:val="30"/>
          <w:highlight w:val="none"/>
        </w:rPr>
        <w:t>招标人：</w:t>
      </w:r>
      <w:r>
        <w:rPr>
          <w:rFonts w:hint="eastAsia" w:ascii="宋体" w:hAnsi="宋体" w:eastAsia="宋体" w:cs="宋体"/>
          <w:sz w:val="28"/>
          <w:szCs w:val="28"/>
          <w:highlight w:val="none"/>
        </w:rPr>
        <w:t>深圳市龙岗区城投绿色低碳新能源产业发展有限公司</w:t>
      </w:r>
    </w:p>
    <w:p>
      <w:pPr>
        <w:spacing w:line="540" w:lineRule="exact"/>
        <w:jc w:val="right"/>
        <w:rPr>
          <w:rFonts w:ascii="仿宋_GB2312" w:hAnsi="仿宋_GB2312" w:eastAsia="仿宋_GB2312" w:cs="仿宋_GB2312"/>
          <w:b/>
          <w:color w:val="000000"/>
          <w:sz w:val="30"/>
          <w:szCs w:val="30"/>
          <w:highlight w:val="none"/>
        </w:rPr>
      </w:pPr>
    </w:p>
    <w:p>
      <w:pPr>
        <w:spacing w:line="360" w:lineRule="auto"/>
        <w:jc w:val="center"/>
        <w:rPr>
          <w:rFonts w:ascii="仿宋_GB2312" w:hAnsi="宋体" w:eastAsia="仿宋_GB2312"/>
          <w:b/>
          <w:sz w:val="30"/>
          <w:szCs w:val="30"/>
          <w:highlight w:val="none"/>
        </w:rPr>
      </w:pPr>
    </w:p>
    <w:p>
      <w:pPr>
        <w:spacing w:line="360" w:lineRule="auto"/>
        <w:jc w:val="center"/>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四</w:t>
      </w:r>
      <w:r>
        <w:rPr>
          <w:rFonts w:hint="eastAsia" w:ascii="宋体" w:hAnsi="宋体"/>
          <w:sz w:val="30"/>
          <w:szCs w:val="30"/>
          <w:highlight w:val="none"/>
        </w:rPr>
        <w:t>年</w:t>
      </w:r>
      <w:r>
        <w:rPr>
          <w:rFonts w:hint="eastAsia" w:ascii="宋体" w:hAnsi="宋体"/>
          <w:sz w:val="30"/>
          <w:szCs w:val="30"/>
          <w:highlight w:val="none"/>
          <w:lang w:val="en-US" w:eastAsia="zh-CN"/>
        </w:rPr>
        <w:t>九</w:t>
      </w:r>
      <w:r>
        <w:rPr>
          <w:rFonts w:hint="eastAsia" w:ascii="宋体" w:hAnsi="宋体"/>
          <w:sz w:val="30"/>
          <w:szCs w:val="30"/>
          <w:highlight w:val="none"/>
        </w:rPr>
        <w:t>月</w:t>
      </w:r>
    </w:p>
    <w:p>
      <w:pPr>
        <w:widowControl/>
        <w:spacing w:beforeLines="25" w:afterLines="25" w:line="360" w:lineRule="auto"/>
        <w:jc w:val="center"/>
        <w:rPr>
          <w:rFonts w:ascii="宋体" w:hAnsi="宋体"/>
          <w:b/>
          <w:sz w:val="32"/>
          <w:szCs w:val="32"/>
          <w:highlight w:val="none"/>
          <w:lang w:val="zh-CN"/>
        </w:rPr>
        <w:sectPr>
          <w:headerReference r:id="rId3" w:type="default"/>
          <w:pgSz w:w="11906" w:h="16838"/>
          <w:pgMar w:top="1440" w:right="1800" w:bottom="1440" w:left="1800" w:header="1247" w:footer="737" w:gutter="0"/>
          <w:pgBorders>
            <w:top w:val="none" w:sz="0" w:space="0"/>
            <w:left w:val="none" w:sz="0" w:space="0"/>
            <w:bottom w:val="none" w:sz="0" w:space="0"/>
            <w:right w:val="none" w:sz="0" w:space="0"/>
          </w:pgBorders>
          <w:pgNumType w:start="1"/>
          <w:cols w:space="720" w:num="1"/>
          <w:docGrid w:linePitch="380" w:charSpace="-4301"/>
        </w:sectPr>
      </w:pPr>
    </w:p>
    <w:p>
      <w:pPr>
        <w:widowControl/>
        <w:spacing w:beforeLines="25" w:afterLines="25" w:line="360" w:lineRule="auto"/>
        <w:jc w:val="center"/>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pPr>
        <w:spacing w:line="480" w:lineRule="auto"/>
        <w:jc w:val="left"/>
        <w:rPr>
          <w:rFonts w:hint="eastAsia" w:ascii="宋体" w:hAnsi="宋体" w:eastAsia="宋体"/>
          <w:sz w:val="24"/>
          <w:szCs w:val="24"/>
          <w:highlight w:val="none"/>
          <w:lang w:val="en-US" w:eastAsia="zh-CN"/>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lang w:val="en-US" w:eastAsia="zh-CN"/>
        </w:rPr>
        <w:t>告</w:t>
      </w:r>
      <w:r>
        <w:rPr>
          <w:rFonts w:ascii="宋体" w:hAnsi="宋体"/>
          <w:sz w:val="24"/>
          <w:szCs w:val="24"/>
          <w:highlight w:val="none"/>
          <w:lang w:val="zh-CN"/>
        </w:rPr>
        <w:t>…………………………………………………</w:t>
      </w:r>
      <w:r>
        <w:rPr>
          <w:rFonts w:hint="eastAsia" w:ascii="宋体" w:hAnsi="宋体"/>
          <w:sz w:val="24"/>
          <w:szCs w:val="24"/>
          <w:highlight w:val="none"/>
          <w:lang w:val="en-US" w:eastAsia="zh-CN"/>
        </w:rPr>
        <w:t>3</w:t>
      </w:r>
    </w:p>
    <w:p>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lang w:val="en-US" w:eastAsia="zh-CN"/>
        </w:rPr>
        <w:t>6</w:t>
      </w:r>
    </w:p>
    <w:p>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lang w:val="en-US" w:eastAsia="zh-CN"/>
        </w:rPr>
        <w:t>7</w:t>
      </w:r>
    </w:p>
    <w:p>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lang w:val="en-US" w:eastAsia="zh-CN"/>
        </w:rPr>
        <w:t>8</w:t>
      </w:r>
    </w:p>
    <w:p>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三、投标文件的</w:t>
      </w:r>
      <w:r>
        <w:rPr>
          <w:rFonts w:hint="eastAsia" w:ascii="宋体" w:hAnsi="宋体"/>
          <w:sz w:val="24"/>
          <w:szCs w:val="24"/>
          <w:highlight w:val="none"/>
          <w:lang w:val="en-US" w:eastAsia="zh-CN"/>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lang w:val="en-US" w:eastAsia="zh-CN"/>
        </w:rPr>
        <w:t>8</w:t>
      </w:r>
    </w:p>
    <w:p>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lang w:val="en-US" w:eastAsia="zh-CN"/>
        </w:rPr>
        <w:t>9</w:t>
      </w:r>
    </w:p>
    <w:p>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lang w:val="en-US" w:eastAsia="zh-CN"/>
        </w:rPr>
        <w:t>9</w:t>
      </w:r>
    </w:p>
    <w:p>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lang w:val="en-US" w:eastAsia="zh-CN"/>
        </w:rPr>
        <w:t>9</w:t>
      </w:r>
    </w:p>
    <w:p>
      <w:pPr>
        <w:spacing w:line="480" w:lineRule="auto"/>
        <w:ind w:firstLine="240" w:firstLineChars="100"/>
        <w:rPr>
          <w:rFonts w:hint="default" w:ascii="宋体" w:hAnsi="宋体" w:eastAsia="宋体"/>
          <w:sz w:val="24"/>
          <w:szCs w:val="24"/>
          <w:highlight w:val="none"/>
          <w:lang w:val="en-US" w:eastAsia="zh-CN"/>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lang w:val="en-US" w:eastAsia="zh-CN"/>
        </w:rPr>
        <w:t>10</w:t>
      </w:r>
    </w:p>
    <w:p>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 xml:space="preserve">第三章  </w:t>
      </w:r>
      <w:r>
        <w:rPr>
          <w:rFonts w:hint="eastAsia" w:ascii="宋体" w:hAnsi="宋体"/>
          <w:sz w:val="24"/>
          <w:szCs w:val="24"/>
          <w:highlight w:val="none"/>
        </w:rPr>
        <w:t>合同文件</w:t>
      </w:r>
      <w:r>
        <w:rPr>
          <w:rFonts w:ascii="宋体" w:hAnsi="宋体"/>
          <w:sz w:val="24"/>
          <w:szCs w:val="24"/>
          <w:highlight w:val="none"/>
          <w:lang w:val="zh-CN"/>
        </w:rPr>
        <w:t>…………………………………………………………………</w:t>
      </w:r>
      <w:r>
        <w:rPr>
          <w:rFonts w:hint="eastAsia" w:ascii="宋体" w:hAnsi="宋体"/>
          <w:sz w:val="24"/>
          <w:szCs w:val="24"/>
          <w:highlight w:val="none"/>
        </w:rPr>
        <w:t>1</w:t>
      </w:r>
      <w:r>
        <w:rPr>
          <w:rFonts w:hint="eastAsia" w:ascii="宋体" w:hAnsi="宋体"/>
          <w:sz w:val="24"/>
          <w:szCs w:val="24"/>
          <w:highlight w:val="none"/>
          <w:lang w:val="en-US" w:eastAsia="zh-CN"/>
        </w:rPr>
        <w:t>4</w:t>
      </w:r>
    </w:p>
    <w:p>
      <w:pPr>
        <w:spacing w:line="480" w:lineRule="auto"/>
        <w:rPr>
          <w:rFonts w:hint="default" w:ascii="宋体" w:hAnsi="宋体" w:eastAsia="宋体"/>
          <w:sz w:val="24"/>
          <w:szCs w:val="24"/>
          <w:highlight w:val="none"/>
          <w:lang w:val="en-US" w:eastAsia="zh-CN"/>
        </w:rPr>
      </w:pPr>
      <w:r>
        <w:rPr>
          <w:rFonts w:hint="eastAsia" w:ascii="宋体" w:hAnsi="宋体"/>
          <w:sz w:val="24"/>
          <w:szCs w:val="24"/>
          <w:highlight w:val="none"/>
        </w:rPr>
        <w:t>第四章  投标文件格式</w:t>
      </w:r>
      <w:r>
        <w:rPr>
          <w:rFonts w:ascii="宋体" w:hAnsi="宋体"/>
          <w:sz w:val="24"/>
          <w:szCs w:val="24"/>
          <w:highlight w:val="none"/>
          <w:lang w:val="zh-CN"/>
        </w:rPr>
        <w:t>……………………………………………………………</w:t>
      </w:r>
      <w:r>
        <w:rPr>
          <w:rFonts w:hint="eastAsia" w:ascii="宋体" w:hAnsi="宋体"/>
          <w:sz w:val="24"/>
          <w:szCs w:val="24"/>
          <w:highlight w:val="none"/>
          <w:lang w:val="en-US" w:eastAsia="zh-CN"/>
        </w:rPr>
        <w:t>37</w:t>
      </w:r>
    </w:p>
    <w:p>
      <w:pPr>
        <w:rPr>
          <w:rFonts w:ascii="宋体" w:hAnsi="宋体"/>
          <w:sz w:val="24"/>
          <w:szCs w:val="24"/>
          <w:highlight w:val="none"/>
          <w:lang w:val="zh-CN"/>
        </w:rPr>
      </w:pPr>
      <w:r>
        <w:rPr>
          <w:rFonts w:ascii="宋体" w:hAnsi="宋体"/>
          <w:sz w:val="24"/>
          <w:szCs w:val="24"/>
          <w:highlight w:val="none"/>
        </w:rPr>
        <w:t xml:space="preserve"> </w:t>
      </w:r>
      <w:r>
        <w:rPr>
          <w:rFonts w:hint="eastAsia" w:ascii="宋体" w:hAnsi="宋体"/>
          <w:sz w:val="24"/>
          <w:szCs w:val="24"/>
          <w:highlight w:val="none"/>
        </w:rPr>
        <w:t xml:space="preserve"> </w:t>
      </w:r>
    </w:p>
    <w:p>
      <w:pPr>
        <w:pStyle w:val="38"/>
        <w:tabs>
          <w:tab w:val="left" w:pos="840"/>
          <w:tab w:val="right" w:leader="dot" w:pos="8948"/>
        </w:tabs>
        <w:rPr>
          <w:highlight w:val="none"/>
        </w:rPr>
      </w:pP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pPr>
        <w:widowControl/>
        <w:spacing w:beforeLines="25" w:afterLines="25" w:line="360" w:lineRule="auto"/>
        <w:jc w:val="center"/>
        <w:rPr>
          <w:rFonts w:ascii="宋体" w:hAnsi="宋体"/>
          <w:b/>
          <w:sz w:val="36"/>
          <w:szCs w:val="36"/>
          <w:highlight w:val="none"/>
        </w:rPr>
      </w:pPr>
      <w:r>
        <w:rPr>
          <w:rFonts w:hint="eastAsia"/>
          <w:highlight w:val="none"/>
        </w:rPr>
        <w:fldChar w:fldCharType="end"/>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lang w:eastAsia="zh-CN"/>
        </w:rPr>
        <w:t>公开招标（自主）</w:t>
      </w:r>
      <w:r>
        <w:rPr>
          <w:rFonts w:hint="eastAsia" w:ascii="宋体" w:hAnsi="宋体"/>
          <w:b/>
          <w:sz w:val="36"/>
          <w:szCs w:val="36"/>
          <w:highlight w:val="none"/>
        </w:rPr>
        <w:t>公告</w:t>
      </w:r>
    </w:p>
    <w:p>
      <w:pPr>
        <w:spacing w:line="540" w:lineRule="exact"/>
        <w:rPr>
          <w:rFonts w:hint="eastAsia" w:ascii="仿宋_GB2312" w:hAnsi="仿宋_GB2312" w:eastAsia="仿宋_GB2312" w:cs="仿宋_GB2312"/>
          <w:sz w:val="28"/>
          <w:szCs w:val="28"/>
          <w:highlight w:val="none"/>
          <w:lang w:val="en-US" w:eastAsia="zh-CN"/>
        </w:rPr>
      </w:pPr>
      <w:bookmarkStart w:id="1" w:name="_Toc509669685"/>
      <w:r>
        <w:rPr>
          <w:rFonts w:hint="eastAsia" w:ascii="仿宋_GB2312" w:hAnsi="仿宋_GB2312" w:eastAsia="仿宋_GB2312" w:cs="仿宋_GB2312"/>
          <w:b/>
          <w:bCs/>
          <w:sz w:val="28"/>
          <w:szCs w:val="28"/>
          <w:highlight w:val="none"/>
        </w:rPr>
        <w:t>一、项目名称：</w:t>
      </w:r>
      <w:r>
        <w:rPr>
          <w:rFonts w:hint="eastAsia" w:ascii="仿宋_GB2312" w:hAnsi="仿宋_GB2312" w:eastAsia="仿宋_GB2312" w:cs="仿宋_GB2312"/>
          <w:sz w:val="28"/>
          <w:szCs w:val="28"/>
          <w:highlight w:val="none"/>
          <w:lang w:val="en-US" w:eastAsia="zh-CN"/>
        </w:rPr>
        <w:t>深圳建筑产业生态智谷总部基地一期主体第三方监测</w:t>
      </w:r>
    </w:p>
    <w:p>
      <w:pPr>
        <w:spacing w:line="54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二、项目概况：</w:t>
      </w:r>
      <w:r>
        <w:rPr>
          <w:rFonts w:hint="eastAsia" w:ascii="仿宋_GB2312" w:hAnsi="仿宋_GB2312" w:eastAsia="仿宋_GB2312" w:cs="仿宋_GB2312"/>
          <w:sz w:val="28"/>
          <w:szCs w:val="28"/>
          <w:highlight w:val="none"/>
        </w:rPr>
        <w:t>深圳建筑产业生态智谷总部基地一期位于龙岗大运片区，建设用地面积约4.2万平方米，总建筑面积约25万平方米，打造集研发办公、实验室、</w:t>
      </w:r>
      <w:r>
        <w:rPr>
          <w:rFonts w:hint="eastAsia" w:ascii="仿宋_GB2312" w:hAnsi="仿宋_GB2312" w:eastAsia="仿宋_GB2312" w:cs="仿宋_GB2312"/>
          <w:sz w:val="28"/>
          <w:szCs w:val="28"/>
          <w:highlight w:val="none"/>
          <w:lang w:val="en-US" w:eastAsia="zh-CN"/>
        </w:rPr>
        <w:t>会议</w:t>
      </w:r>
      <w:r>
        <w:rPr>
          <w:rFonts w:hint="eastAsia" w:ascii="仿宋_GB2312" w:hAnsi="仿宋_GB2312" w:eastAsia="仿宋_GB2312" w:cs="仿宋_GB2312"/>
          <w:sz w:val="28"/>
          <w:szCs w:val="28"/>
          <w:highlight w:val="none"/>
        </w:rPr>
        <w:t>展示、商业、宿舍等功能于一体的综合产业园区，目前正在进行主体施工。</w:t>
      </w:r>
    </w:p>
    <w:p>
      <w:pPr>
        <w:spacing w:line="54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b w:val="0"/>
          <w:bCs w:val="0"/>
          <w:sz w:val="28"/>
          <w:szCs w:val="28"/>
          <w:highlight w:val="none"/>
          <w:lang w:val="en-US" w:eastAsia="zh-CN"/>
        </w:rPr>
        <w:t>该项目主体监测内容包括沉降观测、抗浮工程竖向变形监测、施工期间变形监测、挡墙变形监测等。</w:t>
      </w:r>
    </w:p>
    <w:p>
      <w:pPr>
        <w:spacing w:line="540" w:lineRule="exac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z w:val="28"/>
          <w:szCs w:val="28"/>
          <w:highlight w:val="none"/>
        </w:rPr>
        <w:t>四、</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价款</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sz w:val="28"/>
          <w:szCs w:val="28"/>
          <w:highlight w:val="none"/>
        </w:rPr>
        <w:t>投标报价上限为18.3305万元</w:t>
      </w:r>
      <w:r>
        <w:rPr>
          <w:rFonts w:hint="eastAsia" w:ascii="仿宋_GB2312" w:hAnsi="仿宋_GB2312" w:eastAsia="仿宋_GB2312" w:cs="仿宋_GB2312"/>
          <w:sz w:val="28"/>
          <w:szCs w:val="28"/>
          <w:highlight w:val="none"/>
          <w:lang w:eastAsia="zh-CN"/>
        </w:rPr>
        <w:t>。</w:t>
      </w:r>
    </w:p>
    <w:p>
      <w:pPr>
        <w:pStyle w:val="2"/>
        <w:numPr>
          <w:ilvl w:val="0"/>
          <w:numId w:val="0"/>
        </w:numPr>
        <w:ind w:leftChars="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五、</w:t>
      </w:r>
      <w:r>
        <w:rPr>
          <w:rFonts w:hint="eastAsia" w:ascii="仿宋_GB2312" w:hAnsi="仿宋_GB2312" w:eastAsia="仿宋_GB2312" w:cs="仿宋_GB2312"/>
          <w:b/>
          <w:bCs/>
          <w:sz w:val="28"/>
          <w:szCs w:val="28"/>
          <w:highlight w:val="none"/>
        </w:rPr>
        <w:t>服务期限</w:t>
      </w:r>
      <w:r>
        <w:rPr>
          <w:rFonts w:hint="eastAsia" w:ascii="仿宋_GB2312" w:hAnsi="仿宋_GB2312" w:eastAsia="仿宋_GB2312" w:cs="仿宋_GB2312"/>
          <w:sz w:val="28"/>
          <w:szCs w:val="28"/>
          <w:highlight w:val="none"/>
        </w:rPr>
        <w:t>：</w:t>
      </w:r>
    </w:p>
    <w:p>
      <w:pPr>
        <w:pStyle w:val="114"/>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eastAsia="zh-CN"/>
        </w:rPr>
        <w:t>1.工程总工期：从合同签订开始至工程竣工验收合格后，至沉降达到稳定状态或满足观测要求为止。</w:t>
      </w:r>
    </w:p>
    <w:p>
      <w:pPr>
        <w:pStyle w:val="114"/>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eastAsia="zh-CN"/>
        </w:rPr>
        <w:t>2.在甲方发出委托函后15天内，项目负责人及主要技术人员、仪器必须到位开展工作。</w:t>
      </w:r>
    </w:p>
    <w:p>
      <w:pPr>
        <w:pStyle w:val="114"/>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eastAsia="zh-CN"/>
        </w:rPr>
        <w:t>3.由于设计、拆迁等原因致使施工工期延误，乙方应顺延服务期限，直至本工程沉降达到稳定状态或满足观测要求为止，因工程延期引起的成本费用增加，乙方应在投标报价中综合考虑。</w:t>
      </w:r>
    </w:p>
    <w:p>
      <w:pPr>
        <w:spacing w:line="540" w:lineRule="exact"/>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六</w:t>
      </w:r>
      <w:r>
        <w:rPr>
          <w:rFonts w:hint="eastAsia" w:ascii="仿宋_GB2312" w:hAnsi="仿宋_GB2312" w:eastAsia="仿宋_GB2312" w:cs="仿宋_GB2312"/>
          <w:b/>
          <w:bCs/>
          <w:sz w:val="28"/>
          <w:szCs w:val="28"/>
          <w:highlight w:val="none"/>
        </w:rPr>
        <w:t>、报价要求</w:t>
      </w:r>
      <w:r>
        <w:rPr>
          <w:rFonts w:hint="eastAsia" w:ascii="仿宋_GB2312" w:hAnsi="仿宋_GB2312" w:eastAsia="仿宋_GB2312" w:cs="仿宋_GB2312"/>
          <w:sz w:val="28"/>
          <w:szCs w:val="28"/>
          <w:highlight w:val="none"/>
        </w:rPr>
        <w:t>：投标人在限价</w:t>
      </w:r>
      <w:r>
        <w:rPr>
          <w:rFonts w:hint="eastAsia" w:ascii="仿宋_GB2312" w:hAnsi="仿宋_GB2312" w:eastAsia="仿宋_GB2312" w:cs="仿宋_GB2312"/>
          <w:sz w:val="28"/>
          <w:szCs w:val="28"/>
          <w:highlight w:val="none"/>
          <w:lang w:val="en-US" w:eastAsia="zh-CN"/>
        </w:rPr>
        <w:t>范</w:t>
      </w:r>
      <w:r>
        <w:rPr>
          <w:rFonts w:hint="eastAsia" w:ascii="仿宋_GB2312" w:hAnsi="仿宋_GB2312" w:eastAsia="仿宋_GB2312" w:cs="仿宋_GB2312"/>
          <w:sz w:val="28"/>
          <w:szCs w:val="28"/>
          <w:highlight w:val="none"/>
        </w:rPr>
        <w:t xml:space="preserve">围内，自主报价。 </w:t>
      </w:r>
    </w:p>
    <w:p>
      <w:pPr>
        <w:spacing w:line="54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七</w:t>
      </w:r>
      <w:r>
        <w:rPr>
          <w:rFonts w:hint="eastAsia" w:ascii="仿宋_GB2312" w:hAnsi="仿宋_GB2312" w:eastAsia="仿宋_GB2312" w:cs="仿宋_GB2312"/>
          <w:b/>
          <w:bCs/>
          <w:sz w:val="28"/>
          <w:szCs w:val="28"/>
          <w:highlight w:val="none"/>
        </w:rPr>
        <w:t>、响应单位资格要求：</w:t>
      </w:r>
    </w:p>
    <w:p>
      <w:pPr>
        <w:pStyle w:val="114"/>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eastAsia="zh-CN"/>
        </w:rPr>
        <w:t>1.具备建设行政主管部门颁发的工程勘察专业类（工程测量）甲级或以上资质和工程勘察专业类（岩土工程物探测试检测监测）乙级或以上资质。</w:t>
      </w:r>
    </w:p>
    <w:p>
      <w:pPr>
        <w:pStyle w:val="114"/>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eastAsia="zh-CN"/>
        </w:rPr>
        <w:t>2.项目负责人具有国家注册土木工程师（岩土）执业资格及注册证书。</w:t>
      </w:r>
    </w:p>
    <w:p>
      <w:pPr>
        <w:pStyle w:val="114"/>
        <w:tabs>
          <w:tab w:val="left" w:pos="426"/>
          <w:tab w:val="left" w:pos="567"/>
        </w:tabs>
        <w:spacing w:line="540" w:lineRule="exact"/>
        <w:ind w:firstLine="560"/>
        <w:rPr>
          <w:rFonts w:hint="eastAsia"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eastAsia="zh-CN"/>
        </w:rPr>
        <w:t>3.不接受联合体投标。</w:t>
      </w:r>
    </w:p>
    <w:p>
      <w:pPr>
        <w:spacing w:line="540" w:lineRule="exact"/>
        <w:rPr>
          <w:rFonts w:hint="eastAsia" w:ascii="仿宋_GB2312" w:eastAsia="仿宋_GB2312"/>
          <w:sz w:val="28"/>
          <w:szCs w:val="28"/>
          <w:highlight w:val="none"/>
          <w:lang w:eastAsia="zh-CN"/>
        </w:rPr>
      </w:pPr>
      <w:r>
        <w:rPr>
          <w:rFonts w:hint="eastAsia" w:ascii="仿宋_GB2312" w:hAnsi="仿宋_GB2312" w:eastAsia="仿宋_GB2312" w:cs="仿宋_GB2312"/>
          <w:b/>
          <w:bCs/>
          <w:sz w:val="28"/>
          <w:szCs w:val="28"/>
          <w:highlight w:val="none"/>
          <w:lang w:val="en-US" w:eastAsia="zh-CN"/>
        </w:rPr>
        <w:t>八</w:t>
      </w:r>
      <w:r>
        <w:rPr>
          <w:rFonts w:hint="eastAsia" w:ascii="仿宋_GB2312" w:hAnsi="仿宋_GB2312" w:eastAsia="仿宋_GB2312" w:cs="仿宋_GB2312"/>
          <w:b/>
          <w:bCs/>
          <w:sz w:val="28"/>
          <w:szCs w:val="28"/>
          <w:highlight w:val="none"/>
        </w:rPr>
        <w:t>、评审方法：</w:t>
      </w: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pPr>
        <w:pStyle w:val="115"/>
        <w:numPr>
          <w:ilvl w:val="255"/>
          <w:numId w:val="0"/>
        </w:numPr>
        <w:spacing w:before="0" w:line="540" w:lineRule="exact"/>
        <w:rPr>
          <w:rFonts w:hint="default" w:ascii="仿宋_GB2312" w:hAnsi="Calibri" w:eastAsia="仿宋_GB2312"/>
          <w:sz w:val="28"/>
          <w:szCs w:val="28"/>
          <w:highlight w:val="none"/>
          <w:lang w:val="en-US"/>
        </w:rPr>
      </w:pPr>
      <w:r>
        <w:rPr>
          <w:rFonts w:hint="eastAsia" w:ascii="仿宋_GB2312" w:hAnsi="仿宋_GB2312" w:eastAsia="仿宋_GB2312" w:cs="仿宋_GB2312"/>
          <w:b/>
          <w:bCs/>
          <w:sz w:val="28"/>
          <w:szCs w:val="28"/>
          <w:highlight w:val="none"/>
          <w:lang w:val="en-US" w:eastAsia="zh-CN"/>
        </w:rPr>
        <w:t>九</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合同模式</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kern w:val="2"/>
          <w:sz w:val="28"/>
          <w:szCs w:val="28"/>
          <w:highlight w:val="none"/>
          <w:lang w:val="en-US" w:eastAsia="zh-CN" w:bidi="ar-SA"/>
        </w:rPr>
        <w:t>固定综合单价合同。</w:t>
      </w:r>
    </w:p>
    <w:p>
      <w:pPr>
        <w:pStyle w:val="115"/>
        <w:numPr>
          <w:ilvl w:val="255"/>
          <w:numId w:val="0"/>
        </w:numPr>
        <w:spacing w:before="0" w:line="56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十</w:t>
      </w:r>
      <w:r>
        <w:rPr>
          <w:rFonts w:hint="eastAsia" w:ascii="仿宋_GB2312" w:hAnsi="仿宋_GB2312" w:eastAsia="仿宋_GB2312" w:cs="仿宋_GB2312"/>
          <w:b/>
          <w:bCs/>
          <w:sz w:val="28"/>
          <w:szCs w:val="28"/>
          <w:highlight w:val="none"/>
        </w:rPr>
        <w:t>、工作内容及合同付款方式：</w:t>
      </w:r>
    </w:p>
    <w:p>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1.本合同为固定综合单价合同，乙方应严格按照服务期限及设计要求监测频率进行监测。监测点按经审批的监测方案执行，甲方有权根据工程需要增加或减少监测内容。</w:t>
      </w:r>
    </w:p>
    <w:p>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因本招标工程量清单中监测次数为暂定工程量，乙方应严格按照图纸及监测方案执行，监测点数按实结算；监测工程量为设计任务书要求的暂定次数。因工程延期等非乙方原因导致监测点次增加，增加次数在30%以内部分，不予增加合同价款。超过30%部分，按实际增加点次计量。 基准网引入及单测、复测由监测单位实施，不单独报价，费用包含在投标报价中。技术工作费已包含在监测单价中，投标人应在报价中充分考虑。</w:t>
      </w:r>
    </w:p>
    <w:p>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2.付款方式：</w:t>
      </w:r>
    </w:p>
    <w:p>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工程监测费用支付方式：</w:t>
      </w:r>
    </w:p>
    <w:p>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（1）监测点布点完成后，甲方支付暂定合同价的11%；</w:t>
      </w:r>
    </w:p>
    <w:p>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（2）主体结构封顶完成后，甲方支付暂定合同价的36%；</w:t>
      </w:r>
    </w:p>
    <w:p>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（3）项目竣工验收合格后，甲方支付暂定合同价的15%；</w:t>
      </w:r>
    </w:p>
    <w:p>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（4）乙方完成所有监测工作，提交相关观测成果，且结算审核完成后，甲方向乙方一次性支付余款。若已支付的合同价款超过审核或审计结果，乙方同意按照审核或者审计意见无条件返还多付的合同价款。</w:t>
      </w:r>
    </w:p>
    <w:p>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一</w:t>
      </w:r>
      <w:r>
        <w:rPr>
          <w:rFonts w:hint="eastAsia" w:ascii="仿宋_GB2312" w:hAnsi="仿宋_GB2312" w:eastAsia="仿宋_GB2312" w:cs="仿宋_GB2312"/>
          <w:b/>
          <w:bCs/>
          <w:sz w:val="28"/>
          <w:szCs w:val="28"/>
          <w:highlight w:val="none"/>
        </w:rPr>
        <w:t>、响应文件要求：</w:t>
      </w:r>
    </w:p>
    <w:p>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本次公告时间</w:t>
      </w:r>
      <w:r>
        <w:rPr>
          <w:rFonts w:hint="eastAsia" w:ascii="仿宋_GB2312" w:hAnsi="仿宋_GB2312" w:eastAsia="仿宋_GB2312" w:cs="仿宋_GB2312"/>
          <w:sz w:val="28"/>
          <w:szCs w:val="28"/>
          <w:highlight w:val="none"/>
          <w:lang w:val="en-US" w:eastAsia="zh-CN"/>
        </w:rPr>
        <w:t>自公告之日起至2024年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sz w:val="28"/>
          <w:szCs w:val="28"/>
          <w:highlight w:val="none"/>
        </w:rPr>
        <w:t>止，响应承包商应于</w:t>
      </w:r>
      <w:r>
        <w:rPr>
          <w:rFonts w:hint="eastAsia" w:ascii="仿宋_GB2312" w:hAnsi="仿宋_GB2312" w:eastAsia="仿宋_GB2312" w:cs="仿宋_GB2312"/>
          <w:sz w:val="28"/>
          <w:szCs w:val="28"/>
          <w:highlight w:val="none"/>
          <w:lang w:val="en-US" w:eastAsia="zh-CN"/>
        </w:rPr>
        <w:t>2024年10</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日1</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:00前将响应文件1正4副密封（统一密封，密封处加盖公章）送交到龙岗区中心城腾飞路创投大厦</w:t>
      </w:r>
      <w:r>
        <w:rPr>
          <w:rFonts w:hint="eastAsia" w:ascii="仿宋_GB2312" w:hAnsi="仿宋_GB2312" w:eastAsia="仿宋_GB2312" w:cs="仿宋_GB2312"/>
          <w:sz w:val="28"/>
          <w:szCs w:val="28"/>
          <w:highlight w:val="none"/>
          <w:lang w:eastAsia="zh-CN"/>
        </w:rPr>
        <w:t>2210室</w:t>
      </w:r>
      <w:r>
        <w:rPr>
          <w:rFonts w:hint="eastAsia" w:ascii="仿宋_GB2312" w:hAnsi="仿宋_GB2312" w:eastAsia="仿宋_GB2312" w:cs="仿宋_GB2312"/>
          <w:sz w:val="28"/>
          <w:szCs w:val="28"/>
          <w:highlight w:val="none"/>
        </w:rPr>
        <w:t>（合约造价部，联系人：</w:t>
      </w:r>
      <w:r>
        <w:rPr>
          <w:rFonts w:hint="eastAsia" w:ascii="仿宋_GB2312" w:hAnsi="仿宋_GB2312" w:eastAsia="仿宋_GB2312" w:cs="仿宋_GB2312"/>
          <w:sz w:val="28"/>
          <w:szCs w:val="28"/>
          <w:highlight w:val="none"/>
          <w:lang w:val="en-US" w:eastAsia="zh-CN"/>
        </w:rPr>
        <w:t>胡</w:t>
      </w:r>
      <w:r>
        <w:rPr>
          <w:rFonts w:hint="eastAsia" w:ascii="仿宋_GB2312" w:hAnsi="仿宋_GB2312" w:eastAsia="仿宋_GB2312" w:cs="仿宋_GB2312"/>
          <w:sz w:val="28"/>
          <w:szCs w:val="28"/>
          <w:highlight w:val="none"/>
        </w:rPr>
        <w:t>工，0755-28504122），逾期送达或未按要求密封将予以拒收或原封退回给报价人。</w:t>
      </w:r>
    </w:p>
    <w:p>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响应文件包含承诺函、委托人要求提供的资料等，详见</w:t>
      </w:r>
      <w:r>
        <w:rPr>
          <w:rFonts w:hint="eastAsia" w:ascii="仿宋_GB2312" w:hAnsi="仿宋_GB2312" w:eastAsia="仿宋_GB2312" w:cs="仿宋_GB2312"/>
          <w:sz w:val="28"/>
          <w:szCs w:val="28"/>
          <w:highlight w:val="none"/>
          <w:lang w:eastAsia="zh-CN"/>
        </w:rPr>
        <w:t>公开招标（自主）</w:t>
      </w:r>
      <w:r>
        <w:rPr>
          <w:rFonts w:hint="eastAsia" w:ascii="仿宋_GB2312" w:hAnsi="仿宋_GB2312" w:eastAsia="仿宋_GB2312" w:cs="仿宋_GB2312"/>
          <w:sz w:val="28"/>
          <w:szCs w:val="28"/>
          <w:highlight w:val="none"/>
        </w:rPr>
        <w:t>文件。</w:t>
      </w:r>
    </w:p>
    <w:p>
      <w:pPr>
        <w:numPr>
          <w:ilvl w:val="-1"/>
          <w:numId w:val="0"/>
        </w:num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结果公示</w:t>
      </w:r>
    </w:p>
    <w:p>
      <w:p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递交响应文件截止后，委托人将自行组织响应文件开启、评审等工作，确定承包单位后将在龙岗区城投集团官方网站进行公示。</w:t>
      </w:r>
    </w:p>
    <w:p>
      <w:pPr>
        <w:spacing w:line="540" w:lineRule="exact"/>
        <w:ind w:left="1687" w:hanging="1687" w:hangingChars="600"/>
        <w:rPr>
          <w:rFonts w:ascii="仿宋_GB2312" w:hAnsi="仿宋_GB2312" w:eastAsia="仿宋_GB2312" w:cs="仿宋_GB2312"/>
          <w:b/>
          <w:bCs/>
          <w:sz w:val="28"/>
          <w:szCs w:val="28"/>
          <w:highlight w:val="none"/>
        </w:rPr>
      </w:pPr>
    </w:p>
    <w:p>
      <w:pPr>
        <w:spacing w:line="540" w:lineRule="exact"/>
        <w:ind w:left="1687" w:hanging="1687" w:hangingChars="600"/>
        <w:rPr>
          <w:rFonts w:ascii="仿宋_GB2312" w:hAnsi="仿宋_GB2312" w:eastAsia="仿宋_GB2312" w:cs="仿宋_GB2312"/>
          <w:b/>
          <w:bCs/>
          <w:sz w:val="28"/>
          <w:szCs w:val="28"/>
          <w:highlight w:val="none"/>
        </w:rPr>
      </w:pPr>
    </w:p>
    <w:p>
      <w:pPr>
        <w:pStyle w:val="23"/>
        <w:rPr>
          <w:highlight w:val="none"/>
        </w:rPr>
      </w:pPr>
    </w:p>
    <w:p>
      <w:pPr>
        <w:rPr>
          <w:highlight w:val="none"/>
        </w:rPr>
      </w:pPr>
    </w:p>
    <w:p>
      <w:pPr>
        <w:rPr>
          <w:highlight w:val="none"/>
        </w:rPr>
      </w:pPr>
    </w:p>
    <w:p>
      <w:pPr>
        <w:rPr>
          <w:highlight w:val="none"/>
        </w:rPr>
      </w:pPr>
    </w:p>
    <w:p>
      <w:pPr>
        <w:spacing w:line="540" w:lineRule="exact"/>
        <w:ind w:left="1687" w:hanging="1687" w:hangingChars="6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特别说明：</w:t>
      </w:r>
    </w:p>
    <w:p>
      <w:pPr>
        <w:numPr>
          <w:ilvl w:val="0"/>
          <w:numId w:val="3"/>
        </w:numPr>
        <w:spacing w:line="540" w:lineRule="exact"/>
        <w:ind w:left="1687" w:hanging="1687" w:hangingChars="6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资格不符合要求的投标人不能进入比选程序。</w:t>
      </w:r>
    </w:p>
    <w:p>
      <w:pPr>
        <w:numPr>
          <w:ilvl w:val="0"/>
          <w:numId w:val="3"/>
        </w:numPr>
        <w:spacing w:line="540" w:lineRule="exact"/>
        <w:ind w:left="1687" w:hanging="1687" w:hangingChars="60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所有响应单位视为同意上述公告内容，确定为承包单位后按公告约定与</w:t>
      </w:r>
    </w:p>
    <w:p>
      <w:pPr>
        <w:numPr>
          <w:ilvl w:val="0"/>
          <w:numId w:val="0"/>
        </w:numPr>
        <w:spacing w:line="540" w:lineRule="exact"/>
        <w:ind w:firstLine="281" w:firstLineChars="10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委托人签署合同。</w:t>
      </w:r>
    </w:p>
    <w:p>
      <w:pPr>
        <w:numPr>
          <w:ilvl w:val="0"/>
          <w:numId w:val="3"/>
        </w:numPr>
        <w:spacing w:line="540" w:lineRule="exact"/>
        <w:ind w:left="1687" w:hanging="1687" w:hangingChars="60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评审后，如承包单位放弃中选资格或者拒不签订合同</w:t>
      </w:r>
    </w:p>
    <w:p>
      <w:pPr>
        <w:numPr>
          <w:ilvl w:val="0"/>
          <w:numId w:val="0"/>
        </w:numPr>
        <w:spacing w:line="540" w:lineRule="exact"/>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的，委托人可以从资格审查合格的其他投标单位中采用原评审方法，由原评审小组确定承包单位。</w:t>
      </w:r>
    </w:p>
    <w:p>
      <w:pPr>
        <w:pStyle w:val="29"/>
        <w:spacing w:line="540" w:lineRule="exact"/>
        <w:rPr>
          <w:sz w:val="28"/>
          <w:szCs w:val="28"/>
          <w:highlight w:val="none"/>
        </w:rPr>
      </w:pPr>
    </w:p>
    <w:p>
      <w:pPr>
        <w:adjustRightInd w:val="0"/>
        <w:snapToGrid w:val="0"/>
        <w:spacing w:line="560" w:lineRule="atLeast"/>
        <w:ind w:firstLine="560" w:firstLineChars="200"/>
        <w:jc w:val="cente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val="0"/>
          <w:bCs w:val="0"/>
          <w:sz w:val="28"/>
          <w:szCs w:val="28"/>
          <w:highlight w:val="none"/>
        </w:rPr>
        <w:t xml:space="preserve">  深圳市龙岗区城投绿色低碳新能源产业发展有限公司</w:t>
      </w:r>
    </w:p>
    <w:p>
      <w:pPr>
        <w:spacing w:line="540" w:lineRule="exact"/>
        <w:ind w:firstLine="480"/>
        <w:rPr>
          <w:rFonts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202</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lang w:val="en-US" w:eastAsia="zh-CN"/>
        </w:rPr>
        <w:t>9</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lang w:val="en-US" w:eastAsia="zh-CN"/>
        </w:rPr>
        <w:t>27</w:t>
      </w:r>
      <w:r>
        <w:rPr>
          <w:rFonts w:hint="eastAsia" w:ascii="仿宋_GB2312" w:hAnsi="仿宋_GB2312" w:eastAsia="仿宋_GB2312" w:cs="仿宋_GB2312"/>
          <w:b w:val="0"/>
          <w:bCs w:val="0"/>
          <w:sz w:val="28"/>
          <w:szCs w:val="28"/>
          <w:highlight w:val="none"/>
        </w:rPr>
        <w:t>日</w:t>
      </w:r>
    </w:p>
    <w:p>
      <w:pPr>
        <w:rPr>
          <w:highlight w:val="none"/>
        </w:rPr>
      </w:pPr>
      <w:r>
        <w:rPr>
          <w:highlight w:val="none"/>
        </w:rPr>
        <w:br w:type="page"/>
      </w:r>
    </w:p>
    <w:p>
      <w:pPr>
        <w:pStyle w:val="23"/>
        <w:jc w:val="center"/>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pPr>
        <w:pStyle w:val="23"/>
        <w:jc w:val="center"/>
        <w:rPr>
          <w:b/>
          <w:sz w:val="32"/>
          <w:szCs w:val="32"/>
          <w:highlight w:val="none"/>
        </w:rPr>
      </w:pPr>
      <w:r>
        <w:rPr>
          <w:rFonts w:hint="eastAsia"/>
          <w:b/>
          <w:sz w:val="32"/>
          <w:szCs w:val="32"/>
          <w:highlight w:val="none"/>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pPr>
              <w:pStyle w:val="29"/>
              <w:rPr>
                <w:rFonts w:hint="eastAsia" w:hAnsi="宋体"/>
                <w:highlight w:val="none"/>
              </w:rPr>
            </w:pPr>
            <w:r>
              <w:rPr>
                <w:rFonts w:hint="eastAsia" w:hAnsi="宋体"/>
                <w:highlight w:val="none"/>
              </w:rPr>
              <w:t>序号</w:t>
            </w:r>
          </w:p>
        </w:tc>
        <w:tc>
          <w:tcPr>
            <w:tcW w:w="1534" w:type="dxa"/>
            <w:vAlign w:val="center"/>
          </w:tcPr>
          <w:p>
            <w:pPr>
              <w:pStyle w:val="29"/>
              <w:rPr>
                <w:rFonts w:hint="eastAsia" w:hAnsi="宋体"/>
                <w:highlight w:val="none"/>
              </w:rPr>
            </w:pPr>
            <w:r>
              <w:rPr>
                <w:rFonts w:hint="eastAsia" w:hAnsi="宋体"/>
                <w:highlight w:val="none"/>
              </w:rPr>
              <w:t>项目明细内容</w:t>
            </w:r>
          </w:p>
        </w:tc>
        <w:tc>
          <w:tcPr>
            <w:tcW w:w="3151" w:type="dxa"/>
            <w:vAlign w:val="center"/>
          </w:tcPr>
          <w:p>
            <w:pPr>
              <w:pStyle w:val="29"/>
              <w:rPr>
                <w:rFonts w:hint="eastAsia" w:hAnsi="宋体"/>
                <w:highlight w:val="none"/>
              </w:rPr>
            </w:pPr>
            <w:r>
              <w:rPr>
                <w:rFonts w:hint="eastAsia" w:hAnsi="宋体"/>
                <w:highlight w:val="none"/>
              </w:rPr>
              <w:t>要求</w:t>
            </w:r>
          </w:p>
        </w:tc>
        <w:tc>
          <w:tcPr>
            <w:tcW w:w="3108" w:type="dxa"/>
            <w:vAlign w:val="center"/>
          </w:tcPr>
          <w:p>
            <w:pPr>
              <w:pStyle w:val="29"/>
              <w:rPr>
                <w:rFonts w:hint="eastAsia" w:hAnsi="宋体"/>
                <w:highlight w:val="none"/>
              </w:rPr>
            </w:pPr>
            <w:r>
              <w:rPr>
                <w:rFonts w:hint="eastAsia" w:hAnsi="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pPr>
              <w:pStyle w:val="29"/>
              <w:rPr>
                <w:rFonts w:hint="eastAsia" w:hAnsi="宋体"/>
                <w:highlight w:val="none"/>
              </w:rPr>
            </w:pPr>
            <w:r>
              <w:rPr>
                <w:rFonts w:hint="eastAsia" w:hAnsi="宋体"/>
                <w:highlight w:val="none"/>
              </w:rPr>
              <w:t>1</w:t>
            </w:r>
          </w:p>
        </w:tc>
        <w:tc>
          <w:tcPr>
            <w:tcW w:w="1534" w:type="dxa"/>
            <w:vAlign w:val="center"/>
          </w:tcPr>
          <w:p>
            <w:pPr>
              <w:pStyle w:val="29"/>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pPr>
              <w:pStyle w:val="29"/>
              <w:rPr>
                <w:rFonts w:hint="eastAsia" w:hAnsi="宋体"/>
                <w:highlight w:val="none"/>
              </w:rPr>
            </w:pPr>
            <w:r>
              <w:rPr>
                <w:rFonts w:hint="eastAsia" w:hAnsi="宋体"/>
                <w:highlight w:val="none"/>
                <w:lang w:val="en-US" w:eastAsia="zh-CN"/>
              </w:rPr>
              <w:t>自公告之日起至2024年10月11日止</w:t>
            </w:r>
          </w:p>
        </w:tc>
        <w:tc>
          <w:tcPr>
            <w:tcW w:w="3108" w:type="dxa"/>
            <w:vAlign w:val="center"/>
          </w:tcPr>
          <w:p>
            <w:pPr>
              <w:pStyle w:val="29"/>
              <w:rPr>
                <w:rFonts w:hint="eastAsia" w:hAnsi="宋体"/>
                <w:highlight w:val="none"/>
              </w:rPr>
            </w:pPr>
            <w:r>
              <w:rPr>
                <w:rFonts w:hint="eastAsia" w:hAnsi="宋体"/>
                <w:highlight w:val="none"/>
              </w:rPr>
              <w:t>龙岗区城投集团官方网站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pPr>
              <w:pStyle w:val="29"/>
              <w:rPr>
                <w:rFonts w:hint="eastAsia" w:hAnsi="宋体"/>
                <w:highlight w:val="none"/>
              </w:rPr>
            </w:pPr>
            <w:r>
              <w:rPr>
                <w:rFonts w:hint="eastAsia" w:hAnsi="宋体"/>
                <w:highlight w:val="none"/>
              </w:rPr>
              <w:t>2</w:t>
            </w:r>
          </w:p>
        </w:tc>
        <w:tc>
          <w:tcPr>
            <w:tcW w:w="1534" w:type="dxa"/>
            <w:vAlign w:val="center"/>
          </w:tcPr>
          <w:p>
            <w:pPr>
              <w:pStyle w:val="29"/>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pPr>
              <w:pStyle w:val="29"/>
              <w:rPr>
                <w:rFonts w:hint="eastAsia" w:hAnsi="宋体"/>
                <w:highlight w:val="none"/>
              </w:rPr>
            </w:pPr>
            <w:r>
              <w:rPr>
                <w:rFonts w:hint="eastAsia" w:hAnsi="宋体"/>
                <w:highlight w:val="none"/>
                <w:lang w:val="en-US" w:eastAsia="zh-CN"/>
              </w:rPr>
              <w:t>18.3305</w:t>
            </w:r>
            <w:r>
              <w:rPr>
                <w:rFonts w:hint="eastAsia" w:hAnsi="宋体"/>
                <w:highlight w:val="none"/>
              </w:rPr>
              <w:t>万元</w:t>
            </w:r>
          </w:p>
        </w:tc>
        <w:tc>
          <w:tcPr>
            <w:tcW w:w="3108" w:type="dxa"/>
            <w:vMerge w:val="restart"/>
            <w:vAlign w:val="center"/>
          </w:tcPr>
          <w:p>
            <w:pPr>
              <w:pStyle w:val="29"/>
              <w:rPr>
                <w:rFonts w:hint="eastAsia" w:hAnsi="宋体"/>
                <w:highlight w:val="none"/>
                <w:lang w:val="en-US" w:eastAsia="zh-CN"/>
              </w:rPr>
            </w:pPr>
            <w:r>
              <w:rPr>
                <w:rFonts w:hint="eastAsia" w:hAnsi="宋体"/>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pPr>
              <w:pStyle w:val="29"/>
              <w:rPr>
                <w:rFonts w:hint="eastAsia" w:hAnsi="宋体"/>
                <w:highlight w:val="none"/>
              </w:rPr>
            </w:pPr>
            <w:r>
              <w:rPr>
                <w:rFonts w:hint="eastAsia" w:hAnsi="宋体"/>
                <w:highlight w:val="none"/>
              </w:rPr>
              <w:t>3</w:t>
            </w:r>
          </w:p>
        </w:tc>
        <w:tc>
          <w:tcPr>
            <w:tcW w:w="1534" w:type="dxa"/>
            <w:vAlign w:val="center"/>
          </w:tcPr>
          <w:p>
            <w:pPr>
              <w:pStyle w:val="29"/>
              <w:rPr>
                <w:rFonts w:hint="eastAsia" w:hAnsi="宋体"/>
                <w:highlight w:val="none"/>
              </w:rPr>
            </w:pPr>
            <w:r>
              <w:rPr>
                <w:rFonts w:hint="eastAsia" w:hAnsi="宋体"/>
                <w:highlight w:val="none"/>
              </w:rPr>
              <w:t>投标报价要求</w:t>
            </w:r>
          </w:p>
        </w:tc>
        <w:tc>
          <w:tcPr>
            <w:tcW w:w="3151" w:type="dxa"/>
            <w:vAlign w:val="center"/>
          </w:tcPr>
          <w:p>
            <w:pPr>
              <w:pStyle w:val="29"/>
              <w:rPr>
                <w:rFonts w:hint="eastAsia" w:hAnsi="宋体"/>
                <w:highlight w:val="none"/>
              </w:rPr>
            </w:pPr>
            <w:r>
              <w:rPr>
                <w:rFonts w:hint="eastAsia" w:hAnsi="宋体"/>
                <w:highlight w:val="none"/>
                <w:lang w:val="en-US" w:eastAsia="zh-CN"/>
              </w:rPr>
              <w:t>自主报价</w:t>
            </w:r>
          </w:p>
        </w:tc>
        <w:tc>
          <w:tcPr>
            <w:tcW w:w="3108" w:type="dxa"/>
            <w:vMerge w:val="continue"/>
            <w:vAlign w:val="center"/>
          </w:tcPr>
          <w:p>
            <w:pPr>
              <w:pStyle w:val="29"/>
              <w:rPr>
                <w:rFonts w:hint="eastAsia"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pPr>
              <w:pStyle w:val="29"/>
              <w:rPr>
                <w:rFonts w:hint="eastAsia" w:hAnsi="宋体"/>
                <w:highlight w:val="none"/>
              </w:rPr>
            </w:pPr>
            <w:r>
              <w:rPr>
                <w:rFonts w:hint="eastAsia" w:hAnsi="宋体"/>
                <w:highlight w:val="none"/>
              </w:rPr>
              <w:t>4</w:t>
            </w:r>
          </w:p>
        </w:tc>
        <w:tc>
          <w:tcPr>
            <w:tcW w:w="1534" w:type="dxa"/>
            <w:vAlign w:val="center"/>
          </w:tcPr>
          <w:p>
            <w:pPr>
              <w:pStyle w:val="29"/>
              <w:rPr>
                <w:rFonts w:hint="eastAsia" w:hAnsi="宋体"/>
                <w:highlight w:val="none"/>
              </w:rPr>
            </w:pPr>
            <w:r>
              <w:rPr>
                <w:rFonts w:hint="eastAsia" w:hAnsi="宋体"/>
                <w:highlight w:val="none"/>
              </w:rPr>
              <w:t>工期要求</w:t>
            </w:r>
          </w:p>
        </w:tc>
        <w:tc>
          <w:tcPr>
            <w:tcW w:w="3151" w:type="dxa"/>
            <w:vAlign w:val="center"/>
          </w:tcPr>
          <w:p>
            <w:pPr>
              <w:pStyle w:val="29"/>
              <w:rPr>
                <w:rFonts w:hint="default" w:hAnsi="宋体"/>
                <w:highlight w:val="none"/>
              </w:rPr>
            </w:pPr>
            <w:r>
              <w:rPr>
                <w:rFonts w:hint="eastAsia" w:ascii="宋体" w:hAnsi="宋体"/>
                <w:szCs w:val="21"/>
                <w:highlight w:val="none"/>
              </w:rPr>
              <w:t>从合同签订开始至工程竣工验收合格后，至沉降达到稳定状态或满足观测要求为止</w:t>
            </w:r>
          </w:p>
        </w:tc>
        <w:tc>
          <w:tcPr>
            <w:tcW w:w="3108" w:type="dxa"/>
            <w:vAlign w:val="center"/>
          </w:tcPr>
          <w:p>
            <w:pPr>
              <w:pStyle w:val="29"/>
              <w:rPr>
                <w:rFonts w:hint="default" w:hAnsi="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pPr>
              <w:pStyle w:val="29"/>
              <w:rPr>
                <w:rFonts w:hint="eastAsia" w:hAnsi="宋体"/>
                <w:highlight w:val="none"/>
              </w:rPr>
            </w:pPr>
            <w:r>
              <w:rPr>
                <w:rFonts w:hint="eastAsia" w:hAnsi="宋体"/>
                <w:highlight w:val="none"/>
              </w:rPr>
              <w:t>5</w:t>
            </w:r>
          </w:p>
        </w:tc>
        <w:tc>
          <w:tcPr>
            <w:tcW w:w="1534" w:type="dxa"/>
            <w:vAlign w:val="center"/>
          </w:tcPr>
          <w:p>
            <w:pPr>
              <w:pStyle w:val="29"/>
              <w:rPr>
                <w:rFonts w:hint="eastAsia" w:hAnsi="宋体"/>
                <w:highlight w:val="none"/>
              </w:rPr>
            </w:pPr>
            <w:r>
              <w:rPr>
                <w:rFonts w:hint="eastAsia" w:hAnsi="宋体"/>
                <w:highlight w:val="none"/>
              </w:rPr>
              <w:t>递交投标文件截止时间</w:t>
            </w:r>
          </w:p>
        </w:tc>
        <w:tc>
          <w:tcPr>
            <w:tcW w:w="3151" w:type="dxa"/>
            <w:vAlign w:val="center"/>
          </w:tcPr>
          <w:p>
            <w:pPr>
              <w:pStyle w:val="29"/>
              <w:rPr>
                <w:rFonts w:hint="eastAsia" w:hAnsi="宋体"/>
                <w:highlight w:val="none"/>
              </w:rPr>
            </w:pPr>
            <w:r>
              <w:rPr>
                <w:rFonts w:hint="eastAsia" w:hAnsi="宋体"/>
                <w:highlight w:val="none"/>
              </w:rPr>
              <w:t>202</w:t>
            </w:r>
            <w:r>
              <w:rPr>
                <w:rFonts w:hint="eastAsia" w:hAnsi="宋体"/>
                <w:highlight w:val="none"/>
                <w:lang w:val="en-US" w:eastAsia="zh-CN"/>
              </w:rPr>
              <w:t>4</w:t>
            </w:r>
            <w:r>
              <w:rPr>
                <w:rFonts w:hint="eastAsia" w:hAnsi="宋体"/>
                <w:highlight w:val="none"/>
              </w:rPr>
              <w:t>年</w:t>
            </w:r>
            <w:r>
              <w:rPr>
                <w:rFonts w:hint="eastAsia" w:hAnsi="宋体"/>
                <w:highlight w:val="none"/>
                <w:lang w:val="en-US" w:eastAsia="zh-CN"/>
              </w:rPr>
              <w:t>10</w:t>
            </w:r>
            <w:r>
              <w:rPr>
                <w:rFonts w:hint="eastAsia" w:hAnsi="宋体"/>
                <w:highlight w:val="none"/>
              </w:rPr>
              <w:t>月</w:t>
            </w:r>
            <w:r>
              <w:rPr>
                <w:rFonts w:hint="eastAsia" w:hAnsi="宋体"/>
                <w:highlight w:val="none"/>
                <w:lang w:val="en-US" w:eastAsia="zh-CN"/>
              </w:rPr>
              <w:t>11</w:t>
            </w:r>
            <w:r>
              <w:rPr>
                <w:rFonts w:hint="eastAsia" w:hAnsi="宋体"/>
                <w:highlight w:val="none"/>
              </w:rPr>
              <w:t>日下午15：00</w:t>
            </w:r>
          </w:p>
        </w:tc>
        <w:tc>
          <w:tcPr>
            <w:tcW w:w="3108" w:type="dxa"/>
            <w:vAlign w:val="center"/>
          </w:tcPr>
          <w:p>
            <w:pPr>
              <w:pStyle w:val="29"/>
              <w:rPr>
                <w:rFonts w:hint="eastAsia" w:hAnsi="宋体"/>
                <w:highlight w:val="none"/>
              </w:rPr>
            </w:pPr>
            <w:r>
              <w:rPr>
                <w:rFonts w:hint="eastAsia" w:hAnsi="宋体"/>
                <w:highlight w:val="none"/>
              </w:rPr>
              <w:t>地点：龙岗区中心城腾飞路创投大厦22楼</w:t>
            </w:r>
            <w:r>
              <w:rPr>
                <w:rFonts w:hint="eastAsia" w:hAnsi="宋体"/>
                <w:highlight w:val="none"/>
                <w:lang w:eastAsia="zh-CN"/>
              </w:rPr>
              <w:t>2210室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pPr>
              <w:pStyle w:val="29"/>
              <w:rPr>
                <w:rFonts w:hint="eastAsia" w:hAnsi="宋体"/>
                <w:highlight w:val="none"/>
              </w:rPr>
            </w:pPr>
            <w:r>
              <w:rPr>
                <w:rFonts w:hint="eastAsia" w:hAnsi="宋体"/>
                <w:highlight w:val="none"/>
              </w:rPr>
              <w:t>6</w:t>
            </w:r>
          </w:p>
        </w:tc>
        <w:tc>
          <w:tcPr>
            <w:tcW w:w="1534" w:type="dxa"/>
            <w:vAlign w:val="center"/>
          </w:tcPr>
          <w:p>
            <w:pPr>
              <w:pStyle w:val="29"/>
              <w:rPr>
                <w:rFonts w:hint="eastAsia" w:hAnsi="宋体"/>
                <w:highlight w:val="none"/>
              </w:rPr>
            </w:pPr>
            <w:r>
              <w:rPr>
                <w:rFonts w:hint="eastAsia" w:hAnsi="宋体"/>
                <w:highlight w:val="none"/>
              </w:rPr>
              <w:t>开标时间</w:t>
            </w:r>
          </w:p>
        </w:tc>
        <w:tc>
          <w:tcPr>
            <w:tcW w:w="3151" w:type="dxa"/>
            <w:vAlign w:val="center"/>
          </w:tcPr>
          <w:p>
            <w:pPr>
              <w:pStyle w:val="29"/>
              <w:rPr>
                <w:rFonts w:hint="eastAsia" w:hAnsi="宋体"/>
                <w:highlight w:val="none"/>
              </w:rPr>
            </w:pPr>
            <w:r>
              <w:rPr>
                <w:rFonts w:hint="eastAsia" w:hAnsi="宋体"/>
                <w:highlight w:val="none"/>
              </w:rPr>
              <w:t>202</w:t>
            </w:r>
            <w:r>
              <w:rPr>
                <w:rFonts w:hint="eastAsia" w:hAnsi="宋体"/>
                <w:highlight w:val="none"/>
                <w:lang w:val="en-US" w:eastAsia="zh-CN"/>
              </w:rPr>
              <w:t>4</w:t>
            </w:r>
            <w:r>
              <w:rPr>
                <w:rFonts w:hint="eastAsia" w:hAnsi="宋体"/>
                <w:highlight w:val="none"/>
              </w:rPr>
              <w:t>年</w:t>
            </w:r>
            <w:r>
              <w:rPr>
                <w:rFonts w:hint="eastAsia" w:hAnsi="宋体"/>
                <w:highlight w:val="none"/>
                <w:lang w:val="en-US" w:eastAsia="zh-CN"/>
              </w:rPr>
              <w:t>10</w:t>
            </w:r>
            <w:r>
              <w:rPr>
                <w:rFonts w:hint="eastAsia" w:hAnsi="宋体"/>
                <w:highlight w:val="none"/>
              </w:rPr>
              <w:t>月</w:t>
            </w:r>
            <w:r>
              <w:rPr>
                <w:rFonts w:hint="eastAsia" w:hAnsi="宋体"/>
                <w:highlight w:val="none"/>
                <w:lang w:val="en-US" w:eastAsia="zh-CN"/>
              </w:rPr>
              <w:t>11</w:t>
            </w:r>
            <w:r>
              <w:rPr>
                <w:rFonts w:hint="eastAsia" w:hAnsi="宋体"/>
                <w:highlight w:val="none"/>
              </w:rPr>
              <w:t xml:space="preserve">日下午15：00 </w:t>
            </w:r>
          </w:p>
          <w:p>
            <w:pPr>
              <w:pStyle w:val="29"/>
              <w:rPr>
                <w:rFonts w:hint="eastAsia" w:hAnsi="宋体"/>
                <w:highlight w:val="none"/>
              </w:rPr>
            </w:pPr>
            <w:r>
              <w:rPr>
                <w:rFonts w:hint="eastAsia" w:hAnsi="宋体"/>
                <w:highlight w:val="none"/>
                <w:lang w:eastAsia="zh-CN"/>
              </w:rPr>
              <w:t>（</w:t>
            </w:r>
            <w:r>
              <w:rPr>
                <w:rFonts w:hint="eastAsia" w:hAnsi="宋体"/>
                <w:highlight w:val="none"/>
                <w:lang w:val="en-US" w:eastAsia="zh-CN"/>
              </w:rPr>
              <w:t>具体以招标人时间安排为准</w:t>
            </w:r>
            <w:r>
              <w:rPr>
                <w:rFonts w:hint="eastAsia" w:hAnsi="宋体"/>
                <w:highlight w:val="none"/>
                <w:lang w:eastAsia="zh-CN"/>
              </w:rPr>
              <w:t>）</w:t>
            </w:r>
          </w:p>
        </w:tc>
        <w:tc>
          <w:tcPr>
            <w:tcW w:w="3108" w:type="dxa"/>
            <w:vAlign w:val="center"/>
          </w:tcPr>
          <w:p>
            <w:pPr>
              <w:pStyle w:val="29"/>
              <w:rPr>
                <w:rFonts w:hint="eastAsia" w:hAnsi="宋体"/>
                <w:highlight w:val="none"/>
              </w:rPr>
            </w:pPr>
            <w:r>
              <w:rPr>
                <w:rFonts w:hint="eastAsia" w:hAnsi="宋体"/>
                <w:highlight w:val="none"/>
              </w:rPr>
              <w:t>地点：深圳市龙岗区城市建设投资集团有限公司会议室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pPr>
              <w:pStyle w:val="29"/>
              <w:rPr>
                <w:rFonts w:hint="eastAsia" w:hAnsi="宋体"/>
                <w:highlight w:val="none"/>
              </w:rPr>
            </w:pPr>
            <w:r>
              <w:rPr>
                <w:rFonts w:hint="eastAsia" w:hAnsi="宋体"/>
                <w:highlight w:val="none"/>
              </w:rPr>
              <w:t>7</w:t>
            </w:r>
          </w:p>
        </w:tc>
        <w:tc>
          <w:tcPr>
            <w:tcW w:w="1534" w:type="dxa"/>
            <w:vAlign w:val="center"/>
          </w:tcPr>
          <w:p>
            <w:pPr>
              <w:pStyle w:val="29"/>
              <w:rPr>
                <w:rFonts w:hint="eastAsia" w:hAnsi="宋体"/>
                <w:highlight w:val="none"/>
              </w:rPr>
            </w:pPr>
            <w:r>
              <w:rPr>
                <w:rFonts w:hint="eastAsia" w:hAnsi="宋体"/>
                <w:highlight w:val="none"/>
              </w:rPr>
              <w:t>投标文件</w:t>
            </w:r>
          </w:p>
        </w:tc>
        <w:tc>
          <w:tcPr>
            <w:tcW w:w="3151" w:type="dxa"/>
            <w:vAlign w:val="center"/>
          </w:tcPr>
          <w:p>
            <w:pPr>
              <w:pStyle w:val="29"/>
              <w:rPr>
                <w:rFonts w:hint="eastAsia" w:hAnsi="宋体"/>
                <w:highlight w:val="none"/>
              </w:rPr>
            </w:pPr>
            <w:r>
              <w:rPr>
                <w:rFonts w:hint="eastAsia" w:hAnsi="宋体"/>
                <w:highlight w:val="none"/>
              </w:rPr>
              <w:t>一正</w:t>
            </w:r>
            <w:r>
              <w:rPr>
                <w:rFonts w:hint="eastAsia" w:hAnsi="宋体"/>
                <w:highlight w:val="none"/>
                <w:lang w:val="en-US" w:eastAsia="zh-CN"/>
              </w:rPr>
              <w:t>四</w:t>
            </w:r>
            <w:r>
              <w:rPr>
                <w:rFonts w:hint="eastAsia" w:hAnsi="宋体"/>
                <w:highlight w:val="none"/>
              </w:rPr>
              <w:t>副</w:t>
            </w:r>
          </w:p>
        </w:tc>
        <w:tc>
          <w:tcPr>
            <w:tcW w:w="3108" w:type="dxa"/>
            <w:vAlign w:val="center"/>
          </w:tcPr>
          <w:p>
            <w:pPr>
              <w:pStyle w:val="29"/>
              <w:rPr>
                <w:rFonts w:hint="eastAsia"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pPr>
              <w:pStyle w:val="29"/>
              <w:rPr>
                <w:rFonts w:hint="eastAsia" w:hAnsi="宋体"/>
                <w:highlight w:val="none"/>
              </w:rPr>
            </w:pPr>
            <w:r>
              <w:rPr>
                <w:rFonts w:hint="eastAsia" w:hAnsi="宋体"/>
                <w:highlight w:val="none"/>
              </w:rPr>
              <w:t>8</w:t>
            </w:r>
          </w:p>
        </w:tc>
        <w:tc>
          <w:tcPr>
            <w:tcW w:w="1534" w:type="dxa"/>
            <w:vAlign w:val="center"/>
          </w:tcPr>
          <w:p>
            <w:pPr>
              <w:pStyle w:val="29"/>
              <w:rPr>
                <w:rFonts w:hint="eastAsia" w:hAnsi="宋体"/>
                <w:highlight w:val="none"/>
              </w:rPr>
            </w:pPr>
            <w:r>
              <w:rPr>
                <w:rFonts w:hint="eastAsia" w:hAnsi="宋体"/>
                <w:highlight w:val="none"/>
              </w:rPr>
              <w:t>投标担保</w:t>
            </w:r>
          </w:p>
        </w:tc>
        <w:tc>
          <w:tcPr>
            <w:tcW w:w="3151" w:type="dxa"/>
            <w:vAlign w:val="center"/>
          </w:tcPr>
          <w:p>
            <w:pPr>
              <w:pStyle w:val="29"/>
              <w:rPr>
                <w:rFonts w:hint="eastAsia" w:hAnsi="宋体"/>
                <w:highlight w:val="none"/>
              </w:rPr>
            </w:pPr>
            <w:r>
              <w:rPr>
                <w:rFonts w:hint="eastAsia" w:hAnsi="宋体"/>
                <w:highlight w:val="none"/>
              </w:rPr>
              <w:t>不提供</w:t>
            </w:r>
          </w:p>
        </w:tc>
        <w:tc>
          <w:tcPr>
            <w:tcW w:w="3108" w:type="dxa"/>
            <w:vAlign w:val="center"/>
          </w:tcPr>
          <w:p>
            <w:pPr>
              <w:pStyle w:val="29"/>
              <w:rPr>
                <w:rFonts w:hint="eastAsia"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pPr>
              <w:pStyle w:val="29"/>
              <w:rPr>
                <w:rFonts w:hint="eastAsia" w:hAnsi="宋体"/>
                <w:highlight w:val="none"/>
              </w:rPr>
            </w:pPr>
            <w:r>
              <w:rPr>
                <w:rFonts w:hint="eastAsia" w:hAnsi="宋体"/>
                <w:highlight w:val="none"/>
              </w:rPr>
              <w:t>9</w:t>
            </w:r>
          </w:p>
        </w:tc>
        <w:tc>
          <w:tcPr>
            <w:tcW w:w="1534" w:type="dxa"/>
            <w:vAlign w:val="center"/>
          </w:tcPr>
          <w:p>
            <w:pPr>
              <w:pStyle w:val="29"/>
              <w:rPr>
                <w:rFonts w:hint="eastAsia" w:hAnsi="宋体"/>
                <w:highlight w:val="none"/>
              </w:rPr>
            </w:pPr>
            <w:r>
              <w:rPr>
                <w:rFonts w:hint="eastAsia" w:hAnsi="宋体"/>
                <w:highlight w:val="none"/>
              </w:rPr>
              <w:t>投标有效期</w:t>
            </w:r>
          </w:p>
        </w:tc>
        <w:tc>
          <w:tcPr>
            <w:tcW w:w="3151" w:type="dxa"/>
            <w:vAlign w:val="center"/>
          </w:tcPr>
          <w:p>
            <w:pPr>
              <w:pStyle w:val="29"/>
              <w:rPr>
                <w:rFonts w:hint="eastAsia" w:hAnsi="宋体"/>
                <w:highlight w:val="none"/>
              </w:rPr>
            </w:pPr>
            <w:r>
              <w:rPr>
                <w:rFonts w:hint="eastAsia" w:hAnsi="宋体"/>
                <w:highlight w:val="none"/>
              </w:rPr>
              <w:t>60天</w:t>
            </w:r>
          </w:p>
        </w:tc>
        <w:tc>
          <w:tcPr>
            <w:tcW w:w="3108" w:type="dxa"/>
            <w:vAlign w:val="center"/>
          </w:tcPr>
          <w:p>
            <w:pPr>
              <w:pStyle w:val="29"/>
              <w:rPr>
                <w:rFonts w:hint="eastAsia"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pPr>
              <w:pStyle w:val="29"/>
              <w:rPr>
                <w:rFonts w:hint="eastAsia" w:hAnsi="宋体"/>
                <w:highlight w:val="none"/>
              </w:rPr>
            </w:pPr>
            <w:r>
              <w:rPr>
                <w:rFonts w:hint="eastAsia" w:hAnsi="宋体"/>
                <w:highlight w:val="none"/>
              </w:rPr>
              <w:t>10</w:t>
            </w:r>
          </w:p>
        </w:tc>
        <w:tc>
          <w:tcPr>
            <w:tcW w:w="1534" w:type="dxa"/>
            <w:vAlign w:val="center"/>
          </w:tcPr>
          <w:p>
            <w:pPr>
              <w:pStyle w:val="29"/>
              <w:rPr>
                <w:rFonts w:hint="eastAsia" w:hAnsi="宋体"/>
                <w:highlight w:val="none"/>
              </w:rPr>
            </w:pPr>
            <w:r>
              <w:rPr>
                <w:rFonts w:hint="eastAsia" w:hAnsi="宋体"/>
                <w:highlight w:val="none"/>
              </w:rPr>
              <w:t>招标人</w:t>
            </w:r>
          </w:p>
          <w:p>
            <w:pPr>
              <w:pStyle w:val="29"/>
              <w:rPr>
                <w:rFonts w:hint="eastAsia" w:hAnsi="宋体"/>
                <w:highlight w:val="none"/>
              </w:rPr>
            </w:pPr>
          </w:p>
        </w:tc>
        <w:tc>
          <w:tcPr>
            <w:tcW w:w="3151" w:type="dxa"/>
            <w:vAlign w:val="center"/>
          </w:tcPr>
          <w:p>
            <w:pPr>
              <w:pStyle w:val="29"/>
              <w:rPr>
                <w:rFonts w:hint="eastAsia" w:hAnsi="宋体"/>
                <w:highlight w:val="none"/>
              </w:rPr>
            </w:pPr>
            <w:r>
              <w:rPr>
                <w:rFonts w:hint="eastAsia" w:hAnsi="宋体"/>
                <w:highlight w:val="none"/>
              </w:rPr>
              <w:t>联系单位：深圳市龙岗区城投绿色低碳新能源产业发展有限公司</w:t>
            </w:r>
          </w:p>
          <w:p>
            <w:pPr>
              <w:pStyle w:val="29"/>
              <w:rPr>
                <w:rFonts w:hint="eastAsia" w:hAnsi="宋体"/>
                <w:highlight w:val="none"/>
                <w:lang w:eastAsia="zh-CN"/>
              </w:rPr>
            </w:pPr>
            <w:r>
              <w:rPr>
                <w:rFonts w:hint="eastAsia" w:hAnsi="宋体"/>
                <w:highlight w:val="none"/>
              </w:rPr>
              <w:t>联系地址：龙岗区中心城腾飞路创投大厦</w:t>
            </w:r>
            <w:r>
              <w:rPr>
                <w:rFonts w:hint="eastAsia" w:hAnsi="宋体"/>
                <w:highlight w:val="none"/>
                <w:lang w:eastAsia="zh-CN"/>
              </w:rPr>
              <w:t>2210室</w:t>
            </w:r>
          </w:p>
          <w:p>
            <w:pPr>
              <w:pStyle w:val="29"/>
              <w:rPr>
                <w:rFonts w:hint="eastAsia" w:hAnsi="宋体" w:eastAsia="宋体"/>
                <w:highlight w:val="none"/>
                <w:lang w:eastAsia="zh-CN"/>
              </w:rPr>
            </w:pPr>
            <w:r>
              <w:rPr>
                <w:rFonts w:hint="eastAsia" w:hAnsi="宋体"/>
                <w:highlight w:val="none"/>
              </w:rPr>
              <w:t>联 系 人：</w:t>
            </w:r>
            <w:r>
              <w:rPr>
                <w:rFonts w:hint="eastAsia" w:hAnsi="宋体"/>
                <w:highlight w:val="none"/>
                <w:lang w:val="en-US" w:eastAsia="zh-CN"/>
              </w:rPr>
              <w:t>胡工</w:t>
            </w:r>
          </w:p>
          <w:p>
            <w:pPr>
              <w:pStyle w:val="29"/>
              <w:rPr>
                <w:rFonts w:hint="eastAsia" w:hAnsi="宋体"/>
                <w:highlight w:val="none"/>
              </w:rPr>
            </w:pPr>
            <w:r>
              <w:rPr>
                <w:rFonts w:hint="eastAsia" w:hAnsi="宋体"/>
                <w:highlight w:val="none"/>
              </w:rPr>
              <w:t>联系电话：0755-28504122</w:t>
            </w:r>
          </w:p>
        </w:tc>
        <w:tc>
          <w:tcPr>
            <w:tcW w:w="3108" w:type="dxa"/>
            <w:vAlign w:val="center"/>
          </w:tcPr>
          <w:p>
            <w:pPr>
              <w:pStyle w:val="29"/>
              <w:rPr>
                <w:rFonts w:hint="eastAsia" w:hAnsi="宋体"/>
                <w:highlight w:val="none"/>
              </w:rPr>
            </w:pPr>
          </w:p>
        </w:tc>
      </w:tr>
    </w:tbl>
    <w:p>
      <w:pPr>
        <w:rPr>
          <w:highlight w:val="none"/>
        </w:rPr>
      </w:pPr>
      <w:r>
        <w:rPr>
          <w:highlight w:val="none"/>
        </w:rPr>
        <w:br w:type="page"/>
      </w:r>
    </w:p>
    <w:p>
      <w:pPr>
        <w:spacing w:line="360" w:lineRule="auto"/>
        <w:jc w:val="center"/>
        <w:outlineLvl w:val="2"/>
        <w:rPr>
          <w:rFonts w:ascii="宋体" w:hAnsi="宋体"/>
          <w:b/>
          <w:snapToGrid w:val="0"/>
          <w:kern w:val="0"/>
          <w:sz w:val="32"/>
          <w:szCs w:val="32"/>
          <w:highlight w:val="none"/>
        </w:rPr>
      </w:pPr>
      <w:bookmarkStart w:id="3" w:name="_Toc509669686"/>
      <w:r>
        <w:rPr>
          <w:rFonts w:hint="eastAsia" w:ascii="宋体" w:hAnsi="宋体"/>
          <w:b/>
          <w:snapToGrid w:val="0"/>
          <w:kern w:val="0"/>
          <w:sz w:val="32"/>
          <w:szCs w:val="32"/>
          <w:highlight w:val="none"/>
        </w:rPr>
        <w:t>一、总  则</w:t>
      </w:r>
      <w:bookmarkEnd w:id="3"/>
    </w:p>
    <w:p>
      <w:pPr>
        <w:spacing w:line="520" w:lineRule="exact"/>
        <w:ind w:firstLine="422" w:firstLineChars="200"/>
        <w:rPr>
          <w:rFonts w:ascii="宋体" w:hAnsi="宋体"/>
          <w:b/>
          <w:snapToGrid w:val="0"/>
          <w:kern w:val="0"/>
          <w:szCs w:val="21"/>
          <w:highlight w:val="none"/>
        </w:rPr>
      </w:pPr>
      <w:r>
        <w:rPr>
          <w:rFonts w:hint="eastAsia" w:ascii="宋体" w:hAnsi="宋体"/>
          <w:b/>
          <w:snapToGrid w:val="0"/>
          <w:kern w:val="0"/>
          <w:szCs w:val="21"/>
          <w:highlight w:val="none"/>
        </w:rPr>
        <w:t>1.项目概况</w:t>
      </w:r>
    </w:p>
    <w:p>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根据《中华人民共和国招标投标法》等有关法律、法规、规章和规范性文件的规定，本</w:t>
      </w:r>
      <w:r>
        <w:rPr>
          <w:rFonts w:hint="eastAsia" w:ascii="宋体" w:hAnsi="宋体" w:cs="Times New Roman"/>
          <w:snapToGrid w:val="0"/>
          <w:kern w:val="0"/>
          <w:szCs w:val="21"/>
          <w:highlight w:val="none"/>
          <w:lang w:eastAsia="zh-CN"/>
        </w:rPr>
        <w:t>公开招标</w:t>
      </w:r>
      <w:r>
        <w:rPr>
          <w:rFonts w:hint="eastAsia" w:ascii="宋体" w:hAnsi="宋体" w:eastAsia="宋体" w:cs="Times New Roman"/>
          <w:snapToGrid w:val="0"/>
          <w:kern w:val="0"/>
          <w:sz w:val="21"/>
          <w:szCs w:val="21"/>
          <w:highlight w:val="none"/>
          <w:lang w:eastAsia="zh-CN"/>
        </w:rPr>
        <w:t>（自主）</w:t>
      </w:r>
      <w:r>
        <w:rPr>
          <w:rFonts w:hint="eastAsia" w:ascii="宋体" w:hAnsi="宋体" w:eastAsia="宋体" w:cs="Times New Roman"/>
          <w:snapToGrid w:val="0"/>
          <w:kern w:val="0"/>
          <w:sz w:val="21"/>
          <w:szCs w:val="21"/>
          <w:highlight w:val="none"/>
        </w:rPr>
        <w:t>项目已具备</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条件，现进行</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w:t>
      </w:r>
    </w:p>
    <w:p>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1.1招标人：深圳市龙岗区城投绿色低碳新能源产业发展有限公司。</w:t>
      </w:r>
    </w:p>
    <w:p>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1.2</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工程名称：</w:t>
      </w:r>
      <w:r>
        <w:rPr>
          <w:rFonts w:hint="eastAsia" w:ascii="宋体" w:hAnsi="宋体" w:eastAsia="宋体" w:cs="Times New Roman"/>
          <w:snapToGrid w:val="0"/>
          <w:kern w:val="0"/>
          <w:sz w:val="21"/>
          <w:szCs w:val="21"/>
          <w:highlight w:val="none"/>
          <w:lang w:val="en-US" w:eastAsia="zh-CN"/>
        </w:rPr>
        <w:t>深圳建筑产业生态智谷总部基地一期主体第三方监测。</w:t>
      </w:r>
    </w:p>
    <w:p>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1.3</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工程地点：深圳市龙岗区大运新城盐龙大道和清辉路交界处。</w:t>
      </w:r>
    </w:p>
    <w:p>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1.4工程规模：深圳建筑产业生态智谷总部基地一期位于龙岗大运片区，建设用地面积约4.2万平方米，总建筑面积约25万平方米，打造集研发办公、实验室、</w:t>
      </w:r>
      <w:r>
        <w:rPr>
          <w:rFonts w:hint="eastAsia" w:ascii="宋体" w:hAnsi="宋体" w:cs="Times New Roman"/>
          <w:snapToGrid w:val="0"/>
          <w:kern w:val="0"/>
          <w:sz w:val="21"/>
          <w:szCs w:val="21"/>
          <w:highlight w:val="none"/>
          <w:lang w:eastAsia="zh-CN"/>
        </w:rPr>
        <w:t>会议展示</w:t>
      </w:r>
      <w:r>
        <w:rPr>
          <w:rFonts w:hint="eastAsia" w:ascii="宋体" w:hAnsi="宋体" w:eastAsia="宋体" w:cs="Times New Roman"/>
          <w:snapToGrid w:val="0"/>
          <w:kern w:val="0"/>
          <w:sz w:val="21"/>
          <w:szCs w:val="21"/>
          <w:highlight w:val="none"/>
        </w:rPr>
        <w:t>、商业、宿舍等功能于一体的综合产业园区，目前正在进行主体施工。</w:t>
      </w:r>
    </w:p>
    <w:p>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Cs w:val="21"/>
          <w:highlight w:val="none"/>
        </w:rPr>
        <w:t>1.5工作范围：</w:t>
      </w:r>
      <w:r>
        <w:rPr>
          <w:rFonts w:hint="eastAsia" w:ascii="宋体" w:hAnsi="宋体" w:eastAsia="宋体" w:cs="Times New Roman"/>
          <w:snapToGrid w:val="0"/>
          <w:kern w:val="0"/>
          <w:sz w:val="21"/>
          <w:szCs w:val="21"/>
          <w:highlight w:val="none"/>
          <w:lang w:val="en-US" w:eastAsia="zh-CN"/>
        </w:rPr>
        <w:t>该项目主体监测内容包括沉降观测、抗浮工程竖向变形监测、施工期间变形监测、挡墙变形监测等。</w:t>
      </w:r>
    </w:p>
    <w:p>
      <w:pPr>
        <w:spacing w:line="520" w:lineRule="exact"/>
        <w:ind w:firstLine="422" w:firstLineChars="200"/>
        <w:jc w:val="left"/>
        <w:rPr>
          <w:rFonts w:hint="eastAsia" w:ascii="宋体" w:hAnsi="宋体" w:eastAsia="宋体" w:cs="Times New Roman"/>
          <w:b/>
          <w:snapToGrid w:val="0"/>
          <w:kern w:val="0"/>
          <w:szCs w:val="21"/>
          <w:highlight w:val="none"/>
          <w:lang w:eastAsia="zh-CN"/>
        </w:rPr>
      </w:pPr>
      <w:r>
        <w:rPr>
          <w:rFonts w:hint="eastAsia" w:ascii="宋体" w:hAnsi="宋体" w:eastAsia="宋体" w:cs="Times New Roman"/>
          <w:b/>
          <w:snapToGrid w:val="0"/>
          <w:kern w:val="0"/>
          <w:szCs w:val="21"/>
          <w:highlight w:val="none"/>
          <w:lang w:val="en-US" w:eastAsia="zh-CN"/>
        </w:rPr>
        <w:t>2.</w:t>
      </w:r>
      <w:r>
        <w:rPr>
          <w:rFonts w:hint="eastAsia" w:ascii="宋体" w:hAnsi="宋体" w:eastAsia="宋体" w:cs="Times New Roman"/>
          <w:b/>
          <w:snapToGrid w:val="0"/>
          <w:kern w:val="0"/>
          <w:szCs w:val="21"/>
          <w:highlight w:val="none"/>
        </w:rPr>
        <w:t>投标人资格要求</w:t>
      </w:r>
    </w:p>
    <w:p>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lang w:val="en-US" w:eastAsia="zh-CN"/>
        </w:rPr>
        <w:t>2.1具备建设行政主管部门颁发的工程勘察专业类（工程测量）甲级或以上资质和工程勘察专业类（岩土工程物探测试检测监测）乙级或以上资质。</w:t>
      </w:r>
    </w:p>
    <w:p>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lang w:val="en-US" w:eastAsia="zh-CN"/>
        </w:rPr>
        <w:t>2.2项目负责人具有国家注册土木工程师（岩土）执业资格及注册证书。</w:t>
      </w:r>
    </w:p>
    <w:p>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lang w:val="en-US" w:eastAsia="zh-CN"/>
        </w:rPr>
        <w:t>2.3不接受联合体投标。</w:t>
      </w:r>
    </w:p>
    <w:p>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3.投标费用</w:t>
      </w:r>
    </w:p>
    <w:p>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投标人应自行承担所有准备及参加投标相关的费用。不论投标的结果如何，招标人均</w:t>
      </w:r>
      <w:r>
        <w:rPr>
          <w:rFonts w:hint="eastAsia" w:ascii="宋体" w:hAnsi="宋体"/>
          <w:snapToGrid w:val="0"/>
          <w:kern w:val="0"/>
          <w:szCs w:val="21"/>
          <w:highlight w:val="none"/>
          <w:lang w:val="en-US" w:eastAsia="zh-CN"/>
        </w:rPr>
        <w:t>无</w:t>
      </w:r>
      <w:r>
        <w:rPr>
          <w:rFonts w:hint="eastAsia" w:ascii="宋体" w:hAnsi="宋体"/>
          <w:snapToGrid w:val="0"/>
          <w:kern w:val="0"/>
          <w:szCs w:val="21"/>
          <w:highlight w:val="none"/>
        </w:rPr>
        <w:t>承担</w:t>
      </w:r>
      <w:r>
        <w:rPr>
          <w:rFonts w:hint="eastAsia" w:ascii="宋体" w:hAnsi="宋体"/>
          <w:snapToGrid w:val="0"/>
          <w:kern w:val="0"/>
          <w:szCs w:val="21"/>
          <w:highlight w:val="none"/>
          <w:lang w:val="en-US" w:eastAsia="zh-CN"/>
        </w:rPr>
        <w:t>相应</w:t>
      </w:r>
      <w:r>
        <w:rPr>
          <w:rFonts w:hint="eastAsia" w:ascii="宋体" w:hAnsi="宋体"/>
          <w:snapToGrid w:val="0"/>
          <w:kern w:val="0"/>
          <w:szCs w:val="21"/>
          <w:highlight w:val="none"/>
        </w:rPr>
        <w:t>的义务和责任。</w:t>
      </w:r>
    </w:p>
    <w:p>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4.踏勘现场</w:t>
      </w:r>
    </w:p>
    <w:p>
      <w:pPr>
        <w:spacing w:line="360" w:lineRule="auto"/>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p>
    <w:p>
      <w:pPr>
        <w:spacing w:line="240" w:lineRule="auto"/>
        <w:ind w:firstLine="0" w:firstLineChars="0"/>
        <w:jc w:val="left"/>
        <w:rPr>
          <w:rFonts w:hint="eastAsia" w:ascii="宋体" w:hAnsi="宋体"/>
          <w:snapToGrid w:val="0"/>
          <w:kern w:val="0"/>
          <w:szCs w:val="21"/>
          <w:highlight w:val="none"/>
        </w:rPr>
      </w:pPr>
      <w:r>
        <w:rPr>
          <w:rFonts w:hint="eastAsia" w:ascii="宋体" w:hAnsi="宋体"/>
          <w:snapToGrid w:val="0"/>
          <w:kern w:val="0"/>
          <w:szCs w:val="21"/>
          <w:highlight w:val="none"/>
        </w:rPr>
        <w:br w:type="page"/>
      </w:r>
    </w:p>
    <w:p>
      <w:pPr>
        <w:spacing w:line="360" w:lineRule="auto"/>
        <w:jc w:val="center"/>
        <w:outlineLvl w:val="2"/>
        <w:rPr>
          <w:rFonts w:hint="eastAsia" w:ascii="宋体" w:hAnsi="宋体"/>
          <w:b/>
          <w:snapToGrid w:val="0"/>
          <w:kern w:val="0"/>
          <w:sz w:val="32"/>
          <w:szCs w:val="32"/>
          <w:highlight w:val="none"/>
        </w:rPr>
      </w:pPr>
      <w:bookmarkStart w:id="4" w:name="_Toc509669687"/>
      <w:r>
        <w:rPr>
          <w:rFonts w:hint="eastAsia" w:ascii="宋体" w:hAnsi="宋体"/>
          <w:b/>
          <w:snapToGrid w:val="0"/>
          <w:kern w:val="0"/>
          <w:sz w:val="32"/>
          <w:szCs w:val="32"/>
          <w:highlight w:val="none"/>
        </w:rPr>
        <w:t>二、投标文件的编制</w:t>
      </w:r>
      <w:bookmarkEnd w:id="4"/>
    </w:p>
    <w:p>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w:t>
      </w:r>
      <w:r>
        <w:rPr>
          <w:rFonts w:hint="eastAsia" w:ascii="宋体" w:hAnsi="宋体"/>
          <w:snapToGrid w:val="0"/>
          <w:kern w:val="0"/>
          <w:szCs w:val="21"/>
          <w:highlight w:val="none"/>
          <w:lang w:eastAsia="zh-CN"/>
        </w:rPr>
        <w:t>其他</w:t>
      </w:r>
      <w:r>
        <w:rPr>
          <w:rFonts w:hint="eastAsia" w:ascii="宋体" w:hAnsi="宋体"/>
          <w:snapToGrid w:val="0"/>
          <w:kern w:val="0"/>
          <w:szCs w:val="21"/>
          <w:highlight w:val="none"/>
        </w:rPr>
        <w:t>语言，但必须附中文译文。在此，为了解释投标文件，应以中文为准。</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5.3</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文件中所出现的日期为自然日，货币单位为人民币。</w:t>
      </w:r>
    </w:p>
    <w:p>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6.投标有效期</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6.1投标有效期60天。在此期间，所有投标均保持有效。</w:t>
      </w:r>
    </w:p>
    <w:p>
      <w:pPr>
        <w:spacing w:line="360" w:lineRule="auto"/>
        <w:ind w:firstLine="420" w:firstLineChars="200"/>
        <w:jc w:val="left"/>
        <w:rPr>
          <w:rFonts w:ascii="宋体" w:hAnsi="宋体"/>
          <w:snapToGrid w:val="0"/>
          <w:kern w:val="0"/>
          <w:szCs w:val="21"/>
          <w:highlight w:val="none"/>
        </w:rPr>
      </w:pPr>
    </w:p>
    <w:p>
      <w:pPr>
        <w:spacing w:line="360" w:lineRule="auto"/>
        <w:jc w:val="center"/>
        <w:outlineLvl w:val="2"/>
        <w:rPr>
          <w:rFonts w:hint="eastAsia" w:ascii="宋体" w:hAnsi="宋体" w:eastAsia="宋体"/>
          <w:b/>
          <w:snapToGrid w:val="0"/>
          <w:kern w:val="0"/>
          <w:sz w:val="32"/>
          <w:szCs w:val="32"/>
          <w:highlight w:val="none"/>
        </w:rPr>
      </w:pPr>
      <w:bookmarkStart w:id="5" w:name="_Toc509669688"/>
      <w:r>
        <w:rPr>
          <w:rFonts w:hint="eastAsia" w:ascii="宋体" w:hAnsi="宋体" w:eastAsia="宋体"/>
          <w:b/>
          <w:snapToGrid w:val="0"/>
          <w:kern w:val="0"/>
          <w:sz w:val="32"/>
          <w:szCs w:val="32"/>
          <w:highlight w:val="none"/>
        </w:rPr>
        <w:t>三、投标文件的</w:t>
      </w:r>
      <w:r>
        <w:rPr>
          <w:rFonts w:hint="eastAsia" w:ascii="宋体" w:hAnsi="宋体"/>
          <w:b/>
          <w:snapToGrid w:val="0"/>
          <w:kern w:val="0"/>
          <w:sz w:val="32"/>
          <w:szCs w:val="32"/>
          <w:highlight w:val="none"/>
          <w:lang w:val="en-US" w:eastAsia="zh-CN"/>
        </w:rPr>
        <w:t>递</w:t>
      </w:r>
      <w:r>
        <w:rPr>
          <w:rFonts w:hint="eastAsia" w:ascii="宋体" w:hAnsi="宋体" w:eastAsia="宋体"/>
          <w:b/>
          <w:snapToGrid w:val="0"/>
          <w:kern w:val="0"/>
          <w:sz w:val="32"/>
          <w:szCs w:val="32"/>
          <w:highlight w:val="none"/>
        </w:rPr>
        <w:t>交</w:t>
      </w:r>
      <w:bookmarkEnd w:id="5"/>
    </w:p>
    <w:p>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8.投标文件的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投标人应在202</w:t>
      </w:r>
      <w:r>
        <w:rPr>
          <w:rFonts w:hint="eastAsia" w:ascii="宋体" w:hAnsi="宋体"/>
          <w:b w:val="0"/>
          <w:snapToGrid w:val="0"/>
          <w:kern w:val="0"/>
          <w:szCs w:val="21"/>
          <w:highlight w:val="none"/>
          <w:lang w:val="en-US" w:eastAsia="zh-CN"/>
        </w:rPr>
        <w:t>4</w:t>
      </w:r>
      <w:r>
        <w:rPr>
          <w:rFonts w:hint="eastAsia" w:ascii="宋体" w:hAnsi="宋体"/>
          <w:b w:val="0"/>
          <w:snapToGrid w:val="0"/>
          <w:kern w:val="0"/>
          <w:szCs w:val="21"/>
          <w:highlight w:val="none"/>
        </w:rPr>
        <w:t>年</w:t>
      </w:r>
      <w:r>
        <w:rPr>
          <w:rFonts w:hint="eastAsia" w:ascii="宋体" w:hAnsi="宋体"/>
          <w:b w:val="0"/>
          <w:snapToGrid w:val="0"/>
          <w:kern w:val="0"/>
          <w:szCs w:val="21"/>
          <w:highlight w:val="none"/>
          <w:lang w:val="en-US" w:eastAsia="zh-CN"/>
        </w:rPr>
        <w:t>10</w:t>
      </w:r>
      <w:r>
        <w:rPr>
          <w:rFonts w:hint="eastAsia" w:ascii="宋体" w:hAnsi="宋体"/>
          <w:b w:val="0"/>
          <w:snapToGrid w:val="0"/>
          <w:kern w:val="0"/>
          <w:szCs w:val="21"/>
          <w:highlight w:val="none"/>
        </w:rPr>
        <w:t>月</w:t>
      </w:r>
      <w:r>
        <w:rPr>
          <w:rFonts w:hint="eastAsia" w:ascii="宋体" w:hAnsi="宋体"/>
          <w:b w:val="0"/>
          <w:snapToGrid w:val="0"/>
          <w:kern w:val="0"/>
          <w:szCs w:val="21"/>
          <w:highlight w:val="none"/>
          <w:lang w:val="en-US" w:eastAsia="zh-CN"/>
        </w:rPr>
        <w:t>11</w:t>
      </w:r>
      <w:r>
        <w:rPr>
          <w:rFonts w:hint="eastAsia" w:ascii="宋体" w:hAnsi="宋体"/>
          <w:b w:val="0"/>
          <w:snapToGrid w:val="0"/>
          <w:kern w:val="0"/>
          <w:szCs w:val="21"/>
          <w:highlight w:val="none"/>
        </w:rPr>
        <w:t>日下午15：00之前将投标文件送达</w:t>
      </w:r>
      <w:r>
        <w:rPr>
          <w:rFonts w:hint="eastAsia" w:ascii="宋体" w:hAnsi="宋体" w:cs="Times New Roman"/>
          <w:snapToGrid w:val="0"/>
          <w:kern w:val="0"/>
          <w:szCs w:val="21"/>
          <w:highlight w:val="none"/>
        </w:rPr>
        <w:t>龙岗区中心城腾飞路创投大厦22楼</w:t>
      </w:r>
      <w:r>
        <w:rPr>
          <w:rFonts w:hint="eastAsia" w:ascii="宋体" w:hAnsi="宋体" w:cs="Times New Roman"/>
          <w:snapToGrid w:val="0"/>
          <w:kern w:val="0"/>
          <w:szCs w:val="21"/>
          <w:highlight w:val="none"/>
          <w:lang w:eastAsia="zh-CN"/>
        </w:rPr>
        <w:t>2210室</w:t>
      </w:r>
      <w:r>
        <w:rPr>
          <w:rFonts w:hint="eastAsia" w:ascii="宋体" w:hAnsi="宋体"/>
          <w:b w:val="0"/>
          <w:snapToGrid w:val="0"/>
          <w:kern w:val="0"/>
          <w:szCs w:val="21"/>
          <w:highlight w:val="none"/>
        </w:rPr>
        <w:t>。</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8.2.2投标文件若未按规定进行密封及标志，招标人不承担投标文件错放或提前开封的责任。</w:t>
      </w:r>
    </w:p>
    <w:p>
      <w:pPr>
        <w:spacing w:line="360" w:lineRule="auto"/>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8.3</w:t>
      </w:r>
      <w:r>
        <w:rPr>
          <w:rFonts w:hint="eastAsia" w:ascii="宋体" w:hAnsi="宋体"/>
          <w:b/>
          <w:bCs/>
          <w:snapToGrid w:val="0"/>
          <w:kern w:val="0"/>
          <w:szCs w:val="21"/>
          <w:highlight w:val="none"/>
        </w:rPr>
        <w:t>一次</w:t>
      </w:r>
      <w:r>
        <w:rPr>
          <w:rFonts w:hint="eastAsia" w:ascii="宋体" w:hAnsi="宋体"/>
          <w:b/>
          <w:bCs/>
          <w:snapToGrid w:val="0"/>
          <w:color w:val="auto"/>
          <w:kern w:val="0"/>
          <w:szCs w:val="21"/>
          <w:highlight w:val="none"/>
        </w:rPr>
        <w:t>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交资审文件或资格审查合格投标人少于3家的，重新发布</w:t>
      </w:r>
      <w:r>
        <w:rPr>
          <w:rFonts w:hint="eastAsia" w:ascii="宋体" w:hAnsi="宋体"/>
          <w:b/>
          <w:bCs/>
          <w:snapToGrid w:val="0"/>
          <w:color w:val="auto"/>
          <w:kern w:val="0"/>
          <w:szCs w:val="21"/>
          <w:highlight w:val="none"/>
          <w:lang w:eastAsia="zh-CN"/>
        </w:rPr>
        <w:t>公开招标（自主）</w:t>
      </w:r>
      <w:r>
        <w:rPr>
          <w:rFonts w:hint="eastAsia" w:ascii="宋体" w:hAnsi="宋体"/>
          <w:b/>
          <w:bCs/>
          <w:snapToGrid w:val="0"/>
          <w:color w:val="auto"/>
          <w:kern w:val="0"/>
          <w:szCs w:val="21"/>
          <w:highlight w:val="none"/>
        </w:rPr>
        <w:t>公告（原则不少于一次公告发布时间的50%）。二次公告后，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交资审文件或资格审查合格投标人数量不足3家的，将按定标规则横向对比后</w:t>
      </w:r>
      <w:r>
        <w:rPr>
          <w:rFonts w:hint="eastAsia" w:ascii="宋体" w:hAnsi="宋体"/>
          <w:b/>
          <w:bCs/>
          <w:snapToGrid w:val="0"/>
          <w:kern w:val="0"/>
          <w:szCs w:val="21"/>
          <w:highlight w:val="none"/>
        </w:rPr>
        <w:t>选取1家；</w:t>
      </w:r>
      <w:r>
        <w:rPr>
          <w:rFonts w:hint="eastAsia" w:ascii="宋体" w:hAnsi="宋体"/>
          <w:b/>
          <w:bCs/>
          <w:snapToGrid w:val="0"/>
          <w:kern w:val="0"/>
          <w:szCs w:val="21"/>
          <w:highlight w:val="none"/>
          <w:lang w:val="en-US" w:eastAsia="zh-CN"/>
        </w:rPr>
        <w:t>递</w:t>
      </w:r>
      <w:r>
        <w:rPr>
          <w:rFonts w:hint="eastAsia" w:ascii="宋体" w:hAnsi="宋体"/>
          <w:b/>
          <w:bCs/>
          <w:snapToGrid w:val="0"/>
          <w:kern w:val="0"/>
          <w:szCs w:val="21"/>
          <w:highlight w:val="none"/>
        </w:rPr>
        <w:t>交资审文件或资格审查合格投标人数量不足2家的，将进入直接委托程序。</w:t>
      </w:r>
    </w:p>
    <w:p>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8.4迟交的投标文件</w:t>
      </w:r>
    </w:p>
    <w:p>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p>
    <w:p>
      <w:pPr>
        <w:spacing w:line="360" w:lineRule="auto"/>
        <w:jc w:val="center"/>
        <w:outlineLvl w:val="2"/>
        <w:rPr>
          <w:rFonts w:hint="eastAsia" w:ascii="宋体" w:hAnsi="宋体"/>
          <w:b/>
          <w:snapToGrid w:val="0"/>
          <w:kern w:val="0"/>
          <w:sz w:val="32"/>
          <w:szCs w:val="32"/>
          <w:highlight w:val="none"/>
        </w:rPr>
      </w:pPr>
      <w:bookmarkStart w:id="6" w:name="_Toc509669689"/>
    </w:p>
    <w:p>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四、开  标</w:t>
      </w:r>
      <w:bookmarkEnd w:id="6"/>
    </w:p>
    <w:p>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9.开标</w:t>
      </w:r>
    </w:p>
    <w:p>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w:t>
      </w:r>
      <w:r>
        <w:rPr>
          <w:rFonts w:hint="eastAsia" w:ascii="宋体" w:hAnsi="宋体"/>
          <w:snapToGrid w:val="0"/>
          <w:kern w:val="0"/>
          <w:szCs w:val="21"/>
          <w:highlight w:val="none"/>
          <w:lang w:val="en-US" w:eastAsia="zh-CN"/>
        </w:rPr>
        <w:t>计划</w:t>
      </w:r>
      <w:r>
        <w:rPr>
          <w:rFonts w:hint="eastAsia" w:ascii="宋体" w:hAnsi="宋体"/>
          <w:snapToGrid w:val="0"/>
          <w:kern w:val="0"/>
          <w:szCs w:val="21"/>
          <w:highlight w:val="none"/>
        </w:rPr>
        <w:t>在</w:t>
      </w:r>
      <w:r>
        <w:rPr>
          <w:rFonts w:hint="eastAsia" w:ascii="宋体" w:hAnsi="宋体"/>
          <w:b/>
          <w:snapToGrid w:val="0"/>
          <w:color w:val="000000"/>
          <w:kern w:val="0"/>
          <w:szCs w:val="21"/>
          <w:highlight w:val="none"/>
        </w:rPr>
        <w:t>202</w:t>
      </w:r>
      <w:r>
        <w:rPr>
          <w:rFonts w:hint="eastAsia" w:ascii="宋体" w:hAnsi="宋体"/>
          <w:b/>
          <w:snapToGrid w:val="0"/>
          <w:color w:val="000000"/>
          <w:kern w:val="0"/>
          <w:szCs w:val="21"/>
          <w:highlight w:val="none"/>
          <w:lang w:val="en-US" w:eastAsia="zh-CN"/>
        </w:rPr>
        <w:t>4</w:t>
      </w:r>
      <w:r>
        <w:rPr>
          <w:rFonts w:hint="eastAsia" w:ascii="宋体" w:hAnsi="宋体"/>
          <w:b/>
          <w:snapToGrid w:val="0"/>
          <w:color w:val="000000"/>
          <w:kern w:val="0"/>
          <w:szCs w:val="21"/>
          <w:highlight w:val="none"/>
        </w:rPr>
        <w:t>年</w:t>
      </w:r>
      <w:r>
        <w:rPr>
          <w:rFonts w:hint="eastAsia" w:ascii="宋体" w:hAnsi="宋体"/>
          <w:b/>
          <w:snapToGrid w:val="0"/>
          <w:color w:val="000000"/>
          <w:kern w:val="0"/>
          <w:szCs w:val="21"/>
          <w:highlight w:val="none"/>
          <w:lang w:val="en-US" w:eastAsia="zh-CN"/>
        </w:rPr>
        <w:t>10</w:t>
      </w:r>
      <w:r>
        <w:rPr>
          <w:rFonts w:hint="eastAsia" w:ascii="宋体" w:hAnsi="宋体"/>
          <w:b/>
          <w:snapToGrid w:val="0"/>
          <w:color w:val="000000"/>
          <w:kern w:val="0"/>
          <w:szCs w:val="21"/>
          <w:highlight w:val="none"/>
        </w:rPr>
        <w:t>月</w:t>
      </w:r>
      <w:r>
        <w:rPr>
          <w:rFonts w:hint="eastAsia" w:ascii="宋体" w:hAnsi="宋体"/>
          <w:b/>
          <w:snapToGrid w:val="0"/>
          <w:color w:val="000000"/>
          <w:kern w:val="0"/>
          <w:szCs w:val="21"/>
          <w:highlight w:val="none"/>
          <w:u w:val="single"/>
        </w:rPr>
        <w:t xml:space="preserve"> </w:t>
      </w:r>
      <w:r>
        <w:rPr>
          <w:rFonts w:hint="eastAsia" w:ascii="宋体" w:hAnsi="宋体"/>
          <w:b/>
          <w:snapToGrid w:val="0"/>
          <w:color w:val="000000"/>
          <w:kern w:val="0"/>
          <w:szCs w:val="21"/>
          <w:highlight w:val="none"/>
          <w:u w:val="single"/>
          <w:lang w:val="en-US" w:eastAsia="zh-CN"/>
        </w:rPr>
        <w:t>11</w:t>
      </w:r>
      <w:r>
        <w:rPr>
          <w:rFonts w:hint="eastAsia" w:ascii="宋体" w:hAnsi="宋体"/>
          <w:b/>
          <w:snapToGrid w:val="0"/>
          <w:color w:val="000000"/>
          <w:kern w:val="0"/>
          <w:szCs w:val="21"/>
          <w:highlight w:val="none"/>
          <w:u w:val="single"/>
        </w:rPr>
        <w:t xml:space="preserve"> </w:t>
      </w:r>
      <w:r>
        <w:rPr>
          <w:rFonts w:hint="eastAsia" w:ascii="宋体" w:hAnsi="宋体"/>
          <w:b/>
          <w:snapToGrid w:val="0"/>
          <w:color w:val="000000"/>
          <w:kern w:val="0"/>
          <w:szCs w:val="21"/>
          <w:highlight w:val="none"/>
        </w:rPr>
        <w:t>日下午15:00</w:t>
      </w:r>
      <w:r>
        <w:rPr>
          <w:rFonts w:hint="eastAsia" w:ascii="宋体" w:hAnsi="宋体"/>
          <w:b/>
          <w:snapToGrid w:val="0"/>
          <w:color w:val="000000"/>
          <w:kern w:val="0"/>
          <w:szCs w:val="21"/>
          <w:highlight w:val="none"/>
          <w:lang w:val="en-US" w:eastAsia="zh-CN"/>
        </w:rPr>
        <w:t>时，</w:t>
      </w:r>
      <w:r>
        <w:rPr>
          <w:rFonts w:hint="eastAsia" w:ascii="宋体" w:hAnsi="宋体" w:cs="宋体"/>
          <w:kern w:val="0"/>
          <w:szCs w:val="21"/>
          <w:highlight w:val="none"/>
          <w:lang w:val="en-US" w:eastAsia="zh-CN"/>
        </w:rPr>
        <w:t>于</w:t>
      </w:r>
      <w:r>
        <w:rPr>
          <w:rFonts w:ascii="宋体" w:hAnsi="宋体" w:cs="宋体"/>
          <w:kern w:val="0"/>
          <w:szCs w:val="21"/>
          <w:highlight w:val="none"/>
        </w:rPr>
        <w:t>龙岗区中心城腾飞路创投大厦</w:t>
      </w:r>
      <w:r>
        <w:rPr>
          <w:rFonts w:hint="eastAsia" w:ascii="宋体" w:hAnsi="宋体"/>
          <w:szCs w:val="21"/>
          <w:highlight w:val="none"/>
        </w:rPr>
        <w:t>深圳市龙岗区城市建设投资集团有限公司会议室开标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开标会结束，相关资料送交评标委员会。</w:t>
      </w:r>
    </w:p>
    <w:p>
      <w:pPr>
        <w:spacing w:line="360" w:lineRule="auto"/>
        <w:jc w:val="center"/>
        <w:outlineLvl w:val="2"/>
        <w:rPr>
          <w:rFonts w:hint="eastAsia" w:ascii="宋体" w:hAnsi="宋体"/>
          <w:b/>
          <w:snapToGrid w:val="0"/>
          <w:kern w:val="0"/>
          <w:sz w:val="32"/>
          <w:szCs w:val="32"/>
          <w:highlight w:val="none"/>
        </w:rPr>
      </w:pPr>
      <w:bookmarkStart w:id="7" w:name="_Toc509669690"/>
    </w:p>
    <w:p>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五、资格审查</w:t>
      </w:r>
      <w:bookmarkEnd w:id="7"/>
    </w:p>
    <w:p>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pPr>
        <w:spacing w:line="360" w:lineRule="auto"/>
        <w:ind w:firstLine="420" w:firstLineChars="200"/>
        <w:jc w:val="left"/>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10.1资格审查由评标委员会负责。</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10.2评标委员严格对照</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要求的投标人资格条件，逐个审查投标人递交的资格审查文件，审核判断投标人是否满足该资格条件。</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10.3全部投标人的资格审查材料审查完毕后，</w:t>
      </w:r>
      <w:r>
        <w:rPr>
          <w:rFonts w:hint="eastAsia" w:ascii="宋体" w:hAnsi="宋体"/>
          <w:b/>
          <w:snapToGrid w:val="0"/>
          <w:color w:val="000000"/>
          <w:kern w:val="0"/>
          <w:szCs w:val="21"/>
          <w:highlight w:val="none"/>
        </w:rPr>
        <w:t>评标委员会出具资格审查报告</w:t>
      </w:r>
      <w:r>
        <w:rPr>
          <w:rFonts w:hint="eastAsia" w:ascii="宋体" w:hAnsi="宋体"/>
          <w:snapToGrid w:val="0"/>
          <w:kern w:val="0"/>
          <w:szCs w:val="21"/>
          <w:highlight w:val="none"/>
        </w:rPr>
        <w:t>。资格审查合格投标人少于3家的，不再进行后续</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投标程序。</w:t>
      </w:r>
    </w:p>
    <w:p>
      <w:pPr>
        <w:spacing w:line="360" w:lineRule="auto"/>
        <w:jc w:val="center"/>
        <w:outlineLvl w:val="2"/>
        <w:rPr>
          <w:rFonts w:hint="eastAsia" w:ascii="宋体" w:hAnsi="宋体"/>
          <w:b/>
          <w:snapToGrid w:val="0"/>
          <w:kern w:val="0"/>
          <w:sz w:val="32"/>
          <w:szCs w:val="32"/>
          <w:highlight w:val="none"/>
        </w:rPr>
      </w:pPr>
      <w:bookmarkStart w:id="8" w:name="_Toc509669691"/>
    </w:p>
    <w:p>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六、评标</w:t>
      </w:r>
      <w:bookmarkEnd w:id="8"/>
    </w:p>
    <w:p>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11.评标委员会和评标</w:t>
      </w:r>
    </w:p>
    <w:p>
      <w:pPr>
        <w:spacing w:line="360" w:lineRule="auto"/>
        <w:ind w:firstLine="420" w:firstLineChars="200"/>
        <w:jc w:val="left"/>
        <w:rPr>
          <w:rFonts w:hAnsi="宋体"/>
          <w:highlight w:val="none"/>
        </w:rPr>
      </w:pPr>
      <w:r>
        <w:rPr>
          <w:rFonts w:hint="eastAsia" w:ascii="宋体" w:hAnsi="宋体"/>
          <w:snapToGrid w:val="0"/>
          <w:kern w:val="0"/>
          <w:szCs w:val="21"/>
          <w:highlight w:val="none"/>
        </w:rPr>
        <w:t>11.1评标委员会的组建：招标人依法组建评标委员会，负责该</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项目的评标活动。</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11.2评标委员会的职责：评标委员会应根据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文件规定的评标方法和标准，对投标文件进行系统地评审。评标委员会根据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文件的规定直接确定中标人。</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11.3评标委员会的原则：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rPr>
        <w:t>评标委员会的评审应实行少数服从多数的原则，经评标委员会成员</w:t>
      </w:r>
      <w:r>
        <w:rPr>
          <w:rFonts w:hint="eastAsia" w:ascii="宋体" w:hAnsi="宋体"/>
          <w:snapToGrid w:val="0"/>
          <w:kern w:val="0"/>
          <w:szCs w:val="21"/>
          <w:highlight w:val="none"/>
          <w:lang w:val="en-US" w:eastAsia="zh-CN"/>
        </w:rPr>
        <w:t>实</w:t>
      </w:r>
      <w:r>
        <w:rPr>
          <w:rFonts w:hint="eastAsia" w:ascii="宋体" w:hAnsi="宋体"/>
          <w:snapToGrid w:val="0"/>
          <w:kern w:val="0"/>
          <w:szCs w:val="21"/>
          <w:highlight w:val="none"/>
        </w:rPr>
        <w:t>名表决半数以上通过的评标结果有效。</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11.4招标人应向评标委员会提供以下资料，供评标使用：</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文件，包括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文件的补充、修改或澄清文件；</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(2)其他评标必</w:t>
      </w:r>
      <w:r>
        <w:rPr>
          <w:rFonts w:hint="eastAsia" w:ascii="宋体" w:hAnsi="宋体"/>
          <w:snapToGrid w:val="0"/>
          <w:kern w:val="0"/>
          <w:szCs w:val="21"/>
          <w:highlight w:val="none"/>
          <w:lang w:val="en-US" w:eastAsia="zh-CN"/>
        </w:rPr>
        <w:t>需</w:t>
      </w:r>
      <w:r>
        <w:rPr>
          <w:rFonts w:hint="eastAsia" w:ascii="宋体" w:hAnsi="宋体"/>
          <w:snapToGrid w:val="0"/>
          <w:kern w:val="0"/>
          <w:szCs w:val="21"/>
          <w:highlight w:val="none"/>
        </w:rPr>
        <w:t>的资料。</w:t>
      </w:r>
    </w:p>
    <w:p>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12.投标文件的澄清和对答辩人的要求（此次不要求）</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12.1可以要求投标人对投标文件含义不明确的内容作必要的澄清、说明。澄清、说明应以书面方式进行并不得超出投标文件的范围或改变投标文件的实质性内容。</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w:t>
      </w:r>
      <w:r>
        <w:rPr>
          <w:rFonts w:ascii="宋体" w:hAnsi="宋体"/>
          <w:snapToGrid w:val="0"/>
          <w:kern w:val="0"/>
          <w:szCs w:val="21"/>
          <w:highlight w:val="none"/>
        </w:rPr>
        <w:t>投标</w:t>
      </w:r>
      <w:r>
        <w:rPr>
          <w:rFonts w:hint="eastAsia" w:ascii="宋体" w:hAnsi="宋体"/>
          <w:snapToGrid w:val="0"/>
          <w:kern w:val="0"/>
          <w:szCs w:val="21"/>
          <w:highlight w:val="none"/>
        </w:rPr>
        <w:t>人委派</w:t>
      </w:r>
      <w:r>
        <w:rPr>
          <w:rFonts w:ascii="宋体" w:hAnsi="宋体"/>
          <w:snapToGrid w:val="0"/>
          <w:kern w:val="0"/>
          <w:szCs w:val="21"/>
          <w:highlight w:val="none"/>
        </w:rPr>
        <w:t>的答辩人</w:t>
      </w:r>
      <w:r>
        <w:rPr>
          <w:rFonts w:hint="eastAsia" w:ascii="宋体" w:hAnsi="宋体"/>
          <w:snapToGrid w:val="0"/>
          <w:kern w:val="0"/>
          <w:szCs w:val="21"/>
          <w:highlight w:val="none"/>
        </w:rPr>
        <w:t>应符合以</w:t>
      </w:r>
      <w:r>
        <w:rPr>
          <w:rFonts w:ascii="宋体" w:hAnsi="宋体"/>
          <w:snapToGrid w:val="0"/>
          <w:kern w:val="0"/>
          <w:szCs w:val="21"/>
          <w:highlight w:val="none"/>
        </w:rPr>
        <w:t>下</w:t>
      </w:r>
      <w:r>
        <w:rPr>
          <w:rFonts w:hint="eastAsia" w:ascii="宋体" w:hAnsi="宋体"/>
          <w:snapToGrid w:val="0"/>
          <w:kern w:val="0"/>
          <w:szCs w:val="21"/>
          <w:highlight w:val="none"/>
        </w:rPr>
        <w:t>条件</w:t>
      </w:r>
      <w:r>
        <w:rPr>
          <w:rFonts w:ascii="宋体" w:hAnsi="宋体"/>
          <w:snapToGrid w:val="0"/>
          <w:kern w:val="0"/>
          <w:szCs w:val="21"/>
          <w:highlight w:val="none"/>
        </w:rPr>
        <w:t>：</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12.2.1拟进行投标</w:t>
      </w:r>
      <w:r>
        <w:rPr>
          <w:rFonts w:ascii="宋体" w:hAnsi="宋体"/>
          <w:snapToGrid w:val="0"/>
          <w:kern w:val="0"/>
          <w:szCs w:val="21"/>
          <w:highlight w:val="none"/>
        </w:rPr>
        <w:t>答辩</w:t>
      </w:r>
      <w:r>
        <w:rPr>
          <w:rFonts w:hint="eastAsia" w:ascii="宋体" w:hAnsi="宋体"/>
          <w:snapToGrid w:val="0"/>
          <w:kern w:val="0"/>
          <w:szCs w:val="21"/>
          <w:highlight w:val="none"/>
        </w:rPr>
        <w:t>的，答辩人必须是投标人拟派往本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项目的项目负责人、其法定代表人或者法定代表人委托代理人。</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12.3要求投标人进行答辩，但投标人在规定时间内未派出答辩人的，将根据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文件规定作出不利于投标人的判定，且投标人不得因此提出任何异议。</w:t>
      </w:r>
    </w:p>
    <w:p>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评标委员会对进入评标环节的全部投标文件进行评审，给出评审意见，评委采用投票方式推荐综合评价最优的1名投标单位为中标候选人。</w:t>
      </w:r>
    </w:p>
    <w:p>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14．投标人的推荐</w:t>
      </w:r>
    </w:p>
    <w:p>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14.2本次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如果评标委员会已推荐投标人，无论随后出现何种情形，招标人在本次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中不再接受另外的投标人，除非重新组织</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w:t>
      </w:r>
    </w:p>
    <w:p>
      <w:pPr>
        <w:spacing w:line="360" w:lineRule="auto"/>
        <w:jc w:val="center"/>
        <w:outlineLvl w:val="2"/>
        <w:rPr>
          <w:rFonts w:hint="eastAsia" w:ascii="宋体" w:hAnsi="宋体"/>
          <w:b/>
          <w:snapToGrid w:val="0"/>
          <w:kern w:val="0"/>
          <w:sz w:val="32"/>
          <w:szCs w:val="32"/>
          <w:highlight w:val="none"/>
        </w:rPr>
      </w:pPr>
      <w:bookmarkStart w:id="9" w:name="_Toc509669692"/>
    </w:p>
    <w:p>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七、签订合同</w:t>
      </w:r>
      <w:bookmarkEnd w:id="9"/>
    </w:p>
    <w:p>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15.中标通知</w:t>
      </w:r>
    </w:p>
    <w:p>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15</w:t>
      </w:r>
      <w:r>
        <w:rPr>
          <w:rFonts w:ascii="宋体" w:hAnsi="宋体"/>
          <w:snapToGrid w:val="0"/>
          <w:kern w:val="0"/>
          <w:szCs w:val="21"/>
          <w:highlight w:val="none"/>
        </w:rPr>
        <w:t>.</w:t>
      </w:r>
      <w:r>
        <w:rPr>
          <w:rFonts w:hint="eastAsia" w:ascii="宋体" w:hAnsi="宋体"/>
          <w:snapToGrid w:val="0"/>
          <w:kern w:val="0"/>
          <w:szCs w:val="21"/>
          <w:highlight w:val="none"/>
        </w:rPr>
        <w:t>1招标人应在确定中标人后，发出委托函。委托函是本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项目合同的组成部分。如接到有关投诉的，招标人将可能暂停发出委托函。</w:t>
      </w:r>
    </w:p>
    <w:p>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16.签订合同</w:t>
      </w:r>
    </w:p>
    <w:p>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16.1招标人和中标人应当按在委托函</w:t>
      </w:r>
      <w:r>
        <w:rPr>
          <w:rFonts w:hint="eastAsia" w:ascii="宋体" w:hAnsi="宋体"/>
          <w:snapToGrid w:val="0"/>
          <w:color w:val="auto"/>
          <w:kern w:val="0"/>
          <w:szCs w:val="21"/>
          <w:highlight w:val="none"/>
        </w:rPr>
        <w:t>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w:t>
      </w:r>
      <w:r>
        <w:rPr>
          <w:rFonts w:hint="eastAsia" w:ascii="宋体" w:hAnsi="宋体"/>
          <w:snapToGrid w:val="0"/>
          <w:kern w:val="0"/>
          <w:szCs w:val="21"/>
          <w:highlight w:val="none"/>
        </w:rPr>
        <w:t>，依据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文件和中标人的投标文件订立书面合同。</w:t>
      </w:r>
    </w:p>
    <w:p>
      <w:pPr>
        <w:spacing w:line="360" w:lineRule="auto"/>
        <w:ind w:firstLine="422" w:firstLineChars="200"/>
        <w:jc w:val="left"/>
        <w:rPr>
          <w:rFonts w:ascii="宋体" w:hAnsi="宋体"/>
          <w:sz w:val="24"/>
          <w:szCs w:val="24"/>
          <w:highlight w:val="none"/>
        </w:rPr>
      </w:pPr>
      <w:r>
        <w:rPr>
          <w:rFonts w:hAnsi="宋体"/>
          <w:b/>
          <w:szCs w:val="21"/>
          <w:highlight w:val="none"/>
        </w:rPr>
        <w:br w:type="page"/>
      </w:r>
    </w:p>
    <w:p>
      <w:pPr>
        <w:pStyle w:val="100"/>
        <w:widowControl/>
        <w:spacing w:line="560" w:lineRule="exact"/>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pPr>
              <w:pStyle w:val="98"/>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1</w:t>
            </w:r>
          </w:p>
        </w:tc>
        <w:tc>
          <w:tcPr>
            <w:tcW w:w="3234" w:type="dxa"/>
            <w:vAlign w:val="center"/>
          </w:tcPr>
          <w:p>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pPr>
              <w:pStyle w:val="29"/>
              <w:rPr>
                <w:rFonts w:hint="eastAsia" w:hAnsi="宋体" w:eastAsia="宋体"/>
                <w:sz w:val="24"/>
                <w:szCs w:val="24"/>
                <w:highlight w:val="none"/>
                <w:lang w:eastAsia="zh-CN"/>
              </w:rPr>
            </w:pPr>
            <w:r>
              <w:rPr>
                <w:rFonts w:hint="eastAsia" w:hAnsi="宋体"/>
                <w:sz w:val="24"/>
                <w:szCs w:val="24"/>
                <w:highlight w:val="none"/>
              </w:rPr>
              <w:t>提供营业执照复印件、资质证书复印件、法定代表人证明书及身份证复印件、法定代表人授权委托书及身份证复印件</w:t>
            </w:r>
            <w:r>
              <w:rPr>
                <w:rFonts w:hint="eastAsia" w:hAnsi="宋体"/>
                <w:sz w:val="24"/>
                <w:szCs w:val="24"/>
                <w:highlight w:val="none"/>
                <w:lang w:eastAsia="zh-CN"/>
              </w:rPr>
              <w:t>（</w:t>
            </w:r>
            <w:r>
              <w:rPr>
                <w:rFonts w:hint="eastAsia" w:hAnsi="宋体"/>
                <w:sz w:val="24"/>
                <w:szCs w:val="24"/>
                <w:highlight w:val="none"/>
                <w:lang w:val="en-US" w:eastAsia="zh-CN"/>
              </w:rPr>
              <w:t>如有</w:t>
            </w:r>
            <w:r>
              <w:rPr>
                <w:rFonts w:hint="eastAsia" w:hAnsi="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2</w:t>
            </w:r>
          </w:p>
        </w:tc>
        <w:tc>
          <w:tcPr>
            <w:tcW w:w="3234" w:type="dxa"/>
            <w:vAlign w:val="center"/>
          </w:tcPr>
          <w:p>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承诺函</w:t>
            </w:r>
          </w:p>
        </w:tc>
        <w:tc>
          <w:tcPr>
            <w:tcW w:w="5095" w:type="dxa"/>
            <w:vAlign w:val="center"/>
          </w:tcPr>
          <w:p>
            <w:pPr>
              <w:pStyle w:val="98"/>
              <w:spacing w:line="360" w:lineRule="exact"/>
              <w:ind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3</w:t>
            </w:r>
          </w:p>
        </w:tc>
        <w:tc>
          <w:tcPr>
            <w:tcW w:w="3234" w:type="dxa"/>
            <w:vAlign w:val="center"/>
          </w:tcPr>
          <w:p>
            <w:pPr>
              <w:pStyle w:val="98"/>
              <w:spacing w:line="360" w:lineRule="exact"/>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pPr>
              <w:pStyle w:val="98"/>
              <w:spacing w:line="360" w:lineRule="exact"/>
              <w:ind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pPr>
              <w:pStyle w:val="98"/>
              <w:spacing w:line="360" w:lineRule="exact"/>
              <w:ind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pPr>
              <w:pStyle w:val="98"/>
              <w:spacing w:line="360" w:lineRule="exact"/>
              <w:ind w:firstLine="0" w:firstLineChars="0"/>
              <w:jc w:val="center"/>
              <w:rPr>
                <w:rFonts w:ascii="宋体" w:hAnsi="宋体"/>
                <w:sz w:val="24"/>
                <w:szCs w:val="24"/>
                <w:highlight w:val="none"/>
              </w:rPr>
            </w:pPr>
            <w:r>
              <w:rPr>
                <w:rFonts w:ascii="宋体" w:hAnsi="宋体"/>
                <w:sz w:val="24"/>
                <w:szCs w:val="24"/>
                <w:highlight w:val="none"/>
              </w:rPr>
              <w:t>4</w:t>
            </w:r>
          </w:p>
        </w:tc>
        <w:tc>
          <w:tcPr>
            <w:tcW w:w="3234" w:type="dxa"/>
            <w:vAlign w:val="center"/>
          </w:tcPr>
          <w:p>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资信</w:t>
            </w:r>
            <w:r>
              <w:rPr>
                <w:rFonts w:hint="eastAsia" w:ascii="宋体" w:hAnsi="宋体" w:cs="宋体"/>
                <w:kern w:val="0"/>
                <w:sz w:val="24"/>
                <w:szCs w:val="24"/>
                <w:highlight w:val="none"/>
                <w:lang w:val="en-US" w:eastAsia="zh-CN"/>
              </w:rPr>
              <w:t>与方案</w:t>
            </w:r>
            <w:r>
              <w:rPr>
                <w:rFonts w:hint="eastAsia" w:ascii="宋体" w:hAnsi="宋体" w:eastAsia="宋体" w:cs="宋体"/>
                <w:kern w:val="0"/>
                <w:sz w:val="24"/>
                <w:szCs w:val="24"/>
                <w:highlight w:val="none"/>
              </w:rPr>
              <w:t>要求</w:t>
            </w:r>
          </w:p>
        </w:tc>
        <w:tc>
          <w:tcPr>
            <w:tcW w:w="5095" w:type="dxa"/>
            <w:vAlign w:val="center"/>
          </w:tcPr>
          <w:p>
            <w:pPr>
              <w:pStyle w:val="98"/>
              <w:spacing w:line="360" w:lineRule="exact"/>
              <w:ind w:firstLine="0" w:firstLine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按</w:t>
            </w:r>
            <w:r>
              <w:rPr>
                <w:rFonts w:hint="default" w:ascii="宋体" w:hAnsi="宋体"/>
                <w:sz w:val="24"/>
                <w:szCs w:val="24"/>
                <w:highlight w:val="none"/>
                <w:lang w:val="en-US" w:eastAsia="zh-CN"/>
              </w:rPr>
              <w:t>“</w:t>
            </w:r>
            <w:r>
              <w:rPr>
                <w:rFonts w:hint="eastAsia" w:ascii="宋体" w:hAnsi="宋体"/>
                <w:sz w:val="24"/>
                <w:szCs w:val="24"/>
                <w:highlight w:val="none"/>
              </w:rPr>
              <w:t>资信</w:t>
            </w:r>
            <w:r>
              <w:rPr>
                <w:rFonts w:hint="eastAsia" w:ascii="宋体" w:hAnsi="宋体"/>
                <w:sz w:val="24"/>
                <w:szCs w:val="24"/>
                <w:highlight w:val="none"/>
                <w:lang w:val="en-US" w:eastAsia="zh-CN"/>
              </w:rPr>
              <w:t>与方案</w:t>
            </w:r>
            <w:r>
              <w:rPr>
                <w:rFonts w:hint="eastAsia" w:ascii="宋体" w:hAnsi="宋体"/>
                <w:sz w:val="24"/>
                <w:szCs w:val="24"/>
                <w:highlight w:val="none"/>
              </w:rPr>
              <w:t>要求</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pPr>
              <w:pStyle w:val="98"/>
              <w:spacing w:line="360" w:lineRule="exact"/>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p>
        </w:tc>
        <w:tc>
          <w:tcPr>
            <w:tcW w:w="3234" w:type="dxa"/>
            <w:vAlign w:val="center"/>
          </w:tcPr>
          <w:p>
            <w:pPr>
              <w:pStyle w:val="98"/>
              <w:spacing w:line="360" w:lineRule="exact"/>
              <w:ind w:firstLine="0" w:firstLineChars="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报价人认为需要加以说明的其他内容</w:t>
            </w:r>
          </w:p>
        </w:tc>
        <w:tc>
          <w:tcPr>
            <w:tcW w:w="5095" w:type="dxa"/>
            <w:vAlign w:val="center"/>
          </w:tcPr>
          <w:p>
            <w:pPr>
              <w:pStyle w:val="29"/>
              <w:rPr>
                <w:rFonts w:hAnsi="宋体"/>
                <w:sz w:val="24"/>
                <w:szCs w:val="24"/>
                <w:highlight w:val="none"/>
              </w:rPr>
            </w:pPr>
            <w:r>
              <w:rPr>
                <w:rFonts w:hint="eastAsia" w:hAnsi="宋体"/>
                <w:sz w:val="24"/>
                <w:szCs w:val="24"/>
                <w:highlight w:val="none"/>
              </w:rPr>
              <w:t>如有</w:t>
            </w:r>
          </w:p>
        </w:tc>
      </w:tr>
    </w:tbl>
    <w:p>
      <w:pPr>
        <w:pStyle w:val="98"/>
        <w:tabs>
          <w:tab w:val="left" w:pos="426"/>
          <w:tab w:val="left" w:pos="567"/>
        </w:tabs>
        <w:spacing w:line="560" w:lineRule="exact"/>
        <w:ind w:left="622" w:firstLine="0" w:firstLineChars="0"/>
        <w:outlineLvl w:val="0"/>
        <w:rPr>
          <w:rFonts w:ascii="仿宋" w:hAnsi="仿宋" w:eastAsia="仿宋"/>
          <w:b/>
          <w:sz w:val="30"/>
          <w:szCs w:val="30"/>
          <w:highlight w:val="none"/>
        </w:rPr>
      </w:pPr>
    </w:p>
    <w:p>
      <w:pPr>
        <w:widowControl/>
        <w:spacing w:beforeLines="-2147483648" w:afterLines="-2147483648"/>
        <w:jc w:val="left"/>
        <w:rPr>
          <w:rFonts w:hint="eastAsia" w:ascii="黑体" w:eastAsia="黑体"/>
          <w:snapToGrid w:val="0"/>
          <w:kern w:val="0"/>
          <w:sz w:val="32"/>
          <w:szCs w:val="32"/>
          <w:highlight w:val="none"/>
        </w:rPr>
      </w:pPr>
    </w:p>
    <w:p>
      <w:pPr>
        <w:pStyle w:val="100"/>
        <w:widowControl/>
        <w:spacing w:line="560" w:lineRule="exact"/>
        <w:rPr>
          <w:rFonts w:ascii="仿宋" w:hAnsi="仿宋" w:eastAsia="仿宋"/>
          <w:b/>
          <w:sz w:val="30"/>
          <w:szCs w:val="30"/>
          <w:highlight w:val="none"/>
        </w:rPr>
      </w:pPr>
    </w:p>
    <w:p>
      <w:pPr>
        <w:rPr>
          <w:rFonts w:ascii="仿宋" w:hAnsi="仿宋" w:eastAsia="仿宋"/>
          <w:b/>
          <w:sz w:val="30"/>
          <w:szCs w:val="30"/>
          <w:highlight w:val="none"/>
        </w:rPr>
      </w:pPr>
      <w:r>
        <w:rPr>
          <w:rFonts w:ascii="仿宋" w:hAnsi="仿宋" w:eastAsia="仿宋"/>
          <w:b/>
          <w:sz w:val="30"/>
          <w:szCs w:val="30"/>
          <w:highlight w:val="none"/>
        </w:rPr>
        <w:br w:type="page"/>
      </w:r>
    </w:p>
    <w:p>
      <w:pPr>
        <w:pStyle w:val="100"/>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0" w:name="_Toc151020524"/>
      <w:bookmarkStart w:id="11" w:name="_Toc306716037"/>
      <w:bookmarkStart w:id="12" w:name="_Toc509669694"/>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序号</w:t>
            </w:r>
          </w:p>
        </w:tc>
        <w:tc>
          <w:tcPr>
            <w:tcW w:w="156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要素名称</w:t>
            </w:r>
          </w:p>
        </w:tc>
        <w:tc>
          <w:tcPr>
            <w:tcW w:w="601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1</w:t>
            </w:r>
          </w:p>
        </w:tc>
        <w:tc>
          <w:tcPr>
            <w:tcW w:w="1563" w:type="dxa"/>
            <w:vAlign w:val="center"/>
          </w:tcPr>
          <w:p>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投标人类似</w:t>
            </w:r>
            <w:r>
              <w:rPr>
                <w:rFonts w:ascii="仿宋_GB2312" w:hAnsi="仿宋_GB2312" w:eastAsia="仿宋_GB2312" w:cs="仿宋_GB2312"/>
                <w:color w:val="auto"/>
                <w:kern w:val="0"/>
                <w:sz w:val="28"/>
                <w:szCs w:val="28"/>
                <w:highlight w:val="none"/>
              </w:rPr>
              <w:t>工程业绩</w:t>
            </w:r>
          </w:p>
        </w:tc>
        <w:tc>
          <w:tcPr>
            <w:tcW w:w="6012" w:type="dxa"/>
            <w:vAlign w:val="center"/>
          </w:tcPr>
          <w:p>
            <w:pPr>
              <w:keepNext w:val="0"/>
              <w:keepLines w:val="0"/>
              <w:widowControl/>
              <w:suppressLineNumbers w:val="0"/>
              <w:adjustRightInd/>
              <w:snapToGrid/>
              <w:spacing w:before="0" w:beforeAutospacing="0" w:after="0" w:afterAutospacing="0" w:line="0" w:lineRule="atLeast"/>
              <w:ind w:left="0" w:right="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投标人提供：</w:t>
            </w:r>
          </w:p>
          <w:p>
            <w:pPr>
              <w:keepNext w:val="0"/>
              <w:keepLines w:val="0"/>
              <w:widowControl/>
              <w:suppressLineNumbers w:val="0"/>
              <w:adjustRightInd/>
              <w:snapToGrid/>
              <w:spacing w:before="0" w:beforeAutospacing="0" w:after="0" w:afterAutospacing="0" w:line="0" w:lineRule="atLeast"/>
              <w:ind w:left="0" w:right="0"/>
              <w:jc w:val="left"/>
              <w:rPr>
                <w:rFonts w:hint="eastAsia" w:ascii="仿宋_GB2312" w:hAnsi="仿宋_GB2312" w:eastAsia="仿宋_GB2312" w:cs="仿宋_GB2312"/>
                <w:kern w:val="2"/>
                <w:sz w:val="28"/>
                <w:szCs w:val="28"/>
                <w:highlight w:val="none"/>
                <w:lang w:bidi="ar-SA"/>
              </w:rPr>
            </w:pPr>
            <w:r>
              <w:rPr>
                <w:rFonts w:hint="eastAsia" w:ascii="仿宋_GB2312" w:hAnsi="仿宋_GB2312" w:eastAsia="仿宋_GB2312" w:cs="仿宋_GB2312"/>
                <w:kern w:val="2"/>
                <w:sz w:val="28"/>
                <w:szCs w:val="28"/>
                <w:highlight w:val="none"/>
                <w:lang w:bidi="ar-SA"/>
              </w:rPr>
              <w:t>202</w:t>
            </w:r>
            <w:r>
              <w:rPr>
                <w:rFonts w:hint="eastAsia" w:ascii="仿宋_GB2312" w:hAnsi="仿宋_GB2312" w:eastAsia="仿宋_GB2312" w:cs="仿宋_GB2312"/>
                <w:kern w:val="2"/>
                <w:sz w:val="28"/>
                <w:szCs w:val="28"/>
                <w:highlight w:val="none"/>
                <w:lang w:val="en-US" w:eastAsia="zh-CN" w:bidi="ar-SA"/>
              </w:rPr>
              <w:t>1</w:t>
            </w:r>
            <w:r>
              <w:rPr>
                <w:rFonts w:hint="eastAsia" w:ascii="仿宋_GB2312" w:hAnsi="仿宋_GB2312" w:eastAsia="仿宋_GB2312" w:cs="仿宋_GB2312"/>
                <w:kern w:val="2"/>
                <w:sz w:val="28"/>
                <w:szCs w:val="28"/>
                <w:highlight w:val="none"/>
                <w:lang w:bidi="ar-SA"/>
              </w:rPr>
              <w:t>年</w:t>
            </w:r>
            <w:r>
              <w:rPr>
                <w:rFonts w:hint="eastAsia" w:ascii="仿宋_GB2312" w:hAnsi="仿宋_GB2312" w:eastAsia="仿宋_GB2312" w:cs="仿宋_GB2312"/>
                <w:kern w:val="2"/>
                <w:sz w:val="28"/>
                <w:szCs w:val="28"/>
                <w:highlight w:val="none"/>
                <w:lang w:val="en-US" w:eastAsia="zh-CN" w:bidi="ar-SA"/>
              </w:rPr>
              <w:t>1</w:t>
            </w:r>
            <w:r>
              <w:rPr>
                <w:rFonts w:hint="eastAsia" w:ascii="仿宋_GB2312" w:hAnsi="仿宋_GB2312" w:eastAsia="仿宋_GB2312" w:cs="仿宋_GB2312"/>
                <w:kern w:val="2"/>
                <w:sz w:val="28"/>
                <w:szCs w:val="28"/>
                <w:highlight w:val="none"/>
                <w:lang w:bidi="ar-SA"/>
              </w:rPr>
              <w:t>月1日至今</w:t>
            </w:r>
            <w:r>
              <w:rPr>
                <w:rFonts w:hint="eastAsia" w:ascii="仿宋_GB2312" w:hAnsi="仿宋_GB2312" w:eastAsia="仿宋_GB2312" w:cs="仿宋_GB2312"/>
                <w:kern w:val="2"/>
                <w:sz w:val="28"/>
                <w:szCs w:val="28"/>
                <w:highlight w:val="none"/>
                <w:lang w:eastAsia="zh-CN" w:bidi="ar-SA"/>
              </w:rPr>
              <w:t>，</w:t>
            </w:r>
            <w:r>
              <w:rPr>
                <w:rFonts w:hint="eastAsia" w:ascii="仿宋_GB2312" w:hAnsi="仿宋_GB2312" w:eastAsia="仿宋_GB2312" w:cs="仿宋_GB2312"/>
                <w:kern w:val="2"/>
                <w:sz w:val="28"/>
                <w:szCs w:val="28"/>
                <w:highlight w:val="none"/>
                <w:lang w:bidi="ar-SA"/>
              </w:rPr>
              <w:t>投标人</w:t>
            </w:r>
            <w:r>
              <w:rPr>
                <w:rFonts w:hint="eastAsia" w:ascii="仿宋_GB2312" w:hAnsi="仿宋_GB2312" w:eastAsia="仿宋_GB2312" w:cs="仿宋_GB2312"/>
                <w:sz w:val="28"/>
                <w:szCs w:val="28"/>
                <w:highlight w:val="none"/>
                <w:lang w:val="en-US" w:eastAsia="zh-CN"/>
              </w:rPr>
              <w:t>主体结构第三方监测</w:t>
            </w:r>
            <w:r>
              <w:rPr>
                <w:rFonts w:hint="eastAsia" w:ascii="仿宋_GB2312" w:hAnsi="仿宋_GB2312" w:eastAsia="仿宋_GB2312" w:cs="仿宋_GB2312"/>
                <w:kern w:val="2"/>
                <w:sz w:val="28"/>
                <w:szCs w:val="28"/>
                <w:highlight w:val="none"/>
                <w:lang w:bidi="ar-SA"/>
              </w:rPr>
              <w:t>相关</w:t>
            </w:r>
            <w:r>
              <w:rPr>
                <w:rFonts w:hint="eastAsia" w:ascii="仿宋_GB2312" w:hAnsi="仿宋_GB2312" w:eastAsia="仿宋_GB2312" w:cs="仿宋_GB2312"/>
                <w:kern w:val="2"/>
                <w:sz w:val="28"/>
                <w:szCs w:val="28"/>
                <w:highlight w:val="none"/>
                <w:lang w:val="en-US" w:eastAsia="zh-CN" w:bidi="ar-SA"/>
              </w:rPr>
              <w:t>业绩（不超过3项，若超过3项，招标人仅对前3项业绩进行复核及统计</w:t>
            </w:r>
            <w:r>
              <w:rPr>
                <w:rFonts w:hint="eastAsia" w:ascii="仿宋_GB2312" w:hAnsi="仿宋_GB2312" w:eastAsia="仿宋_GB2312" w:cs="仿宋_GB2312"/>
                <w:sz w:val="28"/>
                <w:szCs w:val="28"/>
                <w:highlight w:val="none"/>
              </w:rPr>
              <w:t>，以合同签订时间为准，合同未体现签订时间的，则不予统计此项业绩</w:t>
            </w:r>
            <w:r>
              <w:rPr>
                <w:rFonts w:hint="eastAsia" w:ascii="仿宋_GB2312" w:hAnsi="仿宋_GB2312" w:eastAsia="仿宋_GB2312" w:cs="仿宋_GB2312"/>
                <w:kern w:val="2"/>
                <w:sz w:val="28"/>
                <w:szCs w:val="28"/>
                <w:highlight w:val="none"/>
                <w:lang w:val="en-US" w:eastAsia="zh-CN" w:bidi="ar-SA"/>
              </w:rPr>
              <w:t>）</w:t>
            </w:r>
            <w:r>
              <w:rPr>
                <w:rFonts w:hint="eastAsia" w:ascii="仿宋_GB2312" w:hAnsi="仿宋_GB2312" w:eastAsia="仿宋_GB2312" w:cs="仿宋_GB2312"/>
                <w:kern w:val="2"/>
                <w:sz w:val="28"/>
                <w:szCs w:val="28"/>
                <w:highlight w:val="none"/>
                <w:lang w:bidi="ar-SA"/>
              </w:rPr>
              <w:t>。</w:t>
            </w:r>
          </w:p>
          <w:p>
            <w:pPr>
              <w:spacing w:line="0" w:lineRule="atLeast"/>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kern w:val="2"/>
                <w:sz w:val="28"/>
                <w:szCs w:val="28"/>
                <w:highlight w:val="none"/>
                <w:lang w:eastAsia="zh-CN" w:bidi="ar-SA"/>
              </w:rPr>
              <w:t>（证明资料为相关合同，应包含工程名称、委托单位名称、</w:t>
            </w:r>
            <w:r>
              <w:rPr>
                <w:rFonts w:hint="eastAsia" w:ascii="仿宋_GB2312" w:hAnsi="仿宋_GB2312" w:eastAsia="仿宋_GB2312" w:cs="仿宋_GB2312"/>
                <w:kern w:val="2"/>
                <w:sz w:val="28"/>
                <w:szCs w:val="28"/>
                <w:highlight w:val="none"/>
                <w:lang w:val="en-US" w:eastAsia="zh-CN" w:bidi="ar-SA"/>
              </w:rPr>
              <w:t>受托单位名称、</w:t>
            </w:r>
            <w:r>
              <w:rPr>
                <w:rFonts w:hint="eastAsia" w:ascii="仿宋_GB2312" w:hAnsi="仿宋_GB2312" w:eastAsia="仿宋_GB2312" w:cs="仿宋_GB2312"/>
                <w:kern w:val="2"/>
                <w:sz w:val="28"/>
                <w:szCs w:val="28"/>
                <w:highlight w:val="none"/>
                <w:lang w:eastAsia="zh-CN" w:bidi="ar-SA"/>
              </w:rPr>
              <w:t>合同金额、</w:t>
            </w:r>
            <w:r>
              <w:rPr>
                <w:rFonts w:hint="eastAsia" w:ascii="仿宋_GB2312" w:hAnsi="仿宋_GB2312" w:eastAsia="仿宋_GB2312" w:cs="仿宋_GB2312"/>
                <w:kern w:val="2"/>
                <w:sz w:val="28"/>
                <w:szCs w:val="28"/>
                <w:highlight w:val="none"/>
                <w:lang w:val="en-US" w:eastAsia="zh-CN" w:bidi="ar-SA"/>
              </w:rPr>
              <w:t>合同签订时间</w:t>
            </w:r>
            <w:r>
              <w:rPr>
                <w:rFonts w:hint="eastAsia" w:ascii="仿宋_GB2312" w:hAnsi="仿宋_GB2312" w:eastAsia="仿宋_GB2312" w:cs="仿宋_GB2312"/>
                <w:kern w:val="2"/>
                <w:sz w:val="28"/>
                <w:szCs w:val="28"/>
                <w:highlight w:val="none"/>
                <w:lang w:eastAsia="zh-CN" w:bidi="ar-SA"/>
              </w:rPr>
              <w:t>等信息，可提供合同关键页扫描件，若未体现以上信息，可提供其他相关证明材料）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2</w:t>
            </w:r>
          </w:p>
        </w:tc>
        <w:tc>
          <w:tcPr>
            <w:tcW w:w="1563" w:type="dxa"/>
            <w:vAlign w:val="center"/>
          </w:tcPr>
          <w:p>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项目负责人类似工程业绩</w:t>
            </w:r>
          </w:p>
        </w:tc>
        <w:tc>
          <w:tcPr>
            <w:tcW w:w="6012" w:type="dxa"/>
            <w:vAlign w:val="center"/>
          </w:tcPr>
          <w:p>
            <w:pPr>
              <w:keepNext w:val="0"/>
              <w:keepLines w:val="0"/>
              <w:suppressLineNumbers w:val="0"/>
              <w:spacing w:before="0" w:beforeAutospacing="0" w:after="0" w:afterAutospacing="0" w:line="0" w:lineRule="atLeast"/>
              <w:ind w:left="0" w:right="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投标人提供：</w:t>
            </w:r>
          </w:p>
          <w:p>
            <w:pPr>
              <w:keepNext w:val="0"/>
              <w:keepLines w:val="0"/>
              <w:suppressLineNumbers w:val="0"/>
              <w:spacing w:before="0" w:beforeAutospacing="0" w:after="0" w:afterAutospacing="0" w:line="0" w:lineRule="atLeast"/>
              <w:ind w:left="0" w:right="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lang w:bidi="ar-SA"/>
              </w:rPr>
              <w:t>202</w:t>
            </w:r>
            <w:r>
              <w:rPr>
                <w:rFonts w:hint="eastAsia" w:ascii="仿宋_GB2312" w:hAnsi="仿宋_GB2312" w:eastAsia="仿宋_GB2312" w:cs="仿宋_GB2312"/>
                <w:kern w:val="2"/>
                <w:sz w:val="28"/>
                <w:szCs w:val="28"/>
                <w:highlight w:val="none"/>
                <w:lang w:val="en-US" w:eastAsia="zh-CN" w:bidi="ar-SA"/>
              </w:rPr>
              <w:t>1</w:t>
            </w:r>
            <w:r>
              <w:rPr>
                <w:rFonts w:hint="eastAsia" w:ascii="仿宋_GB2312" w:hAnsi="仿宋_GB2312" w:eastAsia="仿宋_GB2312" w:cs="仿宋_GB2312"/>
                <w:kern w:val="2"/>
                <w:sz w:val="28"/>
                <w:szCs w:val="28"/>
                <w:highlight w:val="none"/>
                <w:lang w:bidi="ar-SA"/>
              </w:rPr>
              <w:t>年</w:t>
            </w:r>
            <w:r>
              <w:rPr>
                <w:rFonts w:hint="eastAsia" w:ascii="仿宋_GB2312" w:hAnsi="仿宋_GB2312" w:eastAsia="仿宋_GB2312" w:cs="仿宋_GB2312"/>
                <w:kern w:val="2"/>
                <w:sz w:val="28"/>
                <w:szCs w:val="28"/>
                <w:highlight w:val="none"/>
                <w:lang w:val="en-US" w:eastAsia="zh-CN" w:bidi="ar-SA"/>
              </w:rPr>
              <w:t>1</w:t>
            </w:r>
            <w:r>
              <w:rPr>
                <w:rFonts w:hint="eastAsia" w:ascii="仿宋_GB2312" w:hAnsi="仿宋_GB2312" w:eastAsia="仿宋_GB2312" w:cs="仿宋_GB2312"/>
                <w:kern w:val="2"/>
                <w:sz w:val="28"/>
                <w:szCs w:val="28"/>
                <w:highlight w:val="none"/>
                <w:lang w:bidi="ar-SA"/>
              </w:rPr>
              <w:t>月1日至今</w:t>
            </w:r>
            <w:r>
              <w:rPr>
                <w:rFonts w:hint="eastAsia" w:ascii="仿宋_GB2312" w:hAnsi="仿宋_GB2312" w:eastAsia="仿宋_GB2312" w:cs="仿宋_GB2312"/>
                <w:sz w:val="28"/>
                <w:szCs w:val="28"/>
                <w:highlight w:val="none"/>
              </w:rPr>
              <w:t>，项目负责人以项目负责人身份参与过</w:t>
            </w:r>
            <w:r>
              <w:rPr>
                <w:rFonts w:hint="eastAsia" w:ascii="仿宋_GB2312" w:hAnsi="仿宋_GB2312" w:eastAsia="仿宋_GB2312" w:cs="仿宋_GB2312"/>
                <w:sz w:val="28"/>
                <w:szCs w:val="28"/>
                <w:highlight w:val="none"/>
                <w:lang w:val="en-US" w:eastAsia="zh-CN"/>
              </w:rPr>
              <w:t>主体结构第三方监测的</w:t>
            </w:r>
            <w:r>
              <w:rPr>
                <w:rFonts w:hint="eastAsia" w:ascii="仿宋_GB2312" w:hAnsi="仿宋_GB2312" w:eastAsia="仿宋_GB2312" w:cs="仿宋_GB2312"/>
                <w:sz w:val="28"/>
                <w:szCs w:val="28"/>
                <w:highlight w:val="none"/>
              </w:rPr>
              <w:t>业绩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不超过3项，若超过3项，招标人仅对前3项业绩进行复核及统计，以合同签订时间为准，合同未体现签订时间的，则不予统计此项业绩。</w:t>
            </w:r>
            <w:r>
              <w:rPr>
                <w:rFonts w:hint="eastAsia" w:ascii="仿宋_GB2312" w:hAnsi="仿宋_GB2312" w:eastAsia="仿宋_GB2312" w:cs="仿宋_GB2312"/>
                <w:sz w:val="28"/>
                <w:szCs w:val="28"/>
                <w:highlight w:val="none"/>
                <w:lang w:eastAsia="zh-CN"/>
              </w:rPr>
              <w:t>）</w:t>
            </w:r>
          </w:p>
          <w:p>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sz w:val="28"/>
                <w:szCs w:val="28"/>
                <w:highlight w:val="none"/>
              </w:rPr>
              <w:t>（证明资料为合同关键页等证明文件扫描件，须体现</w:t>
            </w:r>
            <w:r>
              <w:rPr>
                <w:rFonts w:hint="eastAsia" w:ascii="仿宋_GB2312" w:hAnsi="仿宋_GB2312" w:eastAsia="仿宋_GB2312" w:cs="仿宋_GB2312"/>
                <w:sz w:val="28"/>
                <w:szCs w:val="28"/>
                <w:highlight w:val="none"/>
                <w:lang w:val="en-US" w:eastAsia="zh-CN"/>
              </w:rPr>
              <w:t>合同签订</w:t>
            </w:r>
            <w:r>
              <w:rPr>
                <w:rFonts w:hint="eastAsia" w:ascii="仿宋_GB2312" w:hAnsi="仿宋_GB2312" w:eastAsia="仿宋_GB2312" w:cs="仿宋_GB2312"/>
                <w:sz w:val="28"/>
                <w:szCs w:val="28"/>
                <w:highlight w:val="none"/>
              </w:rPr>
              <w:t>时间、合同签订金额和项目负责人</w:t>
            </w:r>
            <w:r>
              <w:rPr>
                <w:rFonts w:hint="eastAsia" w:ascii="仿宋_GB2312" w:hAnsi="仿宋_GB2312" w:eastAsia="仿宋_GB2312" w:cs="仿宋_GB2312"/>
                <w:sz w:val="28"/>
                <w:szCs w:val="28"/>
                <w:highlight w:val="none"/>
                <w:lang w:val="en-US" w:eastAsia="zh-CN"/>
              </w:rPr>
              <w:t>任职信息等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如无法体现任职信息，需提供业主证明等证明材料）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944" w:type="dxa"/>
            <w:vAlign w:val="center"/>
          </w:tcPr>
          <w:p>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3</w:t>
            </w:r>
          </w:p>
        </w:tc>
        <w:tc>
          <w:tcPr>
            <w:tcW w:w="1563" w:type="dxa"/>
            <w:vAlign w:val="center"/>
          </w:tcPr>
          <w:p>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highlight w:val="none"/>
              </w:rPr>
              <w:t>履约评价</w:t>
            </w:r>
          </w:p>
        </w:tc>
        <w:tc>
          <w:tcPr>
            <w:tcW w:w="6012" w:type="dxa"/>
            <w:vAlign w:val="center"/>
          </w:tcPr>
          <w:p>
            <w:pPr>
              <w:keepNext w:val="0"/>
              <w:keepLines w:val="0"/>
              <w:widowControl/>
              <w:suppressLineNumbers w:val="0"/>
              <w:adjustRightInd w:val="0"/>
              <w:snapToGrid w:val="0"/>
              <w:spacing w:before="80" w:beforeAutospacing="0" w:after="80" w:afterAutospacing="0"/>
              <w:ind w:left="0" w:right="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投标人提供：</w:t>
            </w:r>
          </w:p>
          <w:p>
            <w:pPr>
              <w:keepNext w:val="0"/>
              <w:keepLines w:val="0"/>
              <w:widowControl/>
              <w:suppressLineNumbers w:val="0"/>
              <w:adjustRightInd w:val="0"/>
              <w:snapToGrid w:val="0"/>
              <w:spacing w:before="80" w:beforeAutospacing="0" w:after="80" w:afterAutospacing="0"/>
              <w:ind w:left="0" w:right="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bidi="ar-SA"/>
              </w:rPr>
              <w:t>202</w:t>
            </w:r>
            <w:r>
              <w:rPr>
                <w:rFonts w:hint="eastAsia" w:ascii="仿宋_GB2312" w:hAnsi="仿宋_GB2312" w:eastAsia="仿宋_GB2312" w:cs="仿宋_GB2312"/>
                <w:kern w:val="2"/>
                <w:sz w:val="28"/>
                <w:szCs w:val="28"/>
                <w:highlight w:val="none"/>
                <w:lang w:val="en-US" w:eastAsia="zh-CN" w:bidi="ar-SA"/>
              </w:rPr>
              <w:t>1</w:t>
            </w:r>
            <w:r>
              <w:rPr>
                <w:rFonts w:hint="eastAsia" w:ascii="仿宋_GB2312" w:hAnsi="仿宋_GB2312" w:eastAsia="仿宋_GB2312" w:cs="仿宋_GB2312"/>
                <w:kern w:val="2"/>
                <w:sz w:val="28"/>
                <w:szCs w:val="28"/>
                <w:highlight w:val="none"/>
                <w:lang w:bidi="ar-SA"/>
              </w:rPr>
              <w:t>年</w:t>
            </w:r>
            <w:r>
              <w:rPr>
                <w:rFonts w:hint="eastAsia" w:ascii="仿宋_GB2312" w:hAnsi="仿宋_GB2312" w:eastAsia="仿宋_GB2312" w:cs="仿宋_GB2312"/>
                <w:kern w:val="2"/>
                <w:sz w:val="28"/>
                <w:szCs w:val="28"/>
                <w:highlight w:val="none"/>
                <w:lang w:val="en-US" w:eastAsia="zh-CN" w:bidi="ar-SA"/>
              </w:rPr>
              <w:t>1</w:t>
            </w:r>
            <w:r>
              <w:rPr>
                <w:rFonts w:hint="eastAsia" w:ascii="仿宋_GB2312" w:hAnsi="仿宋_GB2312" w:eastAsia="仿宋_GB2312" w:cs="仿宋_GB2312"/>
                <w:kern w:val="2"/>
                <w:sz w:val="28"/>
                <w:szCs w:val="28"/>
                <w:highlight w:val="none"/>
                <w:lang w:bidi="ar-SA"/>
              </w:rPr>
              <w:t>月1日至今</w:t>
            </w:r>
            <w:r>
              <w:rPr>
                <w:rFonts w:hint="eastAsia" w:ascii="仿宋_GB2312" w:hAnsi="仿宋_GB2312" w:eastAsia="仿宋_GB2312" w:cs="仿宋_GB2312"/>
                <w:kern w:val="2"/>
                <w:sz w:val="28"/>
                <w:szCs w:val="28"/>
                <w:highlight w:val="none"/>
                <w:lang w:val="en-US" w:eastAsia="zh-CN" w:bidi="ar-SA"/>
              </w:rPr>
              <w:t>，同类工程合同履约情况；（不超过3项，若超过3项，招标人仅对前3项履约进行复核及统计）。</w:t>
            </w:r>
          </w:p>
          <w:p>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kern w:val="2"/>
                <w:sz w:val="28"/>
                <w:szCs w:val="28"/>
                <w:highlight w:val="none"/>
                <w:lang w:val="en-US" w:eastAsia="zh-CN" w:bidi="ar-SA"/>
              </w:rPr>
              <w:cr/>
            </w:r>
            <w:r>
              <w:rPr>
                <w:rFonts w:hint="eastAsia" w:ascii="仿宋_GB2312" w:hAnsi="仿宋_GB2312" w:eastAsia="仿宋_GB2312" w:cs="仿宋_GB2312"/>
                <w:kern w:val="2"/>
                <w:sz w:val="28"/>
                <w:szCs w:val="28"/>
                <w:highlight w:val="none"/>
                <w:lang w:val="en-US" w:eastAsia="zh-CN" w:bidi="ar-SA"/>
              </w:rPr>
              <w:t>证明材料：履约证明等扫描件（应包含工程名称、评价单位名称、被评价单位名称、评价结论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4</w:t>
            </w:r>
          </w:p>
        </w:tc>
        <w:tc>
          <w:tcPr>
            <w:tcW w:w="1563" w:type="dxa"/>
            <w:vAlign w:val="center"/>
          </w:tcPr>
          <w:p>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highlight w:val="none"/>
              </w:rPr>
              <w:t>投标人诚信</w:t>
            </w:r>
          </w:p>
        </w:tc>
        <w:tc>
          <w:tcPr>
            <w:tcW w:w="6012" w:type="dxa"/>
            <w:vAlign w:val="center"/>
          </w:tcPr>
          <w:p>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kern w:val="2"/>
                <w:sz w:val="28"/>
                <w:szCs w:val="28"/>
                <w:highlight w:val="none"/>
                <w:lang w:bidi="ar-SA"/>
              </w:rPr>
              <w:t>202</w:t>
            </w:r>
            <w:r>
              <w:rPr>
                <w:rFonts w:hint="eastAsia" w:ascii="仿宋_GB2312" w:hAnsi="仿宋_GB2312" w:eastAsia="仿宋_GB2312" w:cs="仿宋_GB2312"/>
                <w:kern w:val="2"/>
                <w:sz w:val="28"/>
                <w:szCs w:val="28"/>
                <w:highlight w:val="none"/>
                <w:lang w:val="en-US" w:eastAsia="zh-CN" w:bidi="ar-SA"/>
              </w:rPr>
              <w:t>1</w:t>
            </w:r>
            <w:r>
              <w:rPr>
                <w:rFonts w:hint="eastAsia" w:ascii="仿宋_GB2312" w:hAnsi="仿宋_GB2312" w:eastAsia="仿宋_GB2312" w:cs="仿宋_GB2312"/>
                <w:kern w:val="2"/>
                <w:sz w:val="28"/>
                <w:szCs w:val="28"/>
                <w:highlight w:val="none"/>
                <w:lang w:bidi="ar-SA"/>
              </w:rPr>
              <w:t>年</w:t>
            </w:r>
            <w:r>
              <w:rPr>
                <w:rFonts w:hint="eastAsia" w:ascii="仿宋_GB2312" w:hAnsi="仿宋_GB2312" w:eastAsia="仿宋_GB2312" w:cs="仿宋_GB2312"/>
                <w:kern w:val="2"/>
                <w:sz w:val="28"/>
                <w:szCs w:val="28"/>
                <w:highlight w:val="none"/>
                <w:lang w:val="en-US" w:eastAsia="zh-CN" w:bidi="ar-SA"/>
              </w:rPr>
              <w:t>1</w:t>
            </w:r>
            <w:r>
              <w:rPr>
                <w:rFonts w:hint="eastAsia" w:ascii="仿宋_GB2312" w:hAnsi="仿宋_GB2312" w:eastAsia="仿宋_GB2312" w:cs="仿宋_GB2312"/>
                <w:kern w:val="2"/>
                <w:sz w:val="28"/>
                <w:szCs w:val="28"/>
                <w:highlight w:val="none"/>
                <w:lang w:bidi="ar-SA"/>
              </w:rPr>
              <w:t>月1日至今</w:t>
            </w:r>
            <w:r>
              <w:rPr>
                <w:rFonts w:hint="eastAsia" w:ascii="仿宋_GB2312" w:hAnsi="仿宋_GB2312" w:eastAsia="仿宋_GB2312" w:cs="仿宋_GB2312"/>
                <w:kern w:val="2"/>
                <w:sz w:val="28"/>
                <w:szCs w:val="28"/>
                <w:highlight w:val="none"/>
                <w:lang w:val="en-US" w:eastAsia="zh-CN" w:bidi="ar-SA"/>
              </w:rPr>
              <w:t>，在深圳市住房和建设局工程建设诚信档案中行政处罚记录情况。</w:t>
            </w:r>
            <w:r>
              <w:rPr>
                <w:rFonts w:hint="eastAsia" w:ascii="仿宋_GB2312" w:hAnsi="仿宋_GB2312" w:eastAsia="仿宋_GB2312" w:cs="仿宋_GB2312"/>
                <w:kern w:val="2"/>
                <w:sz w:val="28"/>
                <w:szCs w:val="28"/>
                <w:highlight w:val="none"/>
                <w:lang w:eastAsia="zh-CN" w:bidi="ar-SA"/>
              </w:rPr>
              <w:t>（证明资料为</w:t>
            </w:r>
            <w:r>
              <w:rPr>
                <w:rFonts w:hint="eastAsia" w:ascii="仿宋_GB2312" w:hAnsi="仿宋_GB2312" w:eastAsia="仿宋_GB2312" w:cs="仿宋_GB2312"/>
                <w:kern w:val="2"/>
                <w:sz w:val="28"/>
                <w:szCs w:val="28"/>
                <w:highlight w:val="none"/>
                <w:lang w:val="en-US" w:eastAsia="zh-CN" w:bidi="ar-SA"/>
              </w:rPr>
              <w:t>相关查询结果截图</w:t>
            </w:r>
            <w:r>
              <w:rPr>
                <w:rFonts w:hint="eastAsia" w:ascii="仿宋_GB2312" w:hAnsi="仿宋_GB2312" w:eastAsia="仿宋_GB2312" w:cs="仿宋_GB2312"/>
                <w:kern w:val="2"/>
                <w:sz w:val="28"/>
                <w:szCs w:val="28"/>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5</w:t>
            </w:r>
          </w:p>
        </w:tc>
        <w:tc>
          <w:tcPr>
            <w:tcW w:w="1563" w:type="dxa"/>
            <w:vAlign w:val="center"/>
          </w:tcPr>
          <w:p>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pPr>
              <w:keepNext w:val="0"/>
              <w:keepLines w:val="0"/>
              <w:widowControl/>
              <w:suppressLineNumbers w:val="0"/>
              <w:adjustRightInd w:val="0"/>
              <w:snapToGrid w:val="0"/>
              <w:spacing w:before="80" w:beforeAutospacing="0" w:after="80" w:afterAutospacing="0"/>
              <w:ind w:left="0" w:right="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投标人提供：</w:t>
            </w:r>
          </w:p>
          <w:p>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kern w:val="2"/>
                <w:sz w:val="28"/>
                <w:szCs w:val="28"/>
                <w:highlight w:val="none"/>
                <w:lang w:val="en-US" w:eastAsia="zh-CN" w:bidi="ar-SA"/>
              </w:rPr>
              <w:t>结合自身情况，依据本招标文件及任务书要求，编写本项目主体结构第三方监测实施方案，</w:t>
            </w:r>
            <w:r>
              <w:rPr>
                <w:rFonts w:hint="eastAsia" w:ascii="仿宋_GB2312" w:hAnsi="仿宋_GB2312" w:eastAsia="仿宋_GB2312" w:cs="仿宋_GB2312"/>
                <w:color w:val="auto"/>
                <w:kern w:val="0"/>
                <w:sz w:val="28"/>
                <w:szCs w:val="28"/>
                <w:highlight w:val="none"/>
                <w:lang w:val="en-US" w:eastAsia="zh-CN" w:bidi="ar"/>
              </w:rPr>
              <w:t>包括但不限于以下内容，</w:t>
            </w:r>
            <w:r>
              <w:rPr>
                <w:rFonts w:hint="eastAsia" w:ascii="仿宋_GB2312" w:hAnsi="仿宋_GB2312" w:eastAsia="仿宋_GB2312" w:cs="仿宋_GB2312"/>
                <w:kern w:val="2"/>
                <w:sz w:val="28"/>
                <w:szCs w:val="28"/>
                <w:highlight w:val="none"/>
                <w:lang w:val="en-US" w:eastAsia="zh-CN" w:bidi="ar-SA"/>
              </w:rPr>
              <w:t>拟派遣团队及业绩、响应速度、工作安排及相关服务承诺等。</w:t>
            </w:r>
          </w:p>
        </w:tc>
      </w:tr>
    </w:tbl>
    <w:p>
      <w:pPr>
        <w:pStyle w:val="25"/>
        <w:jc w:val="center"/>
        <w:rPr>
          <w:rFonts w:hint="eastAsia"/>
          <w:b/>
          <w:sz w:val="36"/>
          <w:szCs w:val="36"/>
          <w:highlight w:val="none"/>
        </w:rPr>
      </w:pPr>
    </w:p>
    <w:p>
      <w:pPr>
        <w:rPr>
          <w:rFonts w:hint="eastAsia"/>
          <w:b/>
          <w:sz w:val="36"/>
          <w:szCs w:val="36"/>
          <w:highlight w:val="none"/>
        </w:rPr>
      </w:pPr>
      <w:r>
        <w:rPr>
          <w:rFonts w:hint="eastAsia"/>
          <w:b/>
          <w:sz w:val="36"/>
          <w:szCs w:val="36"/>
          <w:highlight w:val="none"/>
        </w:rPr>
        <w:br w:type="page"/>
      </w:r>
    </w:p>
    <w:p>
      <w:pPr>
        <w:pStyle w:val="25"/>
        <w:jc w:val="center"/>
        <w:rPr>
          <w:b/>
          <w:sz w:val="36"/>
          <w:szCs w:val="36"/>
          <w:highlight w:val="none"/>
        </w:rPr>
      </w:pPr>
      <w:r>
        <w:rPr>
          <w:rFonts w:hint="eastAsia"/>
          <w:b/>
          <w:sz w:val="36"/>
          <w:szCs w:val="36"/>
          <w:highlight w:val="none"/>
        </w:rPr>
        <w:t xml:space="preserve">第三章  </w:t>
      </w:r>
      <w:bookmarkEnd w:id="10"/>
      <w:bookmarkEnd w:id="11"/>
      <w:bookmarkEnd w:id="12"/>
      <w:bookmarkStart w:id="13" w:name="_Toc509669699"/>
      <w:r>
        <w:rPr>
          <w:rFonts w:hint="eastAsia"/>
          <w:b/>
          <w:sz w:val="36"/>
          <w:szCs w:val="36"/>
          <w:highlight w:val="none"/>
        </w:rPr>
        <w:t>合同文件</w:t>
      </w:r>
    </w:p>
    <w:p>
      <w:pPr>
        <w:rPr>
          <w:highlight w:val="none"/>
        </w:rPr>
      </w:pPr>
    </w:p>
    <w:p>
      <w:pPr>
        <w:wordWrap w:val="0"/>
        <w:spacing w:line="400" w:lineRule="exact"/>
        <w:jc w:val="right"/>
        <w:rPr>
          <w:rFonts w:hint="eastAsia" w:ascii="宋体" w:hAnsi="宋体"/>
          <w:sz w:val="24"/>
          <w:szCs w:val="24"/>
          <w:highlight w:val="none"/>
        </w:rPr>
      </w:pPr>
      <w:r>
        <w:rPr>
          <w:rFonts w:hint="eastAsia" w:ascii="宋体" w:hAnsi="宋体"/>
          <w:sz w:val="28"/>
          <w:szCs w:val="28"/>
          <w:highlight w:val="none"/>
        </w:rPr>
        <w:t>合同编号：</w:t>
      </w:r>
      <w:r>
        <w:rPr>
          <w:rFonts w:hint="eastAsia" w:ascii="宋体" w:hAnsi="宋体"/>
          <w:color w:val="auto"/>
          <w:sz w:val="28"/>
          <w:szCs w:val="28"/>
          <w:highlight w:val="none"/>
          <w:lang w:val="en-US" w:eastAsia="zh-CN"/>
        </w:rPr>
        <w:t xml:space="preserve"> </w:t>
      </w:r>
    </w:p>
    <w:p>
      <w:pPr>
        <w:wordWrap w:val="0"/>
        <w:spacing w:line="400" w:lineRule="exact"/>
        <w:jc w:val="right"/>
        <w:rPr>
          <w:rFonts w:ascii="宋体" w:hAnsi="宋体"/>
          <w:b/>
          <w:bCs/>
          <w:sz w:val="28"/>
          <w:szCs w:val="28"/>
          <w:highlight w:val="none"/>
          <w:u w:val="single"/>
        </w:rPr>
      </w:pPr>
      <w:r>
        <w:rPr>
          <w:rFonts w:hint="eastAsia" w:ascii="宋体" w:hAnsi="宋体"/>
          <w:sz w:val="24"/>
          <w:szCs w:val="24"/>
          <w:highlight w:val="none"/>
        </w:rPr>
        <w:t xml:space="preserve"> </w:t>
      </w:r>
      <w:r>
        <w:rPr>
          <w:rFonts w:hint="eastAsia" w:ascii="宋体" w:hAnsi="宋体"/>
          <w:b/>
          <w:bCs/>
          <w:sz w:val="24"/>
          <w:szCs w:val="24"/>
          <w:highlight w:val="none"/>
        </w:rPr>
        <w:t xml:space="preserve">   </w:t>
      </w:r>
      <w:r>
        <w:rPr>
          <w:rFonts w:hint="eastAsia" w:ascii="宋体" w:hAnsi="宋体"/>
          <w:b/>
          <w:bCs/>
          <w:sz w:val="28"/>
          <w:szCs w:val="28"/>
          <w:highlight w:val="none"/>
        </w:rPr>
        <w:t xml:space="preserve">     </w:t>
      </w:r>
    </w:p>
    <w:p>
      <w:pPr>
        <w:adjustRightInd w:val="0"/>
        <w:snapToGrid w:val="0"/>
        <w:spacing w:after="100" w:line="360" w:lineRule="auto"/>
        <w:jc w:val="center"/>
        <w:rPr>
          <w:rFonts w:hint="eastAsia" w:ascii="宋体" w:hAnsi="宋体" w:eastAsia="宋体" w:cs="Times New Roman"/>
          <w:b/>
          <w:sz w:val="44"/>
          <w:szCs w:val="44"/>
          <w:highlight w:val="none"/>
          <w:lang w:val="en-US" w:eastAsia="zh-CN"/>
        </w:rPr>
      </w:pPr>
    </w:p>
    <w:p>
      <w:pPr>
        <w:spacing w:after="200" w:line="360" w:lineRule="auto"/>
        <w:jc w:val="center"/>
        <w:rPr>
          <w:rFonts w:ascii="宋体"/>
          <w:highlight w:val="none"/>
          <w:u w:val="none"/>
        </w:rPr>
      </w:pPr>
      <w:r>
        <w:rPr>
          <w:rFonts w:hint="eastAsia" w:ascii="Calibri" w:hAnsi="宋体"/>
          <w:b/>
          <w:sz w:val="48"/>
          <w:szCs w:val="48"/>
          <w:highlight w:val="none"/>
          <w:u w:val="none"/>
        </w:rPr>
        <w:t>深圳建筑产业生态智谷总部基地一期主体第三方监测合同</w:t>
      </w:r>
    </w:p>
    <w:p>
      <w:pPr>
        <w:widowControl/>
        <w:spacing w:line="720" w:lineRule="auto"/>
        <w:ind w:firstLine="420"/>
        <w:jc w:val="center"/>
        <w:rPr>
          <w:rFonts w:asciiTheme="minorEastAsia" w:hAnsiTheme="minorEastAsia" w:eastAsiaTheme="minorEastAsia"/>
          <w:b/>
          <w:sz w:val="44"/>
          <w:szCs w:val="44"/>
          <w:highlight w:val="none"/>
        </w:rPr>
      </w:pPr>
    </w:p>
    <w:p>
      <w:pPr>
        <w:widowControl/>
        <w:spacing w:line="720" w:lineRule="auto"/>
        <w:rPr>
          <w:rFonts w:asciiTheme="minorEastAsia" w:hAnsiTheme="minorEastAsia" w:eastAsiaTheme="minorEastAsia"/>
          <w:b/>
          <w:bCs/>
          <w:kern w:val="0"/>
          <w:sz w:val="28"/>
          <w:szCs w:val="28"/>
          <w:highlight w:val="none"/>
        </w:rPr>
      </w:pPr>
      <w:bookmarkStart w:id="14" w:name="_Toc260327127"/>
      <w:bookmarkEnd w:id="14"/>
      <w:bookmarkStart w:id="15" w:name="_Toc319652752"/>
      <w:bookmarkEnd w:id="15"/>
    </w:p>
    <w:p>
      <w:pPr>
        <w:widowControl/>
        <w:spacing w:line="600" w:lineRule="exact"/>
        <w:ind w:left="1606" w:hanging="1606" w:hangingChars="500"/>
        <w:jc w:val="center"/>
        <w:rPr>
          <w:rFonts w:hint="eastAsia" w:asciiTheme="minorEastAsia" w:hAnsiTheme="minorEastAsia" w:eastAsiaTheme="minorEastAsia"/>
          <w:b/>
          <w:bCs/>
          <w:kern w:val="0"/>
          <w:sz w:val="32"/>
          <w:szCs w:val="32"/>
          <w:highlight w:val="none"/>
        </w:rPr>
      </w:pPr>
    </w:p>
    <w:p>
      <w:pPr>
        <w:widowControl/>
        <w:spacing w:line="600" w:lineRule="exact"/>
        <w:ind w:left="1606" w:hanging="1606" w:hangingChars="500"/>
        <w:jc w:val="center"/>
        <w:rPr>
          <w:rFonts w:hint="eastAsia" w:asciiTheme="minorEastAsia" w:hAnsiTheme="minorEastAsia" w:eastAsiaTheme="minorEastAsia"/>
          <w:b/>
          <w:bCs/>
          <w:kern w:val="0"/>
          <w:sz w:val="32"/>
          <w:szCs w:val="32"/>
          <w:highlight w:val="none"/>
        </w:rPr>
      </w:pPr>
    </w:p>
    <w:p>
      <w:pPr>
        <w:widowControl/>
        <w:spacing w:line="600" w:lineRule="exact"/>
        <w:ind w:left="1606" w:hanging="1606" w:hangingChars="500"/>
        <w:jc w:val="center"/>
        <w:rPr>
          <w:rFonts w:hint="eastAsia" w:asciiTheme="minorEastAsia" w:hAnsiTheme="minorEastAsia" w:eastAsiaTheme="minorEastAsia"/>
          <w:b/>
          <w:bCs/>
          <w:kern w:val="0"/>
          <w:sz w:val="32"/>
          <w:szCs w:val="32"/>
          <w:highlight w:val="none"/>
        </w:rPr>
      </w:pPr>
    </w:p>
    <w:p>
      <w:pPr>
        <w:widowControl/>
        <w:spacing w:line="600" w:lineRule="exact"/>
        <w:ind w:left="1606" w:hanging="1606" w:hangingChars="500"/>
        <w:jc w:val="center"/>
        <w:rPr>
          <w:rFonts w:hint="eastAsia" w:asciiTheme="minorEastAsia" w:hAnsiTheme="minorEastAsia" w:eastAsiaTheme="minorEastAsia"/>
          <w:b/>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800" w:lineRule="exact"/>
        <w:ind w:firstLine="452" w:firstLineChars="150"/>
        <w:jc w:val="left"/>
        <w:textAlignment w:val="auto"/>
        <w:rPr>
          <w:rFonts w:hint="eastAsia" w:ascii="宋体" w:hAnsi="宋体" w:cs="宋体"/>
          <w:b/>
          <w:bCs/>
          <w:kern w:val="0"/>
          <w:sz w:val="30"/>
          <w:szCs w:val="30"/>
          <w:highlight w:val="none"/>
          <w:u w:val="none"/>
          <w:lang w:val="en-US" w:eastAsia="zh-CN"/>
        </w:rPr>
      </w:pPr>
      <w:r>
        <w:rPr>
          <w:rFonts w:hint="eastAsia" w:ascii="宋体" w:hAnsi="宋体" w:cs="宋体"/>
          <w:b/>
          <w:bCs/>
          <w:kern w:val="0"/>
          <w:sz w:val="30"/>
          <w:szCs w:val="30"/>
          <w:highlight w:val="none"/>
          <w:u w:val="none"/>
        </w:rPr>
        <w:t>工程名称</w:t>
      </w:r>
      <w:r>
        <w:rPr>
          <w:rFonts w:hint="eastAsia" w:ascii="宋体" w:hAnsi="宋体" w:cs="宋体"/>
          <w:b/>
          <w:bCs/>
          <w:kern w:val="0"/>
          <w:sz w:val="30"/>
          <w:szCs w:val="30"/>
          <w:highlight w:val="none"/>
          <w:u w:val="none"/>
          <w:lang w:eastAsia="zh-CN"/>
        </w:rPr>
        <w:t>：</w:t>
      </w:r>
      <w:r>
        <w:rPr>
          <w:rFonts w:hint="eastAsia" w:ascii="宋体" w:hAnsi="宋体" w:cs="宋体"/>
          <w:b/>
          <w:bCs/>
          <w:kern w:val="0"/>
          <w:sz w:val="30"/>
          <w:szCs w:val="30"/>
          <w:highlight w:val="none"/>
          <w:u w:val="single"/>
        </w:rPr>
        <w:t>深圳建筑产业生态智谷总部基地一期主体第三方监测</w:t>
      </w:r>
    </w:p>
    <w:p>
      <w:pPr>
        <w:keepNext w:val="0"/>
        <w:keepLines w:val="0"/>
        <w:pageBreakBefore w:val="0"/>
        <w:widowControl/>
        <w:kinsoku/>
        <w:wordWrap/>
        <w:overflowPunct/>
        <w:topLinePunct w:val="0"/>
        <w:autoSpaceDE/>
        <w:autoSpaceDN/>
        <w:bidi w:val="0"/>
        <w:adjustRightInd/>
        <w:snapToGrid/>
        <w:spacing w:line="800" w:lineRule="exact"/>
        <w:ind w:firstLine="452" w:firstLineChars="150"/>
        <w:jc w:val="left"/>
        <w:textAlignment w:val="auto"/>
        <w:rPr>
          <w:rFonts w:hint="default" w:ascii="宋体" w:hAnsi="宋体" w:eastAsia="宋体" w:cs="宋体"/>
          <w:b/>
          <w:bCs/>
          <w:kern w:val="0"/>
          <w:sz w:val="30"/>
          <w:szCs w:val="30"/>
          <w:highlight w:val="none"/>
          <w:u w:val="none"/>
          <w:lang w:val="en-US" w:eastAsia="zh-CN"/>
        </w:rPr>
      </w:pPr>
      <w:r>
        <w:rPr>
          <w:rFonts w:hint="eastAsia" w:ascii="宋体" w:hAnsi="宋体" w:cs="宋体"/>
          <w:b/>
          <w:bCs/>
          <w:kern w:val="0"/>
          <w:sz w:val="30"/>
          <w:szCs w:val="30"/>
          <w:highlight w:val="none"/>
          <w:u w:val="none"/>
        </w:rPr>
        <w:t>工程地点：</w:t>
      </w:r>
      <w:r>
        <w:rPr>
          <w:rFonts w:hint="eastAsia" w:ascii="宋体" w:hAnsi="宋体" w:cs="宋体"/>
          <w:b/>
          <w:bCs/>
          <w:kern w:val="0"/>
          <w:sz w:val="30"/>
          <w:szCs w:val="30"/>
          <w:highlight w:val="none"/>
          <w:u w:val="single"/>
        </w:rPr>
        <w:t>深圳市龙岗区</w:t>
      </w:r>
      <w:r>
        <w:rPr>
          <w:rFonts w:hint="eastAsia" w:ascii="宋体" w:hAnsi="宋体" w:cs="宋体"/>
          <w:b/>
          <w:bCs/>
          <w:kern w:val="0"/>
          <w:sz w:val="30"/>
          <w:szCs w:val="30"/>
          <w:highlight w:val="none"/>
          <w:u w:val="single"/>
          <w:lang w:val="en-US" w:eastAsia="zh-CN"/>
        </w:rPr>
        <w:t>龙城街道</w:t>
      </w:r>
    </w:p>
    <w:p>
      <w:pPr>
        <w:keepNext w:val="0"/>
        <w:keepLines w:val="0"/>
        <w:pageBreakBefore w:val="0"/>
        <w:widowControl/>
        <w:kinsoku/>
        <w:wordWrap/>
        <w:overflowPunct/>
        <w:topLinePunct w:val="0"/>
        <w:autoSpaceDE/>
        <w:autoSpaceDN/>
        <w:bidi w:val="0"/>
        <w:adjustRightInd/>
        <w:snapToGrid/>
        <w:spacing w:line="800" w:lineRule="exact"/>
        <w:ind w:firstLine="452" w:firstLineChars="150"/>
        <w:jc w:val="left"/>
        <w:textAlignment w:val="auto"/>
        <w:rPr>
          <w:rFonts w:hint="eastAsia" w:ascii="宋体" w:hAnsi="宋体" w:eastAsia="宋体" w:cs="宋体"/>
          <w:b/>
          <w:bCs/>
          <w:kern w:val="0"/>
          <w:sz w:val="30"/>
          <w:szCs w:val="30"/>
          <w:highlight w:val="none"/>
          <w:u w:val="none"/>
          <w:lang w:eastAsia="zh-CN"/>
        </w:rPr>
      </w:pPr>
      <w:r>
        <w:rPr>
          <w:rFonts w:hint="eastAsia" w:ascii="宋体" w:hAnsi="宋体" w:cs="宋体"/>
          <w:b/>
          <w:bCs/>
          <w:kern w:val="0"/>
          <w:sz w:val="30"/>
          <w:szCs w:val="30"/>
          <w:highlight w:val="none"/>
          <w:u w:val="none"/>
        </w:rPr>
        <w:t>甲   方</w:t>
      </w:r>
      <w:r>
        <w:rPr>
          <w:rFonts w:hint="eastAsia" w:ascii="宋体" w:hAnsi="宋体" w:cs="宋体"/>
          <w:b/>
          <w:bCs/>
          <w:kern w:val="0"/>
          <w:sz w:val="30"/>
          <w:szCs w:val="30"/>
          <w:highlight w:val="none"/>
          <w:u w:val="none"/>
          <w:lang w:eastAsia="zh-CN"/>
        </w:rPr>
        <w:t>：</w:t>
      </w:r>
      <w:r>
        <w:rPr>
          <w:rFonts w:hint="eastAsia" w:ascii="宋体" w:hAnsi="宋体" w:cs="宋体"/>
          <w:b/>
          <w:bCs/>
          <w:kern w:val="0"/>
          <w:sz w:val="30"/>
          <w:szCs w:val="30"/>
          <w:highlight w:val="none"/>
          <w:u w:val="single"/>
          <w:lang w:eastAsia="zh-CN"/>
        </w:rPr>
        <w:t>深圳市龙岗区城投绿色低碳新能源产业发展有限公司</w:t>
      </w:r>
    </w:p>
    <w:p>
      <w:pPr>
        <w:keepNext w:val="0"/>
        <w:keepLines w:val="0"/>
        <w:pageBreakBefore w:val="0"/>
        <w:widowControl/>
        <w:kinsoku/>
        <w:wordWrap/>
        <w:overflowPunct/>
        <w:topLinePunct w:val="0"/>
        <w:autoSpaceDE/>
        <w:autoSpaceDN/>
        <w:bidi w:val="0"/>
        <w:adjustRightInd/>
        <w:snapToGrid/>
        <w:spacing w:line="800" w:lineRule="exact"/>
        <w:ind w:firstLine="452" w:firstLineChars="150"/>
        <w:jc w:val="left"/>
        <w:textAlignment w:val="auto"/>
        <w:rPr>
          <w:rFonts w:hint="default" w:ascii="宋体" w:hAnsi="宋体" w:eastAsia="宋体" w:cs="宋体"/>
          <w:b/>
          <w:bCs/>
          <w:kern w:val="0"/>
          <w:sz w:val="30"/>
          <w:szCs w:val="30"/>
          <w:highlight w:val="none"/>
          <w:lang w:val="en-US" w:eastAsia="zh-CN"/>
        </w:rPr>
      </w:pPr>
      <w:r>
        <w:rPr>
          <w:rFonts w:hint="eastAsia" w:ascii="宋体" w:hAnsi="宋体" w:cs="宋体"/>
          <w:b/>
          <w:bCs/>
          <w:kern w:val="0"/>
          <w:sz w:val="30"/>
          <w:szCs w:val="30"/>
          <w:highlight w:val="none"/>
        </w:rPr>
        <w:t>乙    方</w:t>
      </w:r>
      <w:r>
        <w:rPr>
          <w:rFonts w:hint="eastAsia" w:ascii="宋体" w:hAnsi="宋体" w:cs="宋体"/>
          <w:b/>
          <w:bCs/>
          <w:kern w:val="0"/>
          <w:sz w:val="30"/>
          <w:szCs w:val="30"/>
          <w:highlight w:val="none"/>
          <w:lang w:eastAsia="zh-CN"/>
        </w:rPr>
        <w:t>：</w:t>
      </w:r>
      <w:r>
        <w:rPr>
          <w:rFonts w:hint="eastAsia" w:ascii="宋体" w:hAnsi="宋体" w:cs="宋体"/>
          <w:b/>
          <w:bCs/>
          <w:snapToGrid/>
          <w:color w:val="auto"/>
          <w:kern w:val="0"/>
          <w:sz w:val="30"/>
          <w:szCs w:val="30"/>
          <w:highlight w:val="none"/>
          <w:u w:val="single"/>
          <w:lang w:val="en-US" w:eastAsia="zh-CN"/>
        </w:rPr>
        <w:t xml:space="preserve"> </w:t>
      </w:r>
    </w:p>
    <w:p>
      <w:pPr>
        <w:rPr>
          <w:rFonts w:ascii="Calibri" w:hAnsi="Calibri" w:cs="Calibri"/>
          <w:szCs w:val="22"/>
          <w:highlight w:val="none"/>
        </w:rPr>
      </w:pPr>
    </w:p>
    <w:p>
      <w:pPr>
        <w:pStyle w:val="23"/>
        <w:rPr>
          <w:highlight w:val="none"/>
        </w:rPr>
      </w:pPr>
    </w:p>
    <w:p>
      <w:pPr>
        <w:rPr>
          <w:sz w:val="30"/>
          <w:szCs w:val="30"/>
          <w:highlight w:val="none"/>
        </w:rPr>
      </w:pPr>
      <w:bookmarkStart w:id="16" w:name="_Toc365391959"/>
    </w:p>
    <w:bookmarkEnd w:id="16"/>
    <w:p>
      <w:pPr>
        <w:keepNext w:val="0"/>
        <w:keepLines w:val="0"/>
        <w:widowControl/>
        <w:bidi w:val="0"/>
        <w:spacing w:before="0" w:beforeLines="-2147483648" w:beforeAutospacing="0" w:after="0" w:afterLines="-2147483648" w:afterAutospacing="0" w:line="240" w:lineRule="auto"/>
        <w:jc w:val="left"/>
        <w:outlineLvl w:val="9"/>
        <w:rPr>
          <w:rFonts w:hint="eastAsia" w:ascii="Times New Roman" w:hAnsi="Times New Roman" w:eastAsia="宋体" w:cs="Times New Roman"/>
          <w:b/>
          <w:kern w:val="44"/>
          <w:sz w:val="36"/>
          <w:szCs w:val="36"/>
          <w:highlight w:val="none"/>
          <w:lang w:val="en-US" w:eastAsia="zh-CN" w:bidi="ar-SA"/>
        </w:rPr>
      </w:pPr>
      <w:r>
        <w:rPr>
          <w:rFonts w:hint="eastAsia" w:ascii="Times New Roman" w:hAnsi="Times New Roman" w:eastAsia="宋体" w:cs="Times New Roman"/>
          <w:b/>
          <w:kern w:val="44"/>
          <w:sz w:val="36"/>
          <w:szCs w:val="36"/>
          <w:highlight w:val="none"/>
          <w:lang w:val="en-US" w:eastAsia="zh-CN" w:bidi="ar-SA"/>
        </w:rPr>
        <w:br w:type="page"/>
      </w:r>
    </w:p>
    <w:p>
      <w:pPr>
        <w:keepNext/>
        <w:keepLines/>
        <w:widowControl w:val="0"/>
        <w:bidi w:val="0"/>
        <w:spacing w:before="120" w:beforeLines="0" w:beforeAutospacing="0" w:after="120" w:afterLines="0" w:afterAutospacing="0" w:line="360" w:lineRule="auto"/>
        <w:jc w:val="center"/>
        <w:outlineLvl w:val="0"/>
        <w:rPr>
          <w:rFonts w:ascii="Times New Roman" w:hAnsi="Times New Roman" w:eastAsia="宋体" w:cs="Times New Roman"/>
          <w:b/>
          <w:kern w:val="44"/>
          <w:sz w:val="36"/>
          <w:szCs w:val="36"/>
          <w:highlight w:val="none"/>
          <w:lang w:val="en-US" w:eastAsia="zh-CN" w:bidi="ar-SA"/>
        </w:rPr>
      </w:pPr>
      <w:r>
        <w:rPr>
          <w:rFonts w:hint="eastAsia" w:ascii="Times New Roman" w:hAnsi="Times New Roman" w:eastAsia="宋体" w:cs="Times New Roman"/>
          <w:b/>
          <w:kern w:val="44"/>
          <w:sz w:val="36"/>
          <w:szCs w:val="36"/>
          <w:highlight w:val="none"/>
          <w:lang w:val="en-US" w:eastAsia="zh-CN" w:bidi="ar-SA"/>
        </w:rPr>
        <w:t>第一部分 协议书</w:t>
      </w:r>
    </w:p>
    <w:p>
      <w:pPr>
        <w:adjustRightInd w:val="0"/>
        <w:snapToGrid w:val="0"/>
        <w:spacing w:line="360" w:lineRule="auto"/>
        <w:rPr>
          <w:rFonts w:ascii="宋体" w:hAnsi="宋体" w:eastAsia="宋体"/>
          <w:b/>
          <w:sz w:val="24"/>
          <w:szCs w:val="21"/>
          <w:highlight w:val="none"/>
        </w:rPr>
      </w:pPr>
    </w:p>
    <w:p>
      <w:pPr>
        <w:spacing w:line="360" w:lineRule="auto"/>
        <w:ind w:firstLine="0" w:firstLineChars="0"/>
        <w:rPr>
          <w:rFonts w:hint="eastAsia" w:ascii="宋体" w:hAnsi="宋体" w:eastAsia="宋体" w:cs="Calibri"/>
          <w:b/>
          <w:bCs/>
          <w:snapToGrid w:val="0"/>
          <w:sz w:val="24"/>
          <w:szCs w:val="22"/>
          <w:highlight w:val="none"/>
          <w:lang w:eastAsia="zh-CN"/>
        </w:rPr>
      </w:pPr>
      <w:r>
        <w:rPr>
          <w:rFonts w:hint="eastAsia" w:ascii="宋体" w:hAnsi="宋体" w:eastAsia="宋体" w:cs="Calibri"/>
          <w:b/>
          <w:bCs/>
          <w:snapToGrid w:val="0"/>
          <w:sz w:val="24"/>
          <w:szCs w:val="22"/>
          <w:highlight w:val="none"/>
        </w:rPr>
        <w:t>甲方：</w:t>
      </w:r>
      <w:r>
        <w:rPr>
          <w:rFonts w:hint="eastAsia" w:ascii="宋体" w:hAnsi="宋体" w:cs="Calibri"/>
          <w:b/>
          <w:bCs/>
          <w:snapToGrid w:val="0"/>
          <w:sz w:val="24"/>
          <w:szCs w:val="22"/>
          <w:highlight w:val="none"/>
          <w:u w:val="single"/>
          <w:lang w:eastAsia="zh-CN"/>
        </w:rPr>
        <w:t>深圳市龙岗区城投绿色低碳新能源产业发展有限公司</w:t>
      </w:r>
    </w:p>
    <w:p>
      <w:pPr>
        <w:spacing w:line="360" w:lineRule="auto"/>
        <w:ind w:firstLine="0" w:firstLineChars="0"/>
        <w:rPr>
          <w:rFonts w:hint="default" w:ascii="宋体" w:hAnsi="宋体" w:eastAsia="宋体" w:cs="Calibri"/>
          <w:b/>
          <w:bCs/>
          <w:snapToGrid w:val="0"/>
          <w:sz w:val="24"/>
          <w:szCs w:val="22"/>
          <w:highlight w:val="none"/>
          <w:u w:val="single"/>
          <w:lang w:val="en-US" w:eastAsia="zh-CN"/>
        </w:rPr>
      </w:pPr>
      <w:r>
        <w:rPr>
          <w:rFonts w:hint="eastAsia" w:ascii="宋体" w:hAnsi="宋体" w:eastAsia="宋体" w:cs="Calibri"/>
          <w:b/>
          <w:bCs/>
          <w:snapToGrid w:val="0"/>
          <w:sz w:val="24"/>
          <w:szCs w:val="22"/>
          <w:highlight w:val="none"/>
        </w:rPr>
        <w:t>乙方：</w:t>
      </w:r>
      <w:r>
        <w:rPr>
          <w:rFonts w:hint="eastAsia" w:ascii="宋体" w:hAnsi="宋体" w:eastAsia="宋体" w:cs="Calibri"/>
          <w:b/>
          <w:bCs/>
          <w:snapToGrid w:val="0"/>
          <w:sz w:val="24"/>
          <w:szCs w:val="22"/>
          <w:highlight w:val="none"/>
          <w:u w:val="single"/>
          <w:lang w:val="en-US" w:eastAsia="zh-CN"/>
        </w:rPr>
        <w:t xml:space="preserve">            </w:t>
      </w:r>
    </w:p>
    <w:p>
      <w:pPr>
        <w:spacing w:line="360" w:lineRule="auto"/>
        <w:ind w:firstLine="482" w:firstLineChars="200"/>
        <w:rPr>
          <w:rFonts w:hint="eastAsia" w:ascii="宋体" w:hAnsi="宋体" w:eastAsia="宋体"/>
          <w:b/>
          <w:bCs/>
          <w:sz w:val="24"/>
          <w:szCs w:val="21"/>
          <w:highlight w:val="none"/>
          <w:lang w:val="en-US" w:eastAsia="zh-CN"/>
        </w:rPr>
      </w:pPr>
    </w:p>
    <w:p>
      <w:pPr>
        <w:spacing w:line="360" w:lineRule="auto"/>
        <w:ind w:firstLine="482" w:firstLineChars="200"/>
        <w:rPr>
          <w:rFonts w:hint="eastAsia" w:ascii="宋体" w:hAnsi="宋体" w:eastAsia="宋体"/>
          <w:b/>
          <w:bCs/>
          <w:sz w:val="24"/>
          <w:szCs w:val="21"/>
          <w:highlight w:val="none"/>
          <w:lang w:val="en-US" w:eastAsia="zh-CN"/>
        </w:rPr>
      </w:pPr>
      <w:r>
        <w:rPr>
          <w:rFonts w:hint="eastAsia" w:ascii="宋体" w:hAnsi="宋体" w:eastAsia="宋体"/>
          <w:b/>
          <w:bCs/>
          <w:sz w:val="24"/>
          <w:szCs w:val="21"/>
          <w:highlight w:val="none"/>
          <w:lang w:val="en-US" w:eastAsia="zh-CN"/>
        </w:rPr>
        <w:t>鉴于：</w:t>
      </w:r>
    </w:p>
    <w:p>
      <w:pPr>
        <w:spacing w:line="360" w:lineRule="auto"/>
        <w:ind w:firstLine="480" w:firstLineChars="200"/>
        <w:rPr>
          <w:rFonts w:ascii="宋体" w:hAnsi="宋体" w:eastAsia="宋体"/>
          <w:sz w:val="24"/>
          <w:szCs w:val="21"/>
          <w:highlight w:val="none"/>
        </w:rPr>
      </w:pPr>
      <w:r>
        <w:rPr>
          <w:rFonts w:hint="eastAsia" w:ascii="宋体" w:hAnsi="宋体" w:eastAsia="宋体"/>
          <w:sz w:val="24"/>
          <w:szCs w:val="21"/>
          <w:highlight w:val="none"/>
        </w:rPr>
        <w:t>甲方委托乙方承担</w:t>
      </w:r>
      <w:r>
        <w:rPr>
          <w:rFonts w:hint="eastAsia" w:ascii="宋体" w:hAnsi="宋体"/>
          <w:sz w:val="24"/>
          <w:szCs w:val="21"/>
          <w:highlight w:val="none"/>
          <w:u w:val="single"/>
          <w:lang w:eastAsia="zh-CN"/>
        </w:rPr>
        <w:t>深圳建筑产业生态智谷总部基地一期主体第三方监测</w:t>
      </w:r>
      <w:r>
        <w:rPr>
          <w:rFonts w:hint="eastAsia" w:ascii="宋体" w:hAnsi="宋体" w:eastAsia="宋体"/>
          <w:sz w:val="24"/>
          <w:szCs w:val="21"/>
          <w:highlight w:val="none"/>
        </w:rPr>
        <w:t>工作。根据《</w:t>
      </w:r>
      <w:r>
        <w:rPr>
          <w:rFonts w:ascii="Times New Roman" w:hAnsi="Times New Roman" w:eastAsia="宋体"/>
          <w:sz w:val="24"/>
          <w:szCs w:val="20"/>
          <w:highlight w:val="none"/>
        </w:rPr>
        <w:fldChar w:fldCharType="begin"/>
      </w:r>
      <w:r>
        <w:rPr>
          <w:rFonts w:ascii="Times New Roman" w:hAnsi="Times New Roman" w:eastAsia="宋体"/>
          <w:sz w:val="24"/>
          <w:szCs w:val="20"/>
          <w:highlight w:val="none"/>
        </w:rPr>
        <w:instrText xml:space="preserve"> HYPERLINK "javascript:SLC(21651,0)" </w:instrText>
      </w:r>
      <w:r>
        <w:rPr>
          <w:rFonts w:ascii="Times New Roman" w:hAnsi="Times New Roman" w:eastAsia="宋体"/>
          <w:sz w:val="24"/>
          <w:szCs w:val="20"/>
          <w:highlight w:val="none"/>
        </w:rPr>
        <w:fldChar w:fldCharType="separate"/>
      </w:r>
      <w:r>
        <w:rPr>
          <w:rFonts w:hint="eastAsia" w:ascii="宋体" w:hAnsi="宋体" w:eastAsia="宋体"/>
          <w:sz w:val="24"/>
          <w:szCs w:val="21"/>
          <w:highlight w:val="none"/>
        </w:rPr>
        <w:t>中华人民共和国民法典</w:t>
      </w:r>
      <w:r>
        <w:rPr>
          <w:rFonts w:hint="eastAsia" w:ascii="宋体" w:hAnsi="宋体" w:eastAsia="宋体"/>
          <w:sz w:val="24"/>
          <w:szCs w:val="21"/>
          <w:highlight w:val="none"/>
        </w:rPr>
        <w:fldChar w:fldCharType="end"/>
      </w:r>
      <w:r>
        <w:rPr>
          <w:rFonts w:hint="eastAsia" w:ascii="宋体" w:hAnsi="宋体" w:eastAsia="宋体"/>
          <w:sz w:val="24"/>
          <w:szCs w:val="21"/>
          <w:highlight w:val="none"/>
        </w:rPr>
        <w:t>》及国家有关法律法规，结合本工程的具体情况，为明确责任，协作配合，确保工程监测质量，经甲方、乙方协商一致，签订本合同。</w:t>
      </w:r>
    </w:p>
    <w:p>
      <w:pPr>
        <w:keepNext/>
        <w:keepLines/>
        <w:widowControl w:val="0"/>
        <w:bidi w:val="0"/>
        <w:spacing w:before="120" w:beforeLines="0" w:beforeAutospacing="0" w:after="120" w:afterLines="0" w:afterAutospacing="0" w:line="240" w:lineRule="auto"/>
        <w:jc w:val="both"/>
        <w:outlineLvl w:val="1"/>
        <w:rPr>
          <w:rFonts w:ascii="Arial" w:hAnsi="Arial" w:eastAsia="宋体" w:cs="Times New Roman"/>
          <w:b/>
          <w:kern w:val="2"/>
          <w:sz w:val="28"/>
          <w:highlight w:val="none"/>
          <w:lang w:val="en-US" w:eastAsia="zh-CN" w:bidi="ar-SA"/>
        </w:rPr>
      </w:pPr>
      <w:r>
        <w:rPr>
          <w:rFonts w:hint="eastAsia" w:ascii="Arial" w:hAnsi="Arial" w:eastAsia="宋体" w:cs="Times New Roman"/>
          <w:b/>
          <w:kern w:val="2"/>
          <w:sz w:val="28"/>
          <w:highlight w:val="none"/>
          <w:lang w:val="en-US" w:eastAsia="zh-CN" w:bidi="ar-SA"/>
        </w:rPr>
        <w:t>第一条 工程概况</w:t>
      </w:r>
    </w:p>
    <w:p>
      <w:pPr>
        <w:spacing w:line="360" w:lineRule="auto"/>
        <w:ind w:firstLine="480" w:firstLineChars="200"/>
        <w:rPr>
          <w:rFonts w:hint="eastAsia" w:ascii="宋体" w:hAnsi="宋体" w:eastAsia="宋体"/>
          <w:sz w:val="24"/>
          <w:szCs w:val="21"/>
          <w:highlight w:val="none"/>
          <w:lang w:val="en-US" w:eastAsia="zh-CN"/>
        </w:rPr>
      </w:pPr>
      <w:r>
        <w:rPr>
          <w:rFonts w:hint="eastAsia" w:ascii="宋体" w:hAnsi="宋体" w:eastAsia="宋体"/>
          <w:sz w:val="24"/>
          <w:szCs w:val="21"/>
          <w:highlight w:val="none"/>
        </w:rPr>
        <w:t>1.1 工程名称：</w:t>
      </w:r>
      <w:r>
        <w:rPr>
          <w:rFonts w:hint="eastAsia" w:ascii="宋体" w:hAnsi="宋体"/>
          <w:sz w:val="24"/>
          <w:szCs w:val="21"/>
          <w:highlight w:val="none"/>
          <w:u w:val="single"/>
          <w:lang w:eastAsia="zh-CN"/>
        </w:rPr>
        <w:t>深圳建筑产业生态智谷总部基地一期主体第三方监测</w:t>
      </w:r>
    </w:p>
    <w:p>
      <w:pPr>
        <w:spacing w:line="360" w:lineRule="auto"/>
        <w:ind w:firstLine="480" w:firstLineChars="200"/>
        <w:rPr>
          <w:rFonts w:hint="eastAsia" w:ascii="宋体" w:hAnsi="宋体" w:eastAsia="宋体"/>
          <w:sz w:val="24"/>
          <w:szCs w:val="21"/>
          <w:highlight w:val="none"/>
          <w:lang w:eastAsia="zh-CN"/>
        </w:rPr>
      </w:pPr>
      <w:r>
        <w:rPr>
          <w:rFonts w:hint="eastAsia" w:ascii="宋体" w:hAnsi="宋体" w:eastAsia="宋体"/>
          <w:sz w:val="24"/>
          <w:szCs w:val="21"/>
          <w:highlight w:val="none"/>
        </w:rPr>
        <w:t>1.2 工程地点：</w:t>
      </w:r>
      <w:r>
        <w:rPr>
          <w:rFonts w:hint="eastAsia" w:ascii="宋体" w:hAnsi="宋体" w:eastAsia="宋体"/>
          <w:sz w:val="24"/>
          <w:szCs w:val="21"/>
          <w:highlight w:val="none"/>
          <w:u w:val="single"/>
        </w:rPr>
        <w:t>深圳市龙岗区</w:t>
      </w:r>
      <w:r>
        <w:rPr>
          <w:rFonts w:hint="eastAsia" w:ascii="宋体" w:hAnsi="宋体"/>
          <w:sz w:val="24"/>
          <w:szCs w:val="21"/>
          <w:highlight w:val="none"/>
          <w:u w:val="single"/>
          <w:lang w:val="en-US" w:eastAsia="zh-CN"/>
        </w:rPr>
        <w:t>龙城街道</w:t>
      </w:r>
    </w:p>
    <w:p>
      <w:pPr>
        <w:spacing w:line="360" w:lineRule="auto"/>
        <w:ind w:firstLine="480" w:firstLineChars="200"/>
        <w:rPr>
          <w:rFonts w:ascii="宋体" w:hAnsi="宋体" w:eastAsia="宋体"/>
          <w:sz w:val="24"/>
          <w:szCs w:val="21"/>
          <w:highlight w:val="none"/>
        </w:rPr>
      </w:pPr>
      <w:r>
        <w:rPr>
          <w:rFonts w:hint="eastAsia" w:ascii="宋体" w:hAnsi="宋体" w:eastAsia="宋体"/>
          <w:sz w:val="24"/>
          <w:szCs w:val="21"/>
          <w:highlight w:val="none"/>
        </w:rPr>
        <w:t>1.3 项目概况：</w:t>
      </w:r>
      <w:r>
        <w:rPr>
          <w:rFonts w:hint="eastAsia" w:ascii="宋体" w:hAnsi="宋体" w:eastAsia="宋体"/>
          <w:sz w:val="24"/>
          <w:szCs w:val="21"/>
          <w:highlight w:val="none"/>
          <w:u w:val="single"/>
        </w:rPr>
        <w:t>深圳建筑产业生态智谷总部基地一期位于龙岗大运片区，建设用地面积约4.2万平方米，总建筑面积约25万平方米，打造集研发办公、实验室、</w:t>
      </w:r>
      <w:r>
        <w:rPr>
          <w:rFonts w:hint="eastAsia" w:ascii="宋体" w:hAnsi="宋体"/>
          <w:sz w:val="24"/>
          <w:szCs w:val="21"/>
          <w:highlight w:val="none"/>
          <w:u w:val="single"/>
          <w:lang w:eastAsia="zh-CN"/>
        </w:rPr>
        <w:t>会议展示</w:t>
      </w:r>
      <w:r>
        <w:rPr>
          <w:rFonts w:hint="eastAsia" w:ascii="宋体" w:hAnsi="宋体" w:eastAsia="宋体"/>
          <w:sz w:val="24"/>
          <w:szCs w:val="21"/>
          <w:highlight w:val="none"/>
          <w:u w:val="single"/>
        </w:rPr>
        <w:t>、商业、宿舍等功能于一体的综合产业园区。</w:t>
      </w:r>
    </w:p>
    <w:p>
      <w:pPr>
        <w:keepNext/>
        <w:keepLines/>
        <w:widowControl w:val="0"/>
        <w:bidi w:val="0"/>
        <w:spacing w:before="120" w:beforeLines="0" w:beforeAutospacing="0" w:after="120" w:afterLines="0" w:afterAutospacing="0" w:line="240" w:lineRule="auto"/>
        <w:jc w:val="both"/>
        <w:outlineLvl w:val="1"/>
        <w:rPr>
          <w:rFonts w:ascii="Arial" w:hAnsi="Arial" w:eastAsia="宋体" w:cs="Times New Roman"/>
          <w:b/>
          <w:kern w:val="2"/>
          <w:sz w:val="28"/>
          <w:highlight w:val="none"/>
          <w:lang w:val="en-US" w:eastAsia="zh-CN" w:bidi="ar-SA"/>
        </w:rPr>
      </w:pPr>
      <w:r>
        <w:rPr>
          <w:rFonts w:hint="eastAsia" w:ascii="Arial" w:hAnsi="Arial" w:eastAsia="宋体" w:cs="Times New Roman"/>
          <w:b/>
          <w:kern w:val="2"/>
          <w:sz w:val="28"/>
          <w:highlight w:val="none"/>
          <w:lang w:val="en-US" w:eastAsia="zh-CN" w:bidi="ar-SA"/>
        </w:rPr>
        <w:t>第二条 监测范围及内容</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2.1</w:t>
      </w:r>
      <w:r>
        <w:rPr>
          <w:rFonts w:hint="eastAsia" w:ascii="宋体" w:hAnsi="宋体" w:eastAsia="宋体" w:cs="宋体"/>
          <w:sz w:val="24"/>
          <w:szCs w:val="21"/>
          <w:highlight w:val="none"/>
          <w:lang w:val="en-US" w:eastAsia="zh-CN"/>
        </w:rPr>
        <w:t xml:space="preserve"> </w:t>
      </w:r>
      <w:r>
        <w:rPr>
          <w:rFonts w:hint="eastAsia" w:ascii="宋体" w:hAnsi="宋体" w:eastAsia="宋体" w:cs="宋体"/>
          <w:sz w:val="24"/>
          <w:szCs w:val="21"/>
          <w:highlight w:val="none"/>
        </w:rPr>
        <w:t>监测区域：</w:t>
      </w:r>
      <w:r>
        <w:rPr>
          <w:rFonts w:hint="eastAsia" w:ascii="宋体" w:hAnsi="宋体" w:eastAsia="宋体" w:cs="宋体"/>
          <w:sz w:val="24"/>
          <w:szCs w:val="21"/>
          <w:highlight w:val="none"/>
          <w:u w:val="single"/>
          <w:lang w:val="en-US" w:eastAsia="zh-CN"/>
        </w:rPr>
        <w:t>深圳建筑产业生态智谷总部基地一期主体第三方监测</w:t>
      </w:r>
      <w:r>
        <w:rPr>
          <w:rFonts w:hint="eastAsia" w:ascii="宋体" w:hAnsi="宋体" w:cs="宋体"/>
          <w:sz w:val="24"/>
          <w:szCs w:val="21"/>
          <w:highlight w:val="none"/>
          <w:u w:val="single"/>
          <w:lang w:val="en-US" w:eastAsia="zh-CN"/>
        </w:rPr>
        <w:t>等</w:t>
      </w:r>
      <w:r>
        <w:rPr>
          <w:rFonts w:hint="eastAsia" w:ascii="宋体" w:hAnsi="宋体" w:eastAsia="宋体" w:cs="宋体"/>
          <w:kern w:val="0"/>
          <w:sz w:val="24"/>
          <w:szCs w:val="21"/>
          <w:highlight w:val="none"/>
          <w:u w:val="single"/>
        </w:rPr>
        <w:t>。</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2.2 监测内容：</w:t>
      </w:r>
      <w:r>
        <w:rPr>
          <w:rFonts w:hint="eastAsia" w:ascii="宋体" w:hAnsi="宋体" w:eastAsia="宋体" w:cs="宋体"/>
          <w:sz w:val="24"/>
          <w:szCs w:val="21"/>
          <w:highlight w:val="none"/>
          <w:u w:val="single"/>
          <w:lang w:val="en-US" w:eastAsia="zh-CN"/>
        </w:rPr>
        <w:t>沉降观测、抗浮工程竖向变形监测、施工期间变形监测、挡墙变形监测等，具体</w:t>
      </w:r>
      <w:r>
        <w:rPr>
          <w:rFonts w:hint="eastAsia" w:ascii="宋体" w:hAnsi="宋体" w:eastAsia="宋体" w:cs="宋体"/>
          <w:sz w:val="24"/>
          <w:szCs w:val="21"/>
          <w:highlight w:val="none"/>
          <w:u w:val="single"/>
        </w:rPr>
        <w:t>详见监测任务书。</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2.3 监测要求：</w:t>
      </w:r>
      <w:r>
        <w:rPr>
          <w:rFonts w:hint="eastAsia" w:ascii="宋体" w:hAnsi="宋体" w:eastAsia="宋体" w:cs="宋体"/>
          <w:sz w:val="24"/>
          <w:szCs w:val="21"/>
          <w:highlight w:val="none"/>
          <w:u w:val="single"/>
        </w:rPr>
        <w:t>详见监测任务书。</w:t>
      </w:r>
    </w:p>
    <w:p>
      <w:pPr>
        <w:spacing w:line="360" w:lineRule="auto"/>
        <w:ind w:firstLine="480" w:firstLineChars="200"/>
        <w:rPr>
          <w:rFonts w:hint="eastAsia" w:ascii="宋体" w:hAnsi="宋体" w:eastAsia="宋体" w:cs="宋体"/>
          <w:sz w:val="24"/>
          <w:szCs w:val="21"/>
          <w:highlight w:val="none"/>
          <w:lang w:val="zh-CN"/>
        </w:rPr>
      </w:pPr>
      <w:r>
        <w:rPr>
          <w:rFonts w:hint="eastAsia" w:ascii="宋体" w:hAnsi="宋体" w:eastAsia="宋体" w:cs="宋体"/>
          <w:sz w:val="24"/>
          <w:szCs w:val="21"/>
          <w:highlight w:val="none"/>
        </w:rPr>
        <w:t>2.3.1 监测方法：</w:t>
      </w:r>
      <w:r>
        <w:rPr>
          <w:rFonts w:hint="eastAsia" w:ascii="宋体" w:hAnsi="宋体" w:eastAsia="宋体" w:cs="宋体"/>
          <w:sz w:val="24"/>
          <w:szCs w:val="21"/>
          <w:highlight w:val="none"/>
          <w:u w:val="single"/>
          <w:lang w:val="zh-CN"/>
        </w:rPr>
        <w:t>按设计及相关规范的要求</w:t>
      </w:r>
      <w:r>
        <w:rPr>
          <w:rFonts w:hint="eastAsia" w:ascii="宋体" w:hAnsi="宋体" w:eastAsia="宋体" w:cs="宋体"/>
          <w:sz w:val="24"/>
          <w:szCs w:val="21"/>
          <w:highlight w:val="none"/>
          <w:lang w:val="zh-CN"/>
        </w:rPr>
        <w:t>。</w:t>
      </w:r>
    </w:p>
    <w:p>
      <w:pPr>
        <w:spacing w:line="360" w:lineRule="auto"/>
        <w:ind w:firstLine="1200" w:firstLineChars="500"/>
        <w:rPr>
          <w:rFonts w:hint="eastAsia" w:ascii="宋体" w:hAnsi="宋体" w:eastAsia="宋体" w:cs="宋体"/>
          <w:sz w:val="24"/>
          <w:szCs w:val="21"/>
          <w:highlight w:val="none"/>
        </w:rPr>
      </w:pPr>
      <w:r>
        <w:rPr>
          <w:rFonts w:hint="eastAsia" w:ascii="宋体" w:hAnsi="宋体" w:eastAsia="宋体" w:cs="宋体"/>
          <w:sz w:val="24"/>
          <w:szCs w:val="21"/>
          <w:highlight w:val="none"/>
        </w:rPr>
        <w:t>监测精度要求</w:t>
      </w:r>
      <w:r>
        <w:rPr>
          <w:rFonts w:hint="eastAsia" w:ascii="宋体" w:hAnsi="宋体" w:eastAsia="宋体" w:cs="宋体"/>
          <w:sz w:val="24"/>
          <w:szCs w:val="21"/>
          <w:highlight w:val="none"/>
          <w:lang w:val="zh-CN"/>
        </w:rPr>
        <w:t>：</w:t>
      </w:r>
      <w:r>
        <w:rPr>
          <w:rFonts w:hint="eastAsia" w:ascii="宋体" w:hAnsi="宋体" w:eastAsia="宋体" w:cs="宋体"/>
          <w:sz w:val="24"/>
          <w:szCs w:val="21"/>
          <w:highlight w:val="none"/>
          <w:u w:val="single"/>
          <w:lang w:val="zh-CN"/>
        </w:rPr>
        <w:t>按设计及相关规范的要求</w:t>
      </w:r>
      <w:r>
        <w:rPr>
          <w:rFonts w:hint="eastAsia" w:ascii="宋体" w:hAnsi="宋体" w:eastAsia="宋体" w:cs="宋体"/>
          <w:sz w:val="24"/>
          <w:szCs w:val="21"/>
          <w:highlight w:val="none"/>
          <w:lang w:val="zh-CN"/>
        </w:rPr>
        <w:t>。</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2.3.2 监测频率：</w:t>
      </w:r>
      <w:r>
        <w:rPr>
          <w:rFonts w:hint="eastAsia" w:ascii="宋体" w:hAnsi="宋体" w:eastAsia="宋体" w:cs="宋体"/>
          <w:sz w:val="24"/>
          <w:szCs w:val="21"/>
          <w:highlight w:val="none"/>
          <w:u w:val="single"/>
          <w:lang w:val="zh-CN"/>
        </w:rPr>
        <w:t>按设计及监测方案的要求</w:t>
      </w:r>
      <w:r>
        <w:rPr>
          <w:rFonts w:hint="eastAsia" w:ascii="宋体" w:hAnsi="宋体" w:eastAsia="宋体" w:cs="宋体"/>
          <w:sz w:val="24"/>
          <w:szCs w:val="21"/>
          <w:highlight w:val="none"/>
          <w:lang w:val="zh-CN"/>
        </w:rPr>
        <w:t>。</w:t>
      </w:r>
    </w:p>
    <w:p>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2.4 监测执行标准：</w:t>
      </w:r>
      <w:r>
        <w:rPr>
          <w:rFonts w:hint="eastAsia" w:ascii="宋体" w:hAnsi="宋体" w:eastAsia="宋体" w:cs="宋体"/>
          <w:sz w:val="24"/>
          <w:szCs w:val="21"/>
          <w:highlight w:val="none"/>
          <w:u w:val="single"/>
        </w:rPr>
        <w:t>本项目监测工作</w:t>
      </w:r>
      <w:r>
        <w:rPr>
          <w:rFonts w:hint="eastAsia" w:ascii="宋体" w:hAnsi="宋体" w:eastAsia="宋体" w:cs="宋体"/>
          <w:sz w:val="24"/>
          <w:szCs w:val="21"/>
          <w:highlight w:val="none"/>
          <w:u w:val="single"/>
          <w:lang w:val="en-US" w:eastAsia="zh-CN"/>
        </w:rPr>
        <w:t>应符合</w:t>
      </w:r>
      <w:r>
        <w:rPr>
          <w:rFonts w:hint="eastAsia" w:ascii="宋体" w:hAnsi="宋体" w:eastAsia="宋体" w:cs="宋体"/>
          <w:sz w:val="24"/>
          <w:szCs w:val="21"/>
          <w:highlight w:val="none"/>
          <w:u w:val="single"/>
        </w:rPr>
        <w:t>国家标准《工程测量</w:t>
      </w:r>
      <w:r>
        <w:rPr>
          <w:rFonts w:hint="eastAsia" w:ascii="宋体" w:hAnsi="宋体" w:eastAsia="宋体" w:cs="宋体"/>
          <w:sz w:val="24"/>
          <w:szCs w:val="21"/>
          <w:highlight w:val="none"/>
          <w:u w:val="single"/>
          <w:lang w:val="en-US" w:eastAsia="zh-CN"/>
        </w:rPr>
        <w:t>标准</w:t>
      </w:r>
      <w:r>
        <w:rPr>
          <w:rFonts w:hint="eastAsia" w:ascii="宋体" w:hAnsi="宋体" w:eastAsia="宋体" w:cs="宋体"/>
          <w:sz w:val="24"/>
          <w:szCs w:val="21"/>
          <w:highlight w:val="none"/>
          <w:u w:val="single"/>
        </w:rPr>
        <w:t>》GB50026</w:t>
      </w:r>
      <w:r>
        <w:rPr>
          <w:rFonts w:hint="eastAsia" w:ascii="宋体" w:hAnsi="宋体" w:eastAsia="宋体" w:cs="宋体"/>
          <w:sz w:val="24"/>
          <w:szCs w:val="21"/>
          <w:highlight w:val="none"/>
          <w:u w:val="single"/>
          <w:lang w:val="en-US" w:eastAsia="zh-CN"/>
        </w:rPr>
        <w:t>-2020</w:t>
      </w:r>
      <w:r>
        <w:rPr>
          <w:rFonts w:hint="eastAsia" w:ascii="宋体" w:hAnsi="宋体" w:eastAsia="宋体" w:cs="宋体"/>
          <w:sz w:val="24"/>
          <w:szCs w:val="21"/>
          <w:highlight w:val="none"/>
          <w:u w:val="single"/>
          <w:lang w:eastAsia="zh-CN"/>
        </w:rPr>
        <w:t>、</w:t>
      </w:r>
      <w:r>
        <w:rPr>
          <w:rFonts w:hint="eastAsia" w:ascii="宋体" w:hAnsi="宋体" w:eastAsia="宋体" w:cs="宋体"/>
          <w:sz w:val="24"/>
          <w:szCs w:val="21"/>
          <w:highlight w:val="none"/>
          <w:u w:val="single"/>
        </w:rPr>
        <w:t>《城市测量规范》（CJJ/T8-201</w:t>
      </w:r>
      <w:r>
        <w:rPr>
          <w:rFonts w:hint="eastAsia" w:ascii="宋体" w:hAnsi="宋体" w:eastAsia="宋体" w:cs="宋体"/>
          <w:sz w:val="24"/>
          <w:szCs w:val="21"/>
          <w:highlight w:val="none"/>
          <w:u w:val="single"/>
          <w:lang w:val="en-US" w:eastAsia="zh-CN"/>
        </w:rPr>
        <w:t>9</w:t>
      </w:r>
      <w:r>
        <w:rPr>
          <w:rFonts w:hint="eastAsia" w:ascii="宋体" w:hAnsi="宋体" w:eastAsia="宋体" w:cs="宋体"/>
          <w:sz w:val="24"/>
          <w:szCs w:val="21"/>
          <w:highlight w:val="none"/>
          <w:u w:val="single"/>
        </w:rPr>
        <w:t>）、《建筑基坑工程监测技术标准》（GB50497-2019）、《建筑变形测量规范》JGJ8-2016等国家及地方有关监测技术要求执行</w:t>
      </w:r>
      <w:r>
        <w:rPr>
          <w:rFonts w:hint="eastAsia" w:ascii="宋体" w:hAnsi="宋体" w:eastAsia="宋体" w:cs="宋体"/>
          <w:sz w:val="24"/>
          <w:szCs w:val="21"/>
          <w:highlight w:val="none"/>
        </w:rPr>
        <w:t>。</w:t>
      </w:r>
    </w:p>
    <w:p>
      <w:pPr>
        <w:spacing w:line="360" w:lineRule="auto"/>
        <w:ind w:firstLine="480" w:firstLineChars="200"/>
        <w:rPr>
          <w:rFonts w:hint="eastAsia" w:ascii="宋体" w:hAnsi="宋体" w:eastAsia="宋体" w:cs="宋体"/>
          <w:sz w:val="24"/>
          <w:szCs w:val="21"/>
          <w:highlight w:val="none"/>
          <w:shd w:val="pct10" w:color="auto" w:fill="FFFFFF"/>
        </w:rPr>
      </w:pPr>
      <w:r>
        <w:rPr>
          <w:rFonts w:hint="eastAsia" w:ascii="宋体" w:hAnsi="宋体" w:eastAsia="宋体" w:cs="宋体"/>
          <w:sz w:val="24"/>
          <w:szCs w:val="21"/>
          <w:highlight w:val="none"/>
        </w:rPr>
        <w:t>2.5 监测方案：</w:t>
      </w:r>
      <w:r>
        <w:rPr>
          <w:rFonts w:hint="eastAsia" w:ascii="宋体" w:hAnsi="宋体" w:eastAsia="宋体" w:cs="宋体"/>
          <w:sz w:val="24"/>
          <w:szCs w:val="21"/>
          <w:highlight w:val="none"/>
          <w:u w:val="single"/>
        </w:rPr>
        <w:t>乙方应当根据设计监测任务书要求，同时结合工程现场实际情况编制提交监测方案，监测方案应当满足国家相关规范要求并经设计和监理单位审批通过后实施</w:t>
      </w:r>
      <w:r>
        <w:rPr>
          <w:rFonts w:hint="eastAsia" w:ascii="宋体" w:hAnsi="宋体" w:eastAsia="宋体" w:cs="宋体"/>
          <w:sz w:val="24"/>
          <w:szCs w:val="21"/>
          <w:highlight w:val="none"/>
        </w:rPr>
        <w:t>。</w:t>
      </w:r>
    </w:p>
    <w:p>
      <w:pPr>
        <w:spacing w:line="400" w:lineRule="exact"/>
        <w:ind w:firstLine="567"/>
        <w:rPr>
          <w:rFonts w:ascii="宋体" w:hAnsi="宋体" w:eastAsia="宋体" w:cs="System"/>
          <w:sz w:val="24"/>
          <w:szCs w:val="20"/>
          <w:highlight w:val="none"/>
        </w:rPr>
      </w:pPr>
    </w:p>
    <w:p>
      <w:pPr>
        <w:keepNext/>
        <w:keepLines/>
        <w:widowControl w:val="0"/>
        <w:bidi w:val="0"/>
        <w:spacing w:before="120" w:beforeLines="0" w:beforeAutospacing="0" w:after="120" w:afterLines="0" w:afterAutospacing="0" w:line="240" w:lineRule="auto"/>
        <w:jc w:val="both"/>
        <w:outlineLvl w:val="1"/>
        <w:rPr>
          <w:rFonts w:ascii="Arial" w:hAnsi="Arial" w:eastAsia="宋体" w:cs="Times New Roman"/>
          <w:b/>
          <w:kern w:val="2"/>
          <w:sz w:val="28"/>
          <w:highlight w:val="none"/>
          <w:lang w:val="en-US" w:eastAsia="zh-CN" w:bidi="ar-SA"/>
        </w:rPr>
      </w:pPr>
      <w:r>
        <w:rPr>
          <w:rFonts w:hint="eastAsia" w:ascii="Arial" w:hAnsi="Arial" w:eastAsia="宋体" w:cs="Times New Roman"/>
          <w:b/>
          <w:kern w:val="2"/>
          <w:sz w:val="28"/>
          <w:highlight w:val="none"/>
          <w:lang w:val="en-US" w:eastAsia="zh-CN" w:bidi="ar-SA"/>
        </w:rPr>
        <w:t>第三条 服务期限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lang w:val="en-US" w:eastAsia="zh-CN"/>
        </w:rPr>
        <w:t>3.1 工程总工期：</w:t>
      </w:r>
      <w:r>
        <w:rPr>
          <w:rFonts w:hint="eastAsia" w:ascii="Times New Roman" w:hAnsi="Times New Roman" w:eastAsia="宋体"/>
          <w:sz w:val="24"/>
          <w:szCs w:val="20"/>
          <w:highlight w:val="none"/>
        </w:rPr>
        <w:t>从</w:t>
      </w:r>
      <w:r>
        <w:rPr>
          <w:rFonts w:hint="eastAsia" w:ascii="Times New Roman" w:hAnsi="Times New Roman" w:eastAsia="宋体"/>
          <w:sz w:val="24"/>
          <w:szCs w:val="20"/>
          <w:highlight w:val="none"/>
          <w:lang w:val="en-US" w:eastAsia="zh-CN"/>
        </w:rPr>
        <w:t>合同签订</w:t>
      </w:r>
      <w:r>
        <w:rPr>
          <w:rFonts w:hint="eastAsia" w:ascii="Times New Roman" w:hAnsi="Times New Roman" w:eastAsia="宋体"/>
          <w:sz w:val="24"/>
          <w:szCs w:val="20"/>
          <w:highlight w:val="none"/>
        </w:rPr>
        <w:t>开始至工程竣工验收合格</w:t>
      </w:r>
      <w:r>
        <w:rPr>
          <w:rFonts w:hint="eastAsia" w:ascii="Times New Roman" w:hAnsi="Times New Roman" w:eastAsia="宋体"/>
          <w:sz w:val="24"/>
          <w:szCs w:val="20"/>
          <w:highlight w:val="none"/>
          <w:lang w:val="en-US" w:eastAsia="zh-CN"/>
        </w:rPr>
        <w:t>后，至沉降达到稳定状态或满足观测要求为止</w:t>
      </w:r>
      <w:r>
        <w:rPr>
          <w:rFonts w:hint="eastAsia" w:ascii="Times New Roman" w:hAnsi="Times New Roman" w:eastAsia="宋体"/>
          <w:sz w:val="24"/>
          <w:szCs w:val="20"/>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lang w:val="en-US" w:eastAsia="zh-CN"/>
        </w:rPr>
        <w:t xml:space="preserve">3.2 </w:t>
      </w:r>
      <w:r>
        <w:rPr>
          <w:rFonts w:hint="eastAsia" w:ascii="Times New Roman" w:hAnsi="Times New Roman" w:eastAsia="宋体"/>
          <w:sz w:val="24"/>
          <w:szCs w:val="20"/>
          <w:highlight w:val="none"/>
        </w:rPr>
        <w:t>在甲方发出</w:t>
      </w:r>
      <w:r>
        <w:rPr>
          <w:rFonts w:hint="eastAsia" w:ascii="Times New Roman" w:hAnsi="Times New Roman" w:eastAsia="宋体" w:cs="Times New Roman"/>
          <w:sz w:val="24"/>
          <w:szCs w:val="20"/>
          <w:highlight w:val="none"/>
          <w:lang w:val="en-US" w:eastAsia="zh-CN"/>
        </w:rPr>
        <w:t>委托函</w:t>
      </w:r>
      <w:r>
        <w:rPr>
          <w:rFonts w:hint="eastAsia" w:ascii="Times New Roman" w:hAnsi="Times New Roman" w:eastAsia="宋体"/>
          <w:sz w:val="24"/>
          <w:szCs w:val="20"/>
          <w:highlight w:val="none"/>
        </w:rPr>
        <w:t>后15天内，项目负责人及主要技术人员、仪器必须到位开展工作。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lang w:val="en-US" w:eastAsia="zh-CN"/>
        </w:rPr>
        <w:t xml:space="preserve">3.3 </w:t>
      </w:r>
      <w:r>
        <w:rPr>
          <w:rFonts w:hint="eastAsia" w:ascii="Times New Roman" w:hAnsi="Times New Roman" w:eastAsia="宋体"/>
          <w:sz w:val="24"/>
          <w:szCs w:val="20"/>
          <w:highlight w:val="none"/>
        </w:rPr>
        <w:t>由于设计</w:t>
      </w:r>
      <w:r>
        <w:rPr>
          <w:rFonts w:hint="eastAsia" w:ascii="Times New Roman" w:hAnsi="Times New Roman" w:eastAsia="宋体"/>
          <w:sz w:val="24"/>
          <w:szCs w:val="20"/>
          <w:highlight w:val="none"/>
          <w:lang w:eastAsia="zh-CN"/>
        </w:rPr>
        <w:t>、</w:t>
      </w:r>
      <w:r>
        <w:rPr>
          <w:rFonts w:hint="eastAsia" w:ascii="Times New Roman" w:hAnsi="Times New Roman" w:eastAsia="宋体"/>
          <w:sz w:val="24"/>
          <w:szCs w:val="20"/>
          <w:highlight w:val="none"/>
          <w:lang w:val="en-US" w:eastAsia="zh-CN"/>
        </w:rPr>
        <w:t>拆迁</w:t>
      </w:r>
      <w:r>
        <w:rPr>
          <w:rFonts w:hint="eastAsia" w:ascii="Times New Roman" w:hAnsi="Times New Roman" w:eastAsia="宋体"/>
          <w:sz w:val="24"/>
          <w:szCs w:val="20"/>
          <w:highlight w:val="none"/>
        </w:rPr>
        <w:t>等原因致使施工工期延误，乙方应顺延服务期限，直至本工程</w:t>
      </w:r>
      <w:r>
        <w:rPr>
          <w:rFonts w:hint="eastAsia" w:ascii="Times New Roman" w:hAnsi="Times New Roman" w:eastAsia="宋体"/>
          <w:sz w:val="24"/>
          <w:szCs w:val="20"/>
          <w:highlight w:val="none"/>
          <w:lang w:val="en-US" w:eastAsia="zh-CN"/>
        </w:rPr>
        <w:t>沉降达到稳定状态或满足观测要求为止</w:t>
      </w:r>
      <w:r>
        <w:rPr>
          <w:rFonts w:hint="eastAsia" w:ascii="Times New Roman" w:hAnsi="Times New Roman" w:eastAsia="宋体"/>
          <w:sz w:val="24"/>
          <w:szCs w:val="20"/>
          <w:highlight w:val="none"/>
        </w:rPr>
        <w:t>，因工程延期引起的成本费用增加，乙方应在投标报价中综合考虑。</w:t>
      </w:r>
    </w:p>
    <w:p>
      <w:pPr>
        <w:keepNext/>
        <w:keepLines/>
        <w:widowControl w:val="0"/>
        <w:bidi w:val="0"/>
        <w:spacing w:before="120" w:beforeLines="0" w:beforeAutospacing="0" w:after="120" w:afterLines="0" w:afterAutospacing="0" w:line="240" w:lineRule="auto"/>
        <w:jc w:val="both"/>
        <w:outlineLvl w:val="1"/>
        <w:rPr>
          <w:rFonts w:ascii="Arial" w:hAnsi="Arial" w:eastAsia="宋体" w:cs="Times New Roman"/>
          <w:b/>
          <w:kern w:val="2"/>
          <w:sz w:val="28"/>
          <w:highlight w:val="none"/>
          <w:lang w:val="en-US" w:eastAsia="zh-CN" w:bidi="ar-SA"/>
        </w:rPr>
      </w:pPr>
      <w:r>
        <w:rPr>
          <w:rFonts w:hint="eastAsia" w:ascii="Arial" w:hAnsi="Arial" w:eastAsia="宋体" w:cs="Times New Roman"/>
          <w:b/>
          <w:kern w:val="2"/>
          <w:sz w:val="28"/>
          <w:highlight w:val="none"/>
          <w:lang w:val="en-US" w:eastAsia="zh-CN" w:bidi="ar-SA"/>
        </w:rPr>
        <w:t>第四条 监测工程量及综合单价</w:t>
      </w:r>
    </w:p>
    <w:p>
      <w:pPr>
        <w:spacing w:line="360" w:lineRule="auto"/>
        <w:ind w:firstLine="420" w:firstLineChars="200"/>
        <w:jc w:val="both"/>
        <w:rPr>
          <w:rFonts w:hint="eastAsia"/>
          <w:highlight w:val="none"/>
          <w:lang w:val="en-US" w:eastAsia="zh-CN"/>
        </w:rPr>
      </w:pPr>
      <w:r>
        <w:rPr>
          <w:rFonts w:hint="eastAsia" w:ascii="宋体" w:hAnsi="宋体"/>
          <w:szCs w:val="21"/>
          <w:highlight w:val="none"/>
        </w:rPr>
        <w:t>本合同为固定综合单价合同，乙方应严格按照服务期限及设计要求监测频率进行监测。监测点按经审批的监测方案执行，甲方有权根据工程需要增加或减少监测内容</w:t>
      </w:r>
      <w:r>
        <w:rPr>
          <w:rFonts w:hint="eastAsia" w:ascii="宋体" w:hAnsi="Times New Roman" w:eastAsia="宋体" w:cs="Courier New"/>
          <w:kern w:val="2"/>
          <w:sz w:val="24"/>
          <w:szCs w:val="21"/>
          <w:highlight w:val="none"/>
          <w:lang w:val="en-US" w:eastAsia="zh-CN" w:bidi="ar-SA"/>
        </w:rPr>
        <w:t>。</w:t>
      </w:r>
    </w:p>
    <w:tbl>
      <w:tblPr>
        <w:tblStyle w:val="5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1102"/>
        <w:gridCol w:w="2340"/>
        <w:gridCol w:w="780"/>
        <w:gridCol w:w="1350"/>
        <w:gridCol w:w="885"/>
        <w:gridCol w:w="1260"/>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31"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839"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41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72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472"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单价（元）</w:t>
            </w:r>
          </w:p>
        </w:tc>
        <w:tc>
          <w:tcPr>
            <w:tcW w:w="673"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合价</w:t>
            </w:r>
            <w:r>
              <w:rPr>
                <w:rFonts w:hint="eastAsia" w:ascii="宋体" w:hAnsi="宋体" w:eastAsia="宋体" w:cs="宋体"/>
                <w:i w:val="0"/>
                <w:iCs w:val="0"/>
                <w:color w:val="000000"/>
                <w:kern w:val="0"/>
                <w:sz w:val="20"/>
                <w:szCs w:val="20"/>
                <w:highlight w:val="none"/>
                <w:u w:val="none"/>
                <w:lang w:val="en-US" w:eastAsia="zh-CN" w:bidi="ar"/>
              </w:rPr>
              <w:t>（元）</w:t>
            </w:r>
          </w:p>
        </w:tc>
        <w:tc>
          <w:tcPr>
            <w:tcW w:w="644"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sz w:val="18"/>
                <w:szCs w:val="18"/>
                <w:highlight w:val="none"/>
              </w:rPr>
              <w:t>布点费</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沉降及水平位移监测点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点</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75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4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宋体" w:hAnsi="宋体" w:eastAsia="宋体" w:cs="宋体"/>
                <w:i w:val="0"/>
                <w:iCs w:val="0"/>
                <w:color w:val="000000"/>
                <w:sz w:val="20"/>
                <w:szCs w:val="20"/>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抗浮工程竖向变形监测点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点</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44"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裂缝观测点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64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8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监测费</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沉降监测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点*次</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1357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4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58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抗浮工程竖向变形监测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点*次</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120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44"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58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倾斜监测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点*次</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704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4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58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水平位移监测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点*次</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1159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cs="宋体"/>
                <w:i w:val="0"/>
                <w:iCs w:val="0"/>
                <w:color w:val="000000"/>
                <w:sz w:val="20"/>
                <w:szCs w:val="20"/>
                <w:highlight w:val="none"/>
                <w:u w:val="none"/>
                <w:lang w:val="en-US" w:eastAsia="zh-CN"/>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cs="宋体"/>
                <w:i w:val="0"/>
                <w:iCs w:val="0"/>
                <w:color w:val="000000"/>
                <w:sz w:val="20"/>
                <w:szCs w:val="20"/>
                <w:highlight w:val="none"/>
                <w:u w:val="none"/>
                <w:lang w:val="en-US" w:eastAsia="zh-CN"/>
              </w:rPr>
            </w:pPr>
          </w:p>
        </w:tc>
        <w:tc>
          <w:tcPr>
            <w:tcW w:w="644"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58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裂缝观测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点*次</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280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cs="宋体"/>
                <w:i w:val="0"/>
                <w:iCs w:val="0"/>
                <w:color w:val="000000"/>
                <w:sz w:val="20"/>
                <w:szCs w:val="20"/>
                <w:highlight w:val="none"/>
                <w:u w:val="none"/>
                <w:lang w:val="en-US" w:eastAsia="zh-CN"/>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cs="宋体"/>
                <w:i w:val="0"/>
                <w:iCs w:val="0"/>
                <w:color w:val="000000"/>
                <w:sz w:val="20"/>
                <w:szCs w:val="20"/>
                <w:highlight w:val="none"/>
                <w:u w:val="none"/>
                <w:lang w:val="en-US" w:eastAsia="zh-CN"/>
              </w:rPr>
            </w:pPr>
          </w:p>
        </w:tc>
        <w:tc>
          <w:tcPr>
            <w:tcW w:w="644"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8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000000"/>
                <w:sz w:val="20"/>
                <w:szCs w:val="20"/>
                <w:highlight w:val="none"/>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i w:val="0"/>
                <w:iCs w:val="0"/>
                <w:color w:val="000000"/>
                <w:sz w:val="20"/>
                <w:szCs w:val="20"/>
                <w:highlight w:val="none"/>
                <w:u w:val="none"/>
                <w:lang w:val="en-US" w:eastAsia="zh-CN"/>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p>
        </w:tc>
      </w:tr>
    </w:tbl>
    <w:p>
      <w:pPr>
        <w:keepNext w:val="0"/>
        <w:keepLines w:val="0"/>
        <w:widowControl w:val="0"/>
        <w:bidi w:val="0"/>
        <w:spacing w:before="0" w:beforeLines="-2147483648" w:beforeAutospacing="0" w:after="0" w:afterLines="-2147483648" w:afterAutospacing="0" w:line="360" w:lineRule="auto"/>
        <w:ind w:firstLine="0" w:firstLineChars="0"/>
        <w:jc w:val="left"/>
        <w:outlineLvl w:val="9"/>
        <w:rPr>
          <w:rFonts w:hint="eastAsia" w:ascii="Times New Roman" w:hAnsi="Times New Roman" w:eastAsia="宋体" w:cs="Times New Roman"/>
          <w:b w:val="0"/>
          <w:kern w:val="2"/>
          <w:sz w:val="24"/>
          <w:szCs w:val="20"/>
          <w:highlight w:val="none"/>
          <w:lang w:val="en-US" w:eastAsia="zh-CN" w:bidi="ar-SA"/>
        </w:rPr>
      </w:pPr>
    </w:p>
    <w:p>
      <w:pPr>
        <w:keepNext/>
        <w:keepLines/>
        <w:widowControl w:val="0"/>
        <w:bidi w:val="0"/>
        <w:spacing w:before="120" w:beforeLines="0" w:beforeAutospacing="0" w:after="120" w:afterLines="0" w:afterAutospacing="0" w:line="240" w:lineRule="auto"/>
        <w:jc w:val="both"/>
        <w:outlineLvl w:val="1"/>
        <w:rPr>
          <w:rFonts w:ascii="Arial" w:hAnsi="Arial" w:eastAsia="宋体" w:cs="Times New Roman"/>
          <w:b/>
          <w:kern w:val="2"/>
          <w:sz w:val="28"/>
          <w:highlight w:val="none"/>
          <w:lang w:val="en-US" w:eastAsia="zh-CN" w:bidi="ar-SA"/>
        </w:rPr>
      </w:pPr>
      <w:r>
        <w:rPr>
          <w:rFonts w:hint="eastAsia" w:ascii="Arial" w:hAnsi="Arial" w:eastAsia="宋体" w:cs="Times New Roman"/>
          <w:b/>
          <w:kern w:val="2"/>
          <w:sz w:val="28"/>
          <w:highlight w:val="none"/>
          <w:lang w:val="en-US" w:eastAsia="zh-CN" w:bidi="ar-SA"/>
        </w:rPr>
        <w:t>第五条 合同价款及价款调整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5.1 本项目合同暂定总价为（大写</w:t>
      </w:r>
      <w:r>
        <w:rPr>
          <w:rFonts w:hint="eastAsia" w:ascii="Times New Roman" w:hAnsi="Times New Roman" w:eastAsia="宋体"/>
          <w:sz w:val="24"/>
          <w:szCs w:val="20"/>
          <w:highlight w:val="none"/>
          <w:lang w:eastAsia="zh-CN"/>
        </w:rPr>
        <w:t>：</w:t>
      </w:r>
      <w:r>
        <w:rPr>
          <w:rFonts w:hint="eastAsia" w:ascii="Times New Roman" w:hAnsi="Times New Roman" w:eastAsia="宋体"/>
          <w:sz w:val="24"/>
          <w:szCs w:val="20"/>
          <w:highlight w:val="none"/>
          <w:u w:val="single"/>
          <w:lang w:val="en-US" w:eastAsia="zh-CN"/>
        </w:rPr>
        <w:t xml:space="preserve"> </w:t>
      </w:r>
      <w:r>
        <w:rPr>
          <w:rFonts w:hint="eastAsia" w:ascii="Times New Roman" w:hAnsi="Times New Roman"/>
          <w:sz w:val="24"/>
          <w:szCs w:val="20"/>
          <w:highlight w:val="none"/>
          <w:u w:val="single"/>
          <w:lang w:val="en-US" w:eastAsia="zh-CN"/>
        </w:rPr>
        <w:t xml:space="preserve"> </w:t>
      </w:r>
      <w:r>
        <w:rPr>
          <w:rFonts w:hint="eastAsia" w:ascii="Times New Roman" w:hAnsi="Times New Roman" w:eastAsia="宋体"/>
          <w:sz w:val="24"/>
          <w:szCs w:val="20"/>
          <w:highlight w:val="none"/>
          <w:u w:val="single"/>
          <w:lang w:val="en-US" w:eastAsia="zh-CN"/>
        </w:rPr>
        <w:t xml:space="preserve"> </w:t>
      </w:r>
      <w:r>
        <w:rPr>
          <w:rFonts w:hint="eastAsia" w:ascii="Times New Roman" w:hAnsi="Times New Roman" w:eastAsia="宋体"/>
          <w:sz w:val="24"/>
          <w:szCs w:val="20"/>
          <w:highlight w:val="none"/>
        </w:rPr>
        <w:t>）人民币</w:t>
      </w:r>
      <w:r>
        <w:rPr>
          <w:rFonts w:hint="eastAsia" w:ascii="Times New Roman" w:hAnsi="Times New Roman"/>
          <w:sz w:val="24"/>
          <w:szCs w:val="20"/>
          <w:highlight w:val="none"/>
          <w:u w:val="single"/>
          <w:lang w:val="en-US" w:eastAsia="zh-CN"/>
        </w:rPr>
        <w:t xml:space="preserve">        </w:t>
      </w:r>
      <w:r>
        <w:rPr>
          <w:rFonts w:hint="eastAsia" w:ascii="Times New Roman" w:hAnsi="Times New Roman" w:eastAsia="宋体"/>
          <w:sz w:val="24"/>
          <w:szCs w:val="20"/>
          <w:highlight w:val="none"/>
        </w:rPr>
        <w:t>元，此价款为含税价。</w:t>
      </w:r>
    </w:p>
    <w:p>
      <w:pPr>
        <w:spacing w:line="360" w:lineRule="auto"/>
        <w:ind w:firstLine="480" w:firstLineChars="200"/>
        <w:rPr>
          <w:rFonts w:hint="eastAsia" w:ascii="Times New Roman" w:hAnsi="Times New Roman" w:eastAsia="宋体"/>
          <w:sz w:val="24"/>
          <w:szCs w:val="20"/>
          <w:highlight w:val="none"/>
        </w:rPr>
      </w:pPr>
      <w:r>
        <w:rPr>
          <w:rFonts w:hint="eastAsia" w:ascii="Times New Roman" w:hAnsi="Times New Roman" w:eastAsia="宋体"/>
          <w:sz w:val="24"/>
          <w:szCs w:val="20"/>
          <w:highlight w:val="none"/>
        </w:rPr>
        <w:t>因本招标工程量清单中监测次数为暂定工程量，</w:t>
      </w:r>
      <w:r>
        <w:rPr>
          <w:rFonts w:hint="eastAsia" w:ascii="宋体" w:hAnsi="宋体" w:eastAsia="宋体" w:cs="Calibri"/>
          <w:sz w:val="24"/>
          <w:szCs w:val="21"/>
          <w:highlight w:val="none"/>
        </w:rPr>
        <w:t>乙方应严格按照图纸及监测方案执行，监测点数按实结算；监测</w:t>
      </w:r>
      <w:r>
        <w:rPr>
          <w:rFonts w:hint="eastAsia" w:ascii="宋体" w:hAnsi="宋体" w:cs="Calibri"/>
          <w:sz w:val="24"/>
          <w:szCs w:val="21"/>
          <w:highlight w:val="none"/>
          <w:lang w:val="en-US" w:eastAsia="zh-CN"/>
        </w:rPr>
        <w:t>工程量</w:t>
      </w:r>
      <w:r>
        <w:rPr>
          <w:rFonts w:hint="eastAsia" w:ascii="宋体" w:hAnsi="宋体" w:eastAsia="宋体" w:cs="Calibri"/>
          <w:sz w:val="24"/>
          <w:szCs w:val="21"/>
          <w:highlight w:val="none"/>
        </w:rPr>
        <w:t>为设计任务书要求的暂定次数。因工程延期等</w:t>
      </w:r>
      <w:r>
        <w:rPr>
          <w:rFonts w:hint="eastAsia" w:ascii="宋体" w:hAnsi="宋体" w:eastAsia="宋体" w:cs="Calibri"/>
          <w:sz w:val="24"/>
          <w:szCs w:val="21"/>
          <w:highlight w:val="none"/>
          <w:lang w:val="en-US" w:eastAsia="zh-CN"/>
        </w:rPr>
        <w:t>非</w:t>
      </w:r>
      <w:r>
        <w:rPr>
          <w:rFonts w:hint="eastAsia" w:ascii="宋体" w:hAnsi="宋体" w:eastAsia="宋体" w:cs="Calibri"/>
          <w:sz w:val="24"/>
          <w:szCs w:val="21"/>
          <w:highlight w:val="none"/>
        </w:rPr>
        <w:t>乙方原因导致监测</w:t>
      </w:r>
      <w:r>
        <w:rPr>
          <w:rFonts w:hint="eastAsia" w:ascii="宋体" w:hAnsi="宋体" w:cs="Calibri"/>
          <w:sz w:val="24"/>
          <w:szCs w:val="21"/>
          <w:highlight w:val="none"/>
          <w:lang w:val="en-US" w:eastAsia="zh-CN"/>
        </w:rPr>
        <w:t>点</w:t>
      </w:r>
      <w:r>
        <w:rPr>
          <w:rFonts w:hint="eastAsia" w:ascii="宋体" w:hAnsi="宋体" w:eastAsia="宋体" w:cs="Calibri"/>
          <w:sz w:val="24"/>
          <w:szCs w:val="21"/>
          <w:highlight w:val="none"/>
        </w:rPr>
        <w:t>次增加，增加次数在30%以内部分，不予增加合同价款。超过30%部分，按实际增加</w:t>
      </w:r>
      <w:r>
        <w:rPr>
          <w:rFonts w:hint="eastAsia" w:ascii="宋体" w:hAnsi="宋体" w:cs="Calibri"/>
          <w:sz w:val="24"/>
          <w:szCs w:val="21"/>
          <w:highlight w:val="none"/>
          <w:lang w:val="en-US" w:eastAsia="zh-CN"/>
        </w:rPr>
        <w:t>点</w:t>
      </w:r>
      <w:r>
        <w:rPr>
          <w:rFonts w:hint="eastAsia" w:ascii="宋体" w:hAnsi="宋体" w:eastAsia="宋体" w:cs="Calibri"/>
          <w:sz w:val="24"/>
          <w:szCs w:val="21"/>
          <w:highlight w:val="none"/>
        </w:rPr>
        <w:t>次计量。乙方应严格按照服务期限及设计要求监测频率进行监测。在实施过程中增加或减少监测内容或监测点，需经甲方书面批准，结算按实际增减点数及监测频次执行（仅适用于出现异常后增加监测点数及甲方根据工程需要主动提出增减监测点数情况）。</w:t>
      </w:r>
    </w:p>
    <w:p>
      <w:pPr>
        <w:spacing w:line="560" w:lineRule="exact"/>
        <w:ind w:firstLine="420" w:firstLineChars="200"/>
        <w:rPr>
          <w:rFonts w:ascii="宋体" w:hAnsi="宋体"/>
          <w:szCs w:val="21"/>
          <w:highlight w:val="none"/>
        </w:rPr>
      </w:pPr>
      <w:r>
        <w:rPr>
          <w:rFonts w:hint="eastAsia" w:ascii="宋体" w:hAnsi="宋体"/>
          <w:szCs w:val="21"/>
          <w:highlight w:val="none"/>
        </w:rPr>
        <w:t>5.1.2 在实施过程中，甲方有权根据工程需要增加监测内容，以确保基坑及周边建筑物的安全，相关费用按照合同约定结算原则结算。</w:t>
      </w:r>
    </w:p>
    <w:p>
      <w:pPr>
        <w:spacing w:line="560" w:lineRule="exact"/>
        <w:ind w:firstLine="420" w:firstLineChars="200"/>
        <w:rPr>
          <w:rFonts w:ascii="宋体" w:hAnsi="宋体"/>
          <w:szCs w:val="21"/>
          <w:highlight w:val="none"/>
        </w:rPr>
      </w:pPr>
      <w:r>
        <w:rPr>
          <w:rFonts w:hint="eastAsia" w:ascii="宋体" w:hAnsi="宋体"/>
          <w:szCs w:val="21"/>
          <w:highlight w:val="none"/>
        </w:rPr>
        <w:t>5.2  与监测有关的控制点布设的形式、数量、位置及控制网的建立、联测工作，必须符合国家现行相关规范规程的要求，并必须充分满足本监测全部工作的质量和成果的需要。监测单价包括乙方可能需要从城市高程点及坐标点引测至本项目场地的工作，每个监测点的制安费，设备进退场（包括二次进退场），测绘、分析计算、编制技术成果，各项规费、保险、税费、利润等一切费用，以及因各种风险因素引起的费用，如暴雨、台风、变形加大，现场情况变化等，结算不再调整。</w:t>
      </w:r>
    </w:p>
    <w:p>
      <w:pPr>
        <w:spacing w:line="560" w:lineRule="exact"/>
        <w:ind w:firstLine="420" w:firstLineChars="200"/>
        <w:rPr>
          <w:rFonts w:ascii="宋体" w:hAnsi="宋体"/>
          <w:szCs w:val="21"/>
          <w:highlight w:val="none"/>
        </w:rPr>
      </w:pPr>
      <w:r>
        <w:rPr>
          <w:rFonts w:hint="eastAsia" w:ascii="宋体" w:hAnsi="宋体"/>
          <w:szCs w:val="21"/>
          <w:highlight w:val="none"/>
        </w:rPr>
        <w:t>5.3  监测点由乙方制作埋设。监测点的数量与位置按照设计图纸和监测方案要求，其</w:t>
      </w:r>
      <w:r>
        <w:rPr>
          <w:rFonts w:hint="eastAsia" w:ascii="宋体" w:hAnsi="宋体"/>
          <w:szCs w:val="21"/>
          <w:highlight w:val="none"/>
          <w:lang w:eastAsia="zh-CN"/>
        </w:rPr>
        <w:t>形式</w:t>
      </w:r>
      <w:r>
        <w:rPr>
          <w:rFonts w:hint="eastAsia" w:ascii="宋体" w:hAnsi="宋体"/>
          <w:szCs w:val="21"/>
          <w:highlight w:val="none"/>
        </w:rPr>
        <w:t>必须符合国家现行相关规范规程的要求，并必须充分满足本监测全部工作的质量和成果的需要，并做好监测期间监测点的保护工作。监测点的布设综合单价包括每个监测点的制安费、设备进退场以及各项规费、保险、税费、利润等一切费用，结算不再调整。</w:t>
      </w:r>
    </w:p>
    <w:p>
      <w:pPr>
        <w:spacing w:line="560" w:lineRule="exact"/>
        <w:ind w:firstLine="420" w:firstLineChars="200"/>
        <w:rPr>
          <w:rFonts w:ascii="宋体" w:hAnsi="宋体"/>
          <w:szCs w:val="21"/>
          <w:highlight w:val="none"/>
        </w:rPr>
      </w:pPr>
      <w:r>
        <w:rPr>
          <w:rFonts w:hint="eastAsia" w:ascii="宋体" w:hAnsi="宋体"/>
          <w:szCs w:val="21"/>
          <w:highlight w:val="none"/>
        </w:rPr>
        <w:t>5.4  监测单价包括设备进退场、测绘、分析计算、编制技术成果以及各项规费、保险、税费、利润等一切费用，以及因各种风险因素引起的费用，如暴雨、台风、变形加大等现场情况变化等，结算不再调整。</w:t>
      </w:r>
    </w:p>
    <w:p>
      <w:pPr>
        <w:spacing w:line="560" w:lineRule="exact"/>
        <w:ind w:firstLine="420" w:firstLineChars="200"/>
        <w:rPr>
          <w:color w:val="auto"/>
          <w:highlight w:val="none"/>
        </w:rPr>
      </w:pPr>
      <w:r>
        <w:rPr>
          <w:rFonts w:hint="eastAsia" w:ascii="宋体" w:hAnsi="宋体"/>
          <w:color w:val="auto"/>
          <w:szCs w:val="21"/>
          <w:highlight w:val="none"/>
        </w:rPr>
        <w:t>5</w:t>
      </w:r>
      <w:r>
        <w:rPr>
          <w:rFonts w:ascii="宋体" w:hAnsi="宋体"/>
          <w:color w:val="auto"/>
          <w:szCs w:val="21"/>
          <w:highlight w:val="none"/>
        </w:rPr>
        <w:t xml:space="preserve">.5  </w:t>
      </w:r>
      <w:r>
        <w:rPr>
          <w:rFonts w:hint="eastAsia"/>
          <w:color w:val="auto"/>
          <w:highlight w:val="none"/>
        </w:rPr>
        <w:t>基准网引入及单测、复测由监测单位实施，不单独报价，费用包含在投标报价中。</w:t>
      </w:r>
    </w:p>
    <w:p>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.6  </w:t>
      </w:r>
      <w:r>
        <w:rPr>
          <w:rFonts w:hint="eastAsia" w:ascii="宋体" w:hAnsi="宋体"/>
          <w:color w:val="auto"/>
          <w:szCs w:val="21"/>
          <w:highlight w:val="none"/>
        </w:rPr>
        <w:t>技术工作费已包含在监测单价中，投标人应在报价中充分考虑。</w:t>
      </w:r>
    </w:p>
    <w:p>
      <w:pPr>
        <w:spacing w:line="560" w:lineRule="exac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7</w:t>
      </w:r>
      <w:r>
        <w:rPr>
          <w:rFonts w:hint="eastAsia" w:ascii="宋体" w:hAnsi="宋体"/>
          <w:szCs w:val="21"/>
          <w:highlight w:val="none"/>
        </w:rPr>
        <w:t xml:space="preserve">  乙方应积极配合处理设计施工中出现的有关问题。在监测合同期限内，若出现异常，应及时通知施工单位、监理及甲方，由此而增加的监测次数或增加监测点需经甲方书面同意，由此造成增加的相关费用，按照合同约定结算原则按实结算。</w:t>
      </w:r>
    </w:p>
    <w:p>
      <w:pPr>
        <w:pStyle w:val="167"/>
        <w:spacing w:line="560" w:lineRule="exac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8</w:t>
      </w:r>
      <w:r>
        <w:rPr>
          <w:rFonts w:hint="eastAsia" w:ascii="宋体" w:hAnsi="宋体"/>
          <w:szCs w:val="21"/>
          <w:highlight w:val="none"/>
        </w:rPr>
        <w:t>变更与合同价格的调整</w:t>
      </w:r>
    </w:p>
    <w:p>
      <w:pPr>
        <w:tabs>
          <w:tab w:val="center" w:pos="4753"/>
        </w:tabs>
        <w:snapToGrid w:val="0"/>
        <w:spacing w:line="500" w:lineRule="exact"/>
        <w:ind w:firstLine="420" w:firstLineChars="200"/>
        <w:jc w:val="left"/>
        <w:rPr>
          <w:rFonts w:ascii="宋体" w:hAnsi="宋体"/>
          <w:snapToGrid w:val="0"/>
          <w:szCs w:val="21"/>
          <w:highlight w:val="none"/>
        </w:rPr>
      </w:pPr>
      <w:r>
        <w:rPr>
          <w:rFonts w:hint="eastAsia" w:ascii="宋体" w:hAnsi="宋体"/>
          <w:snapToGrid w:val="0"/>
          <w:szCs w:val="21"/>
          <w:highlight w:val="none"/>
        </w:rPr>
        <w:t>5.</w:t>
      </w:r>
      <w:r>
        <w:rPr>
          <w:rFonts w:ascii="宋体" w:hAnsi="宋体"/>
          <w:snapToGrid w:val="0"/>
          <w:szCs w:val="21"/>
          <w:highlight w:val="none"/>
        </w:rPr>
        <w:t>8</w:t>
      </w:r>
      <w:r>
        <w:rPr>
          <w:rFonts w:hint="eastAsia" w:ascii="宋体" w:hAnsi="宋体"/>
          <w:snapToGrid w:val="0"/>
          <w:szCs w:val="21"/>
          <w:highlight w:val="none"/>
        </w:rPr>
        <w:t>.1甲方保留由于本工程的设计变更而变更本合同范围的工作或工作的形式、质量或数量的权利；</w:t>
      </w:r>
    </w:p>
    <w:p>
      <w:pPr>
        <w:snapToGrid w:val="0"/>
        <w:spacing w:line="500" w:lineRule="exact"/>
        <w:ind w:firstLine="404" w:firstLineChars="200"/>
        <w:jc w:val="left"/>
        <w:rPr>
          <w:rFonts w:ascii="宋体" w:hAnsi="宋体"/>
          <w:snapToGrid w:val="0"/>
          <w:szCs w:val="21"/>
          <w:highlight w:val="none"/>
        </w:rPr>
      </w:pPr>
      <w:r>
        <w:rPr>
          <w:rFonts w:hint="eastAsia" w:ascii="宋体" w:hAnsi="宋体"/>
          <w:snapToGrid w:val="0"/>
          <w:spacing w:val="-4"/>
          <w:szCs w:val="21"/>
          <w:highlight w:val="none"/>
        </w:rPr>
        <w:t>如果发出变更指示是由于乙方的过失或违约所致、或乙方应对此负责时，则此变更引起的费用应由乙方承担</w:t>
      </w:r>
      <w:r>
        <w:rPr>
          <w:rFonts w:hint="eastAsia" w:ascii="宋体" w:hAnsi="宋体"/>
          <w:snapToGrid w:val="0"/>
          <w:szCs w:val="21"/>
          <w:highlight w:val="none"/>
        </w:rPr>
        <w:t>。</w:t>
      </w:r>
    </w:p>
    <w:p>
      <w:pPr>
        <w:pStyle w:val="98"/>
        <w:spacing w:line="500" w:lineRule="exact"/>
        <w:ind w:left="420" w:leftChars="200" w:firstLine="0" w:firstLineChars="0"/>
        <w:rPr>
          <w:rFonts w:ascii="宋体" w:hAnsi="宋体"/>
          <w:snapToGrid w:val="0"/>
          <w:szCs w:val="21"/>
          <w:highlight w:val="none"/>
        </w:rPr>
      </w:pPr>
      <w:r>
        <w:rPr>
          <w:rFonts w:hint="eastAsia" w:ascii="宋体" w:hAnsi="宋体"/>
          <w:snapToGrid w:val="0"/>
          <w:szCs w:val="21"/>
          <w:highlight w:val="none"/>
        </w:rPr>
        <w:t>5.</w:t>
      </w:r>
      <w:r>
        <w:rPr>
          <w:rFonts w:ascii="宋体" w:hAnsi="宋体"/>
          <w:snapToGrid w:val="0"/>
          <w:szCs w:val="21"/>
          <w:highlight w:val="none"/>
        </w:rPr>
        <w:t>8</w:t>
      </w:r>
      <w:r>
        <w:rPr>
          <w:rFonts w:hint="eastAsia" w:ascii="宋体" w:hAnsi="宋体"/>
          <w:snapToGrid w:val="0"/>
          <w:szCs w:val="21"/>
          <w:highlight w:val="none"/>
        </w:rPr>
        <w:t>.2没有甲方的事先书面同意，乙方不得做出任何变更。</w:t>
      </w:r>
    </w:p>
    <w:p>
      <w:pPr>
        <w:pStyle w:val="98"/>
        <w:spacing w:line="500" w:lineRule="exact"/>
        <w:rPr>
          <w:rFonts w:ascii="宋体" w:hAnsi="宋体"/>
          <w:snapToGrid w:val="0"/>
          <w:szCs w:val="21"/>
          <w:highlight w:val="none"/>
        </w:rPr>
      </w:pPr>
      <w:r>
        <w:rPr>
          <w:rFonts w:hint="eastAsia" w:ascii="宋体" w:hAnsi="宋体"/>
          <w:snapToGrid w:val="0"/>
          <w:szCs w:val="21"/>
          <w:highlight w:val="none"/>
        </w:rPr>
        <w:t>5.</w:t>
      </w:r>
      <w:r>
        <w:rPr>
          <w:rFonts w:ascii="宋体" w:hAnsi="宋体"/>
          <w:snapToGrid w:val="0"/>
          <w:szCs w:val="21"/>
          <w:highlight w:val="none"/>
        </w:rPr>
        <w:t>8</w:t>
      </w:r>
      <w:r>
        <w:rPr>
          <w:rFonts w:hint="eastAsia" w:ascii="宋体" w:hAnsi="宋体"/>
          <w:snapToGrid w:val="0"/>
          <w:szCs w:val="21"/>
          <w:highlight w:val="none"/>
        </w:rPr>
        <w:t>.3调整合同费用，若本合同工程量清单中有中对应单价的，则按本合同执行；无对应的单价的，参照深圳市建筑工务署工程管理中心工程质量检测（测评监测）指引（2020版）中的基准单价确定；指引中未列出的监测项目单价按照工程勘察设计收费标准（2002年修订本）执行。</w:t>
      </w:r>
    </w:p>
    <w:p>
      <w:pPr>
        <w:pStyle w:val="98"/>
        <w:spacing w:line="500" w:lineRule="exact"/>
        <w:rPr>
          <w:rFonts w:ascii="宋体" w:hAnsi="宋体"/>
          <w:snapToGrid w:val="0"/>
          <w:szCs w:val="21"/>
          <w:highlight w:val="none"/>
        </w:rPr>
      </w:pPr>
      <w:r>
        <w:rPr>
          <w:rFonts w:hint="eastAsia" w:ascii="宋体" w:hAnsi="宋体"/>
          <w:snapToGrid w:val="0"/>
          <w:szCs w:val="21"/>
          <w:highlight w:val="none"/>
        </w:rPr>
        <w:t>5.</w:t>
      </w:r>
      <w:r>
        <w:rPr>
          <w:rFonts w:hint="eastAsia" w:ascii="宋体" w:hAnsi="宋体"/>
          <w:snapToGrid w:val="0"/>
          <w:szCs w:val="21"/>
          <w:highlight w:val="none"/>
          <w:lang w:val="en-US" w:eastAsia="zh-CN"/>
        </w:rPr>
        <w:t>8</w:t>
      </w:r>
      <w:r>
        <w:rPr>
          <w:rFonts w:hint="eastAsia" w:ascii="宋体" w:hAnsi="宋体"/>
          <w:snapToGrid w:val="0"/>
          <w:szCs w:val="21"/>
          <w:highlight w:val="none"/>
        </w:rPr>
        <w:t>.4当有效合同金额超出本合同暂定总价的1</w:t>
      </w:r>
      <w:r>
        <w:rPr>
          <w:rFonts w:ascii="宋体" w:hAnsi="宋体"/>
          <w:snapToGrid w:val="0"/>
          <w:szCs w:val="21"/>
          <w:highlight w:val="none"/>
        </w:rPr>
        <w:t>0</w:t>
      </w:r>
      <w:r>
        <w:rPr>
          <w:rFonts w:hint="eastAsia" w:ascii="宋体" w:hAnsi="宋体"/>
          <w:snapToGrid w:val="0"/>
          <w:szCs w:val="21"/>
          <w:highlight w:val="none"/>
        </w:rPr>
        <w:t>%时，双方应签订补充协议。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sz w:val="24"/>
          <w:szCs w:val="20"/>
          <w:highlight w:val="none"/>
        </w:rPr>
      </w:pPr>
      <w:r>
        <w:rPr>
          <w:rFonts w:hint="eastAsia" w:ascii="宋体" w:hAnsi="宋体"/>
          <w:szCs w:val="21"/>
          <w:highlight w:val="none"/>
        </w:rPr>
        <w:t>5.</w:t>
      </w:r>
      <w:r>
        <w:rPr>
          <w:rFonts w:ascii="宋体" w:hAnsi="宋体"/>
          <w:szCs w:val="21"/>
          <w:highlight w:val="none"/>
        </w:rPr>
        <w:t>9</w:t>
      </w:r>
      <w:r>
        <w:rPr>
          <w:rFonts w:hint="eastAsia" w:ascii="宋体" w:hAnsi="宋体"/>
          <w:szCs w:val="21"/>
          <w:highlight w:val="none"/>
        </w:rPr>
        <w:t>根据本项目的具体情况为按照国家相关规范而完成本项目的监测任务所增加的其他工作及费用包含监测项目的综合单价中，结算时不再另行计量</w:t>
      </w:r>
      <w:r>
        <w:rPr>
          <w:rFonts w:hint="eastAsia" w:ascii="Times New Roman" w:hAnsi="Times New Roman" w:eastAsia="宋体"/>
          <w:sz w:val="24"/>
          <w:szCs w:val="20"/>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5.</w:t>
      </w:r>
      <w:r>
        <w:rPr>
          <w:rFonts w:hint="eastAsia" w:ascii="Times New Roman" w:hAnsi="Times New Roman"/>
          <w:sz w:val="24"/>
          <w:szCs w:val="20"/>
          <w:highlight w:val="none"/>
          <w:lang w:val="en-US" w:eastAsia="zh-CN"/>
        </w:rPr>
        <w:t>10</w:t>
      </w:r>
      <w:r>
        <w:rPr>
          <w:rFonts w:hint="eastAsia" w:ascii="Times New Roman" w:hAnsi="Times New Roman" w:eastAsia="宋体"/>
          <w:sz w:val="24"/>
          <w:szCs w:val="20"/>
          <w:highlight w:val="none"/>
        </w:rPr>
        <w:t>根据工作需要及相关管理规定，甲方有权要求加入智慧平台系统实时监测，监测应满足《深圳市住房和建设局关于加快推进基坑和边坡工程监测预警平台工作的通知》（深建质安〔2020〕14号）的有关自动化、信息化要求，发生费用不单独报价，包含在投标报价中。</w:t>
      </w:r>
    </w:p>
    <w:p>
      <w:pPr>
        <w:keepNext/>
        <w:keepLines/>
        <w:widowControl w:val="0"/>
        <w:numPr>
          <w:ilvl w:val="0"/>
          <w:numId w:val="4"/>
        </w:numPr>
        <w:bidi w:val="0"/>
        <w:spacing w:before="120" w:beforeLines="0" w:beforeAutospacing="0" w:after="120" w:afterLines="0" w:afterAutospacing="0" w:line="240" w:lineRule="auto"/>
        <w:jc w:val="both"/>
        <w:outlineLvl w:val="1"/>
        <w:rPr>
          <w:rFonts w:hint="eastAsia" w:ascii="Arial" w:hAnsi="Arial" w:eastAsia="宋体" w:cs="Times New Roman"/>
          <w:b/>
          <w:kern w:val="2"/>
          <w:sz w:val="28"/>
          <w:highlight w:val="none"/>
          <w:lang w:val="en-US" w:eastAsia="zh-CN" w:bidi="ar-SA"/>
        </w:rPr>
      </w:pPr>
      <w:r>
        <w:rPr>
          <w:rFonts w:hint="eastAsia" w:ascii="Arial" w:hAnsi="Arial" w:eastAsia="宋体" w:cs="Times New Roman"/>
          <w:b/>
          <w:kern w:val="2"/>
          <w:sz w:val="28"/>
          <w:highlight w:val="none"/>
          <w:lang w:val="en-US" w:eastAsia="zh-CN" w:bidi="ar-SA"/>
        </w:rPr>
        <w:t xml:space="preserve"> 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0"/>
          <w:highlight w:val="none"/>
          <w:lang w:val="en-US" w:eastAsia="zh-CN"/>
        </w:rPr>
      </w:pPr>
      <w:r>
        <w:rPr>
          <w:rFonts w:hint="eastAsia" w:ascii="Times New Roman" w:hAnsi="Times New Roman" w:eastAsia="宋体"/>
          <w:sz w:val="24"/>
          <w:szCs w:val="20"/>
          <w:highlight w:val="none"/>
          <w:lang w:val="en-US" w:eastAsia="zh-CN"/>
        </w:rPr>
        <w:t>6.1工程监测费用支付方式：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0"/>
          <w:highlight w:val="none"/>
          <w:lang w:val="en-US" w:eastAsia="zh-CN"/>
        </w:rPr>
      </w:pPr>
      <w:r>
        <w:rPr>
          <w:rFonts w:hint="eastAsia" w:ascii="Times New Roman" w:hAnsi="Times New Roman" w:eastAsia="宋体"/>
          <w:sz w:val="24"/>
          <w:szCs w:val="20"/>
          <w:highlight w:val="none"/>
          <w:lang w:val="en-US" w:eastAsia="zh-CN"/>
        </w:rPr>
        <w:t>（1）监测点布点完成后，甲方支付</w:t>
      </w:r>
      <w:r>
        <w:rPr>
          <w:rFonts w:hint="eastAsia" w:ascii="Times New Roman" w:hAnsi="Times New Roman"/>
          <w:sz w:val="24"/>
          <w:szCs w:val="20"/>
          <w:highlight w:val="none"/>
          <w:lang w:val="en-US" w:eastAsia="zh-CN"/>
        </w:rPr>
        <w:t>暂定合同价</w:t>
      </w:r>
      <w:r>
        <w:rPr>
          <w:rFonts w:hint="eastAsia" w:ascii="Times New Roman" w:hAnsi="Times New Roman" w:eastAsia="宋体"/>
          <w:sz w:val="24"/>
          <w:szCs w:val="20"/>
          <w:highlight w:val="none"/>
          <w:lang w:val="en-US" w:eastAsia="zh-CN"/>
        </w:rPr>
        <w:t>的11%；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0"/>
          <w:highlight w:val="none"/>
          <w:lang w:val="en-US" w:eastAsia="zh-CN"/>
        </w:rPr>
      </w:pPr>
      <w:r>
        <w:rPr>
          <w:rFonts w:hint="eastAsia" w:ascii="Times New Roman" w:hAnsi="Times New Roman" w:eastAsia="宋体"/>
          <w:sz w:val="24"/>
          <w:szCs w:val="20"/>
          <w:highlight w:val="none"/>
          <w:lang w:val="en-US" w:eastAsia="zh-CN"/>
        </w:rPr>
        <w:t>（2）主体结构封顶完成后，甲方支付</w:t>
      </w:r>
      <w:r>
        <w:rPr>
          <w:rFonts w:hint="eastAsia" w:ascii="Times New Roman" w:hAnsi="Times New Roman"/>
          <w:sz w:val="24"/>
          <w:szCs w:val="20"/>
          <w:highlight w:val="none"/>
          <w:lang w:val="en-US" w:eastAsia="zh-CN"/>
        </w:rPr>
        <w:t>暂定合同价</w:t>
      </w:r>
      <w:r>
        <w:rPr>
          <w:rFonts w:hint="eastAsia" w:ascii="Times New Roman" w:hAnsi="Times New Roman" w:eastAsia="宋体"/>
          <w:sz w:val="24"/>
          <w:szCs w:val="20"/>
          <w:highlight w:val="none"/>
          <w:lang w:val="en-US" w:eastAsia="zh-CN"/>
        </w:rPr>
        <w:t>的36%；</w:t>
      </w:r>
    </w:p>
    <w:p>
      <w:pPr>
        <w:widowControl w:val="0"/>
        <w:adjustRightInd w:val="0"/>
        <w:spacing w:line="360" w:lineRule="auto"/>
        <w:ind w:firstLine="480" w:firstLineChars="200"/>
        <w:jc w:val="both"/>
        <w:textAlignment w:val="baseline"/>
        <w:rPr>
          <w:rFonts w:hint="eastAsia" w:ascii="仿宋_GB2312" w:hAnsi="仿宋_GB2312" w:eastAsia="仿宋_GB2312" w:cs="仿宋_GB2312"/>
          <w:kern w:val="2"/>
          <w:sz w:val="32"/>
          <w:szCs w:val="32"/>
          <w:highlight w:val="none"/>
          <w:lang w:val="en-US" w:eastAsia="zh-CN" w:bidi="ar-SA"/>
        </w:rPr>
      </w:pPr>
      <w:r>
        <w:rPr>
          <w:rFonts w:hint="eastAsia" w:ascii="Times New Roman" w:hAnsi="Times New Roman" w:eastAsia="宋体"/>
          <w:sz w:val="24"/>
          <w:szCs w:val="20"/>
          <w:highlight w:val="none"/>
          <w:lang w:val="en-US" w:eastAsia="zh-CN"/>
        </w:rPr>
        <w:t>（3）项目竣工验收合格后，甲方支付</w:t>
      </w:r>
      <w:r>
        <w:rPr>
          <w:rFonts w:hint="eastAsia" w:ascii="Times New Roman" w:hAnsi="Times New Roman"/>
          <w:sz w:val="24"/>
          <w:szCs w:val="20"/>
          <w:highlight w:val="none"/>
          <w:lang w:val="en-US" w:eastAsia="zh-CN"/>
        </w:rPr>
        <w:t>暂定合同价</w:t>
      </w:r>
      <w:r>
        <w:rPr>
          <w:rFonts w:hint="eastAsia" w:ascii="Times New Roman" w:hAnsi="Times New Roman" w:eastAsia="宋体"/>
          <w:sz w:val="24"/>
          <w:szCs w:val="20"/>
          <w:highlight w:val="none"/>
          <w:lang w:val="en-US" w:eastAsia="zh-CN"/>
        </w:rPr>
        <w:t>的15%；</w:t>
      </w:r>
    </w:p>
    <w:p>
      <w:pPr>
        <w:widowControl w:val="0"/>
        <w:adjustRightInd w:val="0"/>
        <w:spacing w:line="360" w:lineRule="auto"/>
        <w:ind w:firstLine="480" w:firstLineChars="200"/>
        <w:jc w:val="both"/>
        <w:textAlignment w:val="baseline"/>
        <w:rPr>
          <w:rFonts w:hint="default" w:ascii="Times New Roman" w:hAnsi="Times New Roman" w:eastAsia="宋体" w:cs="Times New Roman"/>
          <w:kern w:val="0"/>
          <w:sz w:val="24"/>
          <w:highlight w:val="none"/>
          <w:lang w:val="en-US" w:eastAsia="zh-CN" w:bidi="ar-SA"/>
        </w:rPr>
      </w:pPr>
      <w:r>
        <w:rPr>
          <w:rFonts w:hint="eastAsia" w:ascii="Times New Roman" w:hAnsi="Times New Roman" w:cs="Times New Roman"/>
          <w:kern w:val="0"/>
          <w:sz w:val="24"/>
          <w:highlight w:val="none"/>
          <w:lang w:val="en-US" w:eastAsia="zh-CN" w:bidi="ar-SA"/>
        </w:rPr>
        <w:t>（4）</w:t>
      </w:r>
      <w:r>
        <w:rPr>
          <w:rFonts w:hint="eastAsia" w:ascii="Times New Roman" w:hAnsi="Times New Roman" w:eastAsia="宋体" w:cs="Times New Roman"/>
          <w:kern w:val="0"/>
          <w:sz w:val="24"/>
          <w:highlight w:val="none"/>
          <w:lang w:val="en-US" w:eastAsia="zh-CN" w:bidi="ar-SA"/>
        </w:rPr>
        <w:t>乙方完成所有监测工作，提交相关观测成果，且</w:t>
      </w:r>
      <w:r>
        <w:rPr>
          <w:rFonts w:hint="eastAsia" w:ascii="Times New Roman" w:hAnsi="Times New Roman" w:eastAsia="宋体" w:cs="Times New Roman"/>
          <w:kern w:val="0"/>
          <w:sz w:val="24"/>
          <w:szCs w:val="20"/>
          <w:highlight w:val="none"/>
          <w:lang w:val="en-US" w:eastAsia="zh-CN" w:bidi="ar-SA"/>
        </w:rPr>
        <w:t>结算审核完成后，</w:t>
      </w:r>
      <w:r>
        <w:rPr>
          <w:rFonts w:hint="eastAsia" w:ascii="Times New Roman" w:hAnsi="Times New Roman" w:eastAsia="宋体" w:cs="Times New Roman"/>
          <w:kern w:val="0"/>
          <w:sz w:val="24"/>
          <w:highlight w:val="none"/>
          <w:lang w:val="en-US" w:eastAsia="zh-CN" w:bidi="ar-SA"/>
        </w:rPr>
        <w:t>甲方向乙方一次性支付余款。若已支付的合同价款超过审核或审计结果，乙方同意按照审核或者审计意见无条件返还多付的合同价款。</w:t>
      </w:r>
    </w:p>
    <w:p>
      <w:pPr>
        <w:keepNext/>
        <w:keepLines/>
        <w:widowControl w:val="0"/>
        <w:bidi w:val="0"/>
        <w:spacing w:before="120" w:beforeLines="0" w:beforeAutospacing="0" w:after="120" w:afterLines="0" w:afterAutospacing="0" w:line="240" w:lineRule="auto"/>
        <w:jc w:val="both"/>
        <w:outlineLvl w:val="1"/>
        <w:rPr>
          <w:rFonts w:hint="eastAsia" w:ascii="Arial" w:hAnsi="Arial" w:eastAsia="宋体" w:cs="Times New Roman"/>
          <w:b/>
          <w:kern w:val="2"/>
          <w:sz w:val="28"/>
          <w:highlight w:val="none"/>
          <w:lang w:val="en-US" w:eastAsia="zh-CN" w:bidi="ar-SA"/>
        </w:rPr>
      </w:pPr>
      <w:r>
        <w:rPr>
          <w:rFonts w:hint="eastAsia" w:ascii="Arial" w:hAnsi="Arial" w:eastAsia="宋体" w:cs="Times New Roman"/>
          <w:b/>
          <w:kern w:val="2"/>
          <w:sz w:val="28"/>
          <w:highlight w:val="none"/>
          <w:lang w:val="en-US" w:eastAsia="zh-CN" w:bidi="ar-SA"/>
        </w:rPr>
        <w:t>第七条 结算原则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0"/>
          <w:highlight w:val="none"/>
        </w:rPr>
      </w:pPr>
      <w:r>
        <w:rPr>
          <w:rFonts w:hint="eastAsia" w:ascii="Times New Roman" w:hAnsi="Times New Roman" w:eastAsia="宋体"/>
          <w:sz w:val="24"/>
          <w:szCs w:val="20"/>
          <w:highlight w:val="none"/>
          <w:lang w:val="en-US" w:eastAsia="zh-CN"/>
        </w:rPr>
        <w:t>7.1</w:t>
      </w:r>
      <w:r>
        <w:rPr>
          <w:rFonts w:hint="eastAsia" w:ascii="Times New Roman" w:hAnsi="Times New Roman" w:eastAsia="宋体"/>
          <w:sz w:val="24"/>
          <w:szCs w:val="20"/>
          <w:highlight w:val="none"/>
        </w:rPr>
        <w:t>合同结算方式：</w:t>
      </w:r>
    </w:p>
    <w:p>
      <w:pPr>
        <w:spacing w:line="360" w:lineRule="auto"/>
        <w:ind w:firstLine="480" w:firstLineChars="200"/>
        <w:rPr>
          <w:rFonts w:hint="eastAsia" w:ascii="宋体" w:hAnsi="宋体" w:eastAsia="宋体"/>
          <w:sz w:val="24"/>
          <w:szCs w:val="21"/>
          <w:highlight w:val="none"/>
        </w:rPr>
      </w:pPr>
      <w:r>
        <w:rPr>
          <w:rFonts w:hint="eastAsia" w:ascii="宋体" w:hAnsi="宋体" w:eastAsia="宋体"/>
          <w:sz w:val="24"/>
          <w:szCs w:val="21"/>
          <w:highlight w:val="none"/>
        </w:rPr>
        <w:t>监测点数按照现场实际监测数量经监理单位、</w:t>
      </w:r>
      <w:r>
        <w:rPr>
          <w:rFonts w:hint="eastAsia" w:ascii="宋体" w:hAnsi="宋体"/>
          <w:sz w:val="24"/>
          <w:szCs w:val="21"/>
          <w:highlight w:val="none"/>
          <w:lang w:val="en-US" w:eastAsia="zh-CN"/>
        </w:rPr>
        <w:t>建设单位</w:t>
      </w:r>
      <w:r>
        <w:rPr>
          <w:rFonts w:hint="eastAsia" w:ascii="宋体" w:hAnsi="宋体" w:eastAsia="宋体"/>
          <w:sz w:val="24"/>
          <w:szCs w:val="21"/>
          <w:highlight w:val="none"/>
        </w:rPr>
        <w:t>确认为准，监测频次需满足设计要求，监测单价以本合同工程量清单中对应的单价办理结算；①监测</w:t>
      </w:r>
      <w:r>
        <w:rPr>
          <w:rFonts w:hint="eastAsia" w:ascii="宋体" w:hAnsi="宋体"/>
          <w:sz w:val="24"/>
          <w:szCs w:val="21"/>
          <w:highlight w:val="none"/>
          <w:lang w:val="en-US" w:eastAsia="zh-CN"/>
        </w:rPr>
        <w:t>点次</w:t>
      </w:r>
      <w:r>
        <w:rPr>
          <w:rFonts w:hint="eastAsia" w:ascii="宋体" w:hAnsi="宋体" w:eastAsia="宋体"/>
          <w:sz w:val="24"/>
          <w:szCs w:val="21"/>
          <w:highlight w:val="none"/>
        </w:rPr>
        <w:t>低于</w:t>
      </w:r>
      <w:r>
        <w:rPr>
          <w:rFonts w:hint="eastAsia" w:ascii="宋体" w:hAnsi="宋体"/>
          <w:sz w:val="24"/>
          <w:szCs w:val="21"/>
          <w:highlight w:val="none"/>
          <w:lang w:val="en-US" w:eastAsia="zh-CN"/>
        </w:rPr>
        <w:t>清单量的</w:t>
      </w:r>
      <w:r>
        <w:rPr>
          <w:rFonts w:hint="eastAsia" w:ascii="宋体" w:hAnsi="宋体" w:eastAsia="宋体"/>
          <w:sz w:val="24"/>
          <w:szCs w:val="21"/>
          <w:highlight w:val="none"/>
        </w:rPr>
        <w:t>，</w:t>
      </w:r>
      <w:r>
        <w:rPr>
          <w:rFonts w:hint="eastAsia" w:ascii="宋体" w:hAnsi="宋体" w:eastAsia="宋体"/>
          <w:sz w:val="24"/>
          <w:szCs w:val="21"/>
          <w:highlight w:val="none"/>
          <w:lang w:val="en-US" w:eastAsia="zh-CN"/>
        </w:rPr>
        <w:t>结算价款</w:t>
      </w:r>
      <w:r>
        <w:rPr>
          <w:rFonts w:hint="eastAsia" w:ascii="宋体" w:hAnsi="宋体" w:eastAsia="宋体"/>
          <w:sz w:val="24"/>
          <w:szCs w:val="21"/>
          <w:highlight w:val="none"/>
        </w:rPr>
        <w:t>以本合同工程量清单中对应的单价</w:t>
      </w:r>
      <w:r>
        <w:rPr>
          <w:rFonts w:hint="eastAsia" w:ascii="宋体" w:hAnsi="宋体" w:eastAsia="宋体"/>
          <w:sz w:val="24"/>
          <w:szCs w:val="21"/>
          <w:highlight w:val="none"/>
          <w:lang w:val="en-US" w:eastAsia="zh-CN"/>
        </w:rPr>
        <w:t>*实际监测</w:t>
      </w:r>
      <w:r>
        <w:rPr>
          <w:rFonts w:hint="eastAsia" w:ascii="宋体" w:hAnsi="宋体"/>
          <w:sz w:val="24"/>
          <w:szCs w:val="21"/>
          <w:highlight w:val="none"/>
          <w:lang w:val="en-US" w:eastAsia="zh-CN"/>
        </w:rPr>
        <w:t>点</w:t>
      </w:r>
      <w:r>
        <w:rPr>
          <w:rFonts w:hint="eastAsia" w:ascii="宋体" w:hAnsi="宋体" w:eastAsia="宋体"/>
          <w:sz w:val="24"/>
          <w:szCs w:val="21"/>
          <w:highlight w:val="none"/>
          <w:lang w:val="en-US" w:eastAsia="zh-CN"/>
        </w:rPr>
        <w:t>次办理结算；②</w:t>
      </w:r>
      <w:r>
        <w:rPr>
          <w:rFonts w:hint="eastAsia" w:ascii="宋体" w:hAnsi="宋体" w:eastAsia="宋体"/>
          <w:sz w:val="24"/>
          <w:szCs w:val="21"/>
          <w:highlight w:val="none"/>
        </w:rPr>
        <w:t>监测</w:t>
      </w:r>
      <w:r>
        <w:rPr>
          <w:rFonts w:hint="eastAsia" w:ascii="宋体" w:hAnsi="宋体"/>
          <w:sz w:val="24"/>
          <w:szCs w:val="21"/>
          <w:highlight w:val="none"/>
          <w:lang w:val="en-US" w:eastAsia="zh-CN"/>
        </w:rPr>
        <w:t>点</w:t>
      </w:r>
      <w:r>
        <w:rPr>
          <w:rFonts w:hint="eastAsia" w:ascii="宋体" w:hAnsi="宋体" w:eastAsia="宋体"/>
          <w:sz w:val="24"/>
          <w:szCs w:val="21"/>
          <w:highlight w:val="none"/>
        </w:rPr>
        <w:t>次</w:t>
      </w:r>
      <w:r>
        <w:rPr>
          <w:rFonts w:hint="eastAsia" w:ascii="宋体" w:hAnsi="宋体" w:eastAsia="宋体"/>
          <w:sz w:val="24"/>
          <w:szCs w:val="21"/>
          <w:highlight w:val="none"/>
          <w:lang w:val="en-US" w:eastAsia="zh-CN"/>
        </w:rPr>
        <w:t>超过</w:t>
      </w:r>
      <w:r>
        <w:rPr>
          <w:rFonts w:hint="eastAsia" w:ascii="宋体" w:hAnsi="宋体"/>
          <w:sz w:val="24"/>
          <w:szCs w:val="21"/>
          <w:highlight w:val="none"/>
          <w:lang w:val="en-US" w:eastAsia="zh-CN"/>
        </w:rPr>
        <w:t>清单量但</w:t>
      </w:r>
      <w:r>
        <w:rPr>
          <w:rFonts w:hint="eastAsia" w:ascii="宋体" w:hAnsi="宋体" w:eastAsia="宋体"/>
          <w:sz w:val="24"/>
          <w:szCs w:val="21"/>
          <w:highlight w:val="none"/>
          <w:lang w:val="en-US" w:eastAsia="zh-CN"/>
        </w:rPr>
        <w:t>未超过</w:t>
      </w:r>
      <w:r>
        <w:rPr>
          <w:rFonts w:hint="eastAsia" w:ascii="宋体" w:hAnsi="宋体"/>
          <w:sz w:val="24"/>
          <w:szCs w:val="21"/>
          <w:highlight w:val="none"/>
          <w:lang w:val="en-US" w:eastAsia="zh-CN"/>
        </w:rPr>
        <w:t>清单量</w:t>
      </w:r>
      <w:r>
        <w:rPr>
          <w:rFonts w:hint="eastAsia" w:ascii="宋体" w:hAnsi="宋体" w:eastAsia="宋体"/>
          <w:sz w:val="24"/>
          <w:szCs w:val="21"/>
          <w:highlight w:val="none"/>
        </w:rPr>
        <w:t>30%</w:t>
      </w:r>
      <w:r>
        <w:rPr>
          <w:rFonts w:hint="eastAsia" w:ascii="宋体" w:hAnsi="宋体" w:eastAsia="宋体"/>
          <w:sz w:val="24"/>
          <w:szCs w:val="21"/>
          <w:highlight w:val="none"/>
          <w:lang w:val="en-US" w:eastAsia="zh-CN"/>
        </w:rPr>
        <w:t>的</w:t>
      </w:r>
      <w:r>
        <w:rPr>
          <w:rFonts w:hint="eastAsia" w:ascii="宋体" w:hAnsi="宋体" w:eastAsia="宋体"/>
          <w:sz w:val="24"/>
          <w:szCs w:val="21"/>
          <w:highlight w:val="none"/>
          <w:lang w:eastAsia="zh-CN"/>
        </w:rPr>
        <w:t>，</w:t>
      </w:r>
      <w:r>
        <w:rPr>
          <w:rFonts w:hint="eastAsia" w:ascii="宋体" w:hAnsi="宋体" w:eastAsia="宋体"/>
          <w:sz w:val="24"/>
          <w:szCs w:val="21"/>
          <w:highlight w:val="none"/>
          <w:lang w:val="en-US" w:eastAsia="zh-CN"/>
        </w:rPr>
        <w:t>结算价款</w:t>
      </w:r>
      <w:r>
        <w:rPr>
          <w:rFonts w:hint="eastAsia" w:ascii="宋体" w:hAnsi="宋体" w:eastAsia="宋体"/>
          <w:sz w:val="24"/>
          <w:szCs w:val="21"/>
          <w:highlight w:val="none"/>
        </w:rPr>
        <w:t>以本合同工程量清单中对应的单价</w:t>
      </w:r>
      <w:r>
        <w:rPr>
          <w:rFonts w:hint="eastAsia" w:ascii="宋体" w:hAnsi="宋体" w:eastAsia="宋体"/>
          <w:sz w:val="24"/>
          <w:szCs w:val="21"/>
          <w:highlight w:val="none"/>
          <w:lang w:val="en-US" w:eastAsia="zh-CN"/>
        </w:rPr>
        <w:t>*</w:t>
      </w:r>
      <w:r>
        <w:rPr>
          <w:rFonts w:hint="eastAsia" w:ascii="宋体" w:hAnsi="宋体"/>
          <w:sz w:val="24"/>
          <w:szCs w:val="21"/>
          <w:highlight w:val="none"/>
          <w:lang w:val="en-US" w:eastAsia="zh-CN"/>
        </w:rPr>
        <w:t>清单量</w:t>
      </w:r>
      <w:r>
        <w:rPr>
          <w:rFonts w:hint="eastAsia" w:ascii="宋体" w:hAnsi="宋体" w:eastAsia="宋体"/>
          <w:sz w:val="24"/>
          <w:szCs w:val="21"/>
          <w:highlight w:val="none"/>
          <w:lang w:val="en-US" w:eastAsia="zh-CN"/>
        </w:rPr>
        <w:t>办理结算</w:t>
      </w:r>
      <w:r>
        <w:rPr>
          <w:rFonts w:hint="eastAsia" w:ascii="宋体" w:hAnsi="宋体" w:eastAsia="宋体"/>
          <w:sz w:val="24"/>
          <w:szCs w:val="21"/>
          <w:highlight w:val="none"/>
        </w:rPr>
        <w:t>；③监测频次超过</w:t>
      </w:r>
      <w:r>
        <w:rPr>
          <w:rFonts w:hint="eastAsia" w:ascii="宋体" w:hAnsi="宋体"/>
          <w:sz w:val="24"/>
          <w:szCs w:val="21"/>
          <w:highlight w:val="none"/>
          <w:lang w:val="en-US" w:eastAsia="zh-CN"/>
        </w:rPr>
        <w:t>清单量</w:t>
      </w:r>
      <w:r>
        <w:rPr>
          <w:rFonts w:hint="eastAsia" w:ascii="宋体" w:hAnsi="宋体" w:eastAsia="宋体"/>
          <w:sz w:val="24"/>
          <w:szCs w:val="21"/>
          <w:highlight w:val="none"/>
        </w:rPr>
        <w:t>30%</w:t>
      </w:r>
      <w:r>
        <w:rPr>
          <w:rFonts w:hint="eastAsia" w:ascii="宋体" w:hAnsi="宋体" w:eastAsia="宋体"/>
          <w:sz w:val="24"/>
          <w:szCs w:val="21"/>
          <w:highlight w:val="none"/>
          <w:lang w:val="en-US" w:eastAsia="zh-CN"/>
        </w:rPr>
        <w:t>的，其超过的</w:t>
      </w:r>
      <w:r>
        <w:rPr>
          <w:rFonts w:hint="eastAsia" w:ascii="宋体" w:hAnsi="宋体" w:eastAsia="宋体"/>
          <w:sz w:val="24"/>
          <w:szCs w:val="21"/>
          <w:highlight w:val="none"/>
        </w:rPr>
        <w:t>部分，按实际增加</w:t>
      </w:r>
      <w:r>
        <w:rPr>
          <w:rFonts w:hint="eastAsia" w:ascii="宋体" w:hAnsi="宋体"/>
          <w:sz w:val="24"/>
          <w:szCs w:val="21"/>
          <w:highlight w:val="none"/>
          <w:lang w:val="en-US" w:eastAsia="zh-CN"/>
        </w:rPr>
        <w:t>点</w:t>
      </w:r>
      <w:r>
        <w:rPr>
          <w:rFonts w:hint="eastAsia" w:ascii="宋体" w:hAnsi="宋体" w:eastAsia="宋体"/>
          <w:sz w:val="24"/>
          <w:szCs w:val="21"/>
          <w:highlight w:val="none"/>
        </w:rPr>
        <w:t>次计量。</w:t>
      </w:r>
    </w:p>
    <w:p>
      <w:pPr>
        <w:keepNext/>
        <w:keepLines/>
        <w:widowControl w:val="0"/>
        <w:bidi w:val="0"/>
        <w:spacing w:before="120" w:beforeLines="0" w:beforeAutospacing="0" w:after="120" w:afterLines="0" w:afterAutospacing="0" w:line="240" w:lineRule="auto"/>
        <w:jc w:val="both"/>
        <w:outlineLvl w:val="1"/>
        <w:rPr>
          <w:rFonts w:ascii="Arial" w:hAnsi="Arial" w:eastAsia="宋体" w:cs="Times New Roman"/>
          <w:b/>
          <w:kern w:val="2"/>
          <w:sz w:val="28"/>
          <w:highlight w:val="none"/>
          <w:lang w:val="en-US" w:eastAsia="zh-CN" w:bidi="ar-SA"/>
        </w:rPr>
      </w:pPr>
      <w:r>
        <w:rPr>
          <w:rFonts w:hint="eastAsia" w:ascii="Arial" w:hAnsi="Arial" w:eastAsia="宋体" w:cs="Times New Roman"/>
          <w:b/>
          <w:kern w:val="2"/>
          <w:sz w:val="28"/>
          <w:highlight w:val="none"/>
          <w:lang w:val="en-US" w:eastAsia="zh-CN" w:bidi="ar-SA"/>
        </w:rPr>
        <w:t>第八条 监测成果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sz w:val="24"/>
          <w:szCs w:val="20"/>
          <w:highlight w:val="none"/>
          <w:lang w:val="en-US" w:eastAsia="zh-CN"/>
        </w:rPr>
      </w:pPr>
      <w:r>
        <w:rPr>
          <w:rFonts w:hint="eastAsia" w:ascii="Times New Roman" w:hAnsi="Times New Roman" w:eastAsia="宋体"/>
          <w:sz w:val="24"/>
          <w:szCs w:val="20"/>
          <w:highlight w:val="none"/>
          <w:lang w:val="en-US" w:eastAsia="zh-CN"/>
        </w:rPr>
        <w:t>8.1提交监测方案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0"/>
          <w:highlight w:val="none"/>
        </w:rPr>
      </w:pPr>
      <w:r>
        <w:rPr>
          <w:rFonts w:hint="eastAsia" w:ascii="Times New Roman" w:hAnsi="Times New Roman" w:eastAsia="宋体"/>
          <w:sz w:val="24"/>
          <w:szCs w:val="20"/>
          <w:highlight w:val="none"/>
          <w:lang w:val="en-US" w:eastAsia="zh-CN"/>
        </w:rPr>
        <w:t>8.2监测报告提交：</w:t>
      </w:r>
      <w:r>
        <w:rPr>
          <w:rFonts w:hint="eastAsia" w:ascii="Times New Roman" w:hAnsi="Times New Roman" w:eastAsia="宋体"/>
          <w:sz w:val="24"/>
          <w:szCs w:val="20"/>
          <w:highlight w:val="none"/>
        </w:rPr>
        <w:t>每观测一次，乙方自</w:t>
      </w:r>
      <w:r>
        <w:rPr>
          <w:rFonts w:hint="eastAsia" w:ascii="Times New Roman" w:hAnsi="Times New Roman" w:eastAsia="宋体"/>
          <w:sz w:val="24"/>
          <w:szCs w:val="20"/>
          <w:highlight w:val="none"/>
          <w:lang w:val="en-US" w:eastAsia="zh-CN"/>
        </w:rPr>
        <w:t>每次观测完成后的</w:t>
      </w:r>
      <w:r>
        <w:rPr>
          <w:rFonts w:hint="eastAsia" w:ascii="Times New Roman" w:hAnsi="Times New Roman" w:eastAsia="宋体"/>
          <w:sz w:val="24"/>
          <w:szCs w:val="20"/>
          <w:highlight w:val="none"/>
        </w:rPr>
        <w:t>次日将观测结果电子文件发给甲方（如发现有异常严重情况，当时即向甲方反映），</w:t>
      </w:r>
      <w:r>
        <w:rPr>
          <w:rFonts w:hint="eastAsia" w:ascii="Times New Roman" w:hAnsi="Times New Roman" w:eastAsia="宋体"/>
          <w:sz w:val="24"/>
          <w:szCs w:val="20"/>
          <w:highlight w:val="none"/>
          <w:lang w:val="en-US" w:eastAsia="zh-CN"/>
        </w:rPr>
        <w:t>第三天</w:t>
      </w:r>
      <w:r>
        <w:rPr>
          <w:rFonts w:hint="eastAsia" w:ascii="Times New Roman" w:hAnsi="Times New Roman" w:eastAsia="宋体"/>
          <w:sz w:val="24"/>
          <w:szCs w:val="20"/>
          <w:highlight w:val="none"/>
        </w:rPr>
        <w:t>向甲方提交五份监测结果书面报告</w:t>
      </w:r>
      <w:r>
        <w:rPr>
          <w:rFonts w:hint="eastAsia" w:ascii="Times New Roman" w:hAnsi="Times New Roman" w:eastAsia="宋体"/>
          <w:sz w:val="24"/>
          <w:szCs w:val="20"/>
          <w:highlight w:val="none"/>
          <w:lang w:eastAsia="zh-CN"/>
        </w:rPr>
        <w:t>；</w:t>
      </w:r>
      <w:r>
        <w:rPr>
          <w:rFonts w:hint="eastAsia" w:ascii="Times New Roman" w:hAnsi="Times New Roman" w:eastAsia="宋体"/>
          <w:sz w:val="24"/>
          <w:szCs w:val="20"/>
          <w:highlight w:val="none"/>
        </w:rPr>
        <w:t>工程竣工验收前一个月，提交五份书面观测报告，直至工程竣工验收及沉降稳定满足要求，提交五份书面观测总报告。观测成果报告均需符合国家现行规定标准和深圳市建设局的要求。并满足工程主体及竣工验收、备案资料的要求。</w:t>
      </w:r>
    </w:p>
    <w:p>
      <w:pPr>
        <w:keepNext/>
        <w:keepLines/>
        <w:widowControl w:val="0"/>
        <w:bidi w:val="0"/>
        <w:spacing w:before="120" w:beforeLines="0" w:beforeAutospacing="0" w:after="120" w:afterLines="0" w:afterAutospacing="0" w:line="240" w:lineRule="auto"/>
        <w:jc w:val="both"/>
        <w:outlineLvl w:val="1"/>
        <w:rPr>
          <w:rFonts w:ascii="Arial" w:hAnsi="Arial" w:eastAsia="宋体" w:cs="Times New Roman"/>
          <w:b/>
          <w:kern w:val="2"/>
          <w:sz w:val="28"/>
          <w:highlight w:val="none"/>
          <w:lang w:val="en-US" w:eastAsia="zh-CN" w:bidi="ar-SA"/>
        </w:rPr>
      </w:pPr>
      <w:r>
        <w:rPr>
          <w:rFonts w:hint="eastAsia" w:ascii="Arial" w:hAnsi="Arial" w:eastAsia="宋体" w:cs="Times New Roman"/>
          <w:b/>
          <w:kern w:val="2"/>
          <w:sz w:val="28"/>
          <w:highlight w:val="none"/>
          <w:lang w:val="en-US" w:eastAsia="zh-CN" w:bidi="ar-SA"/>
        </w:rPr>
        <w:t>第九条 甲方、乙方义务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9.1 甲方义务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9.1.1 甲方向乙方明确监测任务及技术要求，提供有关资料。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9.1.2 甲方应保护乙方监测方案、报告书、文件、资料图纸、数据、特殊工艺（方法）、专利技术和合理化建议，未经乙方同意，甲方不得泄露、擅自修改、向第三人转让或用于本合同外的项目。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9.1.3 甲方督促施工方配合乙方的监测工作。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 乙方义务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9.2.1 乙方依据甲方提供的资料和现场实地勘察情况，根据自身经验，在确保安全和满足相关要求的前提下，编制出最经济合理的监测方案，并经项目设计及监理审核通过。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9.2.2 乙方应根据现场施工情况、国家规范或设计要求，及时进场进行监测，密切配合施工进度，不得拖延。在合同期限内，若出现异常，应及时通知施工单位、监理及甲方，同时乙方应积极配合处理设计施工中出现的有关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9.2.3 乙方应按国家技术规范、标准、规程和甲方的任务委托书及技术要求进行工程监测，按本合同规定的时间提交质量合格的监测成果，并对其准确性、科学性负责。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9.2.4 乙方应保证监测过程的安全文明，坚决杜绝安全事故的发生。如发生与监测有关的安全事故，造成不良的社会影响及经济损失，一切责任均由乙方承担。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9.2.5 乙方应积极参加与监测相关工程的施工交底及工程验收，配合处理施工过程中出现的异常问题，并根据甲方要求，及时派驻专业工程师到现场解决问题。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9.2.6 做好控制点和监测点的保护，确保监测数据真实有效。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9.2.7 乙方每次监测前后，应主动及时地通知监理单位，配合监理单位的合理安排，并与监理单位签字确认每次监测点数量和其位置。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9.2.8 乙方应自费将测量仪器设备交由有资质的单位按相关规定定期进行标定。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9.2.9</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乙方实际进场的主要管理、技术人员须与投标承诺人员一致，进场后不得随意更换，更换主要管理、技术人员须征得甲方的同意，方可调换。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9.2.10</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乙方需在深圳市行政区域内设立项目部，且承担本项目主要技术、管理人员必须常驻深圳市内，并与乙方有劳动合同关系。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9.2.11</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合同签订后提供本项目工作的技术人员（包括在本项目中负责的总部主管人员和现场负责人，以及安装、调试、质量监督及其他服务人员）的配备情况，说明项目负责人姓名、年龄、学历、职称、简历、以往从事过的类似项目以及在其中承担的责任、在本项目中所承担的职责，同时确认其服务期限应在本项目合同执行完毕后方告结束，所有其提供的服务均已包含在合同总价内，并在合同执行完毕后由甲方提供有效证明后方可离开，否则视为违约。在合同执行期间，在未经甲方同意前提下不随意更换主要技术人员。如因不可抗力因素无法提供合同中所承诺的服务确需更换时，乙方应事先征得甲方同意后，在保证人员资质不降低的前提下进行调整，否则视为违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9.2.12</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乙方必须在甲方的安全、质量管理体系下，按照工作计划、实施细则并配备与投标文件描述一致的工程技术人员、测量仪器、测绘仪器等开展工作，编制监测预算，并按合同相关约定定期向甲方报告工作进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9.2.13</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在实施过程中，如因场地条件、设计方案的变更，需增减工作量或改变监测或测绘手段，应及时报请甲方进行审核，并取得甲方批准后，方可办理变更手续。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9.2.14</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服从甲方根据全线工程的设计、施工需要，对本合同的工作内容和工期的调整。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9.2.15</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乙方在作业时应谨慎从事，对地下管线和构筑物进行相应保护，遇到地下文物时应及时向甲方和文物保护部门汇报并妥善保护，如对原有道路、桥梁、地上（下）管线、构筑物或地上附着物造成损坏或损伤。由于乙方未采取有效的安全、保卫和环境保护措施而发生的人身伤亡、罚款、索赔、赔偿、诉讼费用和其它费用，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9.2.16</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乙方应负责支付项目的审查、初步验收、终验组织评审等所发生的一切费用。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9.2.17</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按时提交监测报告，负责文整、打印、复印、装订、装箱等工作。资料装订规格必须符合档案归档规定。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9.2.18</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施工期间，若出现预警报警的数据，乙方应结合现场具体情况（如进度、工法、地质水文环境等）进行综合分析，并对现场施工的安全性作出判定、提出结论性意见。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9.2.19</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乙方应及时取得施工单位布设的监测点的初始值，如因初始值取值滞后造成数据不准确或预警判断失误等情况，乙方应承担相应责任。全程参与施工单位的监测布点工作，对施工单位不合理的布点，及时提出修改意见并报监理和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9.2.20</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负责乙方日常监测的布点及其保护工作，如需共用施工监测点需取得甲方批复，若有变化参考相关政策。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9.2.21</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应甲方要求，采取有效措施及时提供中间资料，以满足设计、施工的需要。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9.2.22</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乙方不得将服务范围内的本项目任务转包给第三方履行。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9.2.23</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乙方承担本项目服务设备的布置与安装，并对本合同内所有的测点、监测仪器等尽到保护责任，如有损坏应及时恢复，否则将扣除损坏测点（监测或视频点）的设备、材料购置费、埋设费、观测费等。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0"/>
          <w:highlight w:val="none"/>
        </w:rPr>
      </w:pPr>
      <w:r>
        <w:rPr>
          <w:rFonts w:hint="eastAsia" w:ascii="Times New Roman" w:hAnsi="Times New Roman" w:eastAsia="宋体"/>
          <w:sz w:val="24"/>
          <w:szCs w:val="20"/>
          <w:highlight w:val="none"/>
        </w:rPr>
        <w:t>9.2.24</w:t>
      </w:r>
      <w:r>
        <w:rPr>
          <w:rFonts w:hint="eastAsia" w:ascii="Times New Roman" w:hAnsi="Times New Roman" w:eastAsia="宋体"/>
          <w:sz w:val="24"/>
          <w:szCs w:val="20"/>
          <w:highlight w:val="none"/>
          <w:lang w:val="en-US" w:eastAsia="zh-CN"/>
        </w:rPr>
        <w:t xml:space="preserve"> </w:t>
      </w:r>
      <w:r>
        <w:rPr>
          <w:rFonts w:hint="eastAsia" w:ascii="Times New Roman" w:hAnsi="Times New Roman" w:eastAsia="宋体"/>
          <w:sz w:val="24"/>
          <w:szCs w:val="20"/>
          <w:highlight w:val="none"/>
        </w:rPr>
        <w:t>乙方有责任和义务按甲方或专家评审意见对其提交的监测方案进行修正、补充和完善。</w:t>
      </w:r>
    </w:p>
    <w:p>
      <w:pPr>
        <w:keepNext/>
        <w:keepLines/>
        <w:widowControl w:val="0"/>
        <w:bidi w:val="0"/>
        <w:spacing w:before="120" w:beforeLines="0" w:beforeAutospacing="0" w:after="120" w:afterLines="0" w:afterAutospacing="0" w:line="240" w:lineRule="auto"/>
        <w:jc w:val="both"/>
        <w:outlineLvl w:val="1"/>
        <w:rPr>
          <w:rFonts w:ascii="Arial" w:hAnsi="Arial" w:eastAsia="宋体" w:cs="Times New Roman"/>
          <w:b/>
          <w:kern w:val="2"/>
          <w:sz w:val="28"/>
          <w:highlight w:val="none"/>
          <w:lang w:val="en-US" w:eastAsia="zh-CN" w:bidi="ar-SA"/>
        </w:rPr>
      </w:pPr>
      <w:r>
        <w:rPr>
          <w:rFonts w:hint="eastAsia" w:ascii="Arial" w:hAnsi="Arial" w:eastAsia="宋体" w:cs="Times New Roman"/>
          <w:b/>
          <w:kern w:val="2"/>
          <w:sz w:val="28"/>
          <w:highlight w:val="none"/>
          <w:lang w:val="en-US" w:eastAsia="zh-CN" w:bidi="ar-SA"/>
        </w:rPr>
        <w:t>第十条 违约责任</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sz w:val="24"/>
          <w:szCs w:val="21"/>
          <w:highlight w:val="none"/>
        </w:rPr>
      </w:pPr>
      <w:r>
        <w:rPr>
          <w:rFonts w:hint="eastAsia" w:ascii="宋体" w:hAnsi="宋体"/>
          <w:sz w:val="24"/>
          <w:szCs w:val="21"/>
          <w:highlight w:val="none"/>
          <w:lang w:val="en-US" w:eastAsia="zh-CN"/>
        </w:rPr>
        <w:t>10</w:t>
      </w:r>
      <w:r>
        <w:rPr>
          <w:rFonts w:hint="eastAsia" w:ascii="宋体" w:hAnsi="宋体" w:eastAsia="宋体"/>
          <w:sz w:val="24"/>
          <w:szCs w:val="21"/>
          <w:highlight w:val="none"/>
        </w:rPr>
        <w:t>.1 由于乙方提供的工程监测成果质量不合格，乙方应负责无偿给予补充完善使其达到质量合格；若乙方无力、不及时或者拒绝履行补充完善义务，甲方有权自行另行委托其他单位，因此而发生的全部工程监测费用均由乙方承担。</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sz w:val="24"/>
          <w:szCs w:val="21"/>
          <w:highlight w:val="none"/>
        </w:rPr>
      </w:pPr>
      <w:r>
        <w:rPr>
          <w:rFonts w:hint="eastAsia" w:ascii="宋体" w:hAnsi="宋体"/>
          <w:sz w:val="24"/>
          <w:szCs w:val="21"/>
          <w:highlight w:val="none"/>
          <w:lang w:val="en-US" w:eastAsia="zh-CN"/>
        </w:rPr>
        <w:t>10</w:t>
      </w:r>
      <w:r>
        <w:rPr>
          <w:rFonts w:hint="eastAsia" w:ascii="宋体" w:hAnsi="宋体" w:eastAsia="宋体"/>
          <w:sz w:val="24"/>
          <w:szCs w:val="21"/>
          <w:highlight w:val="none"/>
        </w:rPr>
        <w:t>.2 由于监测质量的原因导致工程质量事故造成工程损失的，或导致重大设计变更造成工程费用增加的，乙方除赔偿甲方损失外，还应向甲方支付违约金，违约金为暂定合同价的</w:t>
      </w:r>
      <w:r>
        <w:rPr>
          <w:rFonts w:hint="eastAsia" w:ascii="宋体" w:hAnsi="宋体" w:eastAsia="宋体"/>
          <w:sz w:val="24"/>
          <w:szCs w:val="21"/>
          <w:highlight w:val="none"/>
          <w:u w:val="single"/>
        </w:rPr>
        <w:t>20</w:t>
      </w:r>
      <w:r>
        <w:rPr>
          <w:rFonts w:hint="eastAsia" w:ascii="宋体" w:hAnsi="宋体" w:eastAsia="宋体"/>
          <w:sz w:val="24"/>
          <w:szCs w:val="21"/>
          <w:highlight w:val="none"/>
        </w:rPr>
        <w:t xml:space="preserve">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sz w:val="24"/>
          <w:szCs w:val="21"/>
          <w:highlight w:val="none"/>
        </w:rPr>
      </w:pPr>
      <w:r>
        <w:rPr>
          <w:rFonts w:hint="eastAsia" w:ascii="宋体" w:hAnsi="宋体"/>
          <w:sz w:val="24"/>
          <w:szCs w:val="21"/>
          <w:highlight w:val="none"/>
          <w:lang w:val="en-US" w:eastAsia="zh-CN"/>
        </w:rPr>
        <w:t>10</w:t>
      </w:r>
      <w:r>
        <w:rPr>
          <w:rFonts w:hint="eastAsia" w:ascii="宋体" w:hAnsi="宋体" w:eastAsia="宋体"/>
          <w:sz w:val="24"/>
          <w:szCs w:val="21"/>
          <w:highlight w:val="none"/>
        </w:rPr>
        <w:t>.3 由于乙方原因未按甲方要求及时进场开展监测工作，</w:t>
      </w:r>
      <w:r>
        <w:rPr>
          <w:rFonts w:hint="eastAsia" w:ascii="Calibri" w:hAnsi="Calibri" w:eastAsia="宋体"/>
          <w:sz w:val="24"/>
          <w:szCs w:val="22"/>
          <w:highlight w:val="none"/>
        </w:rPr>
        <w:t>或未按时</w:t>
      </w:r>
      <w:r>
        <w:rPr>
          <w:rFonts w:hint="eastAsia" w:ascii="宋体" w:hAnsi="宋体" w:eastAsia="宋体"/>
          <w:sz w:val="24"/>
          <w:szCs w:val="21"/>
          <w:highlight w:val="none"/>
        </w:rPr>
        <w:t>提交监测成果的；每延误一天按人民币</w:t>
      </w:r>
      <w:r>
        <w:rPr>
          <w:rFonts w:hint="eastAsia" w:ascii="宋体" w:hAnsi="宋体" w:eastAsia="宋体"/>
          <w:sz w:val="24"/>
          <w:szCs w:val="21"/>
          <w:highlight w:val="none"/>
          <w:u w:val="single"/>
        </w:rPr>
        <w:t>1000</w:t>
      </w:r>
      <w:r>
        <w:rPr>
          <w:rFonts w:hint="eastAsia" w:ascii="宋体" w:hAnsi="宋体" w:eastAsia="宋体"/>
          <w:sz w:val="24"/>
          <w:szCs w:val="21"/>
          <w:highlight w:val="none"/>
        </w:rPr>
        <w:t>元向甲方支付违约金，总额不超过暂定合同价的</w:t>
      </w:r>
      <w:r>
        <w:rPr>
          <w:rFonts w:hint="eastAsia" w:ascii="宋体" w:hAnsi="宋体" w:eastAsia="宋体"/>
          <w:sz w:val="24"/>
          <w:szCs w:val="21"/>
          <w:highlight w:val="none"/>
          <w:u w:val="single"/>
          <w:lang w:val="en-US" w:eastAsia="zh-CN"/>
        </w:rPr>
        <w:t xml:space="preserve"> </w:t>
      </w:r>
      <w:r>
        <w:rPr>
          <w:rFonts w:hint="eastAsia" w:ascii="宋体" w:hAnsi="宋体" w:eastAsia="宋体"/>
          <w:sz w:val="24"/>
          <w:szCs w:val="21"/>
          <w:highlight w:val="none"/>
          <w:u w:val="single"/>
        </w:rPr>
        <w:t>20</w:t>
      </w:r>
      <w:r>
        <w:rPr>
          <w:rFonts w:hint="eastAsia" w:ascii="宋体" w:hAnsi="宋体" w:eastAsia="宋体"/>
          <w:sz w:val="24"/>
          <w:szCs w:val="21"/>
          <w:highlight w:val="none"/>
          <w:u w:val="single"/>
          <w:lang w:val="en-US" w:eastAsia="zh-CN"/>
        </w:rPr>
        <w:t xml:space="preserve"> </w:t>
      </w:r>
      <w:r>
        <w:rPr>
          <w:rFonts w:hint="eastAsia" w:ascii="宋体" w:hAnsi="宋体" w:eastAsia="宋体"/>
          <w:sz w:val="24"/>
          <w:szCs w:val="21"/>
          <w:highlight w:val="none"/>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sz w:val="24"/>
          <w:szCs w:val="21"/>
          <w:highlight w:val="none"/>
        </w:rPr>
      </w:pPr>
      <w:r>
        <w:rPr>
          <w:rFonts w:hint="eastAsia" w:ascii="宋体" w:hAnsi="宋体"/>
          <w:sz w:val="24"/>
          <w:szCs w:val="21"/>
          <w:highlight w:val="none"/>
          <w:lang w:val="en-US" w:eastAsia="zh-CN"/>
        </w:rPr>
        <w:t>10</w:t>
      </w:r>
      <w:r>
        <w:rPr>
          <w:rFonts w:hint="eastAsia" w:ascii="宋体" w:hAnsi="宋体" w:eastAsia="宋体"/>
          <w:sz w:val="24"/>
          <w:szCs w:val="21"/>
          <w:highlight w:val="none"/>
        </w:rPr>
        <w:t>.4 乙方未按合同及相关规范要求，经监理、项目管理单位、甲方批准的施工监测方案，开展工作的，每发现一次按人民币</w:t>
      </w:r>
      <w:r>
        <w:rPr>
          <w:rFonts w:hint="eastAsia" w:ascii="宋体" w:hAnsi="宋体" w:eastAsia="宋体"/>
          <w:sz w:val="24"/>
          <w:szCs w:val="21"/>
          <w:highlight w:val="none"/>
          <w:u w:val="single"/>
        </w:rPr>
        <w:t>1000</w:t>
      </w:r>
      <w:r>
        <w:rPr>
          <w:rFonts w:hint="eastAsia" w:ascii="宋体" w:hAnsi="宋体" w:eastAsia="宋体"/>
          <w:sz w:val="24"/>
          <w:szCs w:val="21"/>
          <w:highlight w:val="none"/>
        </w:rPr>
        <w:t>元向甲方支付违约金，总额不超过暂定合同价的</w:t>
      </w:r>
      <w:r>
        <w:rPr>
          <w:rFonts w:hint="eastAsia" w:ascii="宋体" w:hAnsi="宋体" w:eastAsia="宋体"/>
          <w:sz w:val="24"/>
          <w:szCs w:val="21"/>
          <w:highlight w:val="none"/>
          <w:u w:val="single"/>
        </w:rPr>
        <w:t>20</w:t>
      </w:r>
      <w:r>
        <w:rPr>
          <w:rFonts w:hint="eastAsia" w:ascii="宋体" w:hAnsi="宋体" w:eastAsia="宋体"/>
          <w:sz w:val="24"/>
          <w:szCs w:val="21"/>
          <w:highlight w:val="none"/>
        </w:rPr>
        <w:t xml:space="preserve"> %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sz w:val="24"/>
          <w:szCs w:val="21"/>
          <w:highlight w:val="none"/>
        </w:rPr>
      </w:pPr>
      <w:r>
        <w:rPr>
          <w:rFonts w:hint="eastAsia" w:ascii="宋体" w:hAnsi="宋体"/>
          <w:sz w:val="24"/>
          <w:szCs w:val="21"/>
          <w:highlight w:val="none"/>
          <w:lang w:val="en-US" w:eastAsia="zh-CN"/>
        </w:rPr>
        <w:t>10</w:t>
      </w:r>
      <w:r>
        <w:rPr>
          <w:rFonts w:hint="eastAsia" w:ascii="宋体" w:hAnsi="宋体" w:eastAsia="宋体"/>
          <w:sz w:val="24"/>
          <w:szCs w:val="21"/>
          <w:highlight w:val="none"/>
        </w:rPr>
        <w:t>.5 合同履行期间，由于工程停建而终止合同或甲方要求解除合同时，乙方未进行监测工作的，合同自然终止，双方均不承担任何责任；乙方已经开始进行监测工作的,甲方按实际完成的工作量支付费用，除此以外，甲方不再承担任何违约金、赔偿金、补偿金等经济责任。</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eastAsia="宋体"/>
          <w:sz w:val="24"/>
          <w:szCs w:val="21"/>
          <w:highlight w:val="none"/>
        </w:rPr>
      </w:pPr>
      <w:r>
        <w:rPr>
          <w:rFonts w:hint="eastAsia" w:ascii="宋体" w:hAnsi="宋体" w:eastAsia="宋体"/>
          <w:b/>
          <w:bCs/>
          <w:sz w:val="24"/>
          <w:szCs w:val="21"/>
          <w:highlight w:val="none"/>
        </w:rPr>
        <w:t>第十一条</w:t>
      </w:r>
      <w:r>
        <w:rPr>
          <w:rFonts w:hint="eastAsia" w:ascii="宋体" w:hAnsi="宋体" w:eastAsia="宋体"/>
          <w:sz w:val="24"/>
          <w:szCs w:val="21"/>
          <w:highlight w:val="none"/>
          <w:lang w:val="en-US" w:eastAsia="zh-CN"/>
        </w:rPr>
        <w:t xml:space="preserve"> </w:t>
      </w:r>
      <w:r>
        <w:rPr>
          <w:rFonts w:hint="eastAsia" w:ascii="宋体" w:hAnsi="宋体" w:eastAsia="宋体"/>
          <w:sz w:val="24"/>
          <w:szCs w:val="21"/>
          <w:highlight w:val="none"/>
        </w:rPr>
        <w:t>本合同未尽事宜，经甲方与乙方协商一致，签订补充协议，补充协议与本合同具有同等效力。</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eastAsia="宋体"/>
          <w:sz w:val="24"/>
          <w:szCs w:val="21"/>
          <w:highlight w:val="none"/>
        </w:rPr>
      </w:pPr>
      <w:r>
        <w:rPr>
          <w:rFonts w:hint="eastAsia" w:ascii="宋体" w:hAnsi="宋体" w:eastAsia="宋体"/>
          <w:b/>
          <w:bCs/>
          <w:sz w:val="24"/>
          <w:szCs w:val="21"/>
          <w:highlight w:val="none"/>
        </w:rPr>
        <w:t>第十二条</w:t>
      </w:r>
      <w:r>
        <w:rPr>
          <w:rFonts w:hint="eastAsia" w:ascii="宋体" w:hAnsi="宋体" w:eastAsia="宋体"/>
          <w:sz w:val="24"/>
          <w:szCs w:val="21"/>
          <w:highlight w:val="none"/>
        </w:rPr>
        <w:t xml:space="preserve"> 本合同发生争议，甲方、乙方应及时协商解决，协商或调解不成的，可以向甲方住所地人民法院提起诉讼。</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ascii="宋体" w:hAnsi="宋体" w:eastAsia="宋体"/>
          <w:sz w:val="24"/>
          <w:szCs w:val="21"/>
          <w:highlight w:val="none"/>
        </w:rPr>
      </w:pPr>
      <w:r>
        <w:rPr>
          <w:rFonts w:hint="eastAsia" w:ascii="宋体" w:hAnsi="宋体" w:eastAsia="宋体"/>
          <w:b/>
          <w:bCs/>
          <w:sz w:val="24"/>
          <w:szCs w:val="21"/>
          <w:highlight w:val="none"/>
        </w:rPr>
        <w:t xml:space="preserve">第十三条 </w:t>
      </w:r>
      <w:r>
        <w:rPr>
          <w:rFonts w:hint="eastAsia" w:ascii="宋体" w:hAnsi="宋体" w:eastAsia="宋体"/>
          <w:sz w:val="24"/>
          <w:szCs w:val="21"/>
          <w:highlight w:val="none"/>
        </w:rPr>
        <w:t>本合同壹式拾伍份，甲方拾份，乙方伍份，均具同等法律效力，经甲乙双方签字盖章后生效。</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sz w:val="24"/>
          <w:szCs w:val="21"/>
          <w:highlight w:val="none"/>
        </w:rPr>
      </w:pPr>
      <w:r>
        <w:rPr>
          <w:rFonts w:hint="eastAsia" w:ascii="宋体" w:hAnsi="宋体" w:eastAsia="宋体"/>
          <w:b/>
          <w:bCs/>
          <w:sz w:val="24"/>
          <w:szCs w:val="21"/>
          <w:highlight w:val="none"/>
        </w:rPr>
        <w:t>第十四条</w:t>
      </w:r>
      <w:r>
        <w:rPr>
          <w:rFonts w:hint="eastAsia" w:ascii="宋体" w:hAnsi="宋体" w:eastAsia="宋体"/>
          <w:sz w:val="24"/>
          <w:szCs w:val="21"/>
          <w:highlight w:val="none"/>
        </w:rPr>
        <w:t xml:space="preserve"> 本合同由以下文件组成，以下文件存在不一致的，以下列排序在前的文件为准。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sz w:val="24"/>
          <w:szCs w:val="21"/>
          <w:highlight w:val="none"/>
        </w:rPr>
      </w:pPr>
      <w:r>
        <w:rPr>
          <w:rFonts w:hint="eastAsia" w:ascii="宋体" w:hAnsi="宋体" w:eastAsia="宋体"/>
          <w:sz w:val="24"/>
          <w:szCs w:val="21"/>
          <w:highlight w:val="none"/>
        </w:rPr>
        <w:t>14.1协议书；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sz w:val="24"/>
          <w:szCs w:val="21"/>
          <w:highlight w:val="none"/>
        </w:rPr>
      </w:pPr>
      <w:r>
        <w:rPr>
          <w:rFonts w:hint="eastAsia" w:ascii="宋体" w:hAnsi="宋体" w:eastAsia="宋体"/>
          <w:sz w:val="24"/>
          <w:szCs w:val="21"/>
          <w:highlight w:val="none"/>
        </w:rPr>
        <w:t xml:space="preserve">14.2 </w:t>
      </w:r>
      <w:r>
        <w:rPr>
          <w:rFonts w:hint="eastAsia" w:ascii="宋体" w:hAnsi="宋体" w:eastAsia="宋体"/>
          <w:sz w:val="24"/>
          <w:szCs w:val="21"/>
          <w:highlight w:val="none"/>
          <w:lang w:val="en-US" w:eastAsia="zh-CN"/>
        </w:rPr>
        <w:t>委托函</w:t>
      </w:r>
      <w:r>
        <w:rPr>
          <w:rFonts w:hint="eastAsia" w:ascii="宋体" w:hAnsi="宋体" w:eastAsia="宋体"/>
          <w:sz w:val="24"/>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sz w:val="24"/>
          <w:szCs w:val="21"/>
          <w:highlight w:val="none"/>
          <w:lang w:eastAsia="zh-CN"/>
        </w:rPr>
      </w:pPr>
      <w:r>
        <w:rPr>
          <w:rFonts w:hint="eastAsia" w:ascii="宋体" w:hAnsi="宋体" w:eastAsia="宋体"/>
          <w:sz w:val="24"/>
          <w:szCs w:val="21"/>
          <w:highlight w:val="none"/>
        </w:rPr>
        <w:t>14.3 任务书</w:t>
      </w:r>
      <w:r>
        <w:rPr>
          <w:rFonts w:hint="eastAsia" w:ascii="宋体" w:hAnsi="宋体" w:eastAsia="宋体"/>
          <w:sz w:val="24"/>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sz w:val="24"/>
          <w:szCs w:val="21"/>
          <w:highlight w:val="none"/>
        </w:rPr>
      </w:pPr>
      <w:r>
        <w:rPr>
          <w:rFonts w:hint="eastAsia" w:ascii="宋体" w:hAnsi="宋体" w:eastAsia="宋体"/>
          <w:sz w:val="24"/>
          <w:szCs w:val="21"/>
          <w:highlight w:val="none"/>
        </w:rPr>
        <w:t>14.4 合同附件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Calibri"/>
          <w:sz w:val="24"/>
          <w:szCs w:val="21"/>
          <w:highlight w:val="none"/>
        </w:rPr>
      </w:pPr>
      <w:r>
        <w:rPr>
          <w:rFonts w:hint="eastAsia" w:ascii="宋体" w:hAnsi="宋体" w:eastAsia="宋体"/>
          <w:sz w:val="24"/>
          <w:szCs w:val="21"/>
          <w:highlight w:val="none"/>
        </w:rPr>
        <w:t>双方于签订本合同后签署的补充协议与本合同发生矛盾或歧义时，应以最新签署的为准。</w:t>
      </w:r>
    </w:p>
    <w:tbl>
      <w:tblPr>
        <w:tblStyle w:val="53"/>
        <w:tblW w:w="8993" w:type="dxa"/>
        <w:jc w:val="center"/>
        <w:tblLayout w:type="fixed"/>
        <w:tblCellMar>
          <w:top w:w="0" w:type="dxa"/>
          <w:left w:w="108" w:type="dxa"/>
          <w:bottom w:w="0" w:type="dxa"/>
          <w:right w:w="108" w:type="dxa"/>
        </w:tblCellMar>
      </w:tblPr>
      <w:tblGrid>
        <w:gridCol w:w="1942"/>
        <w:gridCol w:w="2622"/>
        <w:gridCol w:w="1878"/>
        <w:gridCol w:w="2551"/>
      </w:tblGrid>
      <w:tr>
        <w:tblPrEx>
          <w:tblCellMar>
            <w:top w:w="0" w:type="dxa"/>
            <w:left w:w="108" w:type="dxa"/>
            <w:bottom w:w="0" w:type="dxa"/>
            <w:right w:w="108" w:type="dxa"/>
          </w:tblCellMar>
        </w:tblPrEx>
        <w:trPr>
          <w:trHeight w:val="359" w:hRule="atLeast"/>
          <w:jc w:val="center"/>
        </w:trPr>
        <w:tc>
          <w:tcPr>
            <w:tcW w:w="19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distribute"/>
              <w:textAlignment w:val="auto"/>
              <w:rPr>
                <w:rFonts w:hint="default" w:ascii="宋体" w:hAnsi="宋体" w:eastAsia="宋体"/>
                <w:sz w:val="24"/>
                <w:szCs w:val="21"/>
                <w:highlight w:val="none"/>
              </w:rPr>
            </w:pPr>
            <w:r>
              <w:rPr>
                <w:rFonts w:hint="eastAsia" w:ascii="宋体" w:hAnsi="宋体" w:eastAsia="宋体"/>
                <w:bCs/>
                <w:sz w:val="24"/>
                <w:szCs w:val="21"/>
                <w:highlight w:val="none"/>
              </w:rPr>
              <w:t>甲   方</w:t>
            </w:r>
            <w:r>
              <w:rPr>
                <w:rFonts w:hint="default" w:ascii="宋体" w:hAnsi="宋体" w:eastAsia="宋体"/>
                <w:sz w:val="24"/>
                <w:szCs w:val="21"/>
                <w:highlight w:val="none"/>
              </w:rPr>
              <w:t>:</w:t>
            </w:r>
          </w:p>
        </w:tc>
        <w:tc>
          <w:tcPr>
            <w:tcW w:w="2622" w:type="dxa"/>
            <w:tcBorders>
              <w:bottom w:val="single" w:color="auto" w:sz="4" w:space="0"/>
            </w:tcBorders>
            <w:vAlign w:val="center"/>
          </w:tcPr>
          <w:p>
            <w:pPr>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黑体" w:hAnsi="Times New Roman" w:eastAsia="宋体"/>
                <w:b/>
                <w:kern w:val="0"/>
                <w:sz w:val="24"/>
                <w:szCs w:val="21"/>
                <w:highlight w:val="none"/>
                <w:lang w:eastAsia="zh-CN"/>
              </w:rPr>
            </w:pPr>
            <w:r>
              <w:rPr>
                <w:rFonts w:hint="eastAsia" w:ascii="宋体" w:hAnsi="宋体" w:cs="宋体"/>
                <w:bCs/>
                <w:kern w:val="0"/>
                <w:sz w:val="24"/>
                <w:szCs w:val="21"/>
                <w:highlight w:val="none"/>
                <w:lang w:eastAsia="zh-CN"/>
              </w:rPr>
              <w:t>深圳市龙岗区城投绿色低碳新能源产业发展有限公司</w:t>
            </w:r>
          </w:p>
        </w:tc>
        <w:tc>
          <w:tcPr>
            <w:tcW w:w="18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distribute"/>
              <w:textAlignment w:val="auto"/>
              <w:rPr>
                <w:rFonts w:hint="default" w:ascii="Calibri" w:hAnsi="Calibri" w:eastAsia="宋体"/>
                <w:sz w:val="24"/>
                <w:szCs w:val="21"/>
                <w:highlight w:val="none"/>
              </w:rPr>
            </w:pPr>
            <w:r>
              <w:rPr>
                <w:rFonts w:hint="eastAsia" w:ascii="宋体" w:hAnsi="宋体" w:eastAsia="宋体"/>
                <w:bCs/>
                <w:sz w:val="24"/>
                <w:szCs w:val="21"/>
                <w:highlight w:val="none"/>
              </w:rPr>
              <w:t>乙   方</w:t>
            </w:r>
            <w:r>
              <w:rPr>
                <w:rFonts w:hint="eastAsia" w:ascii="Calibri" w:hAnsi="Calibri" w:eastAsia="宋体"/>
                <w:sz w:val="24"/>
                <w:szCs w:val="21"/>
                <w:highlight w:val="none"/>
              </w:rPr>
              <w:t>：</w:t>
            </w:r>
          </w:p>
        </w:tc>
        <w:tc>
          <w:tcPr>
            <w:tcW w:w="2551"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黑体" w:hAnsi="Calibri" w:eastAsia="黑体"/>
                <w:b/>
                <w:sz w:val="24"/>
                <w:szCs w:val="21"/>
                <w:highlight w:val="none"/>
              </w:rPr>
            </w:pPr>
          </w:p>
        </w:tc>
      </w:tr>
      <w:tr>
        <w:tblPrEx>
          <w:tblCellMar>
            <w:top w:w="0" w:type="dxa"/>
            <w:left w:w="108" w:type="dxa"/>
            <w:bottom w:w="0" w:type="dxa"/>
            <w:right w:w="108" w:type="dxa"/>
          </w:tblCellMar>
        </w:tblPrEx>
        <w:trPr>
          <w:jc w:val="center"/>
        </w:trPr>
        <w:tc>
          <w:tcPr>
            <w:tcW w:w="19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default" w:ascii="Calibri" w:hAnsi="Calibri" w:eastAsia="宋体"/>
                <w:sz w:val="24"/>
                <w:szCs w:val="21"/>
                <w:highlight w:val="none"/>
              </w:rPr>
            </w:pPr>
          </w:p>
        </w:tc>
        <w:tc>
          <w:tcPr>
            <w:tcW w:w="26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宋体" w:hAnsi="宋体" w:eastAsia="宋体"/>
                <w:sz w:val="24"/>
                <w:szCs w:val="21"/>
                <w:highlight w:val="none"/>
              </w:rPr>
            </w:pPr>
            <w:r>
              <w:rPr>
                <w:rFonts w:hint="default" w:ascii="宋体" w:hAnsi="宋体" w:eastAsia="宋体"/>
                <w:sz w:val="24"/>
                <w:szCs w:val="21"/>
                <w:highlight w:val="none"/>
              </w:rPr>
              <w:t>(</w:t>
            </w:r>
            <w:r>
              <w:rPr>
                <w:rFonts w:hint="eastAsia" w:ascii="宋体" w:hAnsi="宋体" w:eastAsia="宋体"/>
                <w:sz w:val="24"/>
                <w:szCs w:val="21"/>
                <w:highlight w:val="none"/>
              </w:rPr>
              <w:t>盖章</w:t>
            </w:r>
            <w:r>
              <w:rPr>
                <w:rFonts w:hint="default" w:ascii="宋体" w:hAnsi="宋体" w:eastAsia="宋体"/>
                <w:sz w:val="24"/>
                <w:szCs w:val="21"/>
                <w:highlight w:val="none"/>
              </w:rPr>
              <w:t>)</w:t>
            </w:r>
          </w:p>
        </w:tc>
        <w:tc>
          <w:tcPr>
            <w:tcW w:w="18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distribute"/>
              <w:textAlignment w:val="auto"/>
              <w:rPr>
                <w:rFonts w:hint="default" w:ascii="Calibri" w:hAnsi="Calibri" w:eastAsia="宋体"/>
                <w:sz w:val="24"/>
                <w:szCs w:val="21"/>
                <w:highlight w:val="none"/>
              </w:rPr>
            </w:pPr>
          </w:p>
        </w:tc>
        <w:tc>
          <w:tcPr>
            <w:tcW w:w="255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宋体" w:hAnsi="宋体" w:eastAsia="宋体"/>
                <w:sz w:val="24"/>
                <w:szCs w:val="21"/>
                <w:highlight w:val="none"/>
              </w:rPr>
            </w:pPr>
            <w:r>
              <w:rPr>
                <w:rFonts w:hint="default" w:ascii="宋体" w:hAnsi="宋体" w:eastAsia="宋体"/>
                <w:sz w:val="24"/>
                <w:szCs w:val="21"/>
                <w:highlight w:val="none"/>
              </w:rPr>
              <w:t>(</w:t>
            </w:r>
            <w:r>
              <w:rPr>
                <w:rFonts w:hint="eastAsia" w:ascii="宋体" w:hAnsi="宋体" w:eastAsia="宋体"/>
                <w:sz w:val="24"/>
                <w:szCs w:val="21"/>
                <w:highlight w:val="none"/>
              </w:rPr>
              <w:t>盖章</w:t>
            </w:r>
            <w:r>
              <w:rPr>
                <w:rFonts w:hint="default" w:ascii="宋体" w:hAnsi="宋体" w:eastAsia="宋体"/>
                <w:sz w:val="24"/>
                <w:szCs w:val="21"/>
                <w:highlight w:val="none"/>
              </w:rPr>
              <w:t>)</w:t>
            </w:r>
          </w:p>
        </w:tc>
      </w:tr>
      <w:tr>
        <w:tblPrEx>
          <w:tblCellMar>
            <w:top w:w="0" w:type="dxa"/>
            <w:left w:w="108" w:type="dxa"/>
            <w:bottom w:w="0" w:type="dxa"/>
            <w:right w:w="108" w:type="dxa"/>
          </w:tblCellMar>
        </w:tblPrEx>
        <w:trPr>
          <w:jc w:val="center"/>
        </w:trPr>
        <w:tc>
          <w:tcPr>
            <w:tcW w:w="19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distribute"/>
              <w:textAlignment w:val="auto"/>
              <w:rPr>
                <w:rFonts w:hint="default" w:ascii="Calibri" w:hAnsi="Calibri" w:eastAsia="宋体"/>
                <w:sz w:val="24"/>
                <w:szCs w:val="21"/>
                <w:highlight w:val="none"/>
              </w:rPr>
            </w:pPr>
            <w:r>
              <w:rPr>
                <w:rFonts w:hint="eastAsia" w:ascii="Calibri" w:hAnsi="Calibri" w:eastAsia="宋体"/>
                <w:sz w:val="24"/>
                <w:szCs w:val="21"/>
                <w:highlight w:val="none"/>
              </w:rPr>
              <w:t>法定代表人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840" w:firstLineChars="350"/>
              <w:textAlignment w:val="auto"/>
              <w:rPr>
                <w:rFonts w:hint="default" w:ascii="Calibri" w:hAnsi="Calibri" w:eastAsia="宋体"/>
                <w:sz w:val="24"/>
                <w:szCs w:val="21"/>
                <w:highlight w:val="none"/>
              </w:rPr>
            </w:pPr>
            <w:r>
              <w:rPr>
                <w:rFonts w:hint="eastAsia" w:ascii="Calibri" w:hAnsi="Calibri" w:eastAsia="宋体"/>
                <w:sz w:val="24"/>
                <w:szCs w:val="21"/>
                <w:highlight w:val="none"/>
              </w:rPr>
              <w:t>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distribute"/>
              <w:textAlignment w:val="auto"/>
              <w:rPr>
                <w:rFonts w:hint="default" w:ascii="Calibri" w:hAnsi="Calibri" w:eastAsia="宋体"/>
                <w:sz w:val="24"/>
                <w:szCs w:val="21"/>
                <w:highlight w:val="none"/>
              </w:rPr>
            </w:pPr>
            <w:r>
              <w:rPr>
                <w:rFonts w:hint="eastAsia" w:ascii="Calibri" w:hAnsi="Calibri" w:eastAsia="宋体"/>
                <w:sz w:val="24"/>
                <w:szCs w:val="21"/>
                <w:highlight w:val="none"/>
              </w:rPr>
              <w:t>其授权的代理人：</w:t>
            </w:r>
          </w:p>
        </w:tc>
        <w:tc>
          <w:tcPr>
            <w:tcW w:w="2622"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宋体" w:hAnsi="宋体" w:eastAsia="宋体"/>
                <w:sz w:val="24"/>
                <w:szCs w:val="21"/>
                <w:highlight w:val="none"/>
              </w:rPr>
            </w:pPr>
          </w:p>
        </w:tc>
        <w:tc>
          <w:tcPr>
            <w:tcW w:w="18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distribute"/>
              <w:textAlignment w:val="auto"/>
              <w:rPr>
                <w:rFonts w:hint="default" w:ascii="Calibri" w:hAnsi="Calibri" w:eastAsia="宋体"/>
                <w:sz w:val="24"/>
                <w:szCs w:val="21"/>
                <w:highlight w:val="none"/>
              </w:rPr>
            </w:pPr>
            <w:r>
              <w:rPr>
                <w:rFonts w:hint="eastAsia" w:ascii="Calibri" w:hAnsi="Calibri" w:eastAsia="宋体"/>
                <w:sz w:val="24"/>
                <w:szCs w:val="21"/>
                <w:highlight w:val="none"/>
              </w:rPr>
              <w:t>法定代表人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840" w:firstLineChars="350"/>
              <w:textAlignment w:val="auto"/>
              <w:rPr>
                <w:rFonts w:hint="default" w:ascii="Calibri" w:hAnsi="Calibri" w:eastAsia="宋体"/>
                <w:sz w:val="24"/>
                <w:szCs w:val="21"/>
                <w:highlight w:val="none"/>
              </w:rPr>
            </w:pPr>
            <w:r>
              <w:rPr>
                <w:rFonts w:hint="eastAsia" w:ascii="Calibri" w:hAnsi="Calibri" w:eastAsia="宋体"/>
                <w:sz w:val="24"/>
                <w:szCs w:val="21"/>
                <w:highlight w:val="none"/>
              </w:rPr>
              <w:t>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distribute"/>
              <w:textAlignment w:val="auto"/>
              <w:rPr>
                <w:rFonts w:hint="default" w:ascii="Calibri" w:hAnsi="Calibri" w:eastAsia="宋体"/>
                <w:sz w:val="24"/>
                <w:szCs w:val="21"/>
                <w:highlight w:val="none"/>
              </w:rPr>
            </w:pPr>
            <w:r>
              <w:rPr>
                <w:rFonts w:hint="eastAsia" w:ascii="Calibri" w:hAnsi="Calibri" w:eastAsia="宋体"/>
                <w:sz w:val="24"/>
                <w:szCs w:val="21"/>
                <w:highlight w:val="none"/>
              </w:rPr>
              <w:t>其授权的代理人：</w:t>
            </w:r>
          </w:p>
        </w:tc>
        <w:tc>
          <w:tcPr>
            <w:tcW w:w="2551"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宋体" w:hAnsi="宋体" w:eastAsia="宋体"/>
                <w:sz w:val="24"/>
                <w:szCs w:val="21"/>
                <w:highlight w:val="none"/>
              </w:rPr>
            </w:pPr>
          </w:p>
        </w:tc>
      </w:tr>
      <w:tr>
        <w:tblPrEx>
          <w:tblCellMar>
            <w:top w:w="0" w:type="dxa"/>
            <w:left w:w="108" w:type="dxa"/>
            <w:bottom w:w="0" w:type="dxa"/>
            <w:right w:w="108" w:type="dxa"/>
          </w:tblCellMar>
        </w:tblPrEx>
        <w:trPr>
          <w:jc w:val="center"/>
        </w:trPr>
        <w:tc>
          <w:tcPr>
            <w:tcW w:w="19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distribute"/>
              <w:textAlignment w:val="auto"/>
              <w:rPr>
                <w:rFonts w:hint="default" w:ascii="Calibri" w:hAnsi="Calibri" w:eastAsia="宋体"/>
                <w:sz w:val="24"/>
                <w:szCs w:val="21"/>
                <w:highlight w:val="none"/>
              </w:rPr>
            </w:pPr>
          </w:p>
        </w:tc>
        <w:tc>
          <w:tcPr>
            <w:tcW w:w="26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宋体" w:hAnsi="宋体" w:eastAsia="宋体"/>
                <w:sz w:val="24"/>
                <w:szCs w:val="21"/>
                <w:highlight w:val="none"/>
              </w:rPr>
            </w:pPr>
            <w:r>
              <w:rPr>
                <w:rFonts w:hint="default" w:ascii="宋体" w:hAnsi="宋体" w:eastAsia="宋体"/>
                <w:sz w:val="24"/>
                <w:szCs w:val="21"/>
                <w:highlight w:val="none"/>
              </w:rPr>
              <w:t>(</w:t>
            </w:r>
            <w:r>
              <w:rPr>
                <w:rFonts w:hint="eastAsia" w:ascii="宋体" w:hAnsi="宋体" w:eastAsia="宋体"/>
                <w:sz w:val="24"/>
                <w:szCs w:val="21"/>
                <w:highlight w:val="none"/>
              </w:rPr>
              <w:t>签字</w:t>
            </w:r>
            <w:r>
              <w:rPr>
                <w:rFonts w:hint="default" w:ascii="宋体" w:hAnsi="宋体" w:eastAsia="宋体"/>
                <w:sz w:val="24"/>
                <w:szCs w:val="21"/>
                <w:highlight w:val="none"/>
              </w:rPr>
              <w:t>)</w:t>
            </w:r>
          </w:p>
        </w:tc>
        <w:tc>
          <w:tcPr>
            <w:tcW w:w="18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distribute"/>
              <w:textAlignment w:val="auto"/>
              <w:rPr>
                <w:rFonts w:hint="default" w:ascii="Calibri" w:hAnsi="Calibri" w:eastAsia="宋体"/>
                <w:sz w:val="24"/>
                <w:szCs w:val="21"/>
                <w:highlight w:val="none"/>
              </w:rPr>
            </w:pPr>
          </w:p>
        </w:tc>
        <w:tc>
          <w:tcPr>
            <w:tcW w:w="255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宋体" w:hAnsi="宋体" w:eastAsia="宋体"/>
                <w:sz w:val="24"/>
                <w:szCs w:val="21"/>
                <w:highlight w:val="none"/>
              </w:rPr>
            </w:pPr>
            <w:r>
              <w:rPr>
                <w:rFonts w:hint="default" w:ascii="宋体" w:hAnsi="宋体" w:eastAsia="宋体"/>
                <w:sz w:val="24"/>
                <w:szCs w:val="21"/>
                <w:highlight w:val="none"/>
              </w:rPr>
              <w:t>(</w:t>
            </w:r>
            <w:r>
              <w:rPr>
                <w:rFonts w:hint="eastAsia" w:ascii="宋体" w:hAnsi="宋体" w:eastAsia="宋体"/>
                <w:sz w:val="24"/>
                <w:szCs w:val="21"/>
                <w:highlight w:val="none"/>
              </w:rPr>
              <w:t>签字</w:t>
            </w:r>
            <w:r>
              <w:rPr>
                <w:rFonts w:hint="default" w:ascii="宋体" w:hAnsi="宋体" w:eastAsia="宋体"/>
                <w:sz w:val="24"/>
                <w:szCs w:val="21"/>
                <w:highlight w:val="none"/>
              </w:rPr>
              <w:t>)</w:t>
            </w:r>
          </w:p>
        </w:tc>
      </w:tr>
    </w:tbl>
    <w:p>
      <w:pPr>
        <w:spacing w:line="400" w:lineRule="exact"/>
        <w:rPr>
          <w:rFonts w:hint="eastAsia" w:ascii="宋体" w:hAnsi="宋体" w:eastAsia="宋体" w:cs="System"/>
          <w:sz w:val="24"/>
          <w:szCs w:val="20"/>
          <w:highlight w:val="none"/>
          <w:lang w:val="en-US" w:eastAsia="zh-CN"/>
        </w:rPr>
      </w:pPr>
    </w:p>
    <w:p>
      <w:pPr>
        <w:spacing w:line="400" w:lineRule="exact"/>
        <w:ind w:firstLine="567"/>
        <w:jc w:val="right"/>
        <w:rPr>
          <w:rFonts w:hint="eastAsia" w:ascii="宋体" w:hAnsi="宋体" w:eastAsia="宋体" w:cs="System"/>
          <w:sz w:val="24"/>
          <w:szCs w:val="20"/>
          <w:highlight w:val="none"/>
          <w:lang w:val="en-US" w:eastAsia="zh-CN"/>
        </w:rPr>
      </w:pPr>
      <w:r>
        <w:rPr>
          <w:rFonts w:hint="eastAsia" w:ascii="宋体" w:hAnsi="宋体" w:eastAsia="宋体" w:cs="System"/>
          <w:sz w:val="24"/>
          <w:szCs w:val="20"/>
          <w:highlight w:val="none"/>
          <w:lang w:val="en-US" w:eastAsia="zh-CN"/>
        </w:rPr>
        <w:t>合同签订日期：202</w:t>
      </w:r>
      <w:r>
        <w:rPr>
          <w:rFonts w:hint="eastAsia" w:ascii="宋体" w:hAnsi="宋体" w:cs="System"/>
          <w:sz w:val="24"/>
          <w:szCs w:val="20"/>
          <w:highlight w:val="none"/>
          <w:lang w:val="en-US" w:eastAsia="zh-CN"/>
        </w:rPr>
        <w:t>4</w:t>
      </w:r>
      <w:r>
        <w:rPr>
          <w:rFonts w:hint="eastAsia" w:ascii="宋体" w:hAnsi="宋体" w:eastAsia="宋体" w:cs="System"/>
          <w:sz w:val="24"/>
          <w:szCs w:val="20"/>
          <w:highlight w:val="none"/>
          <w:lang w:val="en-US" w:eastAsia="zh-CN"/>
        </w:rPr>
        <w:t>年   月   日</w:t>
      </w:r>
    </w:p>
    <w:p>
      <w:pPr>
        <w:spacing w:line="360" w:lineRule="auto"/>
        <w:rPr>
          <w:rFonts w:hint="default" w:ascii="Times New Roman" w:hAnsi="Times New Roman" w:eastAsia="宋体"/>
          <w:sz w:val="24"/>
          <w:szCs w:val="20"/>
          <w:highlight w:val="none"/>
          <w:lang w:val="en-US" w:eastAsia="zh-CN"/>
        </w:rPr>
      </w:pPr>
      <w:r>
        <w:rPr>
          <w:rFonts w:hint="default" w:ascii="Times New Roman" w:hAnsi="Times New Roman" w:eastAsia="宋体"/>
          <w:sz w:val="24"/>
          <w:szCs w:val="20"/>
          <w:highlight w:val="none"/>
          <w:lang w:val="en-US" w:eastAsia="zh-CN"/>
        </w:rPr>
        <w:br w:type="page"/>
      </w:r>
    </w:p>
    <w:p>
      <w:pPr>
        <w:pStyle w:val="23"/>
        <w:rPr>
          <w:rFonts w:hint="eastAsia" w:eastAsia="宋体"/>
          <w:highlight w:val="none"/>
          <w:lang w:val="en-US" w:eastAsia="zh-CN"/>
        </w:rPr>
      </w:pPr>
      <w:r>
        <w:rPr>
          <w:rFonts w:hint="eastAsia"/>
          <w:highlight w:val="none"/>
          <w:lang w:val="en-US" w:eastAsia="zh-CN"/>
        </w:rPr>
        <w:t xml:space="preserve"> </w:t>
      </w:r>
    </w:p>
    <w:p>
      <w:pPr>
        <w:widowControl/>
        <w:numPr>
          <w:ilvl w:val="0"/>
          <w:numId w:val="5"/>
        </w:numPr>
        <w:spacing w:line="360" w:lineRule="auto"/>
        <w:jc w:val="center"/>
        <w:rPr>
          <w:rFonts w:ascii="宋体" w:hAnsi="宋体" w:cs="宋体"/>
          <w:b/>
          <w:sz w:val="36"/>
          <w:szCs w:val="36"/>
          <w:highlight w:val="none"/>
        </w:rPr>
      </w:pPr>
      <w:r>
        <w:rPr>
          <w:rFonts w:hint="eastAsia" w:ascii="宋体" w:hAnsi="宋体" w:cs="宋体"/>
          <w:b/>
          <w:sz w:val="36"/>
          <w:szCs w:val="36"/>
          <w:highlight w:val="none"/>
        </w:rPr>
        <w:t>委托文件</w:t>
      </w:r>
    </w:p>
    <w:p>
      <w:pPr>
        <w:pStyle w:val="44"/>
        <w:rPr>
          <w:highlight w:val="none"/>
        </w:rPr>
      </w:pPr>
    </w:p>
    <w:p>
      <w:pPr>
        <w:spacing w:line="560" w:lineRule="exact"/>
        <w:jc w:val="center"/>
        <w:rPr>
          <w:rFonts w:hint="eastAsia" w:ascii="宋体" w:hAnsi="宋体" w:eastAsia="宋体" w:cs="宋体"/>
          <w:b/>
          <w:sz w:val="32"/>
          <w:szCs w:val="32"/>
          <w:highlight w:val="none"/>
        </w:rPr>
      </w:pPr>
      <w:r>
        <w:rPr>
          <w:rFonts w:hint="eastAsia" w:ascii="宋体" w:hAnsi="宋体" w:cs="宋体"/>
          <w:b/>
          <w:sz w:val="32"/>
          <w:szCs w:val="32"/>
          <w:highlight w:val="none"/>
        </w:rPr>
        <w:t>关于</w:t>
      </w:r>
      <w:r>
        <w:rPr>
          <w:rFonts w:hint="eastAsia" w:ascii="宋体" w:hAnsi="宋体" w:cs="宋体"/>
          <w:b/>
          <w:sz w:val="32"/>
          <w:szCs w:val="32"/>
          <w:highlight w:val="none"/>
          <w:lang w:val="en-US" w:eastAsia="zh-CN"/>
        </w:rPr>
        <w:t>深圳建筑产业生态智谷总部基地一期主体第三方监测</w:t>
      </w:r>
      <w:r>
        <w:rPr>
          <w:rFonts w:hint="eastAsia" w:ascii="宋体" w:hAnsi="宋体" w:cs="宋体"/>
          <w:b/>
          <w:sz w:val="32"/>
          <w:szCs w:val="32"/>
          <w:highlight w:val="none"/>
        </w:rPr>
        <w:t>委托函</w:t>
      </w:r>
    </w:p>
    <w:p>
      <w:pPr>
        <w:spacing w:line="560" w:lineRule="atLeast"/>
        <w:rPr>
          <w:rFonts w:ascii="宋体" w:hAnsi="宋体" w:cs="宋体"/>
          <w:kern w:val="0"/>
          <w:sz w:val="28"/>
          <w:szCs w:val="28"/>
          <w:highlight w:val="none"/>
          <w:u w:val="single"/>
        </w:rPr>
      </w:pPr>
    </w:p>
    <w:p>
      <w:pPr>
        <w:spacing w:line="560" w:lineRule="atLeast"/>
        <w:rPr>
          <w:rFonts w:ascii="宋体" w:hAnsi="宋体" w:cs="宋体"/>
          <w:kern w:val="0"/>
          <w:sz w:val="28"/>
          <w:szCs w:val="28"/>
          <w:highlight w:val="none"/>
        </w:rPr>
      </w:pP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pPr>
        <w:spacing w:line="560" w:lineRule="atLeast"/>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我司拟委托贵司提供</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u w:val="single"/>
          <w:lang w:val="en-US" w:eastAsia="zh-CN"/>
        </w:rPr>
        <w:t xml:space="preserve">  </w:t>
      </w:r>
      <w:r>
        <w:rPr>
          <w:rFonts w:hint="eastAsia" w:ascii="宋体" w:hAnsi="宋体" w:cs="宋体"/>
          <w:kern w:val="0"/>
          <w:sz w:val="28"/>
          <w:szCs w:val="28"/>
          <w:highlight w:val="none"/>
          <w:u w:val="single"/>
          <w:lang w:eastAsia="zh-CN"/>
        </w:rPr>
        <w:t>深圳建筑产业生态智谷总部基地一期主体第三方监测</w:t>
      </w:r>
      <w:r>
        <w:rPr>
          <w:rFonts w:hint="eastAsia" w:ascii="宋体" w:hAnsi="宋体" w:cs="宋体"/>
          <w:kern w:val="0"/>
          <w:sz w:val="28"/>
          <w:szCs w:val="28"/>
          <w:highlight w:val="none"/>
          <w:u w:val="single"/>
          <w:lang w:val="en-US" w:eastAsia="zh-CN"/>
        </w:rPr>
        <w:t xml:space="preserve">  </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lang w:val="en-US" w:eastAsia="zh-CN"/>
        </w:rPr>
        <w:t xml:space="preserve">  </w:t>
      </w:r>
      <w:r>
        <w:rPr>
          <w:rFonts w:hint="eastAsia" w:ascii="宋体" w:hAnsi="宋体" w:cs="宋体"/>
          <w:kern w:val="0"/>
          <w:sz w:val="28"/>
          <w:szCs w:val="28"/>
          <w:highlight w:val="none"/>
        </w:rPr>
        <w:t>服务</w:t>
      </w:r>
      <w:r>
        <w:rPr>
          <w:rFonts w:hint="eastAsia" w:ascii="宋体" w:hAnsi="宋体" w:cs="宋体"/>
          <w:sz w:val="28"/>
          <w:szCs w:val="28"/>
          <w:highlight w:val="none"/>
        </w:rPr>
        <w:t>，</w:t>
      </w:r>
      <w:r>
        <w:rPr>
          <w:rFonts w:hint="eastAsia" w:ascii="宋体" w:hAnsi="宋体" w:cs="宋体"/>
          <w:kern w:val="0"/>
          <w:sz w:val="28"/>
          <w:szCs w:val="28"/>
          <w:highlight w:val="none"/>
        </w:rPr>
        <w:t>合同价为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u w:val="single"/>
          <w:lang w:val="en-US" w:eastAsia="zh-CN"/>
        </w:rPr>
        <w:t xml:space="preserve"> </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万元</w:t>
      </w:r>
      <w:r>
        <w:rPr>
          <w:rFonts w:hint="eastAsia" w:ascii="宋体" w:hAnsi="宋体" w:cs="宋体"/>
          <w:sz w:val="28"/>
          <w:szCs w:val="28"/>
          <w:highlight w:val="none"/>
        </w:rPr>
        <w:t>。</w:t>
      </w:r>
      <w:r>
        <w:rPr>
          <w:rFonts w:hint="eastAsia" w:ascii="宋体" w:hAnsi="宋体" w:cs="宋体"/>
          <w:kern w:val="0"/>
          <w:sz w:val="28"/>
          <w:szCs w:val="28"/>
          <w:highlight w:val="none"/>
        </w:rPr>
        <w:t>请贵司收到此函后组织人员尽快开展工作，并与我</w:t>
      </w:r>
      <w:r>
        <w:rPr>
          <w:rFonts w:hint="eastAsia" w:ascii="宋体" w:hAnsi="宋体" w:cs="宋体"/>
          <w:kern w:val="0"/>
          <w:sz w:val="28"/>
          <w:szCs w:val="28"/>
          <w:highlight w:val="none"/>
          <w:lang w:val="en-US" w:eastAsia="zh-CN"/>
        </w:rPr>
        <w:t>司</w:t>
      </w:r>
      <w:r>
        <w:rPr>
          <w:rFonts w:hint="eastAsia" w:ascii="宋体" w:hAnsi="宋体" w:cs="宋体"/>
          <w:kern w:val="0"/>
          <w:sz w:val="28"/>
          <w:szCs w:val="28"/>
          <w:highlight w:val="none"/>
        </w:rPr>
        <w:t>联系协商签订合同事宜。</w:t>
      </w:r>
    </w:p>
    <w:p>
      <w:pPr>
        <w:spacing w:line="560" w:lineRule="atLeast"/>
        <w:ind w:firstLine="560" w:firstLineChars="200"/>
        <w:rPr>
          <w:rFonts w:ascii="宋体" w:hAnsi="宋体" w:cs="宋体"/>
          <w:sz w:val="28"/>
          <w:szCs w:val="28"/>
          <w:highlight w:val="none"/>
        </w:rPr>
      </w:pPr>
      <w:r>
        <w:rPr>
          <w:rFonts w:hint="eastAsia" w:ascii="宋体" w:hAnsi="宋体" w:cs="宋体"/>
          <w:sz w:val="28"/>
          <w:szCs w:val="28"/>
          <w:highlight w:val="none"/>
        </w:rPr>
        <w:t>此函。</w:t>
      </w:r>
    </w:p>
    <w:p>
      <w:pPr>
        <w:adjustRightInd w:val="0"/>
        <w:snapToGrid w:val="0"/>
        <w:spacing w:line="560" w:lineRule="atLeast"/>
        <w:ind w:firstLine="560" w:firstLineChars="200"/>
        <w:jc w:val="right"/>
        <w:rPr>
          <w:rFonts w:ascii="宋体" w:hAnsi="宋体" w:cs="宋体"/>
          <w:sz w:val="28"/>
          <w:szCs w:val="28"/>
          <w:highlight w:val="none"/>
        </w:rPr>
      </w:pPr>
    </w:p>
    <w:p>
      <w:pPr>
        <w:adjustRightInd w:val="0"/>
        <w:snapToGrid w:val="0"/>
        <w:spacing w:line="560" w:lineRule="atLeast"/>
        <w:ind w:firstLine="560" w:firstLineChars="200"/>
        <w:jc w:val="right"/>
        <w:rPr>
          <w:rFonts w:hint="eastAsia" w:ascii="宋体" w:hAnsi="宋体" w:cs="宋体"/>
          <w:sz w:val="28"/>
          <w:szCs w:val="28"/>
          <w:highlight w:val="none"/>
        </w:rPr>
      </w:pPr>
    </w:p>
    <w:p>
      <w:pPr>
        <w:adjustRightInd w:val="0"/>
        <w:snapToGrid w:val="0"/>
        <w:spacing w:line="560" w:lineRule="atLeast"/>
        <w:ind w:firstLine="560" w:firstLineChars="200"/>
        <w:jc w:val="right"/>
        <w:rPr>
          <w:rFonts w:hint="eastAsia" w:ascii="宋体" w:hAnsi="宋体" w:cs="宋体"/>
          <w:sz w:val="28"/>
          <w:szCs w:val="28"/>
          <w:highlight w:val="none"/>
        </w:rPr>
      </w:pPr>
    </w:p>
    <w:p>
      <w:pPr>
        <w:adjustRightInd w:val="0"/>
        <w:snapToGrid w:val="0"/>
        <w:spacing w:line="560" w:lineRule="atLeast"/>
        <w:ind w:firstLine="560" w:firstLineChars="200"/>
        <w:jc w:val="right"/>
        <w:rPr>
          <w:rFonts w:ascii="宋体" w:hAnsi="宋体" w:cs="宋体"/>
          <w:sz w:val="28"/>
          <w:szCs w:val="28"/>
          <w:highlight w:val="none"/>
        </w:rPr>
      </w:pPr>
      <w:r>
        <w:rPr>
          <w:rFonts w:hint="eastAsia" w:ascii="宋体" w:hAnsi="宋体" w:cs="宋体"/>
          <w:sz w:val="28"/>
          <w:szCs w:val="28"/>
          <w:highlight w:val="none"/>
        </w:rPr>
        <w:t xml:space="preserve">  </w:t>
      </w:r>
    </w:p>
    <w:p>
      <w:pPr>
        <w:adjustRightInd w:val="0"/>
        <w:snapToGrid w:val="0"/>
        <w:spacing w:line="560" w:lineRule="atLeast"/>
        <w:ind w:firstLine="560" w:firstLineChars="200"/>
        <w:jc w:val="right"/>
        <w:rPr>
          <w:rFonts w:ascii="宋体" w:hAnsi="宋体" w:cs="宋体"/>
          <w:sz w:val="28"/>
          <w:szCs w:val="28"/>
          <w:highlight w:val="none"/>
        </w:rPr>
      </w:pPr>
    </w:p>
    <w:p>
      <w:pPr>
        <w:adjustRightInd w:val="0"/>
        <w:snapToGrid w:val="0"/>
        <w:spacing w:line="560" w:lineRule="atLeast"/>
        <w:ind w:firstLine="560" w:firstLineChars="20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 xml:space="preserve">     </w:t>
      </w:r>
      <w:r>
        <w:rPr>
          <w:rFonts w:hint="eastAsia" w:ascii="宋体" w:hAnsi="宋体" w:cs="宋体"/>
          <w:sz w:val="28"/>
          <w:szCs w:val="28"/>
          <w:highlight w:val="none"/>
          <w:lang w:eastAsia="zh-CN"/>
        </w:rPr>
        <w:t>深圳市龙岗区城投绿色低碳新能源产业发展有限公司</w:t>
      </w:r>
    </w:p>
    <w:p>
      <w:pPr>
        <w:pStyle w:val="23"/>
        <w:rPr>
          <w:rFonts w:hint="eastAsia"/>
          <w:highlight w:val="none"/>
        </w:rPr>
      </w:pPr>
    </w:p>
    <w:p>
      <w:pPr>
        <w:widowControl/>
        <w:spacing w:line="560" w:lineRule="atLeast"/>
        <w:jc w:val="center"/>
        <w:rPr>
          <w:rFonts w:hint="eastAsia" w:ascii="宋体" w:hAnsi="宋体" w:cs="宋体"/>
          <w:sz w:val="28"/>
          <w:szCs w:val="28"/>
          <w:highlight w:val="none"/>
        </w:rPr>
      </w:pPr>
      <w:r>
        <w:rPr>
          <w:rFonts w:hint="eastAsia" w:ascii="宋体" w:hAnsi="宋体" w:cs="宋体"/>
          <w:sz w:val="28"/>
          <w:szCs w:val="28"/>
          <w:highlight w:val="none"/>
        </w:rPr>
        <w:t xml:space="preserve">                          年  月   日</w:t>
      </w:r>
    </w:p>
    <w:p>
      <w:pPr>
        <w:pStyle w:val="23"/>
        <w:rPr>
          <w:rFonts w:hint="eastAsia" w:ascii="宋体" w:hAnsi="宋体" w:cs="宋体"/>
          <w:sz w:val="28"/>
          <w:szCs w:val="28"/>
          <w:highlight w:val="none"/>
        </w:rPr>
      </w:pPr>
    </w:p>
    <w:p>
      <w:pPr>
        <w:rPr>
          <w:highlight w:val="none"/>
        </w:rPr>
      </w:pPr>
      <w:r>
        <w:rPr>
          <w:highlight w:val="none"/>
        </w:rPr>
        <w:br w:type="page"/>
      </w:r>
    </w:p>
    <w:p>
      <w:pPr>
        <w:widowControl/>
        <w:numPr>
          <w:ilvl w:val="0"/>
          <w:numId w:val="5"/>
        </w:numPr>
        <w:spacing w:line="360" w:lineRule="auto"/>
        <w:jc w:val="center"/>
        <w:rPr>
          <w:rFonts w:hint="eastAsia" w:ascii="宋体" w:hAnsi="宋体" w:eastAsia="宋体" w:cs="宋体"/>
          <w:kern w:val="2"/>
          <w:sz w:val="36"/>
          <w:szCs w:val="36"/>
          <w:highlight w:val="none"/>
          <w:lang w:val="en-US" w:eastAsia="zh-CN" w:bidi="ar"/>
        </w:rPr>
      </w:pPr>
      <w:r>
        <w:rPr>
          <w:rFonts w:hint="eastAsia" w:ascii="宋体" w:hAnsi="宋体" w:eastAsia="宋体" w:cs="宋体"/>
          <w:b/>
          <w:sz w:val="36"/>
          <w:szCs w:val="36"/>
          <w:highlight w:val="none"/>
        </w:rPr>
        <w:t>监测任务书</w:t>
      </w:r>
    </w:p>
    <w:p>
      <w:pPr>
        <w:spacing w:before="312" w:beforeLines="100" w:line="360" w:lineRule="auto"/>
        <w:ind w:firstLine="422" w:firstLineChars="200"/>
        <w:jc w:val="left"/>
        <w:rPr>
          <w:b/>
          <w:bCs/>
          <w:szCs w:val="21"/>
          <w:highlight w:val="none"/>
        </w:rPr>
      </w:pPr>
      <w:r>
        <w:rPr>
          <w:rFonts w:hint="eastAsia"/>
          <w:b/>
          <w:bCs/>
          <w:szCs w:val="21"/>
          <w:highlight w:val="none"/>
        </w:rPr>
        <w:t>一、工程概况</w:t>
      </w:r>
    </w:p>
    <w:p>
      <w:pPr>
        <w:spacing w:line="360" w:lineRule="auto"/>
        <w:ind w:firstLine="420" w:firstLineChars="200"/>
        <w:jc w:val="left"/>
        <w:rPr>
          <w:szCs w:val="21"/>
          <w:highlight w:val="none"/>
        </w:rPr>
      </w:pPr>
      <w:r>
        <w:rPr>
          <w:rFonts w:hint="eastAsia"/>
          <w:szCs w:val="21"/>
          <w:highlight w:val="none"/>
        </w:rPr>
        <w:t>本项目位于深圳市龙岗区，北邻鹰咀路，西接鹰晖路，南邻清辉路，东侧清耀路。由十栋塔楼及其2层裙房组成；地上由1栋一单元187.55米高超高层研发用房塔楼、1栋二单元91.35米高高层研发用房塔楼，1栋三单元14.3米高多层研发用房塔楼、1栋四单元7.1米高多层高商业、1栋五单元32.25米高高层研发用房塔楼、1栋六单元78.25米高高层宿舍塔楼、1栋七单元87.25米高高层宿舍塔楼、1栋八单元、九单元10.2米高单多层商业和食堂塔楼、1栋十单元20.0米高单多层塔楼组成；裙房2层高，功能为宿舍大堂、商业、配套设施;地下为四层地下室。其中两层为半地下室,分别为半地下一层和半地下室二层，地下室功能为商业、食堂地下车库及设备用房，地下室设有人防防护单元。</w:t>
      </w:r>
    </w:p>
    <w:p>
      <w:pPr>
        <w:spacing w:line="360" w:lineRule="auto"/>
        <w:ind w:firstLine="422" w:firstLineChars="200"/>
        <w:jc w:val="left"/>
        <w:rPr>
          <w:b/>
          <w:bCs/>
          <w:szCs w:val="21"/>
          <w:highlight w:val="none"/>
        </w:rPr>
      </w:pPr>
      <w:r>
        <w:rPr>
          <w:rFonts w:hint="eastAsia"/>
          <w:b/>
          <w:bCs/>
          <w:szCs w:val="21"/>
          <w:highlight w:val="none"/>
        </w:rPr>
        <w:t>二、项目基本信息</w:t>
      </w:r>
    </w:p>
    <w:p>
      <w:pPr>
        <w:spacing w:line="360" w:lineRule="auto"/>
        <w:ind w:firstLine="420" w:firstLineChars="200"/>
        <w:jc w:val="left"/>
        <w:rPr>
          <w:szCs w:val="21"/>
          <w:highlight w:val="none"/>
        </w:rPr>
      </w:pPr>
      <w:r>
        <w:rPr>
          <w:rFonts w:hint="eastAsia"/>
          <w:szCs w:val="21"/>
          <w:highlight w:val="none"/>
        </w:rPr>
        <w:t>1.</w:t>
      </w:r>
      <w:r>
        <w:rPr>
          <w:szCs w:val="21"/>
          <w:highlight w:val="none"/>
        </w:rPr>
        <w:t>结构设计使用年限</w:t>
      </w:r>
      <w:r>
        <w:rPr>
          <w:rFonts w:hint="eastAsia"/>
          <w:szCs w:val="21"/>
          <w:highlight w:val="none"/>
        </w:rPr>
        <w:t>为</w:t>
      </w:r>
      <w:r>
        <w:rPr>
          <w:szCs w:val="21"/>
          <w:highlight w:val="none"/>
        </w:rPr>
        <w:t>50年。</w:t>
      </w:r>
    </w:p>
    <w:p>
      <w:pPr>
        <w:spacing w:line="360" w:lineRule="auto"/>
        <w:ind w:firstLine="420" w:firstLineChars="200"/>
        <w:jc w:val="left"/>
        <w:rPr>
          <w:szCs w:val="21"/>
          <w:highlight w:val="none"/>
        </w:rPr>
      </w:pPr>
      <w:r>
        <w:rPr>
          <w:rFonts w:hint="eastAsia"/>
          <w:szCs w:val="21"/>
          <w:highlight w:val="none"/>
        </w:rPr>
        <w:t>2.</w:t>
      </w:r>
      <w:r>
        <w:rPr>
          <w:szCs w:val="21"/>
          <w:highlight w:val="none"/>
        </w:rPr>
        <w:t>结构安全等级</w:t>
      </w:r>
      <w:r>
        <w:rPr>
          <w:rFonts w:hint="eastAsia"/>
          <w:szCs w:val="21"/>
          <w:highlight w:val="none"/>
        </w:rPr>
        <w:t>：</w:t>
      </w:r>
      <w:r>
        <w:rPr>
          <w:szCs w:val="21"/>
          <w:highlight w:val="none"/>
        </w:rPr>
        <w:t>主体结构为</w:t>
      </w:r>
      <w:r>
        <w:rPr>
          <w:rFonts w:hint="eastAsia"/>
          <w:szCs w:val="21"/>
          <w:highlight w:val="none"/>
        </w:rPr>
        <w:t>二</w:t>
      </w:r>
      <w:r>
        <w:rPr>
          <w:szCs w:val="21"/>
          <w:highlight w:val="none"/>
        </w:rPr>
        <w:t>级。</w:t>
      </w:r>
    </w:p>
    <w:p>
      <w:pPr>
        <w:spacing w:line="360" w:lineRule="auto"/>
        <w:ind w:firstLine="420" w:firstLineChars="200"/>
        <w:jc w:val="left"/>
        <w:rPr>
          <w:szCs w:val="21"/>
          <w:highlight w:val="none"/>
        </w:rPr>
      </w:pPr>
      <w:r>
        <w:rPr>
          <w:rFonts w:hint="eastAsia"/>
          <w:szCs w:val="21"/>
          <w:highlight w:val="none"/>
        </w:rPr>
        <w:t>3.地震烈度：7度，地震动峰值加速度0.1g。</w:t>
      </w:r>
    </w:p>
    <w:p>
      <w:pPr>
        <w:spacing w:line="360" w:lineRule="auto"/>
        <w:ind w:firstLine="422" w:firstLineChars="200"/>
        <w:jc w:val="left"/>
        <w:rPr>
          <w:b/>
          <w:bCs/>
          <w:szCs w:val="21"/>
          <w:highlight w:val="none"/>
        </w:rPr>
      </w:pPr>
      <w:r>
        <w:rPr>
          <w:rFonts w:hint="eastAsia"/>
          <w:b/>
          <w:bCs/>
          <w:szCs w:val="21"/>
          <w:highlight w:val="none"/>
        </w:rPr>
        <w:t>三、工作内容</w:t>
      </w:r>
    </w:p>
    <w:p>
      <w:pPr>
        <w:spacing w:line="360" w:lineRule="auto"/>
        <w:ind w:firstLine="420" w:firstLineChars="200"/>
        <w:jc w:val="left"/>
        <w:rPr>
          <w:szCs w:val="21"/>
          <w:highlight w:val="none"/>
        </w:rPr>
      </w:pPr>
      <w:r>
        <w:rPr>
          <w:rFonts w:hint="eastAsia"/>
          <w:szCs w:val="21"/>
          <w:highlight w:val="none"/>
        </w:rPr>
        <w:t>1、本项目应进行施工期间和使用期间的变形监测。变形监测应满足《工程测量通用规范》</w:t>
      </w:r>
      <w:r>
        <w:rPr>
          <w:szCs w:val="21"/>
          <w:highlight w:val="none"/>
        </w:rPr>
        <w:t>GB55018-2021</w:t>
      </w:r>
      <w:r>
        <w:rPr>
          <w:rFonts w:hint="eastAsia"/>
          <w:szCs w:val="21"/>
          <w:highlight w:val="none"/>
        </w:rPr>
        <w:t>、《建筑变形测量规范》</w:t>
      </w:r>
      <w:r>
        <w:rPr>
          <w:szCs w:val="21"/>
          <w:highlight w:val="none"/>
        </w:rPr>
        <w:t>JGJ8-2016</w:t>
      </w:r>
      <w:r>
        <w:rPr>
          <w:rFonts w:hint="eastAsia"/>
          <w:szCs w:val="21"/>
          <w:highlight w:val="none"/>
        </w:rPr>
        <w:t>相关要求。当监测过程中发生下列情况之一时，应立即进行监测预警，同时提高监测频率或增加监测内容：</w:t>
      </w:r>
    </w:p>
    <w:p>
      <w:pPr>
        <w:spacing w:line="360" w:lineRule="auto"/>
        <w:ind w:firstLine="420" w:firstLineChars="200"/>
        <w:jc w:val="left"/>
        <w:rPr>
          <w:szCs w:val="21"/>
          <w:highlight w:val="none"/>
        </w:rPr>
      </w:pPr>
      <w:r>
        <w:rPr>
          <w:szCs w:val="21"/>
          <w:highlight w:val="none"/>
        </w:rPr>
        <w:t xml:space="preserve">1) </w:t>
      </w:r>
      <w:r>
        <w:rPr>
          <w:rFonts w:hint="eastAsia"/>
          <w:szCs w:val="21"/>
          <w:highlight w:val="none"/>
        </w:rPr>
        <w:t>变形量或变形速率出现异常变化；</w:t>
      </w:r>
    </w:p>
    <w:p>
      <w:pPr>
        <w:spacing w:line="360" w:lineRule="auto"/>
        <w:ind w:firstLine="420" w:firstLineChars="200"/>
        <w:jc w:val="left"/>
        <w:rPr>
          <w:szCs w:val="21"/>
          <w:highlight w:val="none"/>
        </w:rPr>
      </w:pPr>
      <w:r>
        <w:rPr>
          <w:szCs w:val="21"/>
          <w:highlight w:val="none"/>
        </w:rPr>
        <w:t xml:space="preserve">2) </w:t>
      </w:r>
      <w:r>
        <w:rPr>
          <w:rFonts w:hint="eastAsia"/>
          <w:szCs w:val="21"/>
          <w:highlight w:val="none"/>
        </w:rPr>
        <w:t>变形量或变形速率达到或超出变形预警值；</w:t>
      </w:r>
    </w:p>
    <w:p>
      <w:pPr>
        <w:spacing w:line="360" w:lineRule="auto"/>
        <w:ind w:firstLine="420" w:firstLineChars="200"/>
        <w:jc w:val="left"/>
        <w:rPr>
          <w:szCs w:val="21"/>
          <w:highlight w:val="none"/>
        </w:rPr>
      </w:pPr>
      <w:r>
        <w:rPr>
          <w:szCs w:val="21"/>
          <w:highlight w:val="none"/>
        </w:rPr>
        <w:t xml:space="preserve">3) </w:t>
      </w:r>
      <w:r>
        <w:rPr>
          <w:rFonts w:hint="eastAsia"/>
          <w:szCs w:val="21"/>
          <w:highlight w:val="none"/>
        </w:rPr>
        <w:t>工程开挖面或周边出现塌陷、滑坡；</w:t>
      </w:r>
    </w:p>
    <w:p>
      <w:pPr>
        <w:spacing w:line="360" w:lineRule="auto"/>
        <w:ind w:firstLine="420" w:firstLineChars="200"/>
        <w:jc w:val="left"/>
        <w:rPr>
          <w:szCs w:val="21"/>
          <w:highlight w:val="none"/>
        </w:rPr>
      </w:pPr>
      <w:r>
        <w:rPr>
          <w:szCs w:val="21"/>
          <w:highlight w:val="none"/>
        </w:rPr>
        <w:t xml:space="preserve">4) </w:t>
      </w:r>
      <w:r>
        <w:rPr>
          <w:rFonts w:hint="eastAsia"/>
          <w:szCs w:val="21"/>
          <w:highlight w:val="none"/>
        </w:rPr>
        <w:t>工程本身或其周边环境出现异常；</w:t>
      </w:r>
    </w:p>
    <w:p>
      <w:pPr>
        <w:spacing w:line="360" w:lineRule="auto"/>
        <w:ind w:firstLine="420" w:firstLineChars="200"/>
        <w:jc w:val="left"/>
        <w:rPr>
          <w:szCs w:val="21"/>
          <w:highlight w:val="none"/>
        </w:rPr>
      </w:pPr>
      <w:r>
        <w:rPr>
          <w:szCs w:val="21"/>
          <w:highlight w:val="none"/>
        </w:rPr>
        <w:t xml:space="preserve">5) </w:t>
      </w:r>
      <w:r>
        <w:rPr>
          <w:rFonts w:hint="eastAsia"/>
          <w:szCs w:val="21"/>
          <w:highlight w:val="none"/>
        </w:rPr>
        <w:t>由于地震、暴雨、冻融等自然灾害引起的其他变形异常情况。</w:t>
      </w:r>
    </w:p>
    <w:p>
      <w:pPr>
        <w:pStyle w:val="2"/>
        <w:rPr>
          <w:rFonts w:hint="eastAsia"/>
          <w:highlight w:val="none"/>
        </w:rPr>
      </w:pPr>
    </w:p>
    <w:p>
      <w:pPr>
        <w:pStyle w:val="2"/>
        <w:rPr>
          <w:rFonts w:hint="eastAsia"/>
          <w:highlight w:val="none"/>
        </w:rPr>
      </w:pPr>
      <w:r>
        <w:rPr>
          <w:rFonts w:hint="eastAsia"/>
          <w:highlight w:val="none"/>
        </w:rPr>
        <w:t>2、监测内容如下:</w:t>
      </w:r>
    </w:p>
    <w:p>
      <w:pPr>
        <w:spacing w:line="360" w:lineRule="auto"/>
        <w:ind w:firstLine="420" w:firstLineChars="200"/>
        <w:jc w:val="left"/>
        <w:rPr>
          <w:szCs w:val="21"/>
          <w:highlight w:val="none"/>
        </w:rPr>
      </w:pPr>
      <w:r>
        <w:rPr>
          <w:rFonts w:hint="eastAsia"/>
          <w:szCs w:val="21"/>
          <w:highlight w:val="none"/>
        </w:rPr>
        <w:t>（</w:t>
      </w:r>
      <w:r>
        <w:rPr>
          <w:szCs w:val="21"/>
          <w:highlight w:val="none"/>
        </w:rPr>
        <w:t>1</w:t>
      </w:r>
      <w:r>
        <w:rPr>
          <w:rFonts w:hint="eastAsia"/>
          <w:szCs w:val="21"/>
          <w:highlight w:val="none"/>
        </w:rPr>
        <w:t>）、沉降观测</w:t>
      </w:r>
    </w:p>
    <w:p>
      <w:pPr>
        <w:spacing w:line="360" w:lineRule="auto"/>
        <w:ind w:firstLine="420" w:firstLineChars="200"/>
        <w:jc w:val="left"/>
        <w:rPr>
          <w:szCs w:val="21"/>
          <w:highlight w:val="none"/>
        </w:rPr>
      </w:pPr>
      <w:r>
        <w:rPr>
          <w:rFonts w:hint="eastAsia"/>
          <w:szCs w:val="21"/>
          <w:highlight w:val="none"/>
        </w:rPr>
        <w:t>本项目设置沉降观测点共计</w:t>
      </w:r>
      <w:r>
        <w:rPr>
          <w:szCs w:val="21"/>
          <w:highlight w:val="none"/>
        </w:rPr>
        <w:t>62</w:t>
      </w:r>
      <w:r>
        <w:rPr>
          <w:rFonts w:hint="eastAsia"/>
          <w:szCs w:val="21"/>
          <w:highlight w:val="none"/>
        </w:rPr>
        <w:t>个，沉降观测点设于地面一层，地面一层竖向构件施工完毕后即开始观测，观测精度不应低于三等。当最后</w:t>
      </w:r>
      <w:r>
        <w:rPr>
          <w:szCs w:val="21"/>
          <w:highlight w:val="none"/>
        </w:rPr>
        <w:t>100d</w:t>
      </w:r>
      <w:r>
        <w:rPr>
          <w:rFonts w:hint="eastAsia"/>
          <w:szCs w:val="21"/>
          <w:highlight w:val="none"/>
        </w:rPr>
        <w:t>的沉降速率小于</w:t>
      </w:r>
      <w:r>
        <w:rPr>
          <w:szCs w:val="21"/>
          <w:highlight w:val="none"/>
        </w:rPr>
        <w:t>0.01~0.04mm/d</w:t>
      </w:r>
      <w:r>
        <w:rPr>
          <w:rFonts w:hint="eastAsia"/>
          <w:szCs w:val="21"/>
          <w:highlight w:val="none"/>
        </w:rPr>
        <w:t>时可认为已进入下沉稳定阶段。</w:t>
      </w:r>
    </w:p>
    <w:p>
      <w:pPr>
        <w:spacing w:line="360" w:lineRule="auto"/>
        <w:ind w:firstLine="420" w:firstLineChars="200"/>
        <w:jc w:val="left"/>
        <w:rPr>
          <w:color w:val="auto"/>
          <w:szCs w:val="21"/>
          <w:highlight w:val="none"/>
        </w:rPr>
      </w:pPr>
      <w:r>
        <w:rPr>
          <w:color w:val="auto"/>
          <w:szCs w:val="21"/>
          <w:highlight w:val="none"/>
        </w:rPr>
        <w:t xml:space="preserve">1) </w:t>
      </w:r>
      <w:r>
        <w:rPr>
          <w:rFonts w:hint="eastAsia"/>
          <w:color w:val="auto"/>
          <w:szCs w:val="21"/>
          <w:highlight w:val="none"/>
        </w:rPr>
        <w:t>施工期间观测频率要求</w:t>
      </w:r>
      <w:r>
        <w:rPr>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 xml:space="preserve">1.1 </w:t>
      </w:r>
      <w:r>
        <w:rPr>
          <w:rFonts w:hint="eastAsia"/>
          <w:color w:val="auto"/>
          <w:szCs w:val="21"/>
          <w:highlight w:val="none"/>
        </w:rPr>
        <w:t>本项目为1栋一单元桩端持力层为微风化岩，1栋二单元、五单元、六单元、七单元、十单元桩端持力层为强风化岩，其余栋均为天然地基，基底持力层为全风化砂岩。主体施工阶段宜每加高3层观测1次（即1栋一单元</w:t>
      </w:r>
      <w:r>
        <w:rPr>
          <w:color w:val="auto"/>
          <w:szCs w:val="21"/>
          <w:highlight w:val="none"/>
        </w:rPr>
        <w:t>15</w:t>
      </w:r>
      <w:r>
        <w:rPr>
          <w:rFonts w:hint="eastAsia"/>
          <w:color w:val="auto"/>
          <w:szCs w:val="21"/>
          <w:highlight w:val="none"/>
        </w:rPr>
        <w:t>次、</w:t>
      </w:r>
      <w:r>
        <w:rPr>
          <w:color w:val="auto"/>
          <w:szCs w:val="21"/>
          <w:highlight w:val="none"/>
        </w:rPr>
        <w:t>1</w:t>
      </w:r>
      <w:r>
        <w:rPr>
          <w:rFonts w:hint="eastAsia"/>
          <w:color w:val="auto"/>
          <w:szCs w:val="21"/>
          <w:highlight w:val="none"/>
        </w:rPr>
        <w:t>栋二单元</w:t>
      </w:r>
      <w:r>
        <w:rPr>
          <w:color w:val="auto"/>
          <w:szCs w:val="21"/>
          <w:highlight w:val="none"/>
        </w:rPr>
        <w:t>8</w:t>
      </w:r>
      <w:r>
        <w:rPr>
          <w:rFonts w:hint="eastAsia"/>
          <w:color w:val="auto"/>
          <w:szCs w:val="21"/>
          <w:highlight w:val="none"/>
        </w:rPr>
        <w:t>次、</w:t>
      </w:r>
      <w:r>
        <w:rPr>
          <w:color w:val="auto"/>
          <w:szCs w:val="21"/>
          <w:highlight w:val="none"/>
        </w:rPr>
        <w:t>1</w:t>
      </w:r>
      <w:r>
        <w:rPr>
          <w:rFonts w:hint="eastAsia"/>
          <w:color w:val="auto"/>
          <w:szCs w:val="21"/>
          <w:highlight w:val="none"/>
        </w:rPr>
        <w:t>栋三单元</w:t>
      </w:r>
      <w:r>
        <w:rPr>
          <w:color w:val="auto"/>
          <w:szCs w:val="21"/>
          <w:highlight w:val="none"/>
        </w:rPr>
        <w:t>1</w:t>
      </w:r>
      <w:r>
        <w:rPr>
          <w:rFonts w:hint="eastAsia"/>
          <w:color w:val="auto"/>
          <w:szCs w:val="21"/>
          <w:highlight w:val="none"/>
        </w:rPr>
        <w:t>次、1栋五单元3次、1栋六单元9次、1栋七单元1</w:t>
      </w:r>
      <w:r>
        <w:rPr>
          <w:color w:val="auto"/>
          <w:szCs w:val="21"/>
          <w:highlight w:val="none"/>
        </w:rPr>
        <w:t>0</w:t>
      </w:r>
      <w:r>
        <w:rPr>
          <w:rFonts w:hint="eastAsia"/>
          <w:color w:val="auto"/>
          <w:szCs w:val="21"/>
          <w:highlight w:val="none"/>
        </w:rPr>
        <w:t>次、1栋八单元1次、1栋九单元1次、1栋十单元1次）主体封顶后每</w:t>
      </w:r>
      <w:r>
        <w:rPr>
          <w:color w:val="auto"/>
          <w:szCs w:val="21"/>
          <w:highlight w:val="none"/>
        </w:rPr>
        <w:t>1</w:t>
      </w:r>
      <w:r>
        <w:rPr>
          <w:rFonts w:hint="eastAsia"/>
          <w:color w:val="auto"/>
          <w:szCs w:val="21"/>
          <w:highlight w:val="none"/>
        </w:rPr>
        <w:t>个月观测1次，墙体砌筑完成后每</w:t>
      </w:r>
      <w:r>
        <w:rPr>
          <w:color w:val="auto"/>
          <w:szCs w:val="21"/>
          <w:highlight w:val="none"/>
        </w:rPr>
        <w:t>2</w:t>
      </w:r>
      <w:r>
        <w:rPr>
          <w:rFonts w:hint="eastAsia"/>
          <w:color w:val="auto"/>
          <w:szCs w:val="21"/>
          <w:highlight w:val="none"/>
        </w:rPr>
        <w:t>个月观测1次至竣工验收，临竣工验收时应观测1次。</w:t>
      </w:r>
    </w:p>
    <w:p>
      <w:pPr>
        <w:spacing w:line="360" w:lineRule="auto"/>
        <w:ind w:firstLine="420" w:firstLineChars="200"/>
        <w:jc w:val="left"/>
        <w:rPr>
          <w:color w:val="auto"/>
          <w:szCs w:val="21"/>
          <w:highlight w:val="none"/>
        </w:rPr>
      </w:pPr>
      <w:r>
        <w:rPr>
          <w:color w:val="auto"/>
          <w:szCs w:val="21"/>
          <w:highlight w:val="none"/>
        </w:rPr>
        <w:t xml:space="preserve">1.2 </w:t>
      </w:r>
      <w:r>
        <w:rPr>
          <w:rFonts w:hint="eastAsia"/>
          <w:color w:val="auto"/>
          <w:szCs w:val="21"/>
          <w:highlight w:val="none"/>
        </w:rPr>
        <w:t>施工过程中若暂停工，在停工时及重新开工时应各观测1次，停工期间可每隔</w:t>
      </w:r>
      <w:r>
        <w:rPr>
          <w:color w:val="auto"/>
          <w:szCs w:val="21"/>
          <w:highlight w:val="none"/>
        </w:rPr>
        <w:t>2</w:t>
      </w:r>
      <w:r>
        <w:rPr>
          <w:rFonts w:hint="eastAsia"/>
          <w:color w:val="auto"/>
          <w:szCs w:val="21"/>
          <w:highlight w:val="none"/>
        </w:rPr>
        <w:t>～</w:t>
      </w:r>
      <w:r>
        <w:rPr>
          <w:color w:val="auto"/>
          <w:szCs w:val="21"/>
          <w:highlight w:val="none"/>
        </w:rPr>
        <w:t>3</w:t>
      </w:r>
      <w:r>
        <w:rPr>
          <w:rFonts w:hint="eastAsia"/>
          <w:color w:val="auto"/>
          <w:szCs w:val="21"/>
          <w:highlight w:val="none"/>
        </w:rPr>
        <w:t>个月观测1次。</w:t>
      </w:r>
    </w:p>
    <w:p>
      <w:pPr>
        <w:spacing w:line="360" w:lineRule="auto"/>
        <w:ind w:firstLine="420" w:firstLineChars="200"/>
        <w:jc w:val="left"/>
        <w:rPr>
          <w:color w:val="auto"/>
          <w:szCs w:val="21"/>
          <w:highlight w:val="none"/>
        </w:rPr>
      </w:pPr>
      <w:r>
        <w:rPr>
          <w:color w:val="auto"/>
          <w:szCs w:val="21"/>
          <w:highlight w:val="none"/>
        </w:rPr>
        <w:t>1.3 观测过程中，若发现大规模</w:t>
      </w:r>
      <w:r>
        <w:rPr>
          <w:rFonts w:hint="eastAsia"/>
          <w:color w:val="auto"/>
          <w:szCs w:val="21"/>
          <w:highlight w:val="none"/>
        </w:rPr>
        <w:t>沉降</w:t>
      </w:r>
      <w:r>
        <w:rPr>
          <w:color w:val="auto"/>
          <w:szCs w:val="21"/>
          <w:highlight w:val="none"/>
        </w:rPr>
        <w:t>、严重不均匀沉降或严重裂缝等，或出现基础附近地面荷载突然</w:t>
      </w:r>
      <w:r>
        <w:rPr>
          <w:rFonts w:hint="eastAsia"/>
          <w:color w:val="auto"/>
          <w:szCs w:val="21"/>
          <w:highlight w:val="none"/>
        </w:rPr>
        <w:t>增减</w:t>
      </w:r>
      <w:r>
        <w:rPr>
          <w:color w:val="auto"/>
          <w:szCs w:val="21"/>
          <w:highlight w:val="none"/>
        </w:rPr>
        <w:t>、基础四周大量积水、长时间连续降雨等情况，应提高观测频率</w:t>
      </w:r>
      <w:r>
        <w:rPr>
          <w:rFonts w:hint="eastAsia"/>
          <w:color w:val="auto"/>
          <w:szCs w:val="21"/>
          <w:highlight w:val="none"/>
        </w:rPr>
        <w:t>。突然发生异常情况时</w:t>
      </w:r>
      <w:r>
        <w:rPr>
          <w:color w:val="auto"/>
          <w:szCs w:val="21"/>
          <w:highlight w:val="none"/>
        </w:rPr>
        <w:t>(</w:t>
      </w:r>
      <w:r>
        <w:rPr>
          <w:rFonts w:hint="eastAsia"/>
          <w:color w:val="auto"/>
          <w:szCs w:val="21"/>
          <w:highlight w:val="none"/>
        </w:rPr>
        <w:t>包括主体封顶后某次观测结果显著增大时</w:t>
      </w:r>
      <w:r>
        <w:rPr>
          <w:color w:val="auto"/>
          <w:szCs w:val="21"/>
          <w:highlight w:val="none"/>
        </w:rPr>
        <w:t>)</w:t>
      </w:r>
      <w:r>
        <w:rPr>
          <w:rFonts w:hint="eastAsia"/>
          <w:color w:val="auto"/>
          <w:szCs w:val="21"/>
          <w:highlight w:val="none"/>
        </w:rPr>
        <w:t>，应及时通知监理、设计。</w:t>
      </w:r>
    </w:p>
    <w:p>
      <w:pPr>
        <w:spacing w:line="360" w:lineRule="auto"/>
        <w:ind w:firstLine="420" w:firstLineChars="200"/>
        <w:jc w:val="left"/>
        <w:rPr>
          <w:color w:val="auto"/>
          <w:szCs w:val="21"/>
          <w:highlight w:val="none"/>
        </w:rPr>
      </w:pPr>
      <w:r>
        <w:rPr>
          <w:color w:val="auto"/>
          <w:szCs w:val="21"/>
          <w:highlight w:val="none"/>
        </w:rPr>
        <w:t>1.4</w:t>
      </w:r>
      <w:r>
        <w:rPr>
          <w:rFonts w:hint="eastAsia"/>
          <w:color w:val="auto"/>
          <w:szCs w:val="21"/>
          <w:highlight w:val="none"/>
        </w:rPr>
        <w:t>使用期间观测频率要求：</w:t>
      </w:r>
      <w:r>
        <w:rPr>
          <w:color w:val="auto"/>
          <w:szCs w:val="21"/>
          <w:highlight w:val="none"/>
        </w:rPr>
        <w:t>可在第一年观测4次，第二年观测3次，第</w:t>
      </w:r>
      <w:r>
        <w:rPr>
          <w:rFonts w:hint="eastAsia"/>
          <w:color w:val="auto"/>
          <w:szCs w:val="21"/>
          <w:highlight w:val="none"/>
        </w:rPr>
        <w:t>三</w:t>
      </w:r>
      <w:r>
        <w:rPr>
          <w:color w:val="auto"/>
          <w:szCs w:val="21"/>
          <w:highlight w:val="none"/>
        </w:rPr>
        <w:t>年后每年观测</w:t>
      </w:r>
      <w:r>
        <w:rPr>
          <w:rFonts w:hint="eastAsia"/>
          <w:color w:val="auto"/>
          <w:szCs w:val="21"/>
          <w:highlight w:val="none"/>
        </w:rPr>
        <w:t>1</w:t>
      </w:r>
      <w:r>
        <w:rPr>
          <w:color w:val="auto"/>
          <w:szCs w:val="21"/>
          <w:highlight w:val="none"/>
        </w:rPr>
        <w:t>次，至沉降达到稳定状态或满足观测要求为止。</w:t>
      </w:r>
    </w:p>
    <w:p>
      <w:pPr>
        <w:spacing w:line="360" w:lineRule="auto"/>
        <w:ind w:firstLine="420" w:firstLineChars="200"/>
        <w:jc w:val="left"/>
        <w:rPr>
          <w:rFonts w:hint="eastAsia"/>
          <w:color w:val="auto"/>
          <w:szCs w:val="21"/>
          <w:highlight w:val="none"/>
        </w:rPr>
      </w:pPr>
      <w:r>
        <w:rPr>
          <w:rFonts w:hint="eastAsia"/>
          <w:color w:val="auto"/>
          <w:szCs w:val="21"/>
          <w:highlight w:val="none"/>
        </w:rPr>
        <w:t>1.5建筑物使用期间需沉降观测时观测标志采用暗装式（图-1），仅施工阶段沉降观测标志可采用明装式（图-2）。</w:t>
      </w:r>
    </w:p>
    <w:p>
      <w:pPr>
        <w:spacing w:line="360" w:lineRule="auto"/>
        <w:ind w:firstLine="420" w:firstLineChars="200"/>
        <w:jc w:val="left"/>
        <w:rPr>
          <w:color w:val="auto"/>
          <w:szCs w:val="21"/>
          <w:highlight w:val="none"/>
        </w:rPr>
      </w:pPr>
      <w:r>
        <w:rPr>
          <w:rFonts w:hint="eastAsia"/>
          <w:color w:val="auto"/>
          <w:szCs w:val="21"/>
          <w:highlight w:val="none"/>
        </w:rPr>
        <w:t>综上所述，本项目各沉降观测点总观测次数暂定为：主体施工阶段为406次（不含停工期间），使用期间为496次（第三年为止），共计902次。</w:t>
      </w:r>
    </w:p>
    <w:p>
      <w:pPr>
        <w:pStyle w:val="2"/>
        <w:rPr>
          <w:rFonts w:hint="eastAsia"/>
          <w:kern w:val="2"/>
          <w:szCs w:val="21"/>
          <w:highlight w:val="none"/>
        </w:rPr>
      </w:pPr>
      <w:r>
        <w:rPr>
          <w:rFonts w:hint="eastAsia"/>
          <w:kern w:val="2"/>
          <w:szCs w:val="21"/>
          <w:highlight w:val="none"/>
        </w:rPr>
        <w:drawing>
          <wp:inline distT="0" distB="0" distL="114300" distR="114300">
            <wp:extent cx="5133975" cy="2840355"/>
            <wp:effectExtent l="0" t="0" r="9525" b="17145"/>
            <wp:docPr id="4" name="图片 1" descr="169441876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694418765604"/>
                    <pic:cNvPicPr>
                      <a:picLocks noChangeAspect="1"/>
                    </pic:cNvPicPr>
                  </pic:nvPicPr>
                  <pic:blipFill>
                    <a:blip r:embed="rId7"/>
                    <a:stretch>
                      <a:fillRect/>
                    </a:stretch>
                  </pic:blipFill>
                  <pic:spPr>
                    <a:xfrm>
                      <a:off x="0" y="0"/>
                      <a:ext cx="5133975" cy="2840355"/>
                    </a:xfrm>
                    <a:prstGeom prst="rect">
                      <a:avLst/>
                    </a:prstGeom>
                    <a:noFill/>
                    <a:ln>
                      <a:noFill/>
                    </a:ln>
                  </pic:spPr>
                </pic:pic>
              </a:graphicData>
            </a:graphic>
          </wp:inline>
        </w:drawing>
      </w:r>
    </w:p>
    <w:p>
      <w:pPr>
        <w:spacing w:line="360" w:lineRule="auto"/>
        <w:ind w:firstLine="420" w:firstLineChars="200"/>
        <w:jc w:val="left"/>
        <w:rPr>
          <w:szCs w:val="21"/>
          <w:highlight w:val="none"/>
        </w:rPr>
      </w:pPr>
      <w:r>
        <w:rPr>
          <w:rFonts w:hint="eastAsia"/>
          <w:szCs w:val="21"/>
          <w:highlight w:val="none"/>
        </w:rPr>
        <w:t>（2）、抗浮工程竖向变形监测</w:t>
      </w:r>
    </w:p>
    <w:p>
      <w:pPr>
        <w:spacing w:line="360" w:lineRule="auto"/>
        <w:ind w:firstLine="420" w:firstLineChars="200"/>
        <w:jc w:val="left"/>
        <w:rPr>
          <w:szCs w:val="21"/>
          <w:highlight w:val="none"/>
        </w:rPr>
      </w:pPr>
      <w:r>
        <w:rPr>
          <w:rFonts w:hint="eastAsia"/>
          <w:szCs w:val="21"/>
          <w:highlight w:val="none"/>
        </w:rPr>
        <w:t>本项目需进行抗浮工程竖向变形监测，监测点位为1</w:t>
      </w:r>
      <w:r>
        <w:rPr>
          <w:szCs w:val="21"/>
          <w:highlight w:val="none"/>
        </w:rPr>
        <w:t>0个</w:t>
      </w:r>
      <w:r>
        <w:rPr>
          <w:rFonts w:hint="eastAsia"/>
          <w:szCs w:val="21"/>
          <w:highlight w:val="none"/>
        </w:rPr>
        <w:t>。观测精度不应低于三等，观测时间应持续至竣工验收后一年。</w:t>
      </w:r>
    </w:p>
    <w:p>
      <w:pPr>
        <w:spacing w:line="360" w:lineRule="auto"/>
        <w:ind w:firstLine="420" w:firstLineChars="200"/>
        <w:jc w:val="left"/>
        <w:rPr>
          <w:color w:val="auto"/>
          <w:szCs w:val="21"/>
          <w:highlight w:val="none"/>
        </w:rPr>
      </w:pPr>
      <w:r>
        <w:rPr>
          <w:szCs w:val="21"/>
          <w:highlight w:val="none"/>
        </w:rPr>
        <w:t>1)</w:t>
      </w:r>
      <w:r>
        <w:rPr>
          <w:szCs w:val="21"/>
          <w:highlight w:val="none"/>
        </w:rPr>
        <w:tab/>
      </w:r>
      <w:r>
        <w:rPr>
          <w:rFonts w:hint="eastAsia"/>
          <w:szCs w:val="21"/>
          <w:highlight w:val="none"/>
        </w:rPr>
        <w:t>首次观测在底层竖向构件浇筑完毕时即开始，此后地下室每施工完毕一层即观测1次，地下室底板后浇带及外墙后浇带封闭一个月时观测1次，地下室顶板覆土完成时观测1</w:t>
      </w:r>
      <w:r>
        <w:rPr>
          <w:rFonts w:hint="eastAsia"/>
          <w:color w:val="auto"/>
          <w:szCs w:val="21"/>
          <w:highlight w:val="none"/>
        </w:rPr>
        <w:t>次，雨季的中后期应观测1次，主体结构验收前应观测1次，临竣工验收时应观测1次。</w:t>
      </w:r>
    </w:p>
    <w:p>
      <w:pPr>
        <w:spacing w:line="360" w:lineRule="auto"/>
        <w:ind w:firstLine="420" w:firstLineChars="200"/>
        <w:jc w:val="left"/>
        <w:rPr>
          <w:color w:val="auto"/>
          <w:szCs w:val="21"/>
          <w:highlight w:val="none"/>
        </w:rPr>
      </w:pPr>
      <w:r>
        <w:rPr>
          <w:rFonts w:hint="eastAsia"/>
          <w:color w:val="auto"/>
          <w:szCs w:val="21"/>
          <w:highlight w:val="none"/>
        </w:rPr>
        <w:t>使用期间观测频率要求：竣工验收以后第一年内观测4次，以后</w:t>
      </w:r>
      <w:r>
        <w:rPr>
          <w:color w:val="auto"/>
          <w:szCs w:val="21"/>
          <w:highlight w:val="none"/>
        </w:rPr>
        <w:t>每年观测</w:t>
      </w:r>
      <w:r>
        <w:rPr>
          <w:rFonts w:hint="eastAsia"/>
          <w:color w:val="auto"/>
          <w:szCs w:val="21"/>
          <w:highlight w:val="none"/>
        </w:rPr>
        <w:t>2</w:t>
      </w:r>
      <w:r>
        <w:rPr>
          <w:color w:val="auto"/>
          <w:szCs w:val="21"/>
          <w:highlight w:val="none"/>
        </w:rPr>
        <w:t>次</w:t>
      </w:r>
      <w:r>
        <w:rPr>
          <w:rFonts w:hint="eastAsia"/>
          <w:color w:val="auto"/>
          <w:szCs w:val="21"/>
          <w:highlight w:val="none"/>
        </w:rPr>
        <w:t>，</w:t>
      </w:r>
      <w:r>
        <w:rPr>
          <w:color w:val="auto"/>
          <w:szCs w:val="21"/>
          <w:highlight w:val="none"/>
        </w:rPr>
        <w:t>至</w:t>
      </w:r>
      <w:r>
        <w:rPr>
          <w:rFonts w:hint="eastAsia"/>
          <w:color w:val="auto"/>
          <w:szCs w:val="21"/>
          <w:highlight w:val="none"/>
        </w:rPr>
        <w:t>变形</w:t>
      </w:r>
      <w:r>
        <w:rPr>
          <w:color w:val="auto"/>
          <w:szCs w:val="21"/>
          <w:highlight w:val="none"/>
        </w:rPr>
        <w:t>达到稳定状态或满足观测要求为止。</w:t>
      </w:r>
    </w:p>
    <w:p>
      <w:pPr>
        <w:spacing w:line="360" w:lineRule="auto"/>
        <w:ind w:firstLine="420" w:firstLineChars="200"/>
        <w:jc w:val="left"/>
        <w:rPr>
          <w:color w:val="auto"/>
          <w:szCs w:val="21"/>
          <w:highlight w:val="none"/>
        </w:rPr>
      </w:pPr>
      <w:r>
        <w:rPr>
          <w:color w:val="auto"/>
          <w:szCs w:val="21"/>
          <w:highlight w:val="none"/>
        </w:rPr>
        <w:t>2)</w:t>
      </w:r>
      <w:r>
        <w:rPr>
          <w:color w:val="auto"/>
          <w:szCs w:val="21"/>
          <w:highlight w:val="none"/>
        </w:rPr>
        <w:tab/>
      </w:r>
      <w:r>
        <w:rPr>
          <w:rFonts w:hint="eastAsia"/>
          <w:color w:val="auto"/>
          <w:szCs w:val="21"/>
          <w:highlight w:val="none"/>
        </w:rPr>
        <w:t>顶板施工完毕未及时完成覆土时，每三个月观测1次直至覆土完成，雨季时应提高观测频率。</w:t>
      </w:r>
    </w:p>
    <w:p>
      <w:pPr>
        <w:spacing w:line="360" w:lineRule="auto"/>
        <w:ind w:firstLine="420" w:firstLineChars="200"/>
        <w:jc w:val="left"/>
        <w:rPr>
          <w:color w:val="auto"/>
          <w:szCs w:val="21"/>
          <w:highlight w:val="none"/>
        </w:rPr>
      </w:pPr>
      <w:r>
        <w:rPr>
          <w:color w:val="auto"/>
          <w:szCs w:val="21"/>
          <w:highlight w:val="none"/>
        </w:rPr>
        <w:t>3)</w:t>
      </w:r>
      <w:r>
        <w:rPr>
          <w:color w:val="auto"/>
          <w:szCs w:val="21"/>
          <w:highlight w:val="none"/>
        </w:rPr>
        <w:tab/>
      </w:r>
      <w:r>
        <w:rPr>
          <w:rFonts w:hint="eastAsia"/>
          <w:color w:val="auto"/>
          <w:szCs w:val="21"/>
          <w:highlight w:val="none"/>
        </w:rPr>
        <w:t>观测标志可采用明装式（图</w:t>
      </w:r>
      <w:r>
        <w:rPr>
          <w:color w:val="auto"/>
          <w:szCs w:val="21"/>
          <w:highlight w:val="none"/>
        </w:rPr>
        <w:t>-2</w:t>
      </w:r>
      <w:r>
        <w:rPr>
          <w:rFonts w:hint="eastAsia"/>
          <w:color w:val="auto"/>
          <w:szCs w:val="21"/>
          <w:highlight w:val="none"/>
        </w:rPr>
        <w:t>），设置于距地高度约</w:t>
      </w:r>
      <w:r>
        <w:rPr>
          <w:color w:val="auto"/>
          <w:szCs w:val="21"/>
          <w:highlight w:val="none"/>
        </w:rPr>
        <w:t>0.5m~1.0m</w:t>
      </w:r>
      <w:r>
        <w:rPr>
          <w:rFonts w:hint="eastAsia"/>
          <w:color w:val="auto"/>
          <w:szCs w:val="21"/>
          <w:highlight w:val="none"/>
        </w:rPr>
        <w:t>处，观测杆采用不锈钢，直径可取</w:t>
      </w:r>
      <w:r>
        <w:rPr>
          <w:color w:val="auto"/>
          <w:szCs w:val="21"/>
          <w:highlight w:val="none"/>
        </w:rPr>
        <w:t>16mm</w:t>
      </w:r>
      <w:r>
        <w:rPr>
          <w:rFonts w:hint="eastAsia"/>
          <w:color w:val="auto"/>
          <w:szCs w:val="21"/>
          <w:highlight w:val="none"/>
        </w:rPr>
        <w:t>。</w:t>
      </w:r>
    </w:p>
    <w:p>
      <w:pPr>
        <w:spacing w:line="360" w:lineRule="auto"/>
        <w:ind w:firstLine="420" w:firstLineChars="200"/>
        <w:jc w:val="left"/>
        <w:rPr>
          <w:rFonts w:ascii="Calibri" w:hAnsi="Calibri"/>
          <w:color w:val="auto"/>
          <w:szCs w:val="21"/>
          <w:highlight w:val="none"/>
        </w:rPr>
      </w:pPr>
      <w:r>
        <w:rPr>
          <w:rFonts w:hint="eastAsia"/>
          <w:color w:val="auto"/>
          <w:szCs w:val="21"/>
          <w:highlight w:val="none"/>
        </w:rPr>
        <w:t>综上所述，本项目各竖向变形监测点总观测次数暂定为120次。</w:t>
      </w:r>
    </w:p>
    <w:p>
      <w:pPr>
        <w:spacing w:line="360" w:lineRule="auto"/>
        <w:ind w:firstLine="420" w:firstLineChars="200"/>
        <w:jc w:val="left"/>
        <w:rPr>
          <w:rFonts w:hint="eastAsia"/>
          <w:szCs w:val="21"/>
          <w:highlight w:val="none"/>
        </w:rPr>
      </w:pPr>
      <w:r>
        <w:rPr>
          <w:szCs w:val="21"/>
          <w:highlight w:val="none"/>
        </w:rPr>
        <w:t>（</w:t>
      </w:r>
      <w:r>
        <w:rPr>
          <w:rFonts w:hint="eastAsia"/>
          <w:szCs w:val="21"/>
          <w:highlight w:val="none"/>
        </w:rPr>
        <w:t>3</w:t>
      </w:r>
      <w:r>
        <w:rPr>
          <w:szCs w:val="21"/>
          <w:highlight w:val="none"/>
        </w:rPr>
        <w:t>）、施工期间变形监测</w:t>
      </w:r>
    </w:p>
    <w:p>
      <w:pPr>
        <w:spacing w:line="360" w:lineRule="auto"/>
        <w:ind w:firstLine="420" w:firstLineChars="200"/>
        <w:jc w:val="left"/>
        <w:rPr>
          <w:szCs w:val="21"/>
          <w:highlight w:val="none"/>
        </w:rPr>
      </w:pPr>
      <w:r>
        <w:rPr>
          <w:rFonts w:hint="eastAsia"/>
          <w:szCs w:val="21"/>
          <w:highlight w:val="none"/>
        </w:rPr>
        <w:t>施工期间变形监测内容应符合下列规定：</w:t>
      </w:r>
    </w:p>
    <w:p>
      <w:pPr>
        <w:spacing w:line="360" w:lineRule="auto"/>
        <w:ind w:firstLine="420" w:firstLineChars="200"/>
        <w:jc w:val="left"/>
        <w:rPr>
          <w:szCs w:val="21"/>
          <w:highlight w:val="none"/>
        </w:rPr>
      </w:pPr>
      <w:r>
        <w:rPr>
          <w:szCs w:val="21"/>
          <w:highlight w:val="none"/>
        </w:rPr>
        <w:t xml:space="preserve">1) </w:t>
      </w:r>
      <w:r>
        <w:rPr>
          <w:rFonts w:hint="eastAsia"/>
          <w:szCs w:val="21"/>
          <w:highlight w:val="none"/>
        </w:rPr>
        <w:t>应进行沉降监测</w:t>
      </w:r>
    </w:p>
    <w:p>
      <w:pPr>
        <w:spacing w:line="360" w:lineRule="auto"/>
        <w:ind w:firstLine="420" w:firstLineChars="200"/>
        <w:jc w:val="left"/>
        <w:rPr>
          <w:rFonts w:hint="eastAsia"/>
          <w:szCs w:val="21"/>
          <w:highlight w:val="none"/>
        </w:rPr>
      </w:pPr>
      <w:r>
        <w:rPr>
          <w:rFonts w:hint="eastAsia"/>
          <w:szCs w:val="21"/>
          <w:highlight w:val="none"/>
        </w:rPr>
        <w:t>2) 对高层和超高层建筑、体形狭长工程结构应进行水平位移监测、垂直度及倾斜监测。</w:t>
      </w:r>
    </w:p>
    <w:p>
      <w:pPr>
        <w:spacing w:line="360" w:lineRule="auto"/>
        <w:ind w:firstLine="420" w:firstLineChars="200"/>
        <w:jc w:val="left"/>
        <w:rPr>
          <w:color w:val="auto"/>
          <w:szCs w:val="21"/>
          <w:highlight w:val="none"/>
        </w:rPr>
      </w:pPr>
      <w:r>
        <w:rPr>
          <w:rFonts w:hint="eastAsia"/>
          <w:color w:val="auto"/>
          <w:szCs w:val="21"/>
          <w:highlight w:val="none"/>
        </w:rPr>
        <w:t>1、水平位移观测的周期，应符合下列规定：</w:t>
      </w:r>
      <w:r>
        <w:rPr>
          <w:color w:val="auto"/>
          <w:szCs w:val="21"/>
          <w:highlight w:val="none"/>
        </w:rPr>
        <w:t>施工期间</w:t>
      </w:r>
      <w:r>
        <w:rPr>
          <w:rFonts w:hint="eastAsia"/>
          <w:color w:val="auto"/>
          <w:szCs w:val="21"/>
          <w:highlight w:val="none"/>
        </w:rPr>
        <w:t>，</w:t>
      </w:r>
      <w:r>
        <w:rPr>
          <w:color w:val="auto"/>
          <w:szCs w:val="21"/>
          <w:highlight w:val="none"/>
        </w:rPr>
        <w:t>可在建筑每加高</w:t>
      </w:r>
      <w:r>
        <w:rPr>
          <w:rFonts w:hint="eastAsia"/>
          <w:color w:val="auto"/>
          <w:szCs w:val="21"/>
          <w:highlight w:val="none"/>
        </w:rPr>
        <w:t>3</w:t>
      </w:r>
      <w:r>
        <w:rPr>
          <w:color w:val="auto"/>
          <w:szCs w:val="21"/>
          <w:highlight w:val="none"/>
        </w:rPr>
        <w:t>层观测</w:t>
      </w:r>
      <w:r>
        <w:rPr>
          <w:rFonts w:hint="eastAsia"/>
          <w:color w:val="auto"/>
          <w:szCs w:val="21"/>
          <w:highlight w:val="none"/>
        </w:rPr>
        <w:t>1</w:t>
      </w:r>
      <w:r>
        <w:rPr>
          <w:color w:val="auto"/>
          <w:szCs w:val="21"/>
          <w:highlight w:val="none"/>
        </w:rPr>
        <w:t>次</w:t>
      </w:r>
      <w:r>
        <w:rPr>
          <w:rFonts w:hint="eastAsia"/>
          <w:color w:val="auto"/>
          <w:szCs w:val="21"/>
          <w:highlight w:val="none"/>
        </w:rPr>
        <w:t>（即1栋一单元</w:t>
      </w:r>
      <w:r>
        <w:rPr>
          <w:color w:val="auto"/>
          <w:szCs w:val="21"/>
          <w:highlight w:val="none"/>
        </w:rPr>
        <w:t>15</w:t>
      </w:r>
      <w:r>
        <w:rPr>
          <w:rFonts w:hint="eastAsia"/>
          <w:color w:val="auto"/>
          <w:szCs w:val="21"/>
          <w:highlight w:val="none"/>
        </w:rPr>
        <w:t>次、</w:t>
      </w:r>
      <w:r>
        <w:rPr>
          <w:color w:val="auto"/>
          <w:szCs w:val="21"/>
          <w:highlight w:val="none"/>
        </w:rPr>
        <w:t>1</w:t>
      </w:r>
      <w:r>
        <w:rPr>
          <w:rFonts w:hint="eastAsia"/>
          <w:color w:val="auto"/>
          <w:szCs w:val="21"/>
          <w:highlight w:val="none"/>
        </w:rPr>
        <w:t>栋二单元</w:t>
      </w:r>
      <w:r>
        <w:rPr>
          <w:color w:val="auto"/>
          <w:szCs w:val="21"/>
          <w:highlight w:val="none"/>
        </w:rPr>
        <w:t>8</w:t>
      </w:r>
      <w:r>
        <w:rPr>
          <w:rFonts w:hint="eastAsia"/>
          <w:color w:val="auto"/>
          <w:szCs w:val="21"/>
          <w:highlight w:val="none"/>
        </w:rPr>
        <w:t>次、1栋五单元3次、1栋六单元9次、1栋七单元1</w:t>
      </w:r>
      <w:r>
        <w:rPr>
          <w:color w:val="auto"/>
          <w:szCs w:val="21"/>
          <w:highlight w:val="none"/>
        </w:rPr>
        <w:t>0</w:t>
      </w:r>
      <w:r>
        <w:rPr>
          <w:rFonts w:hint="eastAsia"/>
          <w:color w:val="auto"/>
          <w:szCs w:val="21"/>
          <w:highlight w:val="none"/>
        </w:rPr>
        <w:t>次），</w:t>
      </w:r>
      <w:r>
        <w:rPr>
          <w:color w:val="auto"/>
          <w:szCs w:val="21"/>
          <w:highlight w:val="none"/>
        </w:rPr>
        <w:t>主体结构封顶后，可每</w:t>
      </w:r>
      <w:r>
        <w:rPr>
          <w:rFonts w:hint="eastAsia"/>
          <w:color w:val="auto"/>
          <w:szCs w:val="21"/>
          <w:highlight w:val="none"/>
        </w:rPr>
        <w:t>两个</w:t>
      </w:r>
      <w:r>
        <w:rPr>
          <w:color w:val="auto"/>
          <w:szCs w:val="21"/>
          <w:highlight w:val="none"/>
        </w:rPr>
        <w:t>月观测</w:t>
      </w:r>
      <w:r>
        <w:rPr>
          <w:rFonts w:hint="eastAsia"/>
          <w:color w:val="auto"/>
          <w:szCs w:val="21"/>
          <w:highlight w:val="none"/>
        </w:rPr>
        <w:t>1</w:t>
      </w:r>
      <w:r>
        <w:rPr>
          <w:color w:val="auto"/>
          <w:szCs w:val="21"/>
          <w:highlight w:val="none"/>
        </w:rPr>
        <w:t>次。使用期间，可在第一年观测4次，第二年观测</w:t>
      </w:r>
      <w:r>
        <w:rPr>
          <w:rFonts w:hint="eastAsia"/>
          <w:color w:val="auto"/>
          <w:szCs w:val="21"/>
          <w:highlight w:val="none"/>
        </w:rPr>
        <w:t>3</w:t>
      </w:r>
      <w:r>
        <w:rPr>
          <w:color w:val="auto"/>
          <w:szCs w:val="21"/>
          <w:highlight w:val="none"/>
        </w:rPr>
        <w:t>次，第三年后每年观测</w:t>
      </w:r>
      <w:r>
        <w:rPr>
          <w:rFonts w:hint="eastAsia"/>
          <w:color w:val="auto"/>
          <w:szCs w:val="21"/>
          <w:highlight w:val="none"/>
        </w:rPr>
        <w:t>1</w:t>
      </w:r>
      <w:r>
        <w:rPr>
          <w:color w:val="auto"/>
          <w:szCs w:val="21"/>
          <w:highlight w:val="none"/>
        </w:rPr>
        <w:t>次，直至稳定为止。若在观测期间发现异常或特殊情况，应提高观测频率。</w:t>
      </w:r>
    </w:p>
    <w:p>
      <w:pPr>
        <w:spacing w:line="360" w:lineRule="auto"/>
        <w:ind w:firstLine="420" w:firstLineChars="200"/>
        <w:jc w:val="left"/>
        <w:rPr>
          <w:rFonts w:hint="eastAsia"/>
          <w:color w:val="auto"/>
          <w:highlight w:val="none"/>
        </w:rPr>
      </w:pPr>
      <w:r>
        <w:rPr>
          <w:rFonts w:hint="eastAsia"/>
          <w:color w:val="auto"/>
          <w:szCs w:val="21"/>
          <w:highlight w:val="none"/>
        </w:rPr>
        <w:t>综上所述，本项目各水平位移监测点总观测次数暂定为：主体施工阶段为384次，使用期间为320次（第三年为止），共计704次。</w:t>
      </w:r>
    </w:p>
    <w:p>
      <w:pPr>
        <w:numPr>
          <w:ilvl w:val="0"/>
          <w:numId w:val="6"/>
        </w:numPr>
        <w:spacing w:line="360" w:lineRule="auto"/>
        <w:ind w:firstLine="420" w:firstLineChars="200"/>
        <w:jc w:val="left"/>
        <w:rPr>
          <w:rFonts w:hint="eastAsia"/>
          <w:color w:val="auto"/>
          <w:szCs w:val="21"/>
          <w:highlight w:val="none"/>
        </w:rPr>
      </w:pPr>
      <w:r>
        <w:rPr>
          <w:rFonts w:hint="eastAsia"/>
          <w:color w:val="auto"/>
          <w:szCs w:val="21"/>
          <w:highlight w:val="none"/>
        </w:rPr>
        <w:t>倾斜观测的周期，宜根据倾斜速率每1~3个月观测1 次。当出现基础附近因大量堆载或卸载、场地降雨长期积水等导致倾斜速度加快时，应提高观测频率。施工期间倾斜观测的周期和频率，宜与沉降观测同步。</w:t>
      </w:r>
    </w:p>
    <w:p>
      <w:pPr>
        <w:spacing w:line="360" w:lineRule="auto"/>
        <w:ind w:firstLine="420" w:firstLineChars="200"/>
        <w:jc w:val="left"/>
        <w:rPr>
          <w:rFonts w:hint="eastAsia"/>
          <w:color w:val="auto"/>
          <w:highlight w:val="none"/>
        </w:rPr>
      </w:pPr>
      <w:r>
        <w:rPr>
          <w:rFonts w:hint="eastAsia"/>
          <w:color w:val="auto"/>
          <w:szCs w:val="21"/>
          <w:highlight w:val="none"/>
        </w:rPr>
        <w:t>综上所述，本项目各倾斜变形监测点总观测次数暂定为704次。</w:t>
      </w:r>
    </w:p>
    <w:p>
      <w:pPr>
        <w:spacing w:line="360" w:lineRule="auto"/>
        <w:ind w:firstLine="420" w:firstLineChars="200"/>
        <w:jc w:val="left"/>
        <w:rPr>
          <w:rFonts w:hint="eastAsia"/>
          <w:szCs w:val="21"/>
          <w:highlight w:val="none"/>
        </w:rPr>
      </w:pPr>
      <w:r>
        <w:rPr>
          <w:rFonts w:hint="eastAsia"/>
          <w:szCs w:val="21"/>
          <w:highlight w:val="none"/>
        </w:rPr>
        <w:t>3) 对大跨度结构应进行挠度监测、日照变形监测、风振变形监测，如本项目中大跨度钢结构连廊。</w:t>
      </w:r>
    </w:p>
    <w:p>
      <w:pPr>
        <w:spacing w:line="360" w:lineRule="auto"/>
        <w:ind w:firstLine="420" w:firstLineChars="200"/>
        <w:jc w:val="left"/>
        <w:rPr>
          <w:rFonts w:hint="eastAsia"/>
          <w:szCs w:val="21"/>
          <w:highlight w:val="none"/>
        </w:rPr>
      </w:pPr>
      <w:r>
        <w:rPr>
          <w:rFonts w:hint="eastAsia"/>
          <w:szCs w:val="21"/>
          <w:highlight w:val="none"/>
        </w:rPr>
        <w:t>施工期间变形监测要求按《建筑变形测量规范》（JGJ8-2016)相应规范执行。</w:t>
      </w:r>
    </w:p>
    <w:p>
      <w:pPr>
        <w:spacing w:line="360" w:lineRule="auto"/>
        <w:ind w:firstLine="420" w:firstLineChars="200"/>
        <w:jc w:val="left"/>
        <w:rPr>
          <w:rFonts w:hint="eastAsia"/>
          <w:szCs w:val="21"/>
          <w:highlight w:val="none"/>
        </w:rPr>
      </w:pPr>
      <w:r>
        <w:rPr>
          <w:szCs w:val="21"/>
          <w:highlight w:val="none"/>
        </w:rPr>
        <w:t>（</w:t>
      </w:r>
      <w:r>
        <w:rPr>
          <w:rFonts w:hint="eastAsia"/>
          <w:szCs w:val="21"/>
          <w:highlight w:val="none"/>
          <w:lang w:val="en-US" w:eastAsia="zh-CN"/>
        </w:rPr>
        <w:t>4</w:t>
      </w:r>
      <w:r>
        <w:rPr>
          <w:szCs w:val="21"/>
          <w:highlight w:val="none"/>
        </w:rPr>
        <w:t>）、</w:t>
      </w:r>
      <w:r>
        <w:rPr>
          <w:rFonts w:hint="eastAsia"/>
          <w:szCs w:val="21"/>
          <w:highlight w:val="none"/>
          <w:lang w:val="en-US" w:eastAsia="zh-CN"/>
        </w:rPr>
        <w:t>挡墙</w:t>
      </w:r>
      <w:r>
        <w:rPr>
          <w:szCs w:val="21"/>
          <w:highlight w:val="none"/>
        </w:rPr>
        <w:t>变形监测</w:t>
      </w:r>
    </w:p>
    <w:p>
      <w:pPr>
        <w:pStyle w:val="167"/>
        <w:spacing w:line="560" w:lineRule="exact"/>
        <w:ind w:firstLine="420" w:firstLineChars="200"/>
        <w:rPr>
          <w:rFonts w:ascii="Times New Roman" w:hAnsi="Times New Roman"/>
          <w:szCs w:val="21"/>
          <w:highlight w:val="none"/>
        </w:rPr>
      </w:pPr>
      <w:r>
        <w:rPr>
          <w:rFonts w:hint="eastAsia" w:ascii="Times New Roman" w:hAnsi="Times New Roman"/>
          <w:szCs w:val="21"/>
          <w:highlight w:val="none"/>
        </w:rPr>
        <w:t>本次</w:t>
      </w:r>
      <w:r>
        <w:rPr>
          <w:rFonts w:hint="eastAsia" w:ascii="Times New Roman" w:hAnsi="Times New Roman"/>
          <w:szCs w:val="21"/>
          <w:highlight w:val="none"/>
          <w:lang w:val="en-US" w:eastAsia="zh-CN"/>
        </w:rPr>
        <w:t>挡墙</w:t>
      </w:r>
      <w:r>
        <w:rPr>
          <w:rFonts w:hint="eastAsia" w:ascii="Times New Roman" w:hAnsi="Times New Roman"/>
          <w:szCs w:val="21"/>
          <w:highlight w:val="none"/>
        </w:rPr>
        <w:t>监测的主要工作内容如下：</w:t>
      </w:r>
    </w:p>
    <w:p>
      <w:pPr>
        <w:pStyle w:val="167"/>
        <w:spacing w:line="560" w:lineRule="exact"/>
        <w:ind w:firstLine="420" w:firstLineChars="200"/>
        <w:rPr>
          <w:rFonts w:hint="eastAsia" w:ascii="宋体" w:hAnsi="宋体"/>
          <w:szCs w:val="21"/>
          <w:highlight w:val="none"/>
        </w:rPr>
      </w:pPr>
      <w:r>
        <w:rPr>
          <w:rFonts w:hint="eastAsia" w:ascii="宋体" w:hAnsi="宋体"/>
          <w:szCs w:val="21"/>
          <w:highlight w:val="none"/>
        </w:rPr>
        <w:t>本项目对</w:t>
      </w:r>
      <w:r>
        <w:rPr>
          <w:rFonts w:hint="eastAsia" w:ascii="宋体" w:hAnsi="宋体"/>
          <w:szCs w:val="21"/>
          <w:highlight w:val="none"/>
          <w:lang w:val="en-US" w:eastAsia="zh-CN"/>
        </w:rPr>
        <w:t>1.5</w:t>
      </w:r>
      <w:r>
        <w:rPr>
          <w:rFonts w:hint="eastAsia" w:ascii="宋体" w:hAnsi="宋体"/>
          <w:szCs w:val="21"/>
          <w:highlight w:val="none"/>
        </w:rPr>
        <w:t>倍</w:t>
      </w:r>
      <w:r>
        <w:rPr>
          <w:rFonts w:hint="eastAsia" w:ascii="宋体" w:hAnsi="宋体"/>
          <w:szCs w:val="21"/>
          <w:highlight w:val="none"/>
          <w:lang w:eastAsia="zh-CN"/>
        </w:rPr>
        <w:t>挡墙高度</w:t>
      </w:r>
      <w:r>
        <w:rPr>
          <w:rFonts w:hint="eastAsia" w:ascii="宋体" w:hAnsi="宋体"/>
          <w:szCs w:val="21"/>
          <w:highlight w:val="none"/>
        </w:rPr>
        <w:t>范围内周边环境进行监测，在</w:t>
      </w:r>
      <w:r>
        <w:rPr>
          <w:rFonts w:hint="eastAsia" w:ascii="宋体" w:hAnsi="宋体"/>
          <w:szCs w:val="21"/>
          <w:highlight w:val="none"/>
          <w:lang w:val="en-US" w:eastAsia="zh-CN"/>
        </w:rPr>
        <w:t>挡墙</w:t>
      </w:r>
      <w:r>
        <w:rPr>
          <w:rFonts w:hint="eastAsia" w:ascii="宋体" w:hAnsi="宋体"/>
          <w:szCs w:val="21"/>
          <w:highlight w:val="none"/>
        </w:rPr>
        <w:t>结构后缘设水平位移、沉降观测点；对周边临近建筑物设置沉降观测点，在支护结构外侧设置</w:t>
      </w:r>
      <w:r>
        <w:rPr>
          <w:rFonts w:hint="eastAsia" w:ascii="宋体" w:hAnsi="宋体"/>
          <w:color w:val="auto"/>
          <w:szCs w:val="21"/>
          <w:highlight w:val="none"/>
        </w:rPr>
        <w:t>地表裂</w:t>
      </w:r>
      <w:r>
        <w:rPr>
          <w:rFonts w:hint="eastAsia" w:ascii="宋体" w:hAnsi="宋体"/>
          <w:szCs w:val="21"/>
          <w:highlight w:val="none"/>
        </w:rPr>
        <w:t>缝观测点。支护结构监测，根据设计图纸，采用下表的监测项目。</w:t>
      </w:r>
    </w:p>
    <w:p>
      <w:pPr>
        <w:pStyle w:val="167"/>
        <w:spacing w:line="560" w:lineRule="exact"/>
        <w:ind w:firstLine="420" w:firstLineChars="200"/>
        <w:rPr>
          <w:rFonts w:hint="eastAsia" w:ascii="宋体" w:hAnsi="宋体"/>
          <w:szCs w:val="21"/>
          <w:highlight w:val="none"/>
        </w:rPr>
      </w:pPr>
    </w:p>
    <w:p>
      <w:pPr>
        <w:pStyle w:val="167"/>
        <w:spacing w:line="560" w:lineRule="exact"/>
        <w:ind w:firstLine="420" w:firstLineChars="200"/>
        <w:jc w:val="center"/>
        <w:rPr>
          <w:rFonts w:ascii="宋体" w:hAnsi="宋体"/>
          <w:szCs w:val="21"/>
          <w:highlight w:val="none"/>
        </w:rPr>
      </w:pPr>
      <w:r>
        <w:rPr>
          <w:rFonts w:hint="eastAsia" w:ascii="宋体" w:hAnsi="宋体"/>
          <w:szCs w:val="21"/>
          <w:highlight w:val="none"/>
        </w:rPr>
        <w:t>支护结构监测项目表</w:t>
      </w:r>
    </w:p>
    <w:tbl>
      <w:tblPr>
        <w:tblStyle w:val="5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457"/>
        <w:gridCol w:w="1938"/>
        <w:gridCol w:w="15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881"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rPr>
              <w:t>序号</w:t>
            </w:r>
          </w:p>
        </w:tc>
        <w:tc>
          <w:tcPr>
            <w:tcW w:w="2457"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rPr>
              <w:t>监测项目</w:t>
            </w:r>
          </w:p>
        </w:tc>
        <w:tc>
          <w:tcPr>
            <w:tcW w:w="1938"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rPr>
              <w:t>测点设置部位</w:t>
            </w:r>
          </w:p>
        </w:tc>
        <w:tc>
          <w:tcPr>
            <w:tcW w:w="1559"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rPr>
              <w:t>测点数量</w:t>
            </w:r>
          </w:p>
        </w:tc>
        <w:tc>
          <w:tcPr>
            <w:tcW w:w="2633"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lang w:val="en-US" w:eastAsia="zh-CN"/>
              </w:rPr>
              <w:t>单点</w:t>
            </w:r>
            <w:r>
              <w:rPr>
                <w:rFonts w:hint="eastAsia" w:ascii="仿宋" w:hAnsi="仿宋" w:eastAsia="仿宋" w:cs="仿宋"/>
                <w:szCs w:val="21"/>
                <w:highlight w:val="none"/>
              </w:rPr>
              <w:t>频次（暂估，仅供参考）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81"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2457"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lang w:eastAsia="zh-CN"/>
              </w:rPr>
              <w:t>挡墙</w:t>
            </w:r>
            <w:r>
              <w:rPr>
                <w:rFonts w:hint="eastAsia" w:ascii="仿宋" w:hAnsi="仿宋" w:eastAsia="仿宋" w:cs="仿宋"/>
                <w:szCs w:val="21"/>
                <w:highlight w:val="none"/>
              </w:rPr>
              <w:t>（坡）顶水平位移</w:t>
            </w:r>
          </w:p>
        </w:tc>
        <w:tc>
          <w:tcPr>
            <w:tcW w:w="1938"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lang w:eastAsia="zh-CN"/>
              </w:rPr>
              <w:t>挡墙</w:t>
            </w:r>
            <w:r>
              <w:rPr>
                <w:rFonts w:hint="eastAsia" w:ascii="仿宋" w:hAnsi="仿宋" w:eastAsia="仿宋" w:cs="仿宋"/>
                <w:szCs w:val="21"/>
                <w:highlight w:val="none"/>
              </w:rPr>
              <w:t>（坡）顶</w:t>
            </w:r>
          </w:p>
        </w:tc>
        <w:tc>
          <w:tcPr>
            <w:tcW w:w="1559"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8</w:t>
            </w:r>
          </w:p>
        </w:tc>
        <w:tc>
          <w:tcPr>
            <w:tcW w:w="2633"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81"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2457"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lang w:eastAsia="zh-CN"/>
              </w:rPr>
              <w:t>挡墙</w:t>
            </w:r>
            <w:r>
              <w:rPr>
                <w:rFonts w:hint="eastAsia" w:ascii="仿宋" w:hAnsi="仿宋" w:eastAsia="仿宋" w:cs="仿宋"/>
                <w:szCs w:val="21"/>
                <w:highlight w:val="none"/>
              </w:rPr>
              <w:t>（坡）顶竖向位移</w:t>
            </w:r>
          </w:p>
        </w:tc>
        <w:tc>
          <w:tcPr>
            <w:tcW w:w="1938"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lang w:eastAsia="zh-CN"/>
              </w:rPr>
              <w:t>挡墙</w:t>
            </w:r>
            <w:r>
              <w:rPr>
                <w:rFonts w:hint="eastAsia" w:ascii="仿宋" w:hAnsi="仿宋" w:eastAsia="仿宋" w:cs="仿宋"/>
                <w:szCs w:val="21"/>
                <w:highlight w:val="none"/>
              </w:rPr>
              <w:t>（坡）顶</w:t>
            </w:r>
          </w:p>
        </w:tc>
        <w:tc>
          <w:tcPr>
            <w:tcW w:w="1559"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8</w:t>
            </w:r>
          </w:p>
        </w:tc>
        <w:tc>
          <w:tcPr>
            <w:tcW w:w="2633"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35</w:t>
            </w:r>
          </w:p>
        </w:tc>
      </w:tr>
    </w:tbl>
    <w:p>
      <w:pPr>
        <w:spacing w:before="240" w:beforeLines="100" w:line="360" w:lineRule="auto"/>
        <w:ind w:firstLine="420" w:firstLineChars="200"/>
        <w:rPr>
          <w:rFonts w:ascii="仿宋" w:hAnsi="仿宋" w:eastAsia="仿宋" w:cs="仿宋"/>
          <w:bCs/>
          <w:color w:val="000000"/>
          <w:sz w:val="28"/>
          <w:szCs w:val="24"/>
          <w:highlight w:val="none"/>
        </w:rPr>
      </w:pPr>
      <w:r>
        <w:rPr>
          <w:rFonts w:hint="eastAsia" w:ascii="宋体" w:hAnsi="宋体" w:cs="宋体"/>
          <w:bCs/>
          <w:color w:val="000000"/>
          <w:szCs w:val="21"/>
          <w:highlight w:val="none"/>
        </w:rPr>
        <w:t>周边环境监测，根据设计图纸，采用下表的监测项目。</w:t>
      </w:r>
    </w:p>
    <w:p>
      <w:pPr>
        <w:pStyle w:val="167"/>
        <w:spacing w:line="560" w:lineRule="exact"/>
        <w:ind w:firstLine="420" w:firstLineChars="200"/>
        <w:jc w:val="center"/>
        <w:rPr>
          <w:rFonts w:ascii="宋体" w:hAnsi="宋体"/>
          <w:szCs w:val="21"/>
          <w:highlight w:val="none"/>
        </w:rPr>
      </w:pPr>
      <w:r>
        <w:rPr>
          <w:rFonts w:hint="eastAsia" w:ascii="宋体" w:hAnsi="宋体"/>
          <w:szCs w:val="21"/>
          <w:highlight w:val="none"/>
        </w:rPr>
        <w:t>周边环境监测项目表</w:t>
      </w:r>
    </w:p>
    <w:tbl>
      <w:tblPr>
        <w:tblStyle w:val="53"/>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457"/>
        <w:gridCol w:w="1938"/>
        <w:gridCol w:w="1559"/>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881"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rPr>
              <w:t>序号</w:t>
            </w:r>
          </w:p>
        </w:tc>
        <w:tc>
          <w:tcPr>
            <w:tcW w:w="2457"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rPr>
              <w:t>监测项目</w:t>
            </w:r>
          </w:p>
        </w:tc>
        <w:tc>
          <w:tcPr>
            <w:tcW w:w="1938"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rPr>
              <w:t>测点设置部位</w:t>
            </w:r>
          </w:p>
        </w:tc>
        <w:tc>
          <w:tcPr>
            <w:tcW w:w="1559"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rPr>
              <w:t>测点数量</w:t>
            </w:r>
          </w:p>
        </w:tc>
        <w:tc>
          <w:tcPr>
            <w:tcW w:w="2618"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rPr>
              <w:t>频次（暂估，仅供参考）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1"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457"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挡墙</w:t>
            </w:r>
            <w:r>
              <w:rPr>
                <w:rFonts w:hint="eastAsia" w:ascii="仿宋" w:hAnsi="仿宋" w:eastAsia="仿宋" w:cs="仿宋"/>
                <w:szCs w:val="21"/>
                <w:highlight w:val="none"/>
              </w:rPr>
              <w:t>（坡）</w:t>
            </w:r>
            <w:r>
              <w:rPr>
                <w:rFonts w:hint="eastAsia" w:ascii="仿宋" w:hAnsi="仿宋" w:eastAsia="仿宋" w:cs="仿宋"/>
                <w:szCs w:val="21"/>
                <w:highlight w:val="none"/>
                <w:lang w:eastAsia="zh-CN"/>
              </w:rPr>
              <w:t>顶地表裂缝</w:t>
            </w:r>
          </w:p>
        </w:tc>
        <w:tc>
          <w:tcPr>
            <w:tcW w:w="1938"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lang w:eastAsia="zh-CN"/>
              </w:rPr>
              <w:t>挡墙</w:t>
            </w:r>
            <w:r>
              <w:rPr>
                <w:rFonts w:hint="eastAsia" w:ascii="仿宋" w:hAnsi="仿宋" w:eastAsia="仿宋" w:cs="仿宋"/>
                <w:szCs w:val="21"/>
                <w:highlight w:val="none"/>
              </w:rPr>
              <w:t>（坡）顶</w:t>
            </w:r>
          </w:p>
        </w:tc>
        <w:tc>
          <w:tcPr>
            <w:tcW w:w="1559"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rPr>
            </w:pPr>
            <w:r>
              <w:rPr>
                <w:rFonts w:hint="eastAsia" w:ascii="仿宋" w:hAnsi="仿宋" w:eastAsia="仿宋" w:cs="仿宋"/>
                <w:szCs w:val="21"/>
                <w:highlight w:val="none"/>
                <w:lang w:val="en-US" w:eastAsia="zh-CN"/>
              </w:rPr>
              <w:t>8</w:t>
            </w:r>
          </w:p>
        </w:tc>
        <w:tc>
          <w:tcPr>
            <w:tcW w:w="2618"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81"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2457"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周边建筑物沉降</w:t>
            </w:r>
          </w:p>
        </w:tc>
        <w:tc>
          <w:tcPr>
            <w:tcW w:w="1938"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临近建筑物</w:t>
            </w:r>
          </w:p>
        </w:tc>
        <w:tc>
          <w:tcPr>
            <w:tcW w:w="1559" w:type="dxa"/>
            <w:noWrap w:val="0"/>
            <w:tcMar>
              <w:left w:w="0" w:type="dxa"/>
              <w:right w:w="0" w:type="dxa"/>
            </w:tcMar>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2618" w:type="dxa"/>
            <w:noWrap w:val="0"/>
            <w:tcMar>
              <w:left w:w="0" w:type="dxa"/>
              <w:right w:w="0" w:type="dxa"/>
            </w:tcMar>
            <w:vAlign w:val="center"/>
          </w:tcPr>
          <w:p>
            <w:pPr>
              <w:pStyle w:val="2"/>
              <w:keepNext w:val="0"/>
              <w:keepLines w:val="0"/>
              <w:suppressLineNumbers w:val="0"/>
              <w:spacing w:before="0" w:beforeAutospacing="0" w:after="0" w:afterAutospacing="0"/>
              <w:ind w:left="0" w:right="0" w:firstLine="1194" w:firstLineChars="569"/>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35</w:t>
            </w:r>
          </w:p>
        </w:tc>
      </w:tr>
    </w:tbl>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ascii="Calibri" w:hAnsi="Calibri"/>
          <w:kern w:val="2"/>
          <w:szCs w:val="21"/>
          <w:highlight w:val="none"/>
        </w:rPr>
      </w:pPr>
    </w:p>
    <w:p>
      <w:pPr>
        <w:spacing w:line="360" w:lineRule="auto"/>
        <w:ind w:firstLine="422" w:firstLineChars="200"/>
        <w:jc w:val="left"/>
        <w:rPr>
          <w:b/>
          <w:bCs/>
          <w:szCs w:val="21"/>
          <w:highlight w:val="none"/>
        </w:rPr>
      </w:pPr>
      <w:r>
        <w:rPr>
          <w:rFonts w:hint="eastAsia"/>
          <w:b/>
          <w:bCs/>
          <w:szCs w:val="21"/>
          <w:highlight w:val="none"/>
        </w:rPr>
        <w:t>四、其他</w:t>
      </w:r>
    </w:p>
    <w:p>
      <w:pPr>
        <w:pStyle w:val="169"/>
        <w:ind w:right="-210" w:firstLine="420"/>
        <w:rPr>
          <w:rFonts w:hint="eastAsia"/>
          <w:sz w:val="21"/>
          <w:szCs w:val="21"/>
          <w:highlight w:val="none"/>
        </w:rPr>
      </w:pPr>
      <w:r>
        <w:rPr>
          <w:rFonts w:hint="eastAsia"/>
          <w:sz w:val="21"/>
          <w:szCs w:val="21"/>
          <w:highlight w:val="none"/>
        </w:rPr>
        <w:t>监测方案需有资质的中标监测单位编制，经设计、监理和建设单位等共同确认后实施，方案必须包括上述监测内容。对监测结果应及时进行反馈，发现异常情况应及时通知设计人员，以便研究对策。</w:t>
      </w:r>
    </w:p>
    <w:p>
      <w:pPr>
        <w:pStyle w:val="169"/>
        <w:ind w:right="-210" w:firstLine="420"/>
        <w:rPr>
          <w:rFonts w:hint="eastAsia"/>
          <w:sz w:val="21"/>
          <w:szCs w:val="21"/>
          <w:highlight w:val="none"/>
        </w:rPr>
      </w:pPr>
      <w:r>
        <w:rPr>
          <w:rFonts w:hint="eastAsia"/>
          <w:sz w:val="21"/>
          <w:szCs w:val="21"/>
          <w:highlight w:val="none"/>
        </w:rPr>
        <w:t>本监测要求不详之处，参照《建筑变形测量规范》（</w:t>
      </w:r>
      <w:r>
        <w:rPr>
          <w:sz w:val="21"/>
          <w:szCs w:val="21"/>
          <w:highlight w:val="none"/>
        </w:rPr>
        <w:t>JGJ8-2016</w:t>
      </w:r>
      <w:r>
        <w:rPr>
          <w:rFonts w:hint="eastAsia"/>
          <w:sz w:val="21"/>
          <w:szCs w:val="21"/>
          <w:highlight w:val="none"/>
        </w:rPr>
        <w:t>)</w:t>
      </w:r>
      <w:r>
        <w:rPr>
          <w:rFonts w:hint="eastAsia"/>
          <w:sz w:val="21"/>
          <w:szCs w:val="21"/>
          <w:highlight w:val="none"/>
          <w:lang w:val="en-US" w:eastAsia="zh-CN"/>
        </w:rPr>
        <w:t>及其他规范</w:t>
      </w:r>
      <w:r>
        <w:rPr>
          <w:rFonts w:hint="eastAsia"/>
          <w:sz w:val="21"/>
          <w:szCs w:val="21"/>
          <w:highlight w:val="none"/>
        </w:rPr>
        <w:t>等相关要求。</w:t>
      </w:r>
    </w:p>
    <w:p>
      <w:pPr>
        <w:spacing w:line="480" w:lineRule="auto"/>
        <w:jc w:val="center"/>
        <w:rPr>
          <w:sz w:val="30"/>
          <w:szCs w:val="30"/>
          <w:highlight w:val="none"/>
        </w:rPr>
      </w:pPr>
    </w:p>
    <w:p>
      <w:pPr>
        <w:pStyle w:val="169"/>
        <w:ind w:right="-210" w:firstLine="42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w:t>
      </w:r>
    </w:p>
    <w:p>
      <w:pPr>
        <w:rPr>
          <w:rFonts w:hint="eastAsia"/>
          <w:b/>
          <w:bCs/>
          <w:sz w:val="28"/>
          <w:szCs w:val="28"/>
          <w:highlight w:val="none"/>
        </w:rPr>
      </w:pPr>
      <w:r>
        <w:rPr>
          <w:rFonts w:hint="eastAsia"/>
          <w:b/>
          <w:bCs/>
          <w:sz w:val="28"/>
          <w:szCs w:val="28"/>
          <w:highlight w:val="none"/>
        </w:rPr>
        <w:br w:type="page"/>
      </w:r>
    </w:p>
    <w:p>
      <w:pPr>
        <w:widowControl/>
        <w:numPr>
          <w:ilvl w:val="0"/>
          <w:numId w:val="5"/>
        </w:numPr>
        <w:spacing w:line="360" w:lineRule="auto"/>
        <w:jc w:val="center"/>
        <w:rPr>
          <w:rFonts w:hint="default" w:ascii="宋体" w:hAnsi="宋体" w:eastAsia="宋体" w:cs="宋体"/>
          <w:b/>
          <w:sz w:val="36"/>
          <w:szCs w:val="36"/>
          <w:highlight w:val="none"/>
        </w:rPr>
      </w:pPr>
      <w:r>
        <w:rPr>
          <w:rFonts w:hint="eastAsia" w:ascii="宋体" w:hAnsi="宋体" w:eastAsia="宋体" w:cs="宋体"/>
          <w:b/>
          <w:sz w:val="36"/>
          <w:szCs w:val="36"/>
          <w:highlight w:val="none"/>
        </w:rPr>
        <w:t xml:space="preserve"> 合同附件</w:t>
      </w:r>
    </w:p>
    <w:p>
      <w:pPr>
        <w:pStyle w:val="4"/>
        <w:widowControl/>
        <w:numPr>
          <w:ilvl w:val="1"/>
          <w:numId w:val="0"/>
        </w:numPr>
        <w:tabs>
          <w:tab w:val="clear" w:pos="2280"/>
        </w:tabs>
        <w:rPr>
          <w:rFonts w:hint="default" w:ascii="Arial" w:hAnsi="Arial" w:eastAsia="宋体" w:cs="Times New Roman"/>
          <w:b/>
          <w:bCs w:val="0"/>
          <w:kern w:val="2"/>
          <w:sz w:val="28"/>
          <w:szCs w:val="28"/>
          <w:highlight w:val="none"/>
        </w:rPr>
      </w:pPr>
      <w:r>
        <w:rPr>
          <w:rFonts w:hint="eastAsia" w:ascii="宋体" w:hAnsi="宋体" w:eastAsia="宋体" w:cs="宋体"/>
          <w:b/>
          <w:bCs w:val="0"/>
          <w:kern w:val="2"/>
          <w:sz w:val="28"/>
          <w:szCs w:val="28"/>
          <w:highlight w:val="none"/>
        </w:rPr>
        <w:t>附件</w:t>
      </w:r>
      <w:r>
        <w:rPr>
          <w:rFonts w:hint="default" w:ascii="Arial" w:hAnsi="Arial" w:eastAsia="宋体" w:cs="Arial"/>
          <w:b/>
          <w:bCs w:val="0"/>
          <w:kern w:val="2"/>
          <w:sz w:val="28"/>
          <w:szCs w:val="28"/>
          <w:highlight w:val="none"/>
        </w:rPr>
        <w:t>1</w:t>
      </w:r>
      <w:r>
        <w:rPr>
          <w:rFonts w:hint="eastAsia" w:ascii="宋体" w:hAnsi="宋体" w:eastAsia="宋体" w:cs="宋体"/>
          <w:b/>
          <w:bCs w:val="0"/>
          <w:kern w:val="2"/>
          <w:sz w:val="28"/>
          <w:szCs w:val="28"/>
          <w:highlight w:val="none"/>
        </w:rPr>
        <w:t>：廉政协议</w:t>
      </w:r>
    </w:p>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Calibri"/>
          <w:b/>
          <w:bCs w:val="0"/>
          <w:spacing w:val="20"/>
          <w:kern w:val="2"/>
          <w:sz w:val="32"/>
          <w:szCs w:val="32"/>
          <w:highlight w:val="none"/>
        </w:rPr>
      </w:pPr>
      <w:r>
        <w:rPr>
          <w:rFonts w:hint="eastAsia" w:ascii="宋体" w:hAnsi="宋体" w:eastAsia="宋体" w:cs="宋体"/>
          <w:b/>
          <w:bCs w:val="0"/>
          <w:spacing w:val="20"/>
          <w:kern w:val="2"/>
          <w:sz w:val="32"/>
          <w:szCs w:val="32"/>
          <w:highlight w:val="none"/>
          <w:lang w:val="en-US" w:eastAsia="zh-CN" w:bidi="ar"/>
        </w:rPr>
        <w:t>廉政协议</w:t>
      </w:r>
    </w:p>
    <w:p>
      <w:pPr>
        <w:keepNext w:val="0"/>
        <w:keepLines w:val="0"/>
        <w:widowControl w:val="0"/>
        <w:suppressLineNumbers w:val="0"/>
        <w:spacing w:before="0" w:beforeAutospacing="0" w:after="120" w:afterAutospacing="0" w:line="360" w:lineRule="auto"/>
        <w:ind w:left="420" w:leftChars="200" w:right="0" w:firstLine="480" w:firstLineChars="200"/>
        <w:jc w:val="both"/>
        <w:rPr>
          <w:rFonts w:hint="default" w:ascii="Times New Roman" w:hAnsi="Times New Roman" w:eastAsia="宋体" w:cs="Calibri"/>
          <w:kern w:val="0"/>
          <w:sz w:val="24"/>
          <w:szCs w:val="24"/>
          <w:highlight w:val="none"/>
        </w:rPr>
      </w:pPr>
      <w:r>
        <w:rPr>
          <w:rFonts w:hint="default" w:ascii="Times New Roman" w:hAnsi="Times New Roman" w:eastAsia="宋体" w:cs="Calibri"/>
          <w:kern w:val="0"/>
          <w:sz w:val="24"/>
          <w:szCs w:val="24"/>
          <w:highlight w:val="none"/>
          <w:lang w:val="en-US" w:eastAsia="zh-CN" w:bidi="ar"/>
        </w:rPr>
        <w:t xml:space="preserve"> </w:t>
      </w:r>
    </w:p>
    <w:p>
      <w:pPr>
        <w:keepNext w:val="0"/>
        <w:keepLines w:val="0"/>
        <w:widowControl w:val="0"/>
        <w:suppressLineNumbers w:val="0"/>
        <w:autoSpaceDE w:val="0"/>
        <w:autoSpaceDN/>
        <w:spacing w:before="156" w:beforeLines="50" w:beforeAutospacing="0" w:after="156" w:afterLines="50" w:afterAutospacing="0" w:line="360" w:lineRule="auto"/>
        <w:ind w:left="0" w:right="0" w:firstLine="480" w:firstLineChars="200"/>
        <w:contextualSpacing/>
        <w:jc w:val="both"/>
        <w:rPr>
          <w:rFonts w:hint="eastAsia" w:ascii="宋体" w:hAnsi="Calibri" w:eastAsia="宋体" w:cs="Calibri"/>
          <w:kern w:val="2"/>
          <w:sz w:val="24"/>
          <w:szCs w:val="24"/>
          <w:highlight w:val="none"/>
        </w:rPr>
      </w:pPr>
      <w:r>
        <w:rPr>
          <w:rFonts w:hint="eastAsia" w:ascii="宋体" w:hAnsi="宋体" w:eastAsia="宋体" w:cs="宋体"/>
          <w:kern w:val="2"/>
          <w:sz w:val="24"/>
          <w:szCs w:val="24"/>
          <w:highlight w:val="none"/>
          <w:lang w:val="en-US" w:eastAsia="zh-CN" w:bidi="ar"/>
        </w:rPr>
        <w:t>甲乙双方为加强阳光合作，保证职员职业安全，甲乙双方经协商</w:t>
      </w:r>
      <w:r>
        <w:rPr>
          <w:rFonts w:hint="eastAsia" w:ascii="宋体" w:hAnsi="宋体" w:cs="宋体"/>
          <w:kern w:val="2"/>
          <w:sz w:val="24"/>
          <w:szCs w:val="24"/>
          <w:highlight w:val="none"/>
          <w:lang w:val="en-US" w:eastAsia="zh-CN" w:bidi="ar"/>
        </w:rPr>
        <w:t>签订</w:t>
      </w:r>
      <w:r>
        <w:rPr>
          <w:rFonts w:hint="eastAsia" w:ascii="宋体" w:hAnsi="宋体" w:eastAsia="宋体" w:cs="宋体"/>
          <w:kern w:val="2"/>
          <w:sz w:val="24"/>
          <w:szCs w:val="24"/>
          <w:highlight w:val="none"/>
          <w:lang w:val="en-US" w:eastAsia="zh-CN" w:bidi="ar"/>
        </w:rPr>
        <w:t>本协议并作为双方共同遵守的廉政行为准则。</w:t>
      </w:r>
    </w:p>
    <w:p>
      <w:pPr>
        <w:keepNext w:val="0"/>
        <w:keepLines w:val="0"/>
        <w:widowControl/>
        <w:numPr>
          <w:ilvl w:val="0"/>
          <w:numId w:val="7"/>
        </w:numPr>
        <w:suppressLineNumbers w:val="0"/>
        <w:spacing w:before="156" w:beforeLines="50" w:beforeAutospacing="0" w:after="156" w:afterLines="50" w:afterAutospacing="0" w:line="360" w:lineRule="auto"/>
        <w:ind w:left="1110" w:right="0" w:hanging="510"/>
        <w:contextualSpacing/>
        <w:jc w:val="both"/>
        <w:rPr>
          <w:rFonts w:hint="eastAsia" w:ascii="宋体" w:hAnsi="宋体" w:eastAsia="宋体" w:cs="Calibri"/>
          <w:b/>
          <w:bCs w:val="0"/>
          <w:kern w:val="2"/>
          <w:sz w:val="24"/>
          <w:szCs w:val="24"/>
          <w:highlight w:val="none"/>
        </w:rPr>
      </w:pPr>
      <w:r>
        <w:rPr>
          <w:rFonts w:hint="eastAsia" w:ascii="宋体" w:hAnsi="宋体" w:eastAsia="宋体" w:cs="宋体"/>
          <w:b/>
          <w:bCs w:val="0"/>
          <w:kern w:val="2"/>
          <w:sz w:val="24"/>
          <w:szCs w:val="24"/>
          <w:highlight w:val="none"/>
          <w:lang w:val="en-US" w:eastAsia="zh-CN" w:bidi="ar"/>
        </w:rPr>
        <w:t>甲方责任</w:t>
      </w:r>
    </w:p>
    <w:p>
      <w:pPr>
        <w:keepNext w:val="0"/>
        <w:keepLines w:val="0"/>
        <w:widowControl w:val="0"/>
        <w:suppressLineNumbers w:val="0"/>
        <w:spacing w:before="156" w:beforeLines="50" w:beforeAutospacing="0" w:after="156" w:afterLines="50" w:afterAutospacing="0" w:line="360" w:lineRule="auto"/>
        <w:ind w:left="105" w:leftChars="50" w:right="0" w:firstLine="420"/>
        <w:contextualSpacing/>
        <w:jc w:val="both"/>
        <w:rPr>
          <w:rFonts w:hint="eastAsia" w:ascii="宋体" w:hAnsi="宋体" w:eastAsia="宋体" w:cs="Calibri"/>
          <w:kern w:val="2"/>
          <w:sz w:val="24"/>
          <w:szCs w:val="24"/>
          <w:highlight w:val="none"/>
        </w:rPr>
      </w:pPr>
      <w:r>
        <w:rPr>
          <w:rFonts w:hint="eastAsia" w:ascii="宋体" w:hAnsi="宋体" w:eastAsia="宋体" w:cs="宋体"/>
          <w:kern w:val="2"/>
          <w:sz w:val="24"/>
          <w:szCs w:val="24"/>
          <w:highlight w:val="none"/>
          <w:lang w:val="en-US" w:eastAsia="zh-CN" w:bidi="ar"/>
        </w:rPr>
        <w:t>1.甲方从事业务活动必须坚持公开、公平、公正、诚信、透明的原则（除法律法规认定的商业秘密和合同文件另有规定者外）。</w:t>
      </w:r>
    </w:p>
    <w:p>
      <w:pPr>
        <w:keepNext w:val="0"/>
        <w:keepLines w:val="0"/>
        <w:widowControl w:val="0"/>
        <w:suppressLineNumbers w:val="0"/>
        <w:spacing w:before="156" w:beforeLines="50" w:beforeAutospacing="0" w:after="156" w:afterLines="50" w:afterAutospacing="0" w:line="360" w:lineRule="auto"/>
        <w:ind w:left="105" w:leftChars="50" w:right="0" w:firstLine="480" w:firstLineChars="200"/>
        <w:contextualSpacing/>
        <w:jc w:val="both"/>
        <w:rPr>
          <w:rFonts w:hint="eastAsia" w:ascii="宋体" w:hAnsi="宋体" w:eastAsia="宋体" w:cs="Calibri"/>
          <w:kern w:val="2"/>
          <w:sz w:val="24"/>
          <w:szCs w:val="24"/>
          <w:highlight w:val="none"/>
        </w:rPr>
      </w:pPr>
      <w:r>
        <w:rPr>
          <w:rFonts w:hint="eastAsia" w:ascii="宋体" w:hAnsi="宋体" w:eastAsia="宋体" w:cs="宋体"/>
          <w:kern w:val="2"/>
          <w:sz w:val="24"/>
          <w:szCs w:val="24"/>
          <w:highlight w:val="none"/>
          <w:lang w:val="en-US" w:eastAsia="zh-CN" w:bidi="ar"/>
        </w:rPr>
        <w:t xml:space="preserve">3.甲方人员应严格遵守本单位有廉政管理的规定，不得接受乙方任何形式的回扣、实物、现金、有价证券、礼券等有价物品，不得参加乙方提供的旅游或其他可能影响职务行为公正履行的活动。 </w:t>
      </w:r>
    </w:p>
    <w:p>
      <w:pPr>
        <w:keepNext w:val="0"/>
        <w:keepLines w:val="0"/>
        <w:widowControl w:val="0"/>
        <w:suppressLineNumbers w:val="0"/>
        <w:spacing w:before="156" w:beforeLines="50" w:beforeAutospacing="0" w:after="156" w:afterLines="50" w:afterAutospacing="0" w:line="360" w:lineRule="auto"/>
        <w:ind w:left="105" w:leftChars="50" w:right="0" w:firstLine="480" w:firstLineChars="200"/>
        <w:contextualSpacing/>
        <w:jc w:val="both"/>
        <w:rPr>
          <w:rFonts w:hint="eastAsia" w:ascii="宋体" w:hAnsi="宋体" w:eastAsia="宋体" w:cs="Calibri"/>
          <w:kern w:val="2"/>
          <w:sz w:val="24"/>
          <w:szCs w:val="24"/>
          <w:highlight w:val="none"/>
        </w:rPr>
      </w:pPr>
      <w:r>
        <w:rPr>
          <w:rFonts w:hint="eastAsia" w:ascii="宋体" w:hAnsi="宋体" w:eastAsia="宋体" w:cs="宋体"/>
          <w:kern w:val="2"/>
          <w:sz w:val="24"/>
          <w:szCs w:val="24"/>
          <w:highlight w:val="none"/>
          <w:lang w:val="en-US" w:eastAsia="zh-CN" w:bidi="ar"/>
        </w:rPr>
        <w:t>4.甲方人员如违反廉政管理制度及本协议规定，甲方视情节轻重、影响大小给予处罚，或移交司法机关处理。</w:t>
      </w:r>
    </w:p>
    <w:p>
      <w:pPr>
        <w:keepNext w:val="0"/>
        <w:keepLines w:val="0"/>
        <w:widowControl w:val="0"/>
        <w:suppressLineNumbers w:val="0"/>
        <w:spacing w:before="156" w:beforeLines="50" w:beforeAutospacing="0" w:after="156" w:afterLines="50" w:afterAutospacing="0" w:line="360" w:lineRule="auto"/>
        <w:ind w:left="105" w:leftChars="50" w:right="0" w:firstLine="480" w:firstLineChars="200"/>
        <w:contextualSpacing/>
        <w:jc w:val="both"/>
        <w:rPr>
          <w:rFonts w:hint="eastAsia" w:ascii="宋体" w:hAnsi="宋体" w:eastAsia="宋体" w:cs="Calibri"/>
          <w:kern w:val="2"/>
          <w:sz w:val="24"/>
          <w:szCs w:val="24"/>
          <w:highlight w:val="none"/>
        </w:rPr>
      </w:pPr>
      <w:r>
        <w:rPr>
          <w:rFonts w:hint="eastAsia" w:ascii="宋体" w:hAnsi="宋体" w:eastAsia="宋体" w:cs="宋体"/>
          <w:kern w:val="2"/>
          <w:sz w:val="24"/>
          <w:szCs w:val="24"/>
          <w:highlight w:val="none"/>
          <w:lang w:val="en-US" w:eastAsia="zh-CN" w:bidi="ar"/>
        </w:rPr>
        <w:t>5．对于乙方举报甲方人员违反廉政规定的情况，甲方应及时进行调查，根据调查情况进行处理，并将调查结果向乙方反馈。</w:t>
      </w:r>
    </w:p>
    <w:p>
      <w:pPr>
        <w:keepNext w:val="0"/>
        <w:keepLines w:val="0"/>
        <w:widowControl w:val="0"/>
        <w:suppressLineNumbers w:val="0"/>
        <w:spacing w:before="156" w:beforeLines="50" w:beforeAutospacing="0" w:after="156" w:afterLines="50" w:afterAutospacing="0" w:line="360" w:lineRule="auto"/>
        <w:ind w:left="105" w:leftChars="50" w:right="0" w:firstLine="480" w:firstLineChars="200"/>
        <w:contextualSpacing/>
        <w:jc w:val="both"/>
        <w:rPr>
          <w:rFonts w:hint="eastAsia" w:ascii="宋体" w:hAnsi="宋体" w:eastAsia="宋体" w:cs="Calibri"/>
          <w:kern w:val="2"/>
          <w:sz w:val="24"/>
          <w:szCs w:val="24"/>
          <w:highlight w:val="none"/>
        </w:rPr>
      </w:pPr>
      <w:r>
        <w:rPr>
          <w:rFonts w:hint="eastAsia" w:ascii="宋体" w:hAnsi="宋体" w:eastAsia="宋体" w:cs="宋体"/>
          <w:kern w:val="2"/>
          <w:sz w:val="24"/>
          <w:szCs w:val="24"/>
          <w:highlight w:val="none"/>
          <w:lang w:val="en-US" w:eastAsia="zh-CN" w:bidi="ar"/>
        </w:rPr>
        <w:t>6.接受举报的一方应为举报方保密，不得对举报方进行报复。</w:t>
      </w:r>
    </w:p>
    <w:p>
      <w:pPr>
        <w:keepNext w:val="0"/>
        <w:keepLines w:val="0"/>
        <w:widowControl/>
        <w:numPr>
          <w:ilvl w:val="0"/>
          <w:numId w:val="7"/>
        </w:numPr>
        <w:suppressLineNumbers w:val="0"/>
        <w:spacing w:before="156" w:beforeLines="50" w:beforeAutospacing="0" w:after="156" w:afterLines="50" w:afterAutospacing="0" w:line="360" w:lineRule="auto"/>
        <w:ind w:left="1110" w:right="0" w:hanging="510"/>
        <w:contextualSpacing/>
        <w:jc w:val="both"/>
        <w:rPr>
          <w:rFonts w:hint="eastAsia" w:ascii="宋体" w:hAnsi="宋体" w:eastAsia="宋体" w:cs="Calibri"/>
          <w:b/>
          <w:bCs w:val="0"/>
          <w:kern w:val="2"/>
          <w:sz w:val="24"/>
          <w:szCs w:val="24"/>
          <w:highlight w:val="none"/>
        </w:rPr>
      </w:pPr>
      <w:r>
        <w:rPr>
          <w:rFonts w:hint="eastAsia" w:ascii="宋体" w:hAnsi="宋体" w:eastAsia="宋体" w:cs="宋体"/>
          <w:b/>
          <w:bCs w:val="0"/>
          <w:kern w:val="2"/>
          <w:sz w:val="24"/>
          <w:szCs w:val="24"/>
          <w:highlight w:val="none"/>
          <w:lang w:val="en-US" w:eastAsia="zh-CN" w:bidi="ar"/>
        </w:rPr>
        <w:t>乙方责任</w:t>
      </w:r>
    </w:p>
    <w:p>
      <w:pPr>
        <w:keepNext w:val="0"/>
        <w:keepLines w:val="0"/>
        <w:widowControl w:val="0"/>
        <w:suppressLineNumbers w:val="0"/>
        <w:spacing w:before="156" w:beforeLines="50" w:beforeAutospacing="0" w:after="156" w:afterLines="50" w:afterAutospacing="0" w:line="360" w:lineRule="auto"/>
        <w:ind w:left="105" w:leftChars="50" w:right="0" w:firstLine="420"/>
        <w:contextualSpacing/>
        <w:jc w:val="both"/>
        <w:rPr>
          <w:rFonts w:hint="eastAsia" w:ascii="宋体" w:hAnsi="宋体"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乙方应与甲方保持正常的业务交往，按照有关法律法规和程序开展业务活动。</w:t>
      </w:r>
    </w:p>
    <w:p>
      <w:pPr>
        <w:keepNext w:val="0"/>
        <w:keepLines w:val="0"/>
        <w:widowControl w:val="0"/>
        <w:suppressLineNumbers w:val="0"/>
        <w:spacing w:before="156" w:beforeLines="50" w:beforeAutospacing="0" w:after="156" w:afterLines="50" w:afterAutospacing="0" w:line="360" w:lineRule="auto"/>
        <w:ind w:left="105" w:leftChars="50" w:right="0" w:firstLine="480" w:firstLineChars="200"/>
        <w:contextualSpacing/>
        <w:jc w:val="both"/>
        <w:rPr>
          <w:rFonts w:hint="eastAsia" w:ascii="宋体" w:hAnsi="宋体" w:eastAsia="宋体" w:cs="Calibri"/>
          <w:kern w:val="2"/>
          <w:sz w:val="24"/>
          <w:szCs w:val="24"/>
          <w:highlight w:val="none"/>
        </w:rPr>
      </w:pPr>
      <w:r>
        <w:rPr>
          <w:rFonts w:hint="eastAsia" w:ascii="宋体" w:hAnsi="宋体" w:eastAsia="宋体" w:cs="宋体"/>
          <w:kern w:val="2"/>
          <w:sz w:val="24"/>
          <w:szCs w:val="24"/>
          <w:highlight w:val="none"/>
          <w:lang w:val="en-US" w:eastAsia="zh-CN" w:bidi="ar"/>
        </w:rPr>
        <w:t>1.乙方不得以任何形式给予甲方人员回扣、赠送实物、现金、有价证券、礼券等有价物品或提供旅游等其他可能影响职务行为公正履行的活动（以下统称“财物”）。</w:t>
      </w:r>
    </w:p>
    <w:p>
      <w:pPr>
        <w:keepNext w:val="0"/>
        <w:keepLines w:val="0"/>
        <w:widowControl w:val="0"/>
        <w:suppressLineNumbers w:val="0"/>
        <w:spacing w:before="156" w:beforeLines="50" w:beforeAutospacing="0" w:after="156" w:afterLines="50" w:afterAutospacing="0" w:line="360" w:lineRule="auto"/>
        <w:ind w:left="105" w:leftChars="50" w:right="0" w:firstLine="480" w:firstLineChars="200"/>
        <w:contextualSpacing/>
        <w:jc w:val="both"/>
        <w:rPr>
          <w:rFonts w:hint="eastAsia" w:ascii="宋体" w:hAnsi="宋体" w:eastAsia="宋体" w:cs="Calibri"/>
          <w:kern w:val="2"/>
          <w:sz w:val="24"/>
          <w:szCs w:val="24"/>
          <w:highlight w:val="none"/>
        </w:rPr>
      </w:pPr>
      <w:r>
        <w:rPr>
          <w:rFonts w:hint="eastAsia" w:ascii="宋体" w:hAnsi="宋体" w:eastAsia="宋体" w:cs="宋体"/>
          <w:kern w:val="2"/>
          <w:sz w:val="24"/>
          <w:szCs w:val="24"/>
          <w:highlight w:val="none"/>
          <w:lang w:val="en-US" w:eastAsia="zh-CN" w:bidi="ar"/>
        </w:rPr>
        <w:t>2.乙方有责任接受甲方对乙方在合作期间廉政管理执行情况的监督，并对甲方相关调查工作主动配合。</w:t>
      </w:r>
    </w:p>
    <w:p>
      <w:pPr>
        <w:keepNext w:val="0"/>
        <w:keepLines w:val="0"/>
        <w:widowControl w:val="0"/>
        <w:suppressLineNumbers w:val="0"/>
        <w:spacing w:before="156" w:beforeLines="50" w:beforeAutospacing="0" w:after="156" w:afterLines="50" w:afterAutospacing="0" w:line="360" w:lineRule="auto"/>
        <w:ind w:left="105" w:leftChars="50" w:right="0" w:firstLine="480" w:firstLineChars="200"/>
        <w:contextualSpacing/>
        <w:jc w:val="both"/>
        <w:rPr>
          <w:rFonts w:hint="eastAsia" w:ascii="宋体" w:hAnsi="宋体" w:eastAsia="宋体" w:cs="Calibri"/>
          <w:kern w:val="2"/>
          <w:sz w:val="24"/>
          <w:szCs w:val="24"/>
          <w:highlight w:val="none"/>
        </w:rPr>
      </w:pPr>
      <w:r>
        <w:rPr>
          <w:rFonts w:hint="eastAsia" w:ascii="宋体" w:hAnsi="宋体" w:eastAsia="宋体" w:cs="宋体"/>
          <w:kern w:val="2"/>
          <w:sz w:val="24"/>
          <w:szCs w:val="24"/>
          <w:highlight w:val="none"/>
          <w:lang w:val="en-US" w:eastAsia="zh-CN" w:bidi="ar"/>
        </w:rPr>
        <w:t>3.乙方有义务就甲方人员任何形式的索取或收受财物行为及时向甲方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被司法机关立案查处核实属实的，甲方有权解除原合同，如甲方解除原合同的，则乙方应退还甲方所支付的所有款项并按原合同与本合同约定承担违约责任。</w:t>
      </w:r>
    </w:p>
    <w:p>
      <w:pPr>
        <w:keepNext w:val="0"/>
        <w:keepLines w:val="0"/>
        <w:widowControl w:val="0"/>
        <w:suppressLineNumbers w:val="0"/>
        <w:spacing w:before="156" w:beforeLines="50" w:beforeAutospacing="0" w:after="156" w:afterLines="50" w:afterAutospacing="0" w:line="360" w:lineRule="auto"/>
        <w:ind w:left="105" w:leftChars="50" w:right="0" w:firstLine="480" w:firstLineChars="200"/>
        <w:contextualSpacing/>
        <w:jc w:val="both"/>
        <w:rPr>
          <w:rFonts w:hint="default" w:ascii="Calibri" w:hAnsi="Calibri" w:eastAsia="宋体" w:cs="Calibri"/>
          <w:kern w:val="2"/>
          <w:sz w:val="24"/>
          <w:szCs w:val="24"/>
          <w:highlight w:val="none"/>
        </w:rPr>
      </w:pPr>
      <w:r>
        <w:rPr>
          <w:rFonts w:hint="eastAsia" w:ascii="宋体" w:hAnsi="宋体" w:eastAsia="宋体" w:cs="宋体"/>
          <w:kern w:val="2"/>
          <w:sz w:val="24"/>
          <w:szCs w:val="24"/>
          <w:highlight w:val="none"/>
          <w:lang w:val="en-US" w:eastAsia="zh-CN" w:bidi="ar"/>
        </w:rPr>
        <w:t>4．甲方接受乙方实名或匿名举报，保证为举报者的信息保密。</w:t>
      </w:r>
    </w:p>
    <w:p>
      <w:pPr>
        <w:keepNext w:val="0"/>
        <w:keepLines w:val="0"/>
        <w:widowControl/>
        <w:numPr>
          <w:ilvl w:val="0"/>
          <w:numId w:val="7"/>
        </w:numPr>
        <w:suppressLineNumbers w:val="0"/>
        <w:spacing w:before="156" w:beforeLines="50" w:beforeAutospacing="0" w:after="156" w:afterLines="50" w:afterAutospacing="0" w:line="360" w:lineRule="auto"/>
        <w:ind w:left="1110" w:right="0" w:hanging="510"/>
        <w:contextualSpacing/>
        <w:jc w:val="both"/>
        <w:rPr>
          <w:rFonts w:hint="eastAsia" w:ascii="宋体" w:hAnsi="宋体" w:eastAsia="宋体" w:cs="Calibri"/>
          <w:b/>
          <w:bCs w:val="0"/>
          <w:kern w:val="2"/>
          <w:sz w:val="24"/>
          <w:szCs w:val="24"/>
          <w:highlight w:val="none"/>
        </w:rPr>
      </w:pPr>
      <w:r>
        <w:rPr>
          <w:rFonts w:hint="eastAsia" w:ascii="宋体" w:hAnsi="宋体" w:eastAsia="宋体" w:cs="宋体"/>
          <w:b/>
          <w:bCs w:val="0"/>
          <w:kern w:val="2"/>
          <w:sz w:val="24"/>
          <w:szCs w:val="24"/>
          <w:highlight w:val="none"/>
          <w:lang w:val="en-US" w:eastAsia="zh-CN" w:bidi="ar"/>
        </w:rPr>
        <w:t>其他</w:t>
      </w:r>
    </w:p>
    <w:p>
      <w:pPr>
        <w:keepNext w:val="0"/>
        <w:keepLines w:val="0"/>
        <w:widowControl w:val="0"/>
        <w:suppressLineNumbers w:val="0"/>
        <w:spacing w:before="156" w:beforeLines="50" w:beforeAutospacing="0" w:after="156" w:afterLines="50" w:afterAutospacing="0" w:line="360" w:lineRule="auto"/>
        <w:ind w:left="105" w:leftChars="50" w:right="0" w:firstLine="480" w:firstLineChars="200"/>
        <w:contextualSpacing/>
        <w:jc w:val="both"/>
        <w:rPr>
          <w:rFonts w:hint="eastAsia" w:ascii="宋体" w:hAnsi="宋体" w:eastAsia="宋体" w:cs="Calibri"/>
          <w:kern w:val="2"/>
          <w:sz w:val="24"/>
          <w:szCs w:val="24"/>
          <w:highlight w:val="none"/>
        </w:rPr>
      </w:pPr>
      <w:r>
        <w:rPr>
          <w:rFonts w:hint="eastAsia" w:ascii="宋体" w:hAnsi="宋体" w:eastAsia="宋体" w:cs="宋体"/>
          <w:kern w:val="2"/>
          <w:sz w:val="24"/>
          <w:szCs w:val="24"/>
          <w:highlight w:val="none"/>
          <w:lang w:val="en-US" w:eastAsia="zh-CN" w:bidi="ar"/>
        </w:rPr>
        <w:t>本协议经双方签署后生效。</w:t>
      </w:r>
    </w:p>
    <w:p>
      <w:pPr>
        <w:keepNext w:val="0"/>
        <w:keepLines w:val="0"/>
        <w:widowControl w:val="0"/>
        <w:suppressLineNumbers w:val="0"/>
        <w:spacing w:before="156" w:beforeLines="50" w:beforeAutospacing="0" w:after="156" w:afterLines="50" w:afterAutospacing="0" w:line="360" w:lineRule="auto"/>
        <w:ind w:left="0" w:right="26"/>
        <w:contextualSpacing/>
        <w:jc w:val="both"/>
        <w:rPr>
          <w:rFonts w:hint="eastAsia" w:ascii="宋体" w:hAnsi="宋体" w:eastAsia="宋体" w:cs="Calibri"/>
          <w:kern w:val="2"/>
          <w:sz w:val="24"/>
          <w:szCs w:val="24"/>
          <w:highlight w:val="none"/>
        </w:rPr>
      </w:pPr>
      <w:r>
        <w:rPr>
          <w:rFonts w:hint="eastAsia" w:ascii="宋体" w:hAnsi="宋体" w:eastAsia="宋体" w:cs="Calibri"/>
          <w:kern w:val="2"/>
          <w:sz w:val="24"/>
          <w:szCs w:val="24"/>
          <w:highlight w:val="none"/>
          <w:lang w:val="en-US" w:eastAsia="zh-CN" w:bidi="ar"/>
        </w:rPr>
        <w:t xml:space="preserve"> </w:t>
      </w:r>
    </w:p>
    <w:tbl>
      <w:tblPr>
        <w:tblStyle w:val="53"/>
        <w:tblW w:w="89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2"/>
        <w:gridCol w:w="2622"/>
        <w:gridCol w:w="1878"/>
        <w:gridCol w:w="2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1942"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kern w:val="2"/>
                <w:sz w:val="24"/>
                <w:szCs w:val="24"/>
                <w:highlight w:val="none"/>
              </w:rPr>
            </w:pPr>
            <w:r>
              <w:rPr>
                <w:rFonts w:hint="eastAsia" w:ascii="宋体" w:hAnsi="宋体" w:eastAsia="宋体" w:cs="宋体"/>
                <w:bCs/>
                <w:kern w:val="2"/>
                <w:sz w:val="24"/>
                <w:szCs w:val="24"/>
                <w:highlight w:val="none"/>
                <w:lang w:val="en-US" w:eastAsia="zh-CN" w:bidi="ar"/>
              </w:rPr>
              <w:t>甲方</w:t>
            </w:r>
            <w:r>
              <w:rPr>
                <w:rFonts w:hint="eastAsia" w:ascii="宋体" w:hAnsi="宋体" w:eastAsia="宋体" w:cs="Times New Roman"/>
                <w:kern w:val="2"/>
                <w:sz w:val="24"/>
                <w:szCs w:val="24"/>
                <w:highlight w:val="none"/>
                <w:lang w:val="en-US" w:eastAsia="zh-CN" w:bidi="ar"/>
              </w:rPr>
              <w:t>:</w:t>
            </w:r>
          </w:p>
        </w:tc>
        <w:tc>
          <w:tcPr>
            <w:tcW w:w="2622" w:type="dxa"/>
            <w:tcBorders>
              <w:top w:val="nil"/>
              <w:left w:val="nil"/>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黑体" w:hAnsi="Times New Roman" w:eastAsia="黑体" w:cs="Times New Roman"/>
                <w:b/>
                <w:bCs w:val="0"/>
                <w:kern w:val="0"/>
                <w:sz w:val="24"/>
                <w:szCs w:val="24"/>
                <w:highlight w:val="none"/>
              </w:rPr>
            </w:pPr>
            <w:r>
              <w:rPr>
                <w:rFonts w:hint="eastAsia" w:ascii="宋体" w:hAnsi="宋体" w:cs="宋体"/>
                <w:bCs/>
                <w:kern w:val="0"/>
                <w:sz w:val="24"/>
                <w:szCs w:val="24"/>
                <w:highlight w:val="none"/>
                <w:lang w:val="en-US" w:eastAsia="zh-CN" w:bidi="ar"/>
              </w:rPr>
              <w:t>深圳市龙岗区城投绿色低碳新能源产业发展有限公司</w:t>
            </w:r>
          </w:p>
        </w:tc>
        <w:tc>
          <w:tcPr>
            <w:tcW w:w="1878"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distribute"/>
              <w:rPr>
                <w:rFonts w:hint="default" w:ascii="Calibri" w:hAnsi="Calibri" w:eastAsia="宋体" w:cs="Times New Roman"/>
                <w:kern w:val="2"/>
                <w:sz w:val="24"/>
                <w:szCs w:val="24"/>
                <w:highlight w:val="none"/>
              </w:rPr>
            </w:pPr>
            <w:r>
              <w:rPr>
                <w:rFonts w:hint="eastAsia" w:ascii="宋体" w:hAnsi="宋体" w:eastAsia="宋体" w:cs="宋体"/>
                <w:bCs/>
                <w:kern w:val="2"/>
                <w:sz w:val="24"/>
                <w:szCs w:val="24"/>
                <w:highlight w:val="none"/>
                <w:lang w:val="en-US" w:eastAsia="zh-CN" w:bidi="ar"/>
              </w:rPr>
              <w:t>乙</w:t>
            </w:r>
            <w:r>
              <w:rPr>
                <w:rFonts w:hint="eastAsia" w:ascii="宋体" w:hAnsi="宋体" w:eastAsia="宋体" w:cs="Times New Roman"/>
                <w:bCs/>
                <w:kern w:val="2"/>
                <w:sz w:val="24"/>
                <w:szCs w:val="24"/>
                <w:highlight w:val="none"/>
                <w:lang w:val="en-US" w:eastAsia="zh-CN" w:bidi="ar"/>
              </w:rPr>
              <w:t xml:space="preserve"> </w:t>
            </w:r>
            <w:r>
              <w:rPr>
                <w:rFonts w:hint="eastAsia" w:ascii="宋体" w:hAnsi="宋体" w:eastAsia="宋体" w:cs="宋体"/>
                <w:bCs/>
                <w:kern w:val="2"/>
                <w:sz w:val="24"/>
                <w:szCs w:val="24"/>
                <w:highlight w:val="none"/>
                <w:lang w:val="en-US" w:eastAsia="zh-CN" w:bidi="ar"/>
              </w:rPr>
              <w:t xml:space="preserve">  方</w:t>
            </w:r>
            <w:r>
              <w:rPr>
                <w:rFonts w:hint="eastAsia" w:ascii="宋体" w:hAnsi="宋体" w:eastAsia="宋体" w:cs="宋体"/>
                <w:kern w:val="2"/>
                <w:sz w:val="24"/>
                <w:szCs w:val="24"/>
                <w:highlight w:val="none"/>
                <w:lang w:val="en-US" w:eastAsia="zh-CN" w:bidi="ar"/>
              </w:rPr>
              <w:t>：</w:t>
            </w:r>
          </w:p>
        </w:tc>
        <w:tc>
          <w:tcPr>
            <w:tcW w:w="2551" w:type="dxa"/>
            <w:tcBorders>
              <w:top w:val="nil"/>
              <w:left w:val="nil"/>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Calibri" w:eastAsia="黑体" w:cs="Times New Roman"/>
                <w:b/>
                <w:bCs w:val="0"/>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942"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kern w:val="2"/>
                <w:sz w:val="24"/>
                <w:szCs w:val="24"/>
                <w:highlight w:val="none"/>
              </w:rPr>
            </w:pPr>
          </w:p>
        </w:tc>
        <w:tc>
          <w:tcPr>
            <w:tcW w:w="2622"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highlight w:val="none"/>
              </w:rPr>
            </w:pPr>
            <w:r>
              <w:rPr>
                <w:rFonts w:hint="eastAsia" w:ascii="宋体" w:hAnsi="宋体" w:eastAsia="宋体" w:cs="Times New Roman"/>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盖章</w:t>
            </w:r>
            <w:r>
              <w:rPr>
                <w:rFonts w:hint="eastAsia" w:ascii="宋体" w:hAnsi="宋体" w:eastAsia="宋体" w:cs="Times New Roman"/>
                <w:kern w:val="2"/>
                <w:sz w:val="24"/>
                <w:szCs w:val="24"/>
                <w:highlight w:val="none"/>
                <w:lang w:val="en-US" w:eastAsia="zh-CN" w:bidi="ar"/>
              </w:rPr>
              <w:t>)</w:t>
            </w:r>
          </w:p>
        </w:tc>
        <w:tc>
          <w:tcPr>
            <w:tcW w:w="1878"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distribute"/>
              <w:rPr>
                <w:rFonts w:hint="default" w:ascii="Calibri" w:hAnsi="Calibri" w:eastAsia="宋体" w:cs="Times New Roman"/>
                <w:kern w:val="2"/>
                <w:sz w:val="24"/>
                <w:szCs w:val="24"/>
                <w:highlight w:val="none"/>
              </w:rPr>
            </w:pPr>
          </w:p>
        </w:tc>
        <w:tc>
          <w:tcPr>
            <w:tcW w:w="2551"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highlight w:val="none"/>
              </w:rPr>
            </w:pPr>
            <w:r>
              <w:rPr>
                <w:rFonts w:hint="eastAsia" w:ascii="宋体" w:hAnsi="宋体" w:eastAsia="宋体" w:cs="Times New Roman"/>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盖章</w:t>
            </w:r>
            <w:r>
              <w:rPr>
                <w:rFonts w:hint="eastAsia" w:ascii="宋体" w:hAnsi="宋体" w:eastAsia="宋体" w:cs="Times New Roman"/>
                <w:kern w:val="2"/>
                <w:sz w:val="24"/>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942"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distribute"/>
              <w:rPr>
                <w:rFonts w:hint="default" w:ascii="Calibri" w:hAnsi="Calibri"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法定代表人</w:t>
            </w:r>
          </w:p>
          <w:p>
            <w:pPr>
              <w:keepNext w:val="0"/>
              <w:keepLines w:val="0"/>
              <w:widowControl w:val="0"/>
              <w:suppressLineNumbers w:val="0"/>
              <w:spacing w:before="0" w:beforeAutospacing="0" w:after="0" w:afterAutospacing="0" w:line="360" w:lineRule="auto"/>
              <w:ind w:left="0" w:right="0" w:firstLine="840" w:firstLineChars="350"/>
              <w:jc w:val="both"/>
              <w:rPr>
                <w:rFonts w:hint="default" w:ascii="Calibri" w:hAnsi="Calibri"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或</w:t>
            </w:r>
          </w:p>
          <w:p>
            <w:pPr>
              <w:keepNext w:val="0"/>
              <w:keepLines w:val="0"/>
              <w:widowControl w:val="0"/>
              <w:suppressLineNumbers w:val="0"/>
              <w:spacing w:before="0" w:beforeAutospacing="0" w:after="0" w:afterAutospacing="0" w:line="360" w:lineRule="auto"/>
              <w:ind w:left="0" w:right="0"/>
              <w:jc w:val="distribute"/>
              <w:rPr>
                <w:rFonts w:hint="default" w:ascii="Calibri" w:hAnsi="Calibri"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其授权的代理人：</w:t>
            </w:r>
          </w:p>
        </w:tc>
        <w:tc>
          <w:tcPr>
            <w:tcW w:w="2622" w:type="dxa"/>
            <w:tcBorders>
              <w:top w:val="nil"/>
              <w:left w:val="nil"/>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highlight w:val="none"/>
              </w:rPr>
            </w:pPr>
          </w:p>
        </w:tc>
        <w:tc>
          <w:tcPr>
            <w:tcW w:w="1878"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distribute"/>
              <w:rPr>
                <w:rFonts w:hint="default" w:ascii="Calibri" w:hAnsi="Calibri"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法定代表人</w:t>
            </w:r>
          </w:p>
          <w:p>
            <w:pPr>
              <w:keepNext w:val="0"/>
              <w:keepLines w:val="0"/>
              <w:widowControl w:val="0"/>
              <w:suppressLineNumbers w:val="0"/>
              <w:spacing w:before="0" w:beforeAutospacing="0" w:after="0" w:afterAutospacing="0" w:line="360" w:lineRule="auto"/>
              <w:ind w:left="0" w:right="0" w:firstLine="840" w:firstLineChars="350"/>
              <w:jc w:val="both"/>
              <w:rPr>
                <w:rFonts w:hint="default" w:ascii="Calibri" w:hAnsi="Calibri"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或</w:t>
            </w:r>
          </w:p>
          <w:p>
            <w:pPr>
              <w:keepNext w:val="0"/>
              <w:keepLines w:val="0"/>
              <w:widowControl w:val="0"/>
              <w:suppressLineNumbers w:val="0"/>
              <w:spacing w:before="0" w:beforeAutospacing="0" w:after="0" w:afterAutospacing="0" w:line="360" w:lineRule="auto"/>
              <w:ind w:left="0" w:right="0"/>
              <w:jc w:val="distribute"/>
              <w:rPr>
                <w:rFonts w:hint="default" w:ascii="Calibri" w:hAnsi="Calibri"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其授权的代理人：</w:t>
            </w:r>
          </w:p>
        </w:tc>
        <w:tc>
          <w:tcPr>
            <w:tcW w:w="2551" w:type="dxa"/>
            <w:tcBorders>
              <w:top w:val="nil"/>
              <w:left w:val="nil"/>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942"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distribute"/>
              <w:rPr>
                <w:rFonts w:hint="default" w:ascii="Calibri" w:hAnsi="Calibri" w:eastAsia="宋体" w:cs="Times New Roman"/>
                <w:kern w:val="2"/>
                <w:sz w:val="24"/>
                <w:szCs w:val="24"/>
                <w:highlight w:val="none"/>
              </w:rPr>
            </w:pPr>
          </w:p>
        </w:tc>
        <w:tc>
          <w:tcPr>
            <w:tcW w:w="2622"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highlight w:val="none"/>
              </w:rPr>
            </w:pPr>
            <w:r>
              <w:rPr>
                <w:rFonts w:hint="eastAsia" w:ascii="宋体" w:hAnsi="宋体" w:eastAsia="宋体" w:cs="Times New Roman"/>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签字</w:t>
            </w:r>
            <w:r>
              <w:rPr>
                <w:rFonts w:hint="eastAsia" w:ascii="宋体" w:hAnsi="宋体" w:eastAsia="宋体" w:cs="Times New Roman"/>
                <w:kern w:val="2"/>
                <w:sz w:val="24"/>
                <w:szCs w:val="24"/>
                <w:highlight w:val="none"/>
                <w:lang w:val="en-US" w:eastAsia="zh-CN" w:bidi="ar"/>
              </w:rPr>
              <w:t>)</w:t>
            </w:r>
          </w:p>
        </w:tc>
        <w:tc>
          <w:tcPr>
            <w:tcW w:w="1878"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distribute"/>
              <w:rPr>
                <w:rFonts w:hint="default" w:ascii="Calibri" w:hAnsi="Calibri" w:eastAsia="宋体" w:cs="Times New Roman"/>
                <w:kern w:val="2"/>
                <w:sz w:val="24"/>
                <w:szCs w:val="24"/>
                <w:highlight w:val="none"/>
              </w:rPr>
            </w:pPr>
          </w:p>
        </w:tc>
        <w:tc>
          <w:tcPr>
            <w:tcW w:w="2551"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highlight w:val="none"/>
              </w:rPr>
            </w:pPr>
            <w:r>
              <w:rPr>
                <w:rFonts w:hint="eastAsia" w:ascii="宋体" w:hAnsi="宋体" w:eastAsia="宋体" w:cs="Times New Roman"/>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签字</w:t>
            </w:r>
            <w:r>
              <w:rPr>
                <w:rFonts w:hint="eastAsia" w:ascii="宋体" w:hAnsi="宋体" w:eastAsia="宋体" w:cs="Times New Roman"/>
                <w:kern w:val="2"/>
                <w:sz w:val="24"/>
                <w:szCs w:val="24"/>
                <w:highlight w:val="none"/>
                <w:lang w:val="en-US" w:eastAsia="zh-CN" w:bidi="ar"/>
              </w:rPr>
              <w:t>)</w:t>
            </w:r>
          </w:p>
        </w:tc>
      </w:tr>
    </w:tbl>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lang w:val="en-US" w:eastAsia="zh-CN" w:bidi="ar"/>
        </w:rPr>
        <w:br w:type="page"/>
      </w:r>
    </w:p>
    <w:p>
      <w:pPr>
        <w:pStyle w:val="4"/>
        <w:widowControl/>
        <w:numPr>
          <w:ilvl w:val="1"/>
          <w:numId w:val="0"/>
        </w:numPr>
        <w:tabs>
          <w:tab w:val="clear" w:pos="2280"/>
        </w:tabs>
        <w:rPr>
          <w:rFonts w:hint="eastAsia" w:ascii="Arial" w:hAnsi="Arial" w:eastAsia="宋体" w:cs="Times New Roman"/>
          <w:b/>
          <w:bCs w:val="0"/>
          <w:kern w:val="2"/>
          <w:sz w:val="28"/>
          <w:szCs w:val="28"/>
          <w:highlight w:val="none"/>
        </w:rPr>
      </w:pPr>
      <w:r>
        <w:rPr>
          <w:rFonts w:hint="eastAsia" w:ascii="宋体" w:hAnsi="宋体" w:eastAsia="宋体" w:cs="宋体"/>
          <w:b/>
          <w:bCs w:val="0"/>
          <w:kern w:val="2"/>
          <w:sz w:val="28"/>
          <w:szCs w:val="28"/>
          <w:highlight w:val="none"/>
        </w:rPr>
        <w:t>附件</w:t>
      </w:r>
      <w:r>
        <w:rPr>
          <w:rFonts w:hint="default" w:ascii="Arial" w:hAnsi="Arial" w:eastAsia="宋体" w:cs="Arial"/>
          <w:b/>
          <w:bCs w:val="0"/>
          <w:kern w:val="2"/>
          <w:sz w:val="28"/>
          <w:szCs w:val="28"/>
          <w:highlight w:val="none"/>
        </w:rPr>
        <w:t>2</w:t>
      </w:r>
      <w:r>
        <w:rPr>
          <w:rFonts w:hint="eastAsia" w:ascii="宋体" w:hAnsi="宋体" w:eastAsia="宋体" w:cs="宋体"/>
          <w:b/>
          <w:bCs w:val="0"/>
          <w:kern w:val="2"/>
          <w:sz w:val="28"/>
          <w:szCs w:val="28"/>
          <w:highlight w:val="none"/>
        </w:rPr>
        <w:t>：考核办法</w:t>
      </w:r>
    </w:p>
    <w:p>
      <w:pPr>
        <w:pStyle w:val="23"/>
        <w:numPr>
          <w:ilvl w:val="0"/>
          <w:numId w:val="8"/>
        </w:numPr>
        <w:rPr>
          <w:rFonts w:hint="eastAsia"/>
          <w:highlight w:val="none"/>
        </w:rPr>
      </w:pPr>
      <w:r>
        <w:rPr>
          <w:rFonts w:hint="eastAsia" w:ascii="宋体" w:hAnsi="宋体" w:eastAsia="宋体" w:cs="宋体"/>
          <w:b/>
          <w:bCs/>
          <w:kern w:val="2"/>
          <w:sz w:val="24"/>
          <w:szCs w:val="24"/>
          <w:highlight w:val="none"/>
          <w:lang w:val="en-US" w:eastAsia="zh-CN" w:bidi="ar"/>
        </w:rPr>
        <w:t>考核总则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1、为促进</w:t>
      </w:r>
      <w:r>
        <w:rPr>
          <w:rFonts w:hint="eastAsia" w:ascii="宋体" w:hAnsi="宋体" w:cs="宋体"/>
          <w:kern w:val="2"/>
          <w:sz w:val="24"/>
          <w:szCs w:val="24"/>
          <w:highlight w:val="none"/>
          <w:lang w:val="en-US" w:eastAsia="zh-CN" w:bidi="ar"/>
        </w:rPr>
        <w:t>深圳建筑产业生态智谷总部基地一期主体第三方监测</w:t>
      </w:r>
      <w:r>
        <w:rPr>
          <w:rFonts w:hint="eastAsia" w:ascii="宋体" w:hAnsi="宋体" w:eastAsia="宋体" w:cs="宋体"/>
          <w:kern w:val="2"/>
          <w:sz w:val="24"/>
          <w:szCs w:val="24"/>
          <w:highlight w:val="none"/>
          <w:lang w:val="en-US" w:eastAsia="zh-CN" w:bidi="ar"/>
        </w:rPr>
        <w:t>工作的有效开展，促进各方履职，预防质量、安全事故发生，督促第三方监测单位全面履约，提高服务水平，结合项目实际，特制定本办法。</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2、本办法以第三方监测单位的实际工作为依据，通过量化的方式进行全面检查考核，以提高第三方监测单位工作整体质量。</w:t>
      </w:r>
    </w:p>
    <w:p>
      <w:pPr>
        <w:ind w:firstLine="480" w:firstLineChars="200"/>
        <w:rPr>
          <w:rFonts w:hint="eastAsia"/>
          <w:highlight w:val="none"/>
        </w:rPr>
      </w:pPr>
      <w:r>
        <w:rPr>
          <w:rFonts w:hint="eastAsia" w:ascii="宋体" w:hAnsi="宋体" w:eastAsia="宋体" w:cs="宋体"/>
          <w:kern w:val="2"/>
          <w:sz w:val="24"/>
          <w:szCs w:val="24"/>
          <w:highlight w:val="none"/>
          <w:lang w:val="en-US" w:eastAsia="zh-CN" w:bidi="ar"/>
        </w:rPr>
        <w:t>3、甲方有权在实施阶段根据具体情况对此考核办法进行修订、补充和完善，第三方监测单位应无条件根据修订后的考核办法接受考核。</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lang w:val="en-US" w:eastAsia="zh-CN" w:bidi="ar"/>
        </w:rPr>
        <w:t>二、工作考核组织及方式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（一）考核组织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第三方监测单位的考核工作由建设单位牵头、全过程咨询单位负责组织，每季度组织一次考核，第三方监测单位人员应配合检查考核，无条件接受检查考核结果，并不会因此提出任何延期、索赔的要求。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（二）考核方式及标准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第三方监测单位考核采用季度考核方式，当连续两次阶段考核结果低于85分（不含）时，视为第三方监测单位未正常履约，甲方将专文予以通报批评。季度考核结果作为甲方后续项目参考依据。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三</w:t>
      </w:r>
      <w:r>
        <w:rPr>
          <w:rFonts w:hint="eastAsia" w:ascii="宋体" w:hAnsi="宋体" w:eastAsia="宋体" w:cs="宋体"/>
          <w:kern w:val="2"/>
          <w:sz w:val="24"/>
          <w:szCs w:val="24"/>
          <w:highlight w:val="none"/>
          <w:lang w:val="en-US" w:eastAsia="zh-CN" w:bidi="ar"/>
        </w:rPr>
        <w:t>）工作考核范围、内容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第三方监测单位主要考核组织机构和人员、仪器设备、管理制度、方案制定及审查、基准点、监测点埋设及保护、控制测量方案实施等项目，具体内容见附表，采取100分制法打分考核。</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lang w:val="en-US" w:eastAsia="zh-CN" w:bidi="ar"/>
        </w:rPr>
        <w:t>三、工作考核评分细则</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kern w:val="2"/>
          <w:sz w:val="28"/>
          <w:szCs w:val="28"/>
          <w:highlight w:val="none"/>
        </w:rPr>
      </w:pPr>
      <w:r>
        <w:rPr>
          <w:rFonts w:hint="eastAsia" w:ascii="宋体" w:hAnsi="宋体" w:eastAsia="宋体" w:cs="宋体"/>
          <w:b/>
          <w:bCs/>
          <w:kern w:val="2"/>
          <w:sz w:val="28"/>
          <w:szCs w:val="28"/>
          <w:highlight w:val="none"/>
          <w:lang w:val="en-US" w:eastAsia="zh-CN" w:bidi="ar"/>
        </w:rPr>
        <w:t>主体结构沉降观测单位考核表</w:t>
      </w:r>
    </w:p>
    <w:p>
      <w:pPr>
        <w:keepNext w:val="0"/>
        <w:keepLines w:val="0"/>
        <w:widowControl w:val="0"/>
        <w:suppressLineNumbers w:val="0"/>
        <w:spacing w:before="0" w:beforeAutospacing="0" w:after="0" w:afterAutospacing="0" w:line="312" w:lineRule="auto"/>
        <w:ind w:left="0" w:right="0" w:firstLine="240" w:firstLineChars="100"/>
        <w:jc w:val="both"/>
        <w:rPr>
          <w:rFonts w:hint="eastAsia" w:ascii="宋体" w:hAnsi="宋体" w:eastAsia="宋体" w:cs="Times New Roman"/>
          <w:kern w:val="2"/>
          <w:sz w:val="24"/>
          <w:szCs w:val="24"/>
          <w:highlight w:val="none"/>
          <w:u w:val="single"/>
        </w:rPr>
      </w:pPr>
      <w:r>
        <w:rPr>
          <w:rFonts w:hint="eastAsia" w:ascii="宋体" w:hAnsi="宋体" w:eastAsia="宋体" w:cs="宋体"/>
          <w:kern w:val="2"/>
          <w:sz w:val="24"/>
          <w:szCs w:val="24"/>
          <w:highlight w:val="none"/>
          <w:lang w:val="en-US" w:eastAsia="zh-CN" w:bidi="ar"/>
        </w:rPr>
        <w:t>单位：</w:t>
      </w:r>
      <w:r>
        <w:rPr>
          <w:rFonts w:hint="eastAsia" w:ascii="宋体" w:hAnsi="宋体" w:eastAsia="宋体" w:cs="Times New Roman"/>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考核日期：</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00"/>
        <w:gridCol w:w="1672"/>
        <w:gridCol w:w="6044"/>
        <w:gridCol w:w="641"/>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分类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highlight w:val="none"/>
              </w:rPr>
            </w:pPr>
            <w:r>
              <w:rPr>
                <w:rFonts w:hint="eastAsia" w:ascii="宋体" w:hAnsi="宋体" w:eastAsia="宋体" w:cs="宋体"/>
                <w:b/>
                <w:bCs w:val="0"/>
                <w:kern w:val="2"/>
                <w:sz w:val="21"/>
                <w:szCs w:val="21"/>
                <w:highlight w:val="none"/>
                <w:lang w:val="en-US" w:eastAsia="zh-CN" w:bidi="ar"/>
              </w:rPr>
              <w:t>考核项目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highlight w:val="none"/>
              </w:rPr>
            </w:pPr>
            <w:r>
              <w:rPr>
                <w:rFonts w:hint="eastAsia" w:ascii="宋体" w:hAnsi="宋体" w:eastAsia="宋体" w:cs="宋体"/>
                <w:b/>
                <w:bCs w:val="0"/>
                <w:kern w:val="2"/>
                <w:sz w:val="21"/>
                <w:szCs w:val="21"/>
                <w:highlight w:val="none"/>
                <w:lang w:val="en-US" w:eastAsia="zh-CN" w:bidi="ar"/>
              </w:rPr>
              <w:t>标准分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highlight w:val="none"/>
              </w:rPr>
            </w:pPr>
            <w:r>
              <w:rPr>
                <w:rFonts w:hint="eastAsia" w:ascii="宋体" w:hAnsi="宋体" w:eastAsia="宋体" w:cs="宋体"/>
                <w:b/>
                <w:bCs w:val="0"/>
                <w:kern w:val="2"/>
                <w:sz w:val="21"/>
                <w:szCs w:val="21"/>
                <w:highlight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组织机构和人员</w:t>
            </w:r>
            <w:r>
              <w:rPr>
                <w:rFonts w:hint="eastAsia" w:ascii="宋体" w:hAnsi="宋体" w:eastAsia="宋体" w:cs="宋体"/>
                <w:kern w:val="0"/>
                <w:sz w:val="21"/>
                <w:szCs w:val="21"/>
                <w:highlight w:val="none"/>
                <w:lang w:val="en-US" w:eastAsia="zh-CN" w:bidi="ar"/>
              </w:rPr>
              <w:t>（10分）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bCs w:val="0"/>
                <w:kern w:val="0"/>
                <w:sz w:val="21"/>
                <w:szCs w:val="21"/>
                <w:highlight w:val="none"/>
              </w:rPr>
            </w:pPr>
            <w:r>
              <w:rPr>
                <w:rFonts w:hint="eastAsia" w:ascii="宋体" w:hAnsi="宋体" w:eastAsia="宋体" w:cs="宋体"/>
                <w:kern w:val="2"/>
                <w:sz w:val="21"/>
                <w:szCs w:val="21"/>
                <w:highlight w:val="none"/>
                <w:lang w:val="en-US" w:eastAsia="zh-CN" w:bidi="ar"/>
              </w:rPr>
              <w:t>（1）管理机构健全、人员分工明确，责任制度健全</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（2）人员配置满足现场管理的工作需要</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（3）人员资质符合合同要求</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仪器设备</w:t>
            </w:r>
            <w:r>
              <w:rPr>
                <w:rFonts w:hint="eastAsia" w:ascii="宋体" w:hAnsi="宋体" w:eastAsia="宋体" w:cs="宋体"/>
                <w:kern w:val="0"/>
                <w:sz w:val="21"/>
                <w:szCs w:val="21"/>
                <w:highlight w:val="none"/>
                <w:lang w:val="en-US" w:eastAsia="zh-CN" w:bidi="ar"/>
              </w:rPr>
              <w:t>（5分）</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（1）</w:t>
            </w:r>
            <w:r>
              <w:rPr>
                <w:rFonts w:hint="eastAsia" w:ascii="宋体" w:hAnsi="宋体" w:eastAsia="宋体" w:cs="宋体"/>
                <w:bCs/>
                <w:kern w:val="0"/>
                <w:sz w:val="21"/>
                <w:szCs w:val="21"/>
                <w:highlight w:val="none"/>
                <w:lang w:val="en-US" w:eastAsia="zh-CN" w:bidi="ar"/>
              </w:rPr>
              <w:t>监测仪器设备的类型及数量满足监测工程的实际需要；</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（2）</w:t>
            </w:r>
            <w:r>
              <w:rPr>
                <w:rFonts w:hint="eastAsia" w:ascii="宋体" w:hAnsi="宋体" w:eastAsia="宋体" w:cs="宋体"/>
                <w:bCs/>
                <w:kern w:val="0"/>
                <w:sz w:val="21"/>
                <w:szCs w:val="21"/>
                <w:highlight w:val="none"/>
                <w:lang w:val="en-US" w:eastAsia="zh-CN" w:bidi="ar"/>
              </w:rPr>
              <w:t>监测仪器检定证书，各类测试元器件合格证、标定证书</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（3）</w:t>
            </w:r>
            <w:r>
              <w:rPr>
                <w:rFonts w:hint="eastAsia" w:ascii="宋体" w:hAnsi="宋体" w:eastAsia="宋体" w:cs="宋体"/>
                <w:bCs/>
                <w:kern w:val="0"/>
                <w:sz w:val="21"/>
                <w:szCs w:val="21"/>
                <w:highlight w:val="none"/>
                <w:lang w:val="en-US" w:eastAsia="zh-CN" w:bidi="ar"/>
              </w:rPr>
              <w:t>监测仪器设备精度</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（4）</w:t>
            </w:r>
            <w:r>
              <w:rPr>
                <w:rFonts w:hint="eastAsia" w:ascii="宋体" w:hAnsi="宋体" w:eastAsia="宋体" w:cs="宋体"/>
                <w:bCs/>
                <w:kern w:val="0"/>
                <w:sz w:val="21"/>
                <w:szCs w:val="21"/>
                <w:highlight w:val="none"/>
                <w:lang w:val="en-US" w:eastAsia="zh-CN" w:bidi="ar"/>
              </w:rPr>
              <w:t>常用仪器设备日常检校记录</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0" w:type="auto"/>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管理</w:t>
            </w:r>
          </w:p>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制度</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（5分）</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（1）</w:t>
            </w:r>
            <w:r>
              <w:rPr>
                <w:rFonts w:hint="eastAsia" w:ascii="宋体" w:hAnsi="宋体" w:eastAsia="宋体" w:cs="宋体"/>
                <w:bCs/>
                <w:kern w:val="0"/>
                <w:sz w:val="21"/>
                <w:szCs w:val="21"/>
                <w:highlight w:val="none"/>
                <w:lang w:val="en-US" w:eastAsia="zh-CN" w:bidi="ar"/>
              </w:rPr>
              <w:t>建立、落实监测管理制度</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（2）</w:t>
            </w:r>
            <w:r>
              <w:rPr>
                <w:rFonts w:hint="eastAsia" w:ascii="宋体" w:hAnsi="宋体" w:eastAsia="宋体" w:cs="宋体"/>
                <w:bCs/>
                <w:kern w:val="0"/>
                <w:sz w:val="21"/>
                <w:szCs w:val="21"/>
                <w:highlight w:val="none"/>
                <w:lang w:val="en-US" w:eastAsia="zh-CN" w:bidi="ar"/>
              </w:rPr>
              <w:t>建立、落实监测质量技术安全责任制度和相应考核、奖惩制度</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w:t>
            </w:r>
          </w:p>
        </w:tc>
        <w:tc>
          <w:tcPr>
            <w:tcW w:w="0" w:type="auto"/>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方案制定及审查</w:t>
            </w:r>
            <w:r>
              <w:rPr>
                <w:rFonts w:hint="eastAsia" w:ascii="宋体" w:hAnsi="宋体" w:eastAsia="宋体" w:cs="宋体"/>
                <w:kern w:val="0"/>
                <w:sz w:val="21"/>
                <w:szCs w:val="21"/>
                <w:highlight w:val="none"/>
                <w:lang w:val="en-US" w:eastAsia="zh-CN" w:bidi="ar"/>
              </w:rPr>
              <w:t>（20分）</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（1）</w:t>
            </w:r>
            <w:r>
              <w:rPr>
                <w:rFonts w:hint="eastAsia" w:ascii="宋体" w:hAnsi="宋体" w:eastAsia="宋体" w:cs="宋体"/>
                <w:bCs/>
                <w:kern w:val="0"/>
                <w:sz w:val="21"/>
                <w:szCs w:val="21"/>
                <w:highlight w:val="none"/>
                <w:lang w:val="en-US" w:eastAsia="zh-CN" w:bidi="ar"/>
              </w:rPr>
              <w:t>按规范和合同要求编制监测方案</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（2）</w:t>
            </w:r>
            <w:r>
              <w:rPr>
                <w:rFonts w:hint="eastAsia" w:ascii="宋体" w:hAnsi="宋体" w:eastAsia="宋体" w:cs="宋体"/>
                <w:bCs/>
                <w:kern w:val="0"/>
                <w:sz w:val="21"/>
                <w:szCs w:val="21"/>
                <w:highlight w:val="none"/>
                <w:lang w:val="en-US" w:eastAsia="zh-CN" w:bidi="ar"/>
              </w:rPr>
              <w:t>按规定对监测方案进行专家论证</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3"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（3）</w:t>
            </w:r>
            <w:r>
              <w:rPr>
                <w:rFonts w:hint="eastAsia" w:ascii="宋体" w:hAnsi="宋体" w:eastAsia="宋体" w:cs="宋体"/>
                <w:bCs/>
                <w:kern w:val="0"/>
                <w:sz w:val="21"/>
                <w:szCs w:val="21"/>
                <w:highlight w:val="none"/>
                <w:lang w:val="en-US" w:eastAsia="zh-CN" w:bidi="ar"/>
              </w:rPr>
              <w:t>监测方案经单位技术负责人、项目负责人签字，加盖单位公章</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（4）</w:t>
            </w:r>
            <w:r>
              <w:rPr>
                <w:rFonts w:hint="eastAsia" w:ascii="宋体" w:hAnsi="宋体" w:eastAsia="宋体" w:cs="宋体"/>
                <w:bCs/>
                <w:kern w:val="0"/>
                <w:sz w:val="21"/>
                <w:szCs w:val="21"/>
                <w:highlight w:val="none"/>
                <w:lang w:val="en-US" w:eastAsia="zh-CN" w:bidi="ar"/>
              </w:rPr>
              <w:t>监测方案编制依据全面、准确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（5）</w:t>
            </w:r>
            <w:r>
              <w:rPr>
                <w:rFonts w:hint="eastAsia" w:ascii="宋体" w:hAnsi="宋体" w:eastAsia="宋体" w:cs="宋体"/>
                <w:bCs/>
                <w:kern w:val="0"/>
                <w:sz w:val="21"/>
                <w:szCs w:val="21"/>
                <w:highlight w:val="none"/>
                <w:lang w:val="en-US" w:eastAsia="zh-CN" w:bidi="ar"/>
              </w:rPr>
              <w:t>监测范围、等级确定合理</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（6）</w:t>
            </w:r>
            <w:r>
              <w:rPr>
                <w:rFonts w:hint="eastAsia" w:ascii="宋体" w:hAnsi="宋体" w:eastAsia="宋体" w:cs="宋体"/>
                <w:bCs/>
                <w:kern w:val="0"/>
                <w:sz w:val="21"/>
                <w:szCs w:val="21"/>
                <w:highlight w:val="none"/>
                <w:lang w:val="en-US" w:eastAsia="zh-CN" w:bidi="ar"/>
              </w:rPr>
              <w:t>监测项目或巡查内容</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（7）</w:t>
            </w:r>
            <w:r>
              <w:rPr>
                <w:rFonts w:hint="eastAsia" w:ascii="宋体" w:hAnsi="宋体" w:eastAsia="宋体" w:cs="宋体"/>
                <w:bCs/>
                <w:kern w:val="0"/>
                <w:sz w:val="21"/>
                <w:szCs w:val="21"/>
                <w:highlight w:val="none"/>
                <w:lang w:val="en-US" w:eastAsia="zh-CN" w:bidi="ar"/>
              </w:rPr>
              <w:t>按设计文件确定监测项目控制指标、控制指标给定巡查标准</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（8）</w:t>
            </w:r>
            <w:r>
              <w:rPr>
                <w:rFonts w:hint="eastAsia" w:ascii="宋体" w:hAnsi="宋体" w:eastAsia="宋体" w:cs="宋体"/>
                <w:bCs/>
                <w:kern w:val="0"/>
                <w:sz w:val="21"/>
                <w:szCs w:val="21"/>
                <w:highlight w:val="none"/>
                <w:lang w:val="en-US" w:eastAsia="zh-CN" w:bidi="ar"/>
              </w:rPr>
              <w:t>监测点埋设位置、数量、形式、方法和保护</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（9）</w:t>
            </w:r>
            <w:r>
              <w:rPr>
                <w:rFonts w:hint="eastAsia" w:ascii="宋体" w:hAnsi="宋体" w:eastAsia="宋体" w:cs="宋体"/>
                <w:bCs/>
                <w:kern w:val="0"/>
                <w:sz w:val="21"/>
                <w:szCs w:val="21"/>
                <w:highlight w:val="none"/>
                <w:lang w:val="en-US" w:eastAsia="zh-CN" w:bidi="ar"/>
              </w:rPr>
              <w:t>明确对监测控制网及基准点测设要求</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（10）</w:t>
            </w:r>
            <w:r>
              <w:rPr>
                <w:rFonts w:hint="eastAsia" w:ascii="宋体" w:hAnsi="宋体" w:eastAsia="宋体" w:cs="宋体"/>
                <w:bCs/>
                <w:kern w:val="0"/>
                <w:sz w:val="21"/>
                <w:szCs w:val="21"/>
                <w:highlight w:val="none"/>
                <w:lang w:val="en-US" w:eastAsia="zh-CN" w:bidi="ar"/>
              </w:rPr>
              <w:t>监测及巡查频率、起止条件满足工程要求</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（11）</w:t>
            </w:r>
            <w:r>
              <w:rPr>
                <w:rFonts w:hint="eastAsia" w:ascii="宋体" w:hAnsi="宋体" w:eastAsia="宋体" w:cs="宋体"/>
                <w:bCs/>
                <w:kern w:val="0"/>
                <w:sz w:val="21"/>
                <w:szCs w:val="21"/>
                <w:highlight w:val="none"/>
                <w:lang w:val="en-US" w:eastAsia="zh-CN" w:bidi="ar"/>
              </w:rPr>
              <w:t>监测信息反馈流程或监测预警标准</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（12）</w:t>
            </w:r>
            <w:r>
              <w:rPr>
                <w:rFonts w:hint="eastAsia" w:ascii="宋体" w:hAnsi="宋体" w:eastAsia="宋体" w:cs="宋体"/>
                <w:bCs/>
                <w:kern w:val="0"/>
                <w:sz w:val="21"/>
                <w:szCs w:val="21"/>
                <w:highlight w:val="none"/>
                <w:lang w:val="en-US" w:eastAsia="zh-CN" w:bidi="ar"/>
              </w:rPr>
              <w:t>仪器监测及巡查方法描述满足工程要求</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（13）</w:t>
            </w:r>
            <w:r>
              <w:rPr>
                <w:rFonts w:hint="eastAsia" w:ascii="宋体" w:hAnsi="宋体" w:eastAsia="宋体" w:cs="宋体"/>
                <w:bCs/>
                <w:kern w:val="0"/>
                <w:sz w:val="21"/>
                <w:szCs w:val="21"/>
                <w:highlight w:val="none"/>
                <w:lang w:val="en-US" w:eastAsia="zh-CN" w:bidi="ar"/>
              </w:rPr>
              <w:t>监测工作质量安全保证措施</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（14）</w:t>
            </w:r>
            <w:r>
              <w:rPr>
                <w:rFonts w:hint="eastAsia" w:ascii="宋体" w:hAnsi="宋体" w:eastAsia="宋体" w:cs="宋体"/>
                <w:bCs/>
                <w:kern w:val="0"/>
                <w:sz w:val="21"/>
                <w:szCs w:val="21"/>
                <w:highlight w:val="none"/>
                <w:lang w:val="en-US" w:eastAsia="zh-CN" w:bidi="ar"/>
              </w:rPr>
              <w:t>监测点布置平剖面图、与相邻环境的关系图、地质剖面图</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w:t>
            </w:r>
          </w:p>
        </w:tc>
        <w:tc>
          <w:tcPr>
            <w:tcW w:w="0" w:type="auto"/>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基准点、监测点埋设及保护</w:t>
            </w:r>
            <w:r>
              <w:rPr>
                <w:rFonts w:hint="eastAsia" w:ascii="宋体" w:hAnsi="宋体" w:eastAsia="宋体" w:cs="宋体"/>
                <w:kern w:val="0"/>
                <w:sz w:val="21"/>
                <w:szCs w:val="21"/>
                <w:highlight w:val="none"/>
                <w:lang w:val="en-US" w:eastAsia="zh-CN" w:bidi="ar"/>
              </w:rPr>
              <w:t>（15分）</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（1）</w:t>
            </w:r>
            <w:r>
              <w:rPr>
                <w:rFonts w:hint="eastAsia" w:ascii="宋体" w:hAnsi="宋体" w:eastAsia="宋体" w:cs="宋体"/>
                <w:bCs/>
                <w:kern w:val="0"/>
                <w:sz w:val="21"/>
                <w:szCs w:val="21"/>
                <w:highlight w:val="none"/>
                <w:lang w:val="en-US" w:eastAsia="zh-CN" w:bidi="ar"/>
              </w:rPr>
              <w:t>基准点、工作基点的埋设数量、位置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2"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（2）</w:t>
            </w:r>
            <w:r>
              <w:rPr>
                <w:rFonts w:hint="eastAsia" w:ascii="宋体" w:hAnsi="宋体" w:eastAsia="宋体" w:cs="宋体"/>
                <w:bCs/>
                <w:kern w:val="0"/>
                <w:sz w:val="21"/>
                <w:szCs w:val="21"/>
                <w:highlight w:val="none"/>
                <w:lang w:val="en-US" w:eastAsia="zh-CN" w:bidi="ar"/>
              </w:rPr>
              <w:t>监测点（孔）埋设位置、数量与监测方案、工程实际相符情况</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（3）</w:t>
            </w:r>
            <w:r>
              <w:rPr>
                <w:rFonts w:hint="eastAsia" w:ascii="宋体" w:hAnsi="宋体" w:eastAsia="宋体" w:cs="宋体"/>
                <w:bCs/>
                <w:kern w:val="0"/>
                <w:sz w:val="21"/>
                <w:szCs w:val="21"/>
                <w:highlight w:val="none"/>
                <w:lang w:val="en-US" w:eastAsia="zh-CN" w:bidi="ar"/>
              </w:rPr>
              <w:t>监测点（孔）埋设方法或保护措施</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（4）</w:t>
            </w:r>
            <w:r>
              <w:rPr>
                <w:rFonts w:hint="eastAsia" w:ascii="宋体" w:hAnsi="宋体" w:eastAsia="宋体" w:cs="宋体"/>
                <w:bCs/>
                <w:kern w:val="0"/>
                <w:sz w:val="21"/>
                <w:szCs w:val="21"/>
                <w:highlight w:val="none"/>
                <w:lang w:val="en-US" w:eastAsia="zh-CN" w:bidi="ar"/>
              </w:rPr>
              <w:t>监测点（孔）编号或类型标识清晰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（5）</w:t>
            </w:r>
            <w:r>
              <w:rPr>
                <w:rFonts w:hint="eastAsia" w:ascii="宋体" w:hAnsi="宋体" w:eastAsia="宋体" w:cs="宋体"/>
                <w:bCs/>
                <w:kern w:val="0"/>
                <w:sz w:val="21"/>
                <w:szCs w:val="21"/>
                <w:highlight w:val="none"/>
                <w:lang w:val="en-US" w:eastAsia="zh-CN" w:bidi="ar"/>
              </w:rPr>
              <w:t>监测点（孔）损坏后及时进行恢复或补救</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w:t>
            </w:r>
            <w:r>
              <w:rPr>
                <w:rFonts w:hint="eastAsia" w:ascii="宋体" w:hAnsi="宋体" w:eastAsia="宋体" w:cs="宋体"/>
                <w:bCs/>
                <w:kern w:val="0"/>
                <w:sz w:val="21"/>
                <w:szCs w:val="21"/>
                <w:highlight w:val="none"/>
                <w:lang w:val="en-US" w:eastAsia="zh-CN" w:bidi="ar"/>
              </w:rPr>
              <w:t>监测点验收</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6</w:t>
            </w:r>
          </w:p>
        </w:tc>
        <w:tc>
          <w:tcPr>
            <w:tcW w:w="0" w:type="auto"/>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方案实施</w:t>
            </w:r>
            <w:r>
              <w:rPr>
                <w:rFonts w:hint="eastAsia" w:ascii="宋体" w:hAnsi="宋体" w:eastAsia="宋体" w:cs="宋体"/>
                <w:kern w:val="0"/>
                <w:sz w:val="21"/>
                <w:szCs w:val="21"/>
                <w:highlight w:val="none"/>
                <w:lang w:val="en-US" w:eastAsia="zh-CN" w:bidi="ar"/>
              </w:rPr>
              <w:t>（20分）</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（1）</w:t>
            </w:r>
            <w:r>
              <w:rPr>
                <w:rFonts w:hint="eastAsia" w:ascii="宋体" w:hAnsi="宋体" w:eastAsia="宋体" w:cs="宋体"/>
                <w:bCs/>
                <w:kern w:val="0"/>
                <w:sz w:val="21"/>
                <w:szCs w:val="21"/>
                <w:highlight w:val="none"/>
                <w:lang w:val="en-US" w:eastAsia="zh-CN" w:bidi="ar"/>
              </w:rPr>
              <w:t>建立监测基准网，测点初始值采集并形成记录</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9"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（2）</w:t>
            </w:r>
            <w:r>
              <w:rPr>
                <w:rFonts w:hint="eastAsia" w:ascii="宋体" w:hAnsi="宋体" w:eastAsia="宋体" w:cs="宋体"/>
                <w:bCs/>
                <w:kern w:val="0"/>
                <w:sz w:val="21"/>
                <w:szCs w:val="21"/>
                <w:highlight w:val="none"/>
                <w:lang w:val="en-US" w:eastAsia="zh-CN" w:bidi="ar"/>
              </w:rPr>
              <w:t>在工程施工影响前对监测点的初始值采集并形成记录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9"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（3）</w:t>
            </w:r>
            <w:r>
              <w:rPr>
                <w:rFonts w:hint="eastAsia" w:ascii="宋体" w:hAnsi="宋体" w:eastAsia="宋体" w:cs="宋体"/>
                <w:bCs/>
                <w:kern w:val="0"/>
                <w:sz w:val="21"/>
                <w:szCs w:val="21"/>
                <w:highlight w:val="none"/>
                <w:lang w:val="en-US" w:eastAsia="zh-CN" w:bidi="ar"/>
              </w:rPr>
              <w:t>在工程施工影响前对周边重要环境对象的初始状态进行巡查并形成文字或影像记录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（4）</w:t>
            </w:r>
            <w:r>
              <w:rPr>
                <w:rFonts w:hint="eastAsia" w:ascii="宋体" w:hAnsi="宋体" w:eastAsia="宋体" w:cs="宋体"/>
                <w:bCs/>
                <w:kern w:val="0"/>
                <w:sz w:val="21"/>
                <w:szCs w:val="21"/>
                <w:highlight w:val="none"/>
                <w:lang w:val="en-US" w:eastAsia="zh-CN" w:bidi="ar"/>
              </w:rPr>
              <w:t>按监测方案实施现场监测和巡查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（5）</w:t>
            </w:r>
            <w:r>
              <w:rPr>
                <w:rFonts w:hint="eastAsia" w:ascii="宋体" w:hAnsi="宋体" w:eastAsia="宋体" w:cs="宋体"/>
                <w:bCs/>
                <w:kern w:val="0"/>
                <w:sz w:val="21"/>
                <w:szCs w:val="21"/>
                <w:highlight w:val="none"/>
                <w:lang w:val="en-US" w:eastAsia="zh-CN" w:bidi="ar"/>
              </w:rPr>
              <w:t>对监测作业人员进行工作交底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（6）</w:t>
            </w:r>
            <w:r>
              <w:rPr>
                <w:rFonts w:hint="eastAsia" w:ascii="宋体" w:hAnsi="宋体" w:eastAsia="宋体" w:cs="宋体"/>
                <w:bCs/>
                <w:kern w:val="0"/>
                <w:sz w:val="21"/>
                <w:szCs w:val="21"/>
                <w:highlight w:val="none"/>
                <w:lang w:val="en-US" w:eastAsia="zh-CN" w:bidi="ar"/>
              </w:rPr>
              <w:t>基准点使用前复核联测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（7）</w:t>
            </w:r>
            <w:r>
              <w:rPr>
                <w:rFonts w:hint="eastAsia" w:ascii="宋体" w:hAnsi="宋体" w:eastAsia="宋体" w:cs="宋体"/>
                <w:bCs/>
                <w:kern w:val="0"/>
                <w:sz w:val="21"/>
                <w:szCs w:val="21"/>
                <w:highlight w:val="none"/>
                <w:lang w:val="en-US" w:eastAsia="zh-CN" w:bidi="ar"/>
              </w:rPr>
              <w:t>现场仪器监测项目或巡查内容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（8）</w:t>
            </w:r>
            <w:r>
              <w:rPr>
                <w:rFonts w:hint="eastAsia" w:ascii="宋体" w:hAnsi="宋体" w:eastAsia="宋体" w:cs="宋体"/>
                <w:bCs/>
                <w:kern w:val="0"/>
                <w:sz w:val="21"/>
                <w:szCs w:val="21"/>
                <w:highlight w:val="none"/>
                <w:lang w:val="en-US" w:eastAsia="zh-CN" w:bidi="ar"/>
              </w:rPr>
              <w:t>结合工程进度及监测频率要求进行现场监测和巡查，监测数据或巡查信息连续。</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（9）</w:t>
            </w:r>
            <w:r>
              <w:rPr>
                <w:rFonts w:hint="eastAsia" w:ascii="宋体" w:hAnsi="宋体" w:eastAsia="宋体" w:cs="宋体"/>
                <w:bCs/>
                <w:kern w:val="0"/>
                <w:sz w:val="21"/>
                <w:szCs w:val="21"/>
                <w:highlight w:val="none"/>
                <w:lang w:val="en-US" w:eastAsia="zh-CN" w:bidi="ar"/>
              </w:rPr>
              <w:t>当出现警情或异常等情况时提高监测及巡查频率.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（10）检测并维护首级平面控制网（GNNS网）、首级高程控制网（二等水准控制网）、沿线精密导线网、精密水准网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（11）对本工程的地面加密控制点、引测或传递的中线控制点、精密导线点、精密水准点进行检测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7</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监测成果</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（10分）</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（1）</w:t>
            </w:r>
            <w:r>
              <w:rPr>
                <w:rFonts w:hint="eastAsia" w:ascii="宋体" w:hAnsi="宋体" w:eastAsia="宋体" w:cs="宋体"/>
                <w:bCs/>
                <w:kern w:val="0"/>
                <w:sz w:val="21"/>
                <w:szCs w:val="21"/>
                <w:highlight w:val="none"/>
                <w:lang w:val="en-US" w:eastAsia="zh-CN" w:bidi="ar"/>
              </w:rPr>
              <w:t>监测报表中工点名称、监测时间、工况、仪器设备、气象条件等表头信息，巡查报表中施工工况、支护结构、周边环境、监测设施等主要巡视信息，监测人员签字。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（2）</w:t>
            </w:r>
            <w:r>
              <w:rPr>
                <w:rFonts w:hint="eastAsia" w:ascii="宋体" w:hAnsi="宋体" w:eastAsia="宋体" w:cs="宋体"/>
                <w:bCs/>
                <w:kern w:val="0"/>
                <w:sz w:val="21"/>
                <w:szCs w:val="21"/>
                <w:highlight w:val="none"/>
                <w:lang w:val="en-US" w:eastAsia="zh-CN" w:bidi="ar"/>
              </w:rPr>
              <w:t>监测报告中结合工况条件对监测项目数值变化或巡视信息进行分析或安全评价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（3）</w:t>
            </w:r>
            <w:r>
              <w:rPr>
                <w:rFonts w:hint="eastAsia" w:ascii="宋体" w:hAnsi="宋体" w:eastAsia="宋体" w:cs="宋体"/>
                <w:bCs/>
                <w:kern w:val="0"/>
                <w:sz w:val="21"/>
                <w:szCs w:val="21"/>
                <w:highlight w:val="none"/>
                <w:lang w:val="en-US" w:eastAsia="zh-CN" w:bidi="ar"/>
              </w:rPr>
              <w:t>监测报告内容、成果图表及变形曲线，分析结论、建议内容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8"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（4）</w:t>
            </w:r>
            <w:r>
              <w:rPr>
                <w:rFonts w:hint="eastAsia" w:ascii="宋体" w:hAnsi="宋体" w:eastAsia="宋体" w:cs="宋体"/>
                <w:bCs/>
                <w:kern w:val="0"/>
                <w:sz w:val="21"/>
                <w:szCs w:val="21"/>
                <w:highlight w:val="none"/>
                <w:lang w:val="en-US" w:eastAsia="zh-CN" w:bidi="ar"/>
              </w:rPr>
              <w:t>监测报告盖章、相关人员签字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（5）</w:t>
            </w:r>
            <w:r>
              <w:rPr>
                <w:rFonts w:hint="eastAsia" w:ascii="宋体" w:hAnsi="宋体" w:eastAsia="宋体" w:cs="宋体"/>
                <w:bCs/>
                <w:kern w:val="0"/>
                <w:sz w:val="21"/>
                <w:szCs w:val="21"/>
                <w:highlight w:val="none"/>
                <w:lang w:val="en-US" w:eastAsia="zh-CN" w:bidi="ar"/>
              </w:rPr>
              <w:t>监测数据、报告、结论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8</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信息反馈及预警报告</w:t>
            </w:r>
            <w:r>
              <w:rPr>
                <w:rFonts w:hint="eastAsia" w:ascii="宋体" w:hAnsi="宋体" w:eastAsia="宋体" w:cs="宋体"/>
                <w:kern w:val="0"/>
                <w:sz w:val="21"/>
                <w:szCs w:val="21"/>
                <w:highlight w:val="none"/>
                <w:lang w:val="en-US" w:eastAsia="zh-CN" w:bidi="ar"/>
              </w:rPr>
              <w:t>（10分）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（1）</w:t>
            </w:r>
            <w:r>
              <w:rPr>
                <w:rFonts w:hint="eastAsia" w:ascii="宋体" w:hAnsi="宋体" w:eastAsia="宋体" w:cs="宋体"/>
                <w:bCs/>
                <w:kern w:val="0"/>
                <w:sz w:val="21"/>
                <w:szCs w:val="21"/>
                <w:highlight w:val="none"/>
                <w:lang w:val="en-US" w:eastAsia="zh-CN" w:bidi="ar"/>
              </w:rPr>
              <w:t>日常监测、巡查信息反馈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（2）</w:t>
            </w:r>
            <w:r>
              <w:rPr>
                <w:rFonts w:hint="eastAsia" w:ascii="宋体" w:hAnsi="宋体" w:eastAsia="宋体" w:cs="宋体"/>
                <w:bCs/>
                <w:kern w:val="0"/>
                <w:sz w:val="21"/>
                <w:szCs w:val="21"/>
                <w:highlight w:val="none"/>
                <w:lang w:val="en-US" w:eastAsia="zh-CN" w:bidi="ar"/>
              </w:rPr>
              <w:t>警情报送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kern w:val="2"/>
                <w:sz w:val="21"/>
                <w:szCs w:val="21"/>
                <w:highlight w:val="none"/>
                <w:lang w:val="en-US" w:eastAsia="zh-CN" w:bidi="ar"/>
              </w:rPr>
              <w:t>（3）</w:t>
            </w:r>
            <w:r>
              <w:rPr>
                <w:rFonts w:hint="eastAsia" w:ascii="宋体" w:hAnsi="宋体" w:eastAsia="宋体" w:cs="宋体"/>
                <w:bCs/>
                <w:kern w:val="0"/>
                <w:sz w:val="21"/>
                <w:szCs w:val="21"/>
                <w:highlight w:val="none"/>
                <w:lang w:val="en-US" w:eastAsia="zh-CN" w:bidi="ar"/>
              </w:rPr>
              <w:t>信息反馈记录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资料归档</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原始数据文件、巡查信息、成果报告等监测资料归档</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合计分数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2"/>
                <w:sz w:val="21"/>
                <w:szCs w:val="21"/>
                <w:highlight w:val="none"/>
                <w:lang w:val="en-US" w:eastAsia="zh-CN" w:bidi="ar"/>
              </w:rPr>
              <w:t>考核结论</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360" w:lineRule="exact"/>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2"/>
                <w:sz w:val="21"/>
                <w:szCs w:val="21"/>
                <w:highlight w:val="none"/>
                <w:lang w:val="en-US" w:eastAsia="zh-CN" w:bidi="ar"/>
              </w:rPr>
              <w:t>考核人员会签</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360" w:lineRule="exact"/>
              <w:ind w:left="0" w:right="0"/>
              <w:jc w:val="both"/>
              <w:rPr>
                <w:rFonts w:hint="eastAsia" w:ascii="宋体" w:hAnsi="宋体" w:eastAsia="宋体" w:cs="宋体"/>
                <w:kern w:val="0"/>
                <w:sz w:val="21"/>
                <w:szCs w:val="21"/>
                <w:highlight w:val="none"/>
              </w:rPr>
            </w:pPr>
          </w:p>
        </w:tc>
      </w:tr>
    </w:tbl>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br w:type="page"/>
      </w:r>
    </w:p>
    <w:p>
      <w:pPr>
        <w:pStyle w:val="4"/>
        <w:widowControl/>
        <w:numPr>
          <w:ilvl w:val="1"/>
          <w:numId w:val="0"/>
        </w:numPr>
        <w:tabs>
          <w:tab w:val="clear" w:pos="2280"/>
        </w:tabs>
        <w:rPr>
          <w:rFonts w:hint="eastAsia" w:ascii="Arial" w:hAnsi="Arial" w:eastAsia="宋体" w:cs="Times New Roman"/>
          <w:b/>
          <w:bCs w:val="0"/>
          <w:kern w:val="2"/>
          <w:sz w:val="28"/>
          <w:szCs w:val="28"/>
          <w:highlight w:val="none"/>
        </w:rPr>
      </w:pPr>
      <w:r>
        <w:rPr>
          <w:rFonts w:hint="eastAsia" w:ascii="宋体" w:hAnsi="宋体" w:eastAsia="宋体" w:cs="宋体"/>
          <w:b/>
          <w:bCs w:val="0"/>
          <w:kern w:val="2"/>
          <w:sz w:val="28"/>
          <w:szCs w:val="28"/>
          <w:highlight w:val="none"/>
        </w:rPr>
        <w:t>附件</w:t>
      </w:r>
      <w:r>
        <w:rPr>
          <w:rFonts w:hint="default" w:ascii="Arial" w:hAnsi="Arial" w:eastAsia="宋体" w:cs="Arial"/>
          <w:b/>
          <w:bCs w:val="0"/>
          <w:kern w:val="2"/>
          <w:sz w:val="28"/>
          <w:szCs w:val="28"/>
          <w:highlight w:val="none"/>
        </w:rPr>
        <w:t>3</w:t>
      </w:r>
      <w:r>
        <w:rPr>
          <w:rFonts w:hint="eastAsia" w:ascii="宋体" w:hAnsi="宋体" w:eastAsia="宋体" w:cs="宋体"/>
          <w:b/>
          <w:bCs w:val="0"/>
          <w:kern w:val="2"/>
          <w:sz w:val="28"/>
          <w:szCs w:val="28"/>
          <w:highlight w:val="none"/>
        </w:rPr>
        <w:t>：告知书</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lang w:val="en-US" w:eastAsia="zh-CN" w:bidi="ar"/>
        </w:rPr>
        <w:t>龙岗区进一步规范政商交往行为告知书</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一、不得向公职人员赠送礼品、礼金、消费卡等财物。</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二、不得违规向公职人员提供宴请、旅游、娱乐等安排。</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三、不得通过打麻将等形式向公职人员输送利益。</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四、不得为公职人员报销应由其个人支付的费用。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五、不得违规向公职人员及其亲友借贷款。</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六、不得违规将车辆、住房等借给公职人员使用。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七、不得在招投标中与公职人员搞暗箱操作、围标串标。</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八、不得为利益相关人和公职人员牵线搭桥或者代为传递信息、传递财物。</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九、不得让公职人员在企业违规兼职取酬。</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十、不得为公职人员亲友违规承揽业务提供便利。</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上述“十个不得”，请您严格遵守。同时，在政商交往中，如有发现我区公职人员存在违反“十个不准”的问题，请及时通过网络举报平台或者</w:t>
      </w:r>
      <w:r>
        <w:rPr>
          <w:rFonts w:hint="default" w:ascii="Times New Roman" w:hAnsi="Times New Roman" w:eastAsia="宋体" w:cs="Times New Roman"/>
          <w:kern w:val="2"/>
          <w:sz w:val="24"/>
          <w:szCs w:val="24"/>
          <w:highlight w:val="none"/>
          <w:lang w:val="en-US" w:eastAsia="zh-CN" w:bidi="ar"/>
        </w:rPr>
        <w:t>12388</w:t>
      </w:r>
      <w:r>
        <w:rPr>
          <w:rFonts w:hint="eastAsia" w:ascii="宋体" w:hAnsi="宋体" w:eastAsia="宋体" w:cs="宋体"/>
          <w:kern w:val="2"/>
          <w:sz w:val="24"/>
          <w:szCs w:val="24"/>
          <w:highlight w:val="none"/>
          <w:lang w:val="en-US" w:eastAsia="zh-CN" w:bidi="ar"/>
        </w:rPr>
        <w:t>举报电话等方式，向纪检监察机关反映举报，我们将一律严格保密、一律优先处置、一律严肃查处。</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本人已知晓上述告知内容，并愿意遵照执行（签字盖章）：</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right"/>
        <w:rPr>
          <w:rFonts w:hint="eastAsia" w:ascii="Times New Roman" w:hAnsi="Times New Roman"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年</w:t>
      </w:r>
      <w:r>
        <w:rPr>
          <w:rFonts w:hint="eastAsia" w:ascii="Times New Roman" w:hAnsi="Times New Roman" w:eastAsia="宋体" w:cs="Times New Roman"/>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Times New Roman" w:hAnsi="Times New Roman" w:eastAsia="宋体" w:cs="Times New Roman"/>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日</w:t>
      </w:r>
    </w:p>
    <w:p>
      <w:pPr>
        <w:pStyle w:val="48"/>
        <w:keepNext w:val="0"/>
        <w:keepLines w:val="0"/>
        <w:widowControl w:val="0"/>
        <w:suppressLineNumbers w:val="0"/>
        <w:spacing w:before="0" w:beforeAutospacing="1" w:after="0" w:afterAutospacing="1" w:line="360" w:lineRule="auto"/>
        <w:ind w:left="2940" w:leftChars="1400" w:right="0"/>
        <w:jc w:val="both"/>
        <w:rPr>
          <w:rFonts w:hint="default" w:ascii="Times New Roman" w:hAnsi="Times New Roman" w:eastAsia="宋体" w:cs="Times New Roman"/>
          <w:kern w:val="2"/>
          <w:sz w:val="24"/>
          <w:szCs w:val="24"/>
          <w:highlight w:val="none"/>
        </w:rPr>
      </w:pPr>
    </w:p>
    <w:p>
      <w:pPr>
        <w:rPr>
          <w:highlight w:val="none"/>
        </w:rPr>
      </w:pPr>
    </w:p>
    <w:p>
      <w:pPr>
        <w:pStyle w:val="44"/>
        <w:rPr>
          <w:highlight w:val="none"/>
        </w:rPr>
      </w:pPr>
    </w:p>
    <w:p>
      <w:pPr>
        <w:rPr>
          <w:highlight w:val="none"/>
        </w:rPr>
      </w:pPr>
    </w:p>
    <w:p>
      <w:pPr>
        <w:pStyle w:val="44"/>
        <w:rPr>
          <w:highlight w:val="none"/>
        </w:rPr>
      </w:pPr>
    </w:p>
    <w:p>
      <w:pPr>
        <w:rPr>
          <w:highlight w:val="none"/>
        </w:rPr>
      </w:pPr>
    </w:p>
    <w:p>
      <w:pPr>
        <w:pStyle w:val="44"/>
        <w:rPr>
          <w:highlight w:val="none"/>
        </w:rPr>
      </w:pPr>
    </w:p>
    <w:p>
      <w:pPr>
        <w:jc w:val="center"/>
        <w:rPr>
          <w:b/>
          <w:sz w:val="36"/>
          <w:szCs w:val="36"/>
          <w:highlight w:val="none"/>
        </w:rPr>
      </w:pPr>
      <w:r>
        <w:rPr>
          <w:rFonts w:hint="eastAsia"/>
          <w:b/>
          <w:sz w:val="36"/>
          <w:szCs w:val="36"/>
          <w:highlight w:val="none"/>
        </w:rPr>
        <w:t>第四章  投标文件格式</w:t>
      </w:r>
      <w:bookmarkEnd w:id="13"/>
    </w:p>
    <w:p>
      <w:pPr>
        <w:rPr>
          <w:highlight w:val="none"/>
        </w:rPr>
      </w:pPr>
    </w:p>
    <w:p>
      <w:pPr>
        <w:spacing w:afterLines="100" w:line="360" w:lineRule="auto"/>
        <w:jc w:val="center"/>
        <w:rPr>
          <w:rFonts w:ascii="宋体" w:hAnsi="宋体"/>
          <w:b/>
          <w:sz w:val="48"/>
          <w:szCs w:val="48"/>
          <w:highlight w:val="none"/>
        </w:rPr>
      </w:pPr>
      <w:r>
        <w:rPr>
          <w:rFonts w:ascii="宋体" w:hAnsi="宋体"/>
          <w:szCs w:val="21"/>
          <w:highlight w:val="none"/>
        </w:rPr>
        <w:br w:type="page"/>
      </w:r>
    </w:p>
    <w:p>
      <w:pPr>
        <w:pStyle w:val="29"/>
        <w:rPr>
          <w:rFonts w:hint="eastAsia"/>
          <w:highlight w:val="none"/>
        </w:rPr>
      </w:pPr>
    </w:p>
    <w:p>
      <w:pPr>
        <w:pStyle w:val="23"/>
        <w:jc w:val="center"/>
        <w:rPr>
          <w:rFonts w:hint="eastAsia" w:ascii="宋体" w:hAnsi="宋体" w:eastAsia="宋体" w:cs="Times New Roman"/>
          <w:b/>
          <w:sz w:val="44"/>
          <w:szCs w:val="44"/>
          <w:highlight w:val="none"/>
          <w:lang w:val="en-US" w:eastAsia="zh-CN"/>
        </w:rPr>
      </w:pPr>
      <w:r>
        <w:rPr>
          <w:rFonts w:hint="eastAsia" w:ascii="宋体" w:hAnsi="宋体" w:eastAsia="宋体" w:cs="Times New Roman"/>
          <w:b/>
          <w:sz w:val="44"/>
          <w:szCs w:val="44"/>
          <w:highlight w:val="none"/>
          <w:lang w:val="en-US" w:eastAsia="zh-CN"/>
        </w:rPr>
        <w:t>深圳建筑产业生态智谷总部基地一期</w:t>
      </w:r>
    </w:p>
    <w:p>
      <w:pPr>
        <w:pStyle w:val="23"/>
        <w:jc w:val="center"/>
        <w:rPr>
          <w:rFonts w:hint="eastAsia" w:ascii="宋体" w:hAnsi="宋体" w:eastAsia="宋体" w:cs="Times New Roman"/>
          <w:b/>
          <w:sz w:val="44"/>
          <w:szCs w:val="44"/>
          <w:highlight w:val="none"/>
        </w:rPr>
      </w:pPr>
      <w:r>
        <w:rPr>
          <w:rFonts w:hint="eastAsia" w:ascii="宋体" w:hAnsi="宋体" w:eastAsia="宋体" w:cs="Times New Roman"/>
          <w:b/>
          <w:sz w:val="44"/>
          <w:szCs w:val="44"/>
          <w:highlight w:val="none"/>
          <w:lang w:val="en-US" w:eastAsia="zh-CN"/>
        </w:rPr>
        <w:t>主体第三方监测</w:t>
      </w:r>
    </w:p>
    <w:p>
      <w:pPr>
        <w:rPr>
          <w:rFonts w:hint="eastAsia"/>
          <w:highlight w:val="none"/>
        </w:rPr>
      </w:pPr>
    </w:p>
    <w:p>
      <w:pPr>
        <w:spacing w:beforeLines="50" w:afterLines="100" w:line="360" w:lineRule="auto"/>
        <w:jc w:val="center"/>
        <w:rPr>
          <w:rFonts w:ascii="宋体" w:hAnsi="宋体"/>
          <w:b/>
          <w:sz w:val="44"/>
          <w:szCs w:val="44"/>
          <w:highlight w:val="none"/>
        </w:rPr>
      </w:pPr>
      <w:r>
        <w:rPr>
          <w:rFonts w:hint="eastAsia" w:ascii="宋体" w:hAnsi="宋体"/>
          <w:b/>
          <w:sz w:val="44"/>
          <w:szCs w:val="44"/>
          <w:highlight w:val="none"/>
        </w:rPr>
        <w:t>投标文件</w:t>
      </w:r>
    </w:p>
    <w:p>
      <w:pPr>
        <w:spacing w:line="360" w:lineRule="auto"/>
        <w:jc w:val="center"/>
        <w:rPr>
          <w:rFonts w:ascii="宋体" w:hAnsi="宋体"/>
          <w:b/>
          <w:sz w:val="52"/>
          <w:szCs w:val="52"/>
          <w:highlight w:val="none"/>
        </w:rPr>
      </w:pPr>
    </w:p>
    <w:p>
      <w:pPr>
        <w:spacing w:line="360" w:lineRule="auto"/>
        <w:rPr>
          <w:rFonts w:ascii="宋体" w:hAnsi="宋体"/>
          <w:b/>
          <w:sz w:val="32"/>
          <w:szCs w:val="32"/>
          <w:highlight w:val="none"/>
        </w:rPr>
      </w:pPr>
    </w:p>
    <w:p>
      <w:pPr>
        <w:spacing w:line="360" w:lineRule="auto"/>
        <w:rPr>
          <w:rFonts w:ascii="宋体" w:hAnsi="宋体"/>
          <w:b/>
          <w:sz w:val="32"/>
          <w:szCs w:val="32"/>
          <w:highlight w:val="none"/>
        </w:rPr>
      </w:pPr>
    </w:p>
    <w:p>
      <w:pPr>
        <w:spacing w:line="360" w:lineRule="auto"/>
        <w:ind w:firstLine="840" w:firstLineChars="300"/>
        <w:rPr>
          <w:rFonts w:ascii="宋体" w:hAnsi="宋体"/>
          <w:sz w:val="28"/>
          <w:szCs w:val="28"/>
          <w:highlight w:val="none"/>
        </w:rPr>
      </w:pPr>
      <w:r>
        <w:rPr>
          <w:rFonts w:hint="eastAsia" w:ascii="宋体" w:hAnsi="宋体"/>
          <w:sz w:val="28"/>
          <w:szCs w:val="28"/>
          <w:highlight w:val="none"/>
        </w:rPr>
        <w:t>投   标   人：</w:t>
      </w:r>
      <w:r>
        <w:rPr>
          <w:rFonts w:hint="eastAsia" w:ascii="宋体" w:hAnsi="宋体"/>
          <w:sz w:val="28"/>
          <w:szCs w:val="28"/>
          <w:highlight w:val="none"/>
          <w:u w:val="single"/>
        </w:rPr>
        <w:t xml:space="preserve">                             </w:t>
      </w:r>
      <w:r>
        <w:rPr>
          <w:rFonts w:hint="eastAsia" w:ascii="宋体" w:hAnsi="宋体"/>
          <w:sz w:val="28"/>
          <w:szCs w:val="28"/>
          <w:highlight w:val="none"/>
        </w:rPr>
        <w:t>（全称）（盖章）</w:t>
      </w:r>
    </w:p>
    <w:p>
      <w:pPr>
        <w:spacing w:line="360" w:lineRule="auto"/>
        <w:ind w:firstLine="840" w:firstLineChars="300"/>
        <w:rPr>
          <w:rFonts w:ascii="宋体" w:hAnsi="宋体"/>
          <w:sz w:val="28"/>
          <w:szCs w:val="28"/>
          <w:highlight w:val="none"/>
        </w:rPr>
      </w:pPr>
    </w:p>
    <w:p>
      <w:pPr>
        <w:spacing w:line="360" w:lineRule="auto"/>
        <w:ind w:firstLine="840" w:firstLineChars="300"/>
        <w:rPr>
          <w:rFonts w:ascii="宋体" w:hAnsi="宋体"/>
          <w:sz w:val="28"/>
          <w:szCs w:val="28"/>
          <w:highlight w:val="none"/>
        </w:rPr>
      </w:pPr>
      <w:r>
        <w:rPr>
          <w:rFonts w:hint="eastAsia" w:ascii="宋体" w:hAnsi="宋体"/>
          <w:sz w:val="28"/>
          <w:szCs w:val="28"/>
          <w:highlight w:val="none"/>
        </w:rPr>
        <w:t>法定代表人或授权代理人：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pPr>
        <w:spacing w:line="360" w:lineRule="auto"/>
        <w:ind w:firstLine="840" w:firstLineChars="300"/>
        <w:rPr>
          <w:rFonts w:ascii="宋体" w:hAnsi="宋体"/>
          <w:sz w:val="28"/>
          <w:szCs w:val="28"/>
          <w:highlight w:val="none"/>
        </w:rPr>
      </w:pPr>
    </w:p>
    <w:p>
      <w:pPr>
        <w:spacing w:line="360" w:lineRule="auto"/>
        <w:ind w:firstLine="840" w:firstLineChars="300"/>
        <w:rPr>
          <w:rFonts w:hint="eastAsia" w:ascii="宋体" w:hAnsi="宋体"/>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rPr>
          <w:rFonts w:hint="eastAsia" w:ascii="宋体" w:hAnsi="宋体"/>
          <w:sz w:val="28"/>
          <w:szCs w:val="28"/>
          <w:highlight w:val="none"/>
        </w:rPr>
      </w:pPr>
      <w:r>
        <w:rPr>
          <w:rFonts w:hint="eastAsia" w:ascii="宋体" w:hAnsi="宋体"/>
          <w:sz w:val="28"/>
          <w:szCs w:val="28"/>
          <w:highlight w:val="none"/>
        </w:rPr>
        <w:br w:type="page"/>
      </w:r>
    </w:p>
    <w:p>
      <w:pPr>
        <w:pStyle w:val="29"/>
        <w:spacing w:line="360" w:lineRule="auto"/>
        <w:jc w:val="center"/>
        <w:rPr>
          <w:rFonts w:hAnsi="宋体"/>
          <w:sz w:val="36"/>
          <w:szCs w:val="36"/>
          <w:highlight w:val="none"/>
        </w:rPr>
      </w:pPr>
      <w:bookmarkStart w:id="17" w:name="_Toc509669700"/>
      <w:bookmarkStart w:id="18" w:name="_Toc306716063"/>
      <w:bookmarkStart w:id="19" w:name="_Toc306716065"/>
      <w:r>
        <w:rPr>
          <w:rFonts w:hint="eastAsia" w:hAnsi="宋体"/>
          <w:sz w:val="36"/>
          <w:szCs w:val="36"/>
          <w:highlight w:val="none"/>
        </w:rPr>
        <w:t>投标承诺函</w:t>
      </w:r>
    </w:p>
    <w:p>
      <w:pPr>
        <w:spacing w:line="540" w:lineRule="exact"/>
        <w:ind w:right="960"/>
        <w:rPr>
          <w:rFonts w:hint="eastAsia" w:hAnsi="宋体" w:eastAsia="宋体"/>
          <w:bCs/>
          <w:sz w:val="24"/>
          <w:szCs w:val="24"/>
          <w:highlight w:val="none"/>
          <w:u w:val="single"/>
          <w:lang w:eastAsia="zh-CN"/>
        </w:rPr>
      </w:pPr>
      <w:r>
        <w:rPr>
          <w:rFonts w:hint="eastAsia" w:hAnsi="宋体"/>
          <w:bCs/>
          <w:sz w:val="24"/>
          <w:szCs w:val="24"/>
          <w:highlight w:val="none"/>
        </w:rPr>
        <w:t>致招标人:</w:t>
      </w:r>
      <w:r>
        <w:rPr>
          <w:rFonts w:hint="eastAsia" w:hAnsi="宋体"/>
          <w:sz w:val="24"/>
          <w:szCs w:val="24"/>
          <w:highlight w:val="none"/>
          <w:u w:val="single"/>
        </w:rPr>
        <w:t xml:space="preserve"> </w:t>
      </w:r>
      <w:r>
        <w:rPr>
          <w:rFonts w:hint="eastAsia" w:hAnsi="宋体"/>
          <w:bCs/>
          <w:sz w:val="24"/>
          <w:szCs w:val="24"/>
          <w:highlight w:val="none"/>
          <w:u w:val="single"/>
          <w:lang w:eastAsia="zh-CN"/>
        </w:rPr>
        <w:t>深圳市龙岗区城投绿色低碳新能源产业发展有限公司</w:t>
      </w:r>
    </w:p>
    <w:p>
      <w:pPr>
        <w:pStyle w:val="29"/>
        <w:spacing w:line="360" w:lineRule="auto"/>
        <w:ind w:firstLine="480" w:firstLineChars="200"/>
        <w:rPr>
          <w:rFonts w:hAnsi="宋体"/>
          <w:bCs/>
          <w:sz w:val="24"/>
          <w:szCs w:val="24"/>
          <w:highlight w:val="none"/>
        </w:rPr>
      </w:pPr>
      <w:r>
        <w:rPr>
          <w:rFonts w:hint="eastAsia" w:hAnsi="宋体"/>
          <w:bCs/>
          <w:sz w:val="24"/>
          <w:szCs w:val="24"/>
          <w:highlight w:val="none"/>
        </w:rPr>
        <w:t>为了确保本工程</w:t>
      </w:r>
      <w:r>
        <w:rPr>
          <w:rFonts w:hint="eastAsia" w:hAnsi="宋体"/>
          <w:bCs/>
          <w:sz w:val="24"/>
          <w:szCs w:val="24"/>
          <w:highlight w:val="none"/>
          <w:lang w:val="en-US" w:eastAsia="zh-CN"/>
        </w:rPr>
        <w:t>第三方监测关</w:t>
      </w:r>
      <w:r>
        <w:rPr>
          <w:rFonts w:hint="eastAsia" w:hAnsi="宋体"/>
          <w:bCs/>
          <w:sz w:val="24"/>
          <w:szCs w:val="24"/>
          <w:highlight w:val="none"/>
        </w:rPr>
        <w:t>工作顺利进行，我方将严格执行建设工程招标投标管理的法律法规，并完全接受</w:t>
      </w:r>
      <w:r>
        <w:rPr>
          <w:rFonts w:hint="eastAsia" w:ascii="Calibri" w:hAnsi="宋体" w:cs="Times New Roman"/>
          <w:bCs/>
          <w:kern w:val="2"/>
          <w:sz w:val="24"/>
          <w:szCs w:val="24"/>
          <w:highlight w:val="none"/>
          <w:u w:val="single"/>
          <w:lang w:val="en-US" w:eastAsia="zh-CN" w:bidi="ar-SA"/>
        </w:rPr>
        <w:t>深圳建筑产业生态智谷总部基地一期主体第三方监测</w:t>
      </w:r>
      <w:r>
        <w:rPr>
          <w:rFonts w:hint="eastAsia" w:hAnsi="宋体"/>
          <w:bCs/>
          <w:sz w:val="24"/>
          <w:szCs w:val="24"/>
          <w:highlight w:val="none"/>
        </w:rPr>
        <w:t>的招标文件所有内容，为此作出如下承诺：</w:t>
      </w:r>
    </w:p>
    <w:p>
      <w:pPr>
        <w:pStyle w:val="29"/>
        <w:spacing w:line="360" w:lineRule="auto"/>
        <w:ind w:firstLine="480" w:firstLineChars="200"/>
        <w:rPr>
          <w:rFonts w:hAnsi="宋体"/>
          <w:sz w:val="24"/>
          <w:szCs w:val="24"/>
          <w:highlight w:val="none"/>
        </w:rPr>
      </w:pPr>
      <w:r>
        <w:rPr>
          <w:rFonts w:hint="eastAsia" w:hAnsi="宋体"/>
          <w:bCs/>
          <w:sz w:val="24"/>
          <w:szCs w:val="24"/>
          <w:highlight w:val="none"/>
        </w:rPr>
        <w:t>1、根</w:t>
      </w:r>
      <w:r>
        <w:rPr>
          <w:rFonts w:hint="eastAsia" w:hAnsi="宋体"/>
          <w:sz w:val="24"/>
          <w:szCs w:val="24"/>
          <w:highlight w:val="none"/>
        </w:rPr>
        <w:t>据企业自身情况，理性报价，不会以低于成本的报价竞标</w:t>
      </w:r>
      <w:r>
        <w:rPr>
          <w:rFonts w:hint="eastAsia" w:hAnsi="宋体"/>
          <w:sz w:val="24"/>
          <w:szCs w:val="24"/>
          <w:highlight w:val="none"/>
          <w:lang w:eastAsia="zh-CN"/>
        </w:rPr>
        <w:t>。</w:t>
      </w:r>
      <w:r>
        <w:rPr>
          <w:rFonts w:hint="eastAsia" w:hAnsi="宋体"/>
          <w:sz w:val="24"/>
          <w:szCs w:val="24"/>
          <w:highlight w:val="none"/>
          <w:lang w:val="en-US" w:eastAsia="zh-CN"/>
        </w:rPr>
        <w:t>所报总价为</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rPr>
        <w:t>万元</w:t>
      </w:r>
      <w:r>
        <w:rPr>
          <w:rFonts w:hint="eastAsia" w:hAnsi="宋体"/>
          <w:sz w:val="24"/>
          <w:szCs w:val="24"/>
          <w:highlight w:val="none"/>
          <w:lang w:eastAsia="zh-CN"/>
        </w:rPr>
        <w:t>（</w:t>
      </w:r>
      <w:r>
        <w:rPr>
          <w:rFonts w:hint="eastAsia" w:hAnsi="宋体"/>
          <w:sz w:val="24"/>
          <w:szCs w:val="24"/>
          <w:highlight w:val="none"/>
          <w:lang w:val="en-US" w:eastAsia="zh-CN"/>
        </w:rPr>
        <w:t>明细见报价表</w:t>
      </w:r>
      <w:r>
        <w:rPr>
          <w:rFonts w:hint="eastAsia" w:hAnsi="宋体"/>
          <w:sz w:val="24"/>
          <w:szCs w:val="24"/>
          <w:highlight w:val="none"/>
          <w:lang w:eastAsia="zh-CN"/>
        </w:rPr>
        <w:t>），</w:t>
      </w:r>
      <w:r>
        <w:rPr>
          <w:rFonts w:hint="eastAsia" w:hAnsi="宋体"/>
          <w:sz w:val="24"/>
          <w:szCs w:val="24"/>
          <w:highlight w:val="none"/>
        </w:rPr>
        <w:t>按招标文件要求承包本项目</w:t>
      </w:r>
      <w:r>
        <w:rPr>
          <w:rFonts w:hint="eastAsia" w:ascii="Calibri" w:hAnsi="宋体" w:eastAsia="宋体" w:cs="Times New Roman"/>
          <w:b/>
          <w:bCs w:val="0"/>
          <w:kern w:val="2"/>
          <w:sz w:val="24"/>
          <w:szCs w:val="24"/>
          <w:highlight w:val="none"/>
          <w:u w:val="single"/>
          <w:lang w:val="en-US" w:eastAsia="zh-CN" w:bidi="ar-SA"/>
        </w:rPr>
        <w:t>第三方监测</w:t>
      </w:r>
      <w:r>
        <w:rPr>
          <w:rFonts w:hint="eastAsia" w:hAnsi="宋体"/>
          <w:sz w:val="24"/>
          <w:szCs w:val="24"/>
          <w:highlight w:val="none"/>
        </w:rPr>
        <w:t>。否则，我方愿意承担任何风险。（投标人填写）</w:t>
      </w:r>
    </w:p>
    <w:p>
      <w:pPr>
        <w:spacing w:line="360" w:lineRule="auto"/>
        <w:ind w:firstLine="480" w:firstLineChars="200"/>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pPr>
        <w:pStyle w:val="29"/>
        <w:spacing w:line="360" w:lineRule="auto"/>
        <w:ind w:firstLine="480" w:firstLineChars="200"/>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pPr>
        <w:spacing w:line="360" w:lineRule="auto"/>
        <w:ind w:firstLine="480" w:firstLineChars="200"/>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30</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w:t>
      </w:r>
      <w:r>
        <w:rPr>
          <w:rFonts w:hint="eastAsia" w:ascii="宋体" w:hAnsi="宋体" w:cs="Courier New"/>
          <w:bCs/>
          <w:sz w:val="24"/>
          <w:szCs w:val="24"/>
          <w:highlight w:val="none"/>
          <w:lang w:val="en-US" w:eastAsia="zh-CN"/>
        </w:rPr>
        <w:t>订</w:t>
      </w:r>
      <w:r>
        <w:rPr>
          <w:rFonts w:hint="eastAsia" w:ascii="宋体" w:hAnsi="宋体" w:cs="Courier New"/>
          <w:bCs/>
          <w:sz w:val="24"/>
          <w:szCs w:val="24"/>
          <w:highlight w:val="none"/>
        </w:rPr>
        <w:t>合同文件，否则，视为我方自愿放弃中标资格。</w:t>
      </w:r>
    </w:p>
    <w:p>
      <w:pPr>
        <w:spacing w:line="360" w:lineRule="auto"/>
        <w:ind w:firstLine="480" w:firstLineChars="200"/>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pPr>
        <w:adjustRightInd w:val="0"/>
        <w:snapToGrid w:val="0"/>
        <w:spacing w:line="560" w:lineRule="exact"/>
        <w:ind w:firstLine="480" w:firstLineChars="200"/>
        <w:rPr>
          <w:rFonts w:ascii="宋体" w:hAnsi="宋体"/>
          <w:bCs/>
          <w:sz w:val="24"/>
          <w:szCs w:val="24"/>
          <w:highlight w:val="none"/>
        </w:rPr>
      </w:pPr>
      <w:r>
        <w:rPr>
          <w:rFonts w:hint="eastAsia" w:ascii="宋体" w:hAnsi="宋体"/>
          <w:bCs/>
          <w:sz w:val="24"/>
          <w:szCs w:val="24"/>
          <w:highlight w:val="none"/>
        </w:rPr>
        <w:t>6、按规定完成本项目</w:t>
      </w:r>
      <w:r>
        <w:rPr>
          <w:rFonts w:hint="eastAsia" w:ascii="宋体" w:hAnsi="宋体"/>
          <w:bCs/>
          <w:sz w:val="24"/>
          <w:szCs w:val="24"/>
          <w:highlight w:val="none"/>
          <w:lang w:val="en-US" w:eastAsia="zh-CN"/>
        </w:rPr>
        <w:t>评估服务</w:t>
      </w:r>
      <w:r>
        <w:rPr>
          <w:rFonts w:hint="eastAsia" w:ascii="宋体" w:hAnsi="宋体"/>
          <w:bCs/>
          <w:sz w:val="24"/>
          <w:szCs w:val="24"/>
          <w:highlight w:val="none"/>
        </w:rPr>
        <w:t>工作，质量达到合格标准的要求，质量目标为合格 。</w:t>
      </w:r>
    </w:p>
    <w:p>
      <w:pPr>
        <w:pStyle w:val="29"/>
        <w:spacing w:line="360" w:lineRule="auto"/>
        <w:ind w:firstLine="480" w:firstLineChars="200"/>
        <w:rPr>
          <w:rFonts w:hAnsi="宋体"/>
          <w:bCs/>
          <w:sz w:val="24"/>
          <w:szCs w:val="24"/>
          <w:highlight w:val="none"/>
        </w:rPr>
      </w:pPr>
      <w:r>
        <w:rPr>
          <w:rFonts w:hint="eastAsia" w:hAnsi="宋体"/>
          <w:bCs/>
          <w:sz w:val="24"/>
          <w:szCs w:val="24"/>
          <w:highlight w:val="none"/>
        </w:rPr>
        <w:t>7、如果违反本承诺书中任何条款，我方愿意接受：</w:t>
      </w:r>
    </w:p>
    <w:p>
      <w:pPr>
        <w:pStyle w:val="29"/>
        <w:spacing w:line="360" w:lineRule="auto"/>
        <w:ind w:firstLine="480" w:firstLineChars="200"/>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pPr>
        <w:pStyle w:val="29"/>
        <w:spacing w:line="360" w:lineRule="auto"/>
        <w:ind w:firstLine="480" w:firstLineChars="200"/>
        <w:rPr>
          <w:rFonts w:hAnsi="宋体"/>
          <w:bCs/>
          <w:sz w:val="24"/>
          <w:szCs w:val="24"/>
          <w:highlight w:val="none"/>
        </w:rPr>
      </w:pPr>
      <w:r>
        <w:rPr>
          <w:rFonts w:hint="eastAsia" w:hAnsi="宋体"/>
          <w:bCs/>
          <w:sz w:val="24"/>
          <w:szCs w:val="24"/>
          <w:highlight w:val="none"/>
        </w:rPr>
        <w:t>（2）履约评价评定为合格及以下；</w:t>
      </w:r>
    </w:p>
    <w:p>
      <w:pPr>
        <w:pStyle w:val="29"/>
        <w:spacing w:line="360" w:lineRule="auto"/>
        <w:ind w:firstLine="480" w:firstLineChars="200"/>
        <w:rPr>
          <w:rFonts w:hAnsi="宋体"/>
          <w:bCs/>
          <w:sz w:val="24"/>
          <w:szCs w:val="24"/>
          <w:highlight w:val="none"/>
        </w:rPr>
      </w:pPr>
      <w:r>
        <w:rPr>
          <w:rFonts w:hint="eastAsia" w:hAnsi="宋体"/>
          <w:bCs/>
          <w:sz w:val="24"/>
          <w:szCs w:val="24"/>
          <w:highlight w:val="none"/>
        </w:rPr>
        <w:t>（3）招标人今后可拒绝我方参与投标；</w:t>
      </w:r>
    </w:p>
    <w:p>
      <w:pPr>
        <w:pStyle w:val="29"/>
        <w:spacing w:line="360" w:lineRule="auto"/>
        <w:ind w:firstLine="480" w:firstLineChars="200"/>
        <w:rPr>
          <w:rFonts w:hAnsi="宋体"/>
          <w:bCs/>
          <w:sz w:val="24"/>
          <w:szCs w:val="24"/>
          <w:highlight w:val="none"/>
        </w:rPr>
      </w:pPr>
      <w:r>
        <w:rPr>
          <w:rFonts w:hint="eastAsia" w:hAnsi="宋体"/>
          <w:bCs/>
          <w:sz w:val="24"/>
          <w:szCs w:val="24"/>
          <w:highlight w:val="none"/>
        </w:rPr>
        <w:t>（4）建设行政主管部门或相关主管部门的不良行为记录、行政处罚。</w:t>
      </w:r>
    </w:p>
    <w:p>
      <w:pPr>
        <w:spacing w:line="360" w:lineRule="auto"/>
        <w:rPr>
          <w:rFonts w:ascii="宋体" w:hAnsi="宋体"/>
          <w:sz w:val="24"/>
          <w:highlight w:val="none"/>
        </w:rPr>
      </w:pPr>
      <w:r>
        <w:rPr>
          <w:rFonts w:hint="eastAsia" w:ascii="宋体" w:hAnsi="宋体"/>
          <w:sz w:val="24"/>
          <w:highlight w:val="none"/>
        </w:rPr>
        <w:t>投标人（单位公章）：</w:t>
      </w:r>
    </w:p>
    <w:p>
      <w:pPr>
        <w:spacing w:line="360" w:lineRule="auto"/>
        <w:rPr>
          <w:rFonts w:ascii="宋体" w:hAnsi="宋体"/>
          <w:sz w:val="24"/>
          <w:highlight w:val="none"/>
        </w:rPr>
      </w:pPr>
      <w:r>
        <w:rPr>
          <w:rFonts w:hint="eastAsia" w:ascii="宋体" w:hAnsi="宋体"/>
          <w:sz w:val="24"/>
          <w:highlight w:val="none"/>
        </w:rPr>
        <w:t>单位地址：</w:t>
      </w:r>
    </w:p>
    <w:p>
      <w:pPr>
        <w:spacing w:line="360" w:lineRule="auto"/>
        <w:rPr>
          <w:rFonts w:hint="eastAsia" w:hAnsi="宋体"/>
          <w:bCs/>
          <w:sz w:val="24"/>
          <w:highlight w:val="none"/>
        </w:rPr>
      </w:pPr>
      <w:r>
        <w:rPr>
          <w:rFonts w:hint="eastAsia" w:ascii="宋体" w:hAnsi="宋体"/>
          <w:sz w:val="24"/>
          <w:highlight w:val="none"/>
        </w:rPr>
        <w:t xml:space="preserve">邮政编码：电话： 传真：                                  </w:t>
      </w:r>
      <w:r>
        <w:rPr>
          <w:rFonts w:hint="eastAsia" w:hAnsi="宋体"/>
          <w:bCs/>
          <w:sz w:val="24"/>
          <w:highlight w:val="none"/>
        </w:rPr>
        <w:t>年   月   日</w:t>
      </w:r>
    </w:p>
    <w:bookmarkEnd w:id="17"/>
    <w:bookmarkEnd w:id="18"/>
    <w:bookmarkEnd w:id="19"/>
    <w:p>
      <w:pPr>
        <w:spacing w:line="240" w:lineRule="auto"/>
        <w:rPr>
          <w:sz w:val="44"/>
          <w:szCs w:val="44"/>
          <w:highlight w:val="none"/>
        </w:rPr>
      </w:pPr>
    </w:p>
    <w:p>
      <w:pPr>
        <w:pStyle w:val="2"/>
        <w:jc w:val="center"/>
        <w:rPr>
          <w:rFonts w:hint="eastAsia"/>
          <w:sz w:val="44"/>
          <w:szCs w:val="44"/>
          <w:highlight w:val="none"/>
          <w:lang w:val="en-US" w:eastAsia="zh-CN"/>
        </w:rPr>
      </w:pPr>
      <w:r>
        <w:rPr>
          <w:rFonts w:hint="eastAsia"/>
          <w:sz w:val="44"/>
          <w:szCs w:val="44"/>
          <w:highlight w:val="none"/>
          <w:lang w:val="en-US" w:eastAsia="zh-CN"/>
        </w:rPr>
        <w:t>报价表</w:t>
      </w:r>
    </w:p>
    <w:tbl>
      <w:tblPr>
        <w:tblStyle w:val="5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1102"/>
        <w:gridCol w:w="2340"/>
        <w:gridCol w:w="780"/>
        <w:gridCol w:w="1350"/>
        <w:gridCol w:w="885"/>
        <w:gridCol w:w="1260"/>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31"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839"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41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72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472"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单价（元）</w:t>
            </w:r>
          </w:p>
        </w:tc>
        <w:tc>
          <w:tcPr>
            <w:tcW w:w="673"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合价</w:t>
            </w:r>
            <w:r>
              <w:rPr>
                <w:rFonts w:hint="eastAsia" w:ascii="宋体" w:hAnsi="宋体" w:eastAsia="宋体" w:cs="宋体"/>
                <w:i w:val="0"/>
                <w:iCs w:val="0"/>
                <w:color w:val="000000"/>
                <w:kern w:val="0"/>
                <w:sz w:val="20"/>
                <w:szCs w:val="20"/>
                <w:highlight w:val="none"/>
                <w:u w:val="none"/>
                <w:lang w:val="en-US" w:eastAsia="zh-CN" w:bidi="ar"/>
              </w:rPr>
              <w:t>（元）</w:t>
            </w:r>
          </w:p>
        </w:tc>
        <w:tc>
          <w:tcPr>
            <w:tcW w:w="644"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sz w:val="18"/>
                <w:szCs w:val="18"/>
                <w:highlight w:val="none"/>
              </w:rPr>
              <w:t>布点费</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沉降及水平位移监测点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点</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75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4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宋体" w:hAnsi="宋体" w:eastAsia="宋体" w:cs="宋体"/>
                <w:i w:val="0"/>
                <w:iCs w:val="0"/>
                <w:color w:val="000000"/>
                <w:sz w:val="20"/>
                <w:szCs w:val="20"/>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抗浮工程竖向变形监测点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点</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44"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裂缝观测点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64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8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监测费</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沉降监测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点*次</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1357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4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58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抗浮工程竖向变形监测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点*次</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120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44"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58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倾斜监测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点*次</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704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64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58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水平位移监测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点*次</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1159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cs="宋体"/>
                <w:i w:val="0"/>
                <w:iCs w:val="0"/>
                <w:color w:val="000000"/>
                <w:sz w:val="20"/>
                <w:szCs w:val="20"/>
                <w:highlight w:val="none"/>
                <w:u w:val="none"/>
                <w:lang w:val="en-US" w:eastAsia="zh-CN"/>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cs="宋体"/>
                <w:i w:val="0"/>
                <w:iCs w:val="0"/>
                <w:color w:val="000000"/>
                <w:sz w:val="20"/>
                <w:szCs w:val="20"/>
                <w:highlight w:val="none"/>
                <w:u w:val="none"/>
                <w:lang w:val="en-US" w:eastAsia="zh-CN"/>
              </w:rPr>
            </w:pPr>
          </w:p>
        </w:tc>
        <w:tc>
          <w:tcPr>
            <w:tcW w:w="644"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58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裂缝观测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点*次</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280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cs="宋体"/>
                <w:i w:val="0"/>
                <w:iCs w:val="0"/>
                <w:color w:val="000000"/>
                <w:sz w:val="20"/>
                <w:szCs w:val="20"/>
                <w:highlight w:val="none"/>
                <w:u w:val="none"/>
                <w:lang w:val="en-US" w:eastAsia="zh-CN"/>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cs="宋体"/>
                <w:i w:val="0"/>
                <w:iCs w:val="0"/>
                <w:color w:val="000000"/>
                <w:sz w:val="20"/>
                <w:szCs w:val="20"/>
                <w:highlight w:val="none"/>
                <w:u w:val="none"/>
                <w:lang w:val="en-US" w:eastAsia="zh-CN"/>
              </w:rPr>
            </w:pPr>
          </w:p>
        </w:tc>
        <w:tc>
          <w:tcPr>
            <w:tcW w:w="644"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3</w:t>
            </w:r>
          </w:p>
        </w:tc>
        <w:tc>
          <w:tcPr>
            <w:tcW w:w="18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000000"/>
                <w:sz w:val="20"/>
                <w:szCs w:val="20"/>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bCs/>
                <w:i w:val="0"/>
                <w:iCs w:val="0"/>
                <w:color w:val="000000"/>
                <w:sz w:val="20"/>
                <w:szCs w:val="20"/>
                <w:highlight w:val="none"/>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0"/>
                <w:szCs w:val="20"/>
                <w:highlight w:val="none"/>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i w:val="0"/>
                <w:iCs w:val="0"/>
                <w:color w:val="000000"/>
                <w:sz w:val="20"/>
                <w:szCs w:val="20"/>
                <w:highlight w:val="none"/>
                <w:u w:val="none"/>
                <w:lang w:val="en-US" w:eastAsia="zh-CN"/>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highlight w:val="none"/>
                <w:u w:val="none"/>
              </w:rPr>
            </w:pPr>
          </w:p>
        </w:tc>
      </w:tr>
    </w:tbl>
    <w:p>
      <w:pPr>
        <w:pStyle w:val="2"/>
        <w:rPr>
          <w:rFonts w:hint="eastAsia"/>
          <w:sz w:val="44"/>
          <w:szCs w:val="44"/>
          <w:highlight w:val="none"/>
          <w:lang w:val="en-US" w:eastAsia="zh-CN"/>
        </w:rPr>
      </w:pPr>
    </w:p>
    <w:sectPr>
      <w:headerReference r:id="rId4" w:type="default"/>
      <w:footerReference r:id="rId5" w:type="default"/>
      <w:pgSz w:w="11906" w:h="16838"/>
      <w:pgMar w:top="1276" w:right="1351" w:bottom="1135" w:left="141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FZHei-B01S">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5F49A"/>
    <w:multiLevelType w:val="singleLevel"/>
    <w:tmpl w:val="88C5F49A"/>
    <w:lvl w:ilvl="0" w:tentative="0">
      <w:start w:val="1"/>
      <w:numFmt w:val="chineseCounting"/>
      <w:suff w:val="nothing"/>
      <w:lvlText w:val="%1、"/>
      <w:lvlJc w:val="left"/>
      <w:rPr>
        <w:rFonts w:hint="eastAsia"/>
      </w:rPr>
    </w:lvl>
  </w:abstractNum>
  <w:abstractNum w:abstractNumId="1">
    <w:nsid w:val="BE43BD60"/>
    <w:multiLevelType w:val="singleLevel"/>
    <w:tmpl w:val="BE43BD60"/>
    <w:lvl w:ilvl="0" w:tentative="0">
      <w:start w:val="2"/>
      <w:numFmt w:val="chineseCounting"/>
      <w:suff w:val="space"/>
      <w:lvlText w:val="第%1部分"/>
      <w:lvlJc w:val="left"/>
      <w:rPr>
        <w:rFonts w:hint="eastAsia"/>
        <w:b/>
        <w:bCs/>
      </w:rPr>
    </w:lvl>
  </w:abstractNum>
  <w:abstractNum w:abstractNumId="2">
    <w:nsid w:val="CA634712"/>
    <w:multiLevelType w:val="singleLevel"/>
    <w:tmpl w:val="CA634712"/>
    <w:lvl w:ilvl="0" w:tentative="0">
      <w:start w:val="6"/>
      <w:numFmt w:val="chineseCounting"/>
      <w:suff w:val="space"/>
      <w:lvlText w:val="第%1条"/>
      <w:lvlJc w:val="left"/>
      <w:rPr>
        <w:rFonts w:hint="eastAsia"/>
      </w:rPr>
    </w:lvl>
  </w:abstractNum>
  <w:abstractNum w:abstractNumId="3">
    <w:nsid w:val="E9250D73"/>
    <w:multiLevelType w:val="singleLevel"/>
    <w:tmpl w:val="E9250D73"/>
    <w:lvl w:ilvl="0" w:tentative="0">
      <w:start w:val="1"/>
      <w:numFmt w:val="decimal"/>
      <w:lvlText w:val="%1."/>
      <w:lvlJc w:val="left"/>
      <w:pPr>
        <w:tabs>
          <w:tab w:val="left" w:pos="312"/>
        </w:tabs>
      </w:pPr>
    </w:lvl>
  </w:abstractNum>
  <w:abstractNum w:abstractNumId="4">
    <w:nsid w:val="09F3727D"/>
    <w:multiLevelType w:val="multilevel"/>
    <w:tmpl w:val="09F3727D"/>
    <w:lvl w:ilvl="0" w:tentative="0">
      <w:start w:val="1"/>
      <w:numFmt w:val="decimal"/>
      <w:pStyle w:val="106"/>
      <w:lvlText w:val="%1.0"/>
      <w:lvlJc w:val="left"/>
      <w:pPr>
        <w:tabs>
          <w:tab w:val="left" w:pos="578"/>
        </w:tabs>
        <w:ind w:left="578" w:hanging="578"/>
      </w:pPr>
      <w:rPr>
        <w:rFonts w:hint="default" w:ascii="Arial" w:hAnsi="Arial"/>
        <w:b/>
        <w:i w:val="0"/>
        <w:color w:val="auto"/>
        <w:sz w:val="32"/>
      </w:rPr>
    </w:lvl>
    <w:lvl w:ilvl="1" w:tentative="0">
      <w:start w:val="1"/>
      <w:numFmt w:val="decimal"/>
      <w:pStyle w:val="109"/>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5"/>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5">
    <w:nsid w:val="0F68C384"/>
    <w:multiLevelType w:val="singleLevel"/>
    <w:tmpl w:val="0F68C384"/>
    <w:lvl w:ilvl="0" w:tentative="0">
      <w:start w:val="2"/>
      <w:numFmt w:val="decimal"/>
      <w:suff w:val="nothing"/>
      <w:lvlText w:val="%1、"/>
      <w:lvlJc w:val="left"/>
    </w:lvl>
  </w:abstractNum>
  <w:abstractNum w:abstractNumId="6">
    <w:nsid w:val="1A141E91"/>
    <w:multiLevelType w:val="multilevel"/>
    <w:tmpl w:val="1A141E91"/>
    <w:lvl w:ilvl="0" w:tentative="0">
      <w:start w:val="1"/>
      <w:numFmt w:val="upperRoman"/>
      <w:pStyle w:val="3"/>
      <w:lvlText w:val="第 %1 条"/>
      <w:lvlJc w:val="left"/>
      <w:pPr>
        <w:tabs>
          <w:tab w:val="left" w:pos="2640"/>
        </w:tabs>
        <w:ind w:left="1560" w:firstLine="0"/>
      </w:pPr>
    </w:lvl>
    <w:lvl w:ilvl="1" w:tentative="0">
      <w:start w:val="1"/>
      <w:numFmt w:val="decimalZero"/>
      <w:pStyle w:val="4"/>
      <w:isLgl/>
      <w:lvlText w:val="节 %1.%2"/>
      <w:lvlJc w:val="left"/>
      <w:pPr>
        <w:tabs>
          <w:tab w:val="left" w:pos="2280"/>
        </w:tabs>
        <w:ind w:left="1560" w:firstLine="0"/>
      </w:pPr>
    </w:lvl>
    <w:lvl w:ilvl="2" w:tentative="0">
      <w:start w:val="1"/>
      <w:numFmt w:val="lowerLetter"/>
      <w:pStyle w:val="5"/>
      <w:lvlText w:val="(%3)"/>
      <w:lvlJc w:val="left"/>
      <w:pPr>
        <w:tabs>
          <w:tab w:val="left" w:pos="2280"/>
        </w:tabs>
        <w:ind w:left="2280" w:hanging="432"/>
      </w:pPr>
    </w:lvl>
    <w:lvl w:ilvl="3" w:tentative="0">
      <w:start w:val="1"/>
      <w:numFmt w:val="lowerRoman"/>
      <w:pStyle w:val="6"/>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9"/>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7">
    <w:nsid w:val="6B844F6F"/>
    <w:multiLevelType w:val="multilevel"/>
    <w:tmpl w:val="6B844F6F"/>
    <w:lvl w:ilvl="0" w:tentative="0">
      <w:start w:val="1"/>
      <w:numFmt w:val="japaneseCounting"/>
      <w:lvlText w:val="%1、"/>
      <w:lvlJc w:val="left"/>
      <w:pPr>
        <w:ind w:left="1110" w:hanging="51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WUxMDgxODE0ZTk4NTJhOTVkYmEwNThkNjQzYjc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98186C"/>
    <w:rsid w:val="01AC5DF9"/>
    <w:rsid w:val="01DD41C2"/>
    <w:rsid w:val="01E345AE"/>
    <w:rsid w:val="02790092"/>
    <w:rsid w:val="0293255D"/>
    <w:rsid w:val="02FA1195"/>
    <w:rsid w:val="0302618A"/>
    <w:rsid w:val="044429C2"/>
    <w:rsid w:val="04695794"/>
    <w:rsid w:val="04810C52"/>
    <w:rsid w:val="04A05004"/>
    <w:rsid w:val="053A4F12"/>
    <w:rsid w:val="055B7332"/>
    <w:rsid w:val="056A3FE9"/>
    <w:rsid w:val="059F4FD1"/>
    <w:rsid w:val="05BE2B4E"/>
    <w:rsid w:val="05D070DB"/>
    <w:rsid w:val="05D90BE3"/>
    <w:rsid w:val="061D0302"/>
    <w:rsid w:val="064F66A3"/>
    <w:rsid w:val="066F200F"/>
    <w:rsid w:val="067C7D80"/>
    <w:rsid w:val="06A00B12"/>
    <w:rsid w:val="06D7755B"/>
    <w:rsid w:val="06E6452A"/>
    <w:rsid w:val="07205F42"/>
    <w:rsid w:val="072D7269"/>
    <w:rsid w:val="074273A6"/>
    <w:rsid w:val="07B77118"/>
    <w:rsid w:val="08254790"/>
    <w:rsid w:val="089963F4"/>
    <w:rsid w:val="08F03474"/>
    <w:rsid w:val="09162A16"/>
    <w:rsid w:val="091A7535"/>
    <w:rsid w:val="091D497D"/>
    <w:rsid w:val="092E369A"/>
    <w:rsid w:val="09B14F92"/>
    <w:rsid w:val="09BF626E"/>
    <w:rsid w:val="0A50402E"/>
    <w:rsid w:val="0A897EA0"/>
    <w:rsid w:val="0AB86C5C"/>
    <w:rsid w:val="0AC34AEB"/>
    <w:rsid w:val="0AD96324"/>
    <w:rsid w:val="0AEF58AD"/>
    <w:rsid w:val="0AFE39F5"/>
    <w:rsid w:val="0AFE687F"/>
    <w:rsid w:val="0B294C31"/>
    <w:rsid w:val="0B7F7677"/>
    <w:rsid w:val="0BE307CB"/>
    <w:rsid w:val="0C1F073A"/>
    <w:rsid w:val="0C6101CD"/>
    <w:rsid w:val="0C7C38C4"/>
    <w:rsid w:val="0CC83B28"/>
    <w:rsid w:val="0CC87C49"/>
    <w:rsid w:val="0CCA3B52"/>
    <w:rsid w:val="0D344BBB"/>
    <w:rsid w:val="0D567CAA"/>
    <w:rsid w:val="0DC437DB"/>
    <w:rsid w:val="0DD203DE"/>
    <w:rsid w:val="0E1C4090"/>
    <w:rsid w:val="0E1C5AFD"/>
    <w:rsid w:val="0E3E5F3C"/>
    <w:rsid w:val="0E4F3A0A"/>
    <w:rsid w:val="0E823F28"/>
    <w:rsid w:val="0E8D6C2C"/>
    <w:rsid w:val="0EBE69D9"/>
    <w:rsid w:val="0ECB20BE"/>
    <w:rsid w:val="0EEB113D"/>
    <w:rsid w:val="0F8B77D5"/>
    <w:rsid w:val="0FBE5D9F"/>
    <w:rsid w:val="0FD36B3B"/>
    <w:rsid w:val="0FD40F52"/>
    <w:rsid w:val="0FD47E3C"/>
    <w:rsid w:val="0FF8357D"/>
    <w:rsid w:val="1018216D"/>
    <w:rsid w:val="102173FB"/>
    <w:rsid w:val="10256C94"/>
    <w:rsid w:val="1028597F"/>
    <w:rsid w:val="1051696C"/>
    <w:rsid w:val="107728F9"/>
    <w:rsid w:val="107C0AD5"/>
    <w:rsid w:val="108F6C2D"/>
    <w:rsid w:val="10AD1231"/>
    <w:rsid w:val="10B306BD"/>
    <w:rsid w:val="10FE73BE"/>
    <w:rsid w:val="111B4AA2"/>
    <w:rsid w:val="11497A7D"/>
    <w:rsid w:val="116D5365"/>
    <w:rsid w:val="121477AB"/>
    <w:rsid w:val="1227630D"/>
    <w:rsid w:val="125D64CF"/>
    <w:rsid w:val="12B16A9E"/>
    <w:rsid w:val="13272F7A"/>
    <w:rsid w:val="13361405"/>
    <w:rsid w:val="1351449B"/>
    <w:rsid w:val="137A2F78"/>
    <w:rsid w:val="13924484"/>
    <w:rsid w:val="13B9577F"/>
    <w:rsid w:val="13D61BD2"/>
    <w:rsid w:val="1452749D"/>
    <w:rsid w:val="14922F3A"/>
    <w:rsid w:val="14FD2A2E"/>
    <w:rsid w:val="153D5CAE"/>
    <w:rsid w:val="158A718E"/>
    <w:rsid w:val="15EA5123"/>
    <w:rsid w:val="16313179"/>
    <w:rsid w:val="165923BB"/>
    <w:rsid w:val="16B56EA5"/>
    <w:rsid w:val="170610F8"/>
    <w:rsid w:val="17126E39"/>
    <w:rsid w:val="176A56C2"/>
    <w:rsid w:val="176D2C29"/>
    <w:rsid w:val="179C380B"/>
    <w:rsid w:val="17AB0959"/>
    <w:rsid w:val="17B648CC"/>
    <w:rsid w:val="17DE1291"/>
    <w:rsid w:val="18AB0FDA"/>
    <w:rsid w:val="18AD553C"/>
    <w:rsid w:val="18FE652B"/>
    <w:rsid w:val="197039DA"/>
    <w:rsid w:val="197772D6"/>
    <w:rsid w:val="19A67A64"/>
    <w:rsid w:val="19BF0C31"/>
    <w:rsid w:val="19C646A4"/>
    <w:rsid w:val="19E43962"/>
    <w:rsid w:val="1A685E2E"/>
    <w:rsid w:val="1A6D597B"/>
    <w:rsid w:val="1ACC2467"/>
    <w:rsid w:val="1ACE4D14"/>
    <w:rsid w:val="1AD027EB"/>
    <w:rsid w:val="1B2C5E4B"/>
    <w:rsid w:val="1B4874D7"/>
    <w:rsid w:val="1BDA54F2"/>
    <w:rsid w:val="1C2844A0"/>
    <w:rsid w:val="1C525155"/>
    <w:rsid w:val="1C8E406A"/>
    <w:rsid w:val="1CF27B09"/>
    <w:rsid w:val="1CFF1026"/>
    <w:rsid w:val="1D9B7242"/>
    <w:rsid w:val="1DEA3522"/>
    <w:rsid w:val="1E053181"/>
    <w:rsid w:val="1E474BEE"/>
    <w:rsid w:val="1E7B2E90"/>
    <w:rsid w:val="1E835E6A"/>
    <w:rsid w:val="1EA705ED"/>
    <w:rsid w:val="1EB401AB"/>
    <w:rsid w:val="1EB67161"/>
    <w:rsid w:val="1F302C65"/>
    <w:rsid w:val="1F44792A"/>
    <w:rsid w:val="1F4E6A02"/>
    <w:rsid w:val="1F6670ED"/>
    <w:rsid w:val="1FE271D5"/>
    <w:rsid w:val="1FE501FD"/>
    <w:rsid w:val="1FEB5623"/>
    <w:rsid w:val="1FEF712E"/>
    <w:rsid w:val="20611216"/>
    <w:rsid w:val="20621FC3"/>
    <w:rsid w:val="20E35BE9"/>
    <w:rsid w:val="21156A1C"/>
    <w:rsid w:val="21310B1A"/>
    <w:rsid w:val="218A325D"/>
    <w:rsid w:val="219756A1"/>
    <w:rsid w:val="22255D12"/>
    <w:rsid w:val="227605BB"/>
    <w:rsid w:val="22BD7457"/>
    <w:rsid w:val="22E36C68"/>
    <w:rsid w:val="22FB7F7F"/>
    <w:rsid w:val="23476928"/>
    <w:rsid w:val="23550037"/>
    <w:rsid w:val="235E3944"/>
    <w:rsid w:val="23800F5E"/>
    <w:rsid w:val="23B073D3"/>
    <w:rsid w:val="23E502C6"/>
    <w:rsid w:val="2422296D"/>
    <w:rsid w:val="2426102C"/>
    <w:rsid w:val="24355A3D"/>
    <w:rsid w:val="244E349E"/>
    <w:rsid w:val="24666EE4"/>
    <w:rsid w:val="24701946"/>
    <w:rsid w:val="24BA2272"/>
    <w:rsid w:val="25280AEE"/>
    <w:rsid w:val="25E42F4C"/>
    <w:rsid w:val="261074AD"/>
    <w:rsid w:val="261C46B1"/>
    <w:rsid w:val="267F4B9F"/>
    <w:rsid w:val="26F42E9C"/>
    <w:rsid w:val="271D6716"/>
    <w:rsid w:val="274A5031"/>
    <w:rsid w:val="27D87113"/>
    <w:rsid w:val="27E75A20"/>
    <w:rsid w:val="280D4269"/>
    <w:rsid w:val="284B0B33"/>
    <w:rsid w:val="289D1723"/>
    <w:rsid w:val="2914325F"/>
    <w:rsid w:val="29613214"/>
    <w:rsid w:val="2A2B045D"/>
    <w:rsid w:val="2A2F63DF"/>
    <w:rsid w:val="2A536944"/>
    <w:rsid w:val="2A68129C"/>
    <w:rsid w:val="2A703001"/>
    <w:rsid w:val="2ACA0963"/>
    <w:rsid w:val="2ACE5E57"/>
    <w:rsid w:val="2AFE6487"/>
    <w:rsid w:val="2B277B63"/>
    <w:rsid w:val="2B670D75"/>
    <w:rsid w:val="2B874C1C"/>
    <w:rsid w:val="2C1F3615"/>
    <w:rsid w:val="2C4F7C16"/>
    <w:rsid w:val="2C743B66"/>
    <w:rsid w:val="2CAC008E"/>
    <w:rsid w:val="2CE23E10"/>
    <w:rsid w:val="2D63682A"/>
    <w:rsid w:val="2D8F7C42"/>
    <w:rsid w:val="2DE2584A"/>
    <w:rsid w:val="2E49213C"/>
    <w:rsid w:val="2E67006F"/>
    <w:rsid w:val="2E694D3E"/>
    <w:rsid w:val="2E773C34"/>
    <w:rsid w:val="2E875C48"/>
    <w:rsid w:val="2E9824AB"/>
    <w:rsid w:val="2E9B4249"/>
    <w:rsid w:val="2E9D17EB"/>
    <w:rsid w:val="2EB81304"/>
    <w:rsid w:val="2ECD6C7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6614C7"/>
    <w:rsid w:val="31704514"/>
    <w:rsid w:val="31816DAF"/>
    <w:rsid w:val="31B1462B"/>
    <w:rsid w:val="32290279"/>
    <w:rsid w:val="32527C83"/>
    <w:rsid w:val="325564E5"/>
    <w:rsid w:val="32655415"/>
    <w:rsid w:val="3294292F"/>
    <w:rsid w:val="32F07D5C"/>
    <w:rsid w:val="33A06705"/>
    <w:rsid w:val="33D80D3F"/>
    <w:rsid w:val="33EE637D"/>
    <w:rsid w:val="344352E2"/>
    <w:rsid w:val="34624864"/>
    <w:rsid w:val="346D778B"/>
    <w:rsid w:val="34820B55"/>
    <w:rsid w:val="34AE59AA"/>
    <w:rsid w:val="353A3B24"/>
    <w:rsid w:val="35746954"/>
    <w:rsid w:val="35B629C4"/>
    <w:rsid w:val="35F72828"/>
    <w:rsid w:val="3633583B"/>
    <w:rsid w:val="363C359C"/>
    <w:rsid w:val="367B0D86"/>
    <w:rsid w:val="369B06A2"/>
    <w:rsid w:val="36AB2F9F"/>
    <w:rsid w:val="36B27BFF"/>
    <w:rsid w:val="36DE2E4C"/>
    <w:rsid w:val="36F11025"/>
    <w:rsid w:val="37C125AD"/>
    <w:rsid w:val="37CB0B6E"/>
    <w:rsid w:val="37FB2519"/>
    <w:rsid w:val="38172D0E"/>
    <w:rsid w:val="3860698D"/>
    <w:rsid w:val="386F51CA"/>
    <w:rsid w:val="390943B3"/>
    <w:rsid w:val="391D76E1"/>
    <w:rsid w:val="39AB5E03"/>
    <w:rsid w:val="39C2411A"/>
    <w:rsid w:val="39F111DE"/>
    <w:rsid w:val="3A1D3D59"/>
    <w:rsid w:val="3AA71527"/>
    <w:rsid w:val="3B4078AF"/>
    <w:rsid w:val="3B7E6C11"/>
    <w:rsid w:val="3BAA4A5F"/>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E0755D2"/>
    <w:rsid w:val="3EA7555E"/>
    <w:rsid w:val="3EA826CA"/>
    <w:rsid w:val="3EF64E80"/>
    <w:rsid w:val="3EF74D5D"/>
    <w:rsid w:val="3F340649"/>
    <w:rsid w:val="3F6566F9"/>
    <w:rsid w:val="40063D93"/>
    <w:rsid w:val="40095305"/>
    <w:rsid w:val="401869D9"/>
    <w:rsid w:val="40EA2C99"/>
    <w:rsid w:val="411E4CFA"/>
    <w:rsid w:val="41474664"/>
    <w:rsid w:val="422C654A"/>
    <w:rsid w:val="42474BD5"/>
    <w:rsid w:val="42847BD2"/>
    <w:rsid w:val="428739CE"/>
    <w:rsid w:val="42BC3919"/>
    <w:rsid w:val="42F830BA"/>
    <w:rsid w:val="43001D3E"/>
    <w:rsid w:val="435D7C4C"/>
    <w:rsid w:val="4373669D"/>
    <w:rsid w:val="43A10AE3"/>
    <w:rsid w:val="43A24D63"/>
    <w:rsid w:val="44C21E7F"/>
    <w:rsid w:val="44D409B2"/>
    <w:rsid w:val="44F41584"/>
    <w:rsid w:val="4508749B"/>
    <w:rsid w:val="451A1619"/>
    <w:rsid w:val="4538652E"/>
    <w:rsid w:val="45446C5B"/>
    <w:rsid w:val="455A3BE0"/>
    <w:rsid w:val="461D5993"/>
    <w:rsid w:val="463E3B5B"/>
    <w:rsid w:val="46A40348"/>
    <w:rsid w:val="46A42944"/>
    <w:rsid w:val="46F44C0D"/>
    <w:rsid w:val="47F10090"/>
    <w:rsid w:val="480A6EB1"/>
    <w:rsid w:val="491178F4"/>
    <w:rsid w:val="49402B2E"/>
    <w:rsid w:val="494D402D"/>
    <w:rsid w:val="49810EE2"/>
    <w:rsid w:val="4A340D7B"/>
    <w:rsid w:val="4A5F084F"/>
    <w:rsid w:val="4A754721"/>
    <w:rsid w:val="4A83134F"/>
    <w:rsid w:val="4AD621E9"/>
    <w:rsid w:val="4B04790D"/>
    <w:rsid w:val="4B1C5E3D"/>
    <w:rsid w:val="4B3D2633"/>
    <w:rsid w:val="4B513EF9"/>
    <w:rsid w:val="4B8D60C9"/>
    <w:rsid w:val="4C795D79"/>
    <w:rsid w:val="4CA06FAD"/>
    <w:rsid w:val="4CC01258"/>
    <w:rsid w:val="4D5F0096"/>
    <w:rsid w:val="4D692F51"/>
    <w:rsid w:val="4D823B9B"/>
    <w:rsid w:val="4DC21407"/>
    <w:rsid w:val="4E1D544D"/>
    <w:rsid w:val="4E7E543D"/>
    <w:rsid w:val="4E8F4E02"/>
    <w:rsid w:val="4E927C05"/>
    <w:rsid w:val="4EB3025E"/>
    <w:rsid w:val="4EC66A5D"/>
    <w:rsid w:val="4F174104"/>
    <w:rsid w:val="4F262EAE"/>
    <w:rsid w:val="4FAA5715"/>
    <w:rsid w:val="4FD03A76"/>
    <w:rsid w:val="4FDA6D84"/>
    <w:rsid w:val="4FDD4C36"/>
    <w:rsid w:val="50090FD4"/>
    <w:rsid w:val="503A0AC9"/>
    <w:rsid w:val="513F6058"/>
    <w:rsid w:val="514F1E89"/>
    <w:rsid w:val="51FB0E9F"/>
    <w:rsid w:val="5214061D"/>
    <w:rsid w:val="526F6D01"/>
    <w:rsid w:val="52BF6755"/>
    <w:rsid w:val="52C553E8"/>
    <w:rsid w:val="531269BE"/>
    <w:rsid w:val="53417BDE"/>
    <w:rsid w:val="535E1B1A"/>
    <w:rsid w:val="538E4E0E"/>
    <w:rsid w:val="53986FA1"/>
    <w:rsid w:val="539B3D11"/>
    <w:rsid w:val="53CE4D8C"/>
    <w:rsid w:val="53EC5C6D"/>
    <w:rsid w:val="53FE35C2"/>
    <w:rsid w:val="540168F4"/>
    <w:rsid w:val="55056B34"/>
    <w:rsid w:val="55684A1A"/>
    <w:rsid w:val="559521BD"/>
    <w:rsid w:val="55AD43BA"/>
    <w:rsid w:val="55C81083"/>
    <w:rsid w:val="55CA6BD2"/>
    <w:rsid w:val="56231C41"/>
    <w:rsid w:val="564163D1"/>
    <w:rsid w:val="56AC2568"/>
    <w:rsid w:val="56C41358"/>
    <w:rsid w:val="572774A3"/>
    <w:rsid w:val="5782519E"/>
    <w:rsid w:val="57A44EC0"/>
    <w:rsid w:val="57DC3357"/>
    <w:rsid w:val="58103BB7"/>
    <w:rsid w:val="582664D1"/>
    <w:rsid w:val="58310F9B"/>
    <w:rsid w:val="58311772"/>
    <w:rsid w:val="583A6878"/>
    <w:rsid w:val="58754A86"/>
    <w:rsid w:val="587B2CDE"/>
    <w:rsid w:val="588A63B0"/>
    <w:rsid w:val="58E54DF2"/>
    <w:rsid w:val="593475CA"/>
    <w:rsid w:val="59BE55DC"/>
    <w:rsid w:val="59EC5D9C"/>
    <w:rsid w:val="5A1A7162"/>
    <w:rsid w:val="5A2F0903"/>
    <w:rsid w:val="5A3508BF"/>
    <w:rsid w:val="5A753690"/>
    <w:rsid w:val="5AC35526"/>
    <w:rsid w:val="5AD230A1"/>
    <w:rsid w:val="5AE75489"/>
    <w:rsid w:val="5B0E4680"/>
    <w:rsid w:val="5B543D4B"/>
    <w:rsid w:val="5C021D5C"/>
    <w:rsid w:val="5C12484B"/>
    <w:rsid w:val="5CC921E7"/>
    <w:rsid w:val="5CD033D2"/>
    <w:rsid w:val="5CD34BA6"/>
    <w:rsid w:val="5CD746C6"/>
    <w:rsid w:val="5D02224E"/>
    <w:rsid w:val="5D0B433F"/>
    <w:rsid w:val="5D1F7DEB"/>
    <w:rsid w:val="5D256F17"/>
    <w:rsid w:val="5D566611"/>
    <w:rsid w:val="5D7A3273"/>
    <w:rsid w:val="5D896E22"/>
    <w:rsid w:val="5E0A4A50"/>
    <w:rsid w:val="5F2D0E8F"/>
    <w:rsid w:val="5FE175D9"/>
    <w:rsid w:val="5FEB2BA4"/>
    <w:rsid w:val="609A4BC4"/>
    <w:rsid w:val="60F5158E"/>
    <w:rsid w:val="6104719B"/>
    <w:rsid w:val="6171498D"/>
    <w:rsid w:val="618621F4"/>
    <w:rsid w:val="61D9690B"/>
    <w:rsid w:val="61EE441B"/>
    <w:rsid w:val="61F20540"/>
    <w:rsid w:val="620D3BAE"/>
    <w:rsid w:val="62483940"/>
    <w:rsid w:val="62756CD8"/>
    <w:rsid w:val="62C55526"/>
    <w:rsid w:val="62EE64CA"/>
    <w:rsid w:val="62F30E54"/>
    <w:rsid w:val="63003C41"/>
    <w:rsid w:val="63770781"/>
    <w:rsid w:val="63F7395E"/>
    <w:rsid w:val="64104514"/>
    <w:rsid w:val="642369C3"/>
    <w:rsid w:val="64433C52"/>
    <w:rsid w:val="645C4BBE"/>
    <w:rsid w:val="645D0573"/>
    <w:rsid w:val="64E35BA2"/>
    <w:rsid w:val="64E533D4"/>
    <w:rsid w:val="65640DB5"/>
    <w:rsid w:val="65A51A3C"/>
    <w:rsid w:val="65EF244B"/>
    <w:rsid w:val="66215B04"/>
    <w:rsid w:val="66266BF4"/>
    <w:rsid w:val="66342560"/>
    <w:rsid w:val="663F469F"/>
    <w:rsid w:val="667E3DD4"/>
    <w:rsid w:val="669B2A1A"/>
    <w:rsid w:val="66BA1864"/>
    <w:rsid w:val="66FD01A0"/>
    <w:rsid w:val="67893B07"/>
    <w:rsid w:val="67DD08A6"/>
    <w:rsid w:val="67F535C2"/>
    <w:rsid w:val="68994EF5"/>
    <w:rsid w:val="68A51D8F"/>
    <w:rsid w:val="68E63001"/>
    <w:rsid w:val="6902695F"/>
    <w:rsid w:val="692D337C"/>
    <w:rsid w:val="69507E77"/>
    <w:rsid w:val="69CE7367"/>
    <w:rsid w:val="69F57B64"/>
    <w:rsid w:val="6A3A435E"/>
    <w:rsid w:val="6A911D7B"/>
    <w:rsid w:val="6ABE35C7"/>
    <w:rsid w:val="6B3C4D16"/>
    <w:rsid w:val="6C0C66AB"/>
    <w:rsid w:val="6C1D5A8D"/>
    <w:rsid w:val="6C506D05"/>
    <w:rsid w:val="6CAB3449"/>
    <w:rsid w:val="6CB5299E"/>
    <w:rsid w:val="6CC91D04"/>
    <w:rsid w:val="6CD754CF"/>
    <w:rsid w:val="6CD9476D"/>
    <w:rsid w:val="6D3F6E6A"/>
    <w:rsid w:val="6D92054D"/>
    <w:rsid w:val="6E5626ED"/>
    <w:rsid w:val="6E942999"/>
    <w:rsid w:val="6EB966E9"/>
    <w:rsid w:val="6F241291"/>
    <w:rsid w:val="6FCC795E"/>
    <w:rsid w:val="700A4990"/>
    <w:rsid w:val="7061300B"/>
    <w:rsid w:val="714C49C7"/>
    <w:rsid w:val="71EC67DB"/>
    <w:rsid w:val="72221950"/>
    <w:rsid w:val="72A252EE"/>
    <w:rsid w:val="72AD02ED"/>
    <w:rsid w:val="73C21591"/>
    <w:rsid w:val="743B3304"/>
    <w:rsid w:val="74AA1D4A"/>
    <w:rsid w:val="74B06E8E"/>
    <w:rsid w:val="74E042F3"/>
    <w:rsid w:val="75001B2D"/>
    <w:rsid w:val="751A6115"/>
    <w:rsid w:val="752F13FF"/>
    <w:rsid w:val="75912F00"/>
    <w:rsid w:val="75CD688F"/>
    <w:rsid w:val="75D67789"/>
    <w:rsid w:val="765242FC"/>
    <w:rsid w:val="766B1D21"/>
    <w:rsid w:val="770E5CDE"/>
    <w:rsid w:val="772D017A"/>
    <w:rsid w:val="775D7768"/>
    <w:rsid w:val="780473EC"/>
    <w:rsid w:val="780B4978"/>
    <w:rsid w:val="781B18E6"/>
    <w:rsid w:val="790F45F0"/>
    <w:rsid w:val="7919031A"/>
    <w:rsid w:val="7957552B"/>
    <w:rsid w:val="79CE505D"/>
    <w:rsid w:val="7A5B19C1"/>
    <w:rsid w:val="7A5C1D7E"/>
    <w:rsid w:val="7A63795B"/>
    <w:rsid w:val="7A7B5E5C"/>
    <w:rsid w:val="7AC34054"/>
    <w:rsid w:val="7AD6524D"/>
    <w:rsid w:val="7AD71832"/>
    <w:rsid w:val="7B8F410F"/>
    <w:rsid w:val="7BF55D0D"/>
    <w:rsid w:val="7C2C1A43"/>
    <w:rsid w:val="7C2C344B"/>
    <w:rsid w:val="7D1D57F3"/>
    <w:rsid w:val="7D62210E"/>
    <w:rsid w:val="7DA737B9"/>
    <w:rsid w:val="7DCC28A9"/>
    <w:rsid w:val="7DF41070"/>
    <w:rsid w:val="7E412A73"/>
    <w:rsid w:val="7E4160B8"/>
    <w:rsid w:val="7E9140CF"/>
    <w:rsid w:val="7ED42FFD"/>
    <w:rsid w:val="7EFA5574"/>
    <w:rsid w:val="7F8659B4"/>
    <w:rsid w:val="7F8E5D08"/>
    <w:rsid w:val="7FB421BD"/>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autoRedefine/>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4">
    <w:name w:val="heading 2"/>
    <w:basedOn w:val="1"/>
    <w:next w:val="1"/>
    <w:link w:val="74"/>
    <w:autoRedefine/>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5">
    <w:name w:val="heading 3"/>
    <w:basedOn w:val="1"/>
    <w:next w:val="1"/>
    <w:link w:val="75"/>
    <w:autoRedefine/>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6">
    <w:name w:val="heading 4"/>
    <w:basedOn w:val="1"/>
    <w:next w:val="1"/>
    <w:link w:val="76"/>
    <w:autoRedefine/>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7">
    <w:name w:val="heading 5"/>
    <w:basedOn w:val="1"/>
    <w:next w:val="1"/>
    <w:link w:val="77"/>
    <w:autoRedefine/>
    <w:qFormat/>
    <w:uiPriority w:val="0"/>
    <w:pPr>
      <w:ind w:left="1008" w:hanging="432"/>
      <w:outlineLvl w:val="4"/>
    </w:pPr>
    <w:rPr>
      <w:rFonts w:ascii="Times New Roman" w:hAnsi="Times New Roman"/>
      <w:kern w:val="0"/>
      <w:sz w:val="20"/>
      <w:szCs w:val="20"/>
    </w:rPr>
  </w:style>
  <w:style w:type="paragraph" w:styleId="8">
    <w:name w:val="heading 6"/>
    <w:basedOn w:val="1"/>
    <w:next w:val="1"/>
    <w:link w:val="78"/>
    <w:autoRedefine/>
    <w:qFormat/>
    <w:uiPriority w:val="0"/>
    <w:pPr>
      <w:ind w:left="1152" w:hanging="432"/>
      <w:outlineLvl w:val="5"/>
    </w:pPr>
    <w:rPr>
      <w:rFonts w:ascii="Times New Roman" w:hAnsi="Times New Roman"/>
      <w:kern w:val="0"/>
      <w:sz w:val="20"/>
      <w:szCs w:val="20"/>
    </w:rPr>
  </w:style>
  <w:style w:type="paragraph" w:styleId="9">
    <w:name w:val="heading 7"/>
    <w:basedOn w:val="1"/>
    <w:next w:val="1"/>
    <w:link w:val="79"/>
    <w:autoRedefine/>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0">
    <w:name w:val="heading 8"/>
    <w:basedOn w:val="1"/>
    <w:next w:val="1"/>
    <w:link w:val="80"/>
    <w:autoRedefine/>
    <w:qFormat/>
    <w:uiPriority w:val="0"/>
    <w:pPr>
      <w:ind w:left="1440" w:hanging="432"/>
      <w:outlineLvl w:val="7"/>
    </w:pPr>
    <w:rPr>
      <w:rFonts w:ascii="Times New Roman" w:hAnsi="Times New Roman"/>
      <w:kern w:val="0"/>
      <w:sz w:val="20"/>
      <w:szCs w:val="20"/>
    </w:rPr>
  </w:style>
  <w:style w:type="paragraph" w:styleId="11">
    <w:name w:val="heading 9"/>
    <w:basedOn w:val="1"/>
    <w:next w:val="1"/>
    <w:link w:val="81"/>
    <w:autoRedefine/>
    <w:qFormat/>
    <w:uiPriority w:val="0"/>
    <w:pPr>
      <w:ind w:left="1584" w:hanging="144"/>
      <w:outlineLvl w:val="8"/>
    </w:pPr>
    <w:rPr>
      <w:rFonts w:ascii="Times New Roman" w:hAnsi="Times New Roman"/>
      <w:kern w:val="0"/>
      <w:sz w:val="20"/>
      <w:szCs w:val="20"/>
    </w:rPr>
  </w:style>
  <w:style w:type="character" w:default="1" w:styleId="57">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tabs>
        <w:tab w:val="left" w:pos="4680"/>
      </w:tabs>
      <w:spacing w:beforeLines="50" w:line="300" w:lineRule="auto"/>
      <w:ind w:firstLine="420"/>
    </w:pPr>
    <w:rPr>
      <w:rFonts w:ascii="Times New Roman" w:hAnsi="Times New Roman"/>
      <w:bCs/>
      <w:szCs w:val="21"/>
    </w:rPr>
  </w:style>
  <w:style w:type="paragraph" w:styleId="12">
    <w:name w:val="toc 7"/>
    <w:basedOn w:val="1"/>
    <w:next w:val="1"/>
    <w:autoRedefine/>
    <w:unhideWhenUsed/>
    <w:qFormat/>
    <w:uiPriority w:val="0"/>
    <w:pPr>
      <w:ind w:left="2520" w:leftChars="1200"/>
    </w:pPr>
  </w:style>
  <w:style w:type="paragraph" w:styleId="13">
    <w:name w:val="Note Heading"/>
    <w:basedOn w:val="1"/>
    <w:next w:val="1"/>
    <w:link w:val="116"/>
    <w:autoRedefine/>
    <w:semiHidden/>
    <w:qFormat/>
    <w:uiPriority w:val="0"/>
    <w:pPr>
      <w:jc w:val="center"/>
    </w:pPr>
    <w:rPr>
      <w:rFonts w:ascii="Times New Roman" w:hAnsi="Times New Roman"/>
      <w:szCs w:val="24"/>
    </w:rPr>
  </w:style>
  <w:style w:type="paragraph" w:styleId="14">
    <w:name w:val="index 8"/>
    <w:basedOn w:val="1"/>
    <w:next w:val="1"/>
    <w:autoRedefine/>
    <w:qFormat/>
    <w:uiPriority w:val="0"/>
    <w:pPr>
      <w:ind w:left="1400" w:leftChars="1400"/>
    </w:pPr>
    <w:rPr>
      <w:rFonts w:ascii="Times New Roman" w:hAnsi="Times New Roman"/>
      <w:szCs w:val="24"/>
    </w:rPr>
  </w:style>
  <w:style w:type="paragraph" w:styleId="15">
    <w:name w:val="E-mail Signature"/>
    <w:basedOn w:val="1"/>
    <w:link w:val="117"/>
    <w:autoRedefine/>
    <w:semiHidden/>
    <w:qFormat/>
    <w:uiPriority w:val="0"/>
    <w:rPr>
      <w:rFonts w:ascii="Times New Roman" w:hAnsi="Times New Roman"/>
      <w:szCs w:val="24"/>
    </w:rPr>
  </w:style>
  <w:style w:type="paragraph" w:styleId="16">
    <w:name w:val="List Bullet"/>
    <w:basedOn w:val="1"/>
    <w:autoRedefine/>
    <w:semiHidden/>
    <w:qFormat/>
    <w:uiPriority w:val="0"/>
    <w:pPr>
      <w:tabs>
        <w:tab w:val="left" w:pos="360"/>
      </w:tabs>
      <w:ind w:left="360" w:hanging="360"/>
    </w:pPr>
    <w:rPr>
      <w:rFonts w:ascii="Times New Roman" w:hAnsi="Times New Roman"/>
      <w:szCs w:val="24"/>
    </w:rPr>
  </w:style>
  <w:style w:type="paragraph" w:styleId="17">
    <w:name w:val="envelope address"/>
    <w:basedOn w:val="1"/>
    <w:autoRedefine/>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18">
    <w:name w:val="Document Map"/>
    <w:basedOn w:val="1"/>
    <w:link w:val="95"/>
    <w:autoRedefine/>
    <w:unhideWhenUsed/>
    <w:qFormat/>
    <w:uiPriority w:val="0"/>
    <w:rPr>
      <w:rFonts w:ascii="宋体"/>
      <w:sz w:val="18"/>
      <w:szCs w:val="18"/>
    </w:rPr>
  </w:style>
  <w:style w:type="paragraph" w:styleId="19">
    <w:name w:val="annotation text"/>
    <w:basedOn w:val="1"/>
    <w:link w:val="87"/>
    <w:autoRedefine/>
    <w:unhideWhenUsed/>
    <w:qFormat/>
    <w:uiPriority w:val="0"/>
    <w:pPr>
      <w:jc w:val="left"/>
    </w:pPr>
  </w:style>
  <w:style w:type="paragraph" w:styleId="20">
    <w:name w:val="Salutation"/>
    <w:basedOn w:val="1"/>
    <w:next w:val="1"/>
    <w:link w:val="118"/>
    <w:autoRedefine/>
    <w:semiHidden/>
    <w:qFormat/>
    <w:uiPriority w:val="0"/>
    <w:rPr>
      <w:rFonts w:ascii="Times New Roman" w:hAnsi="Times New Roman"/>
      <w:szCs w:val="24"/>
    </w:rPr>
  </w:style>
  <w:style w:type="paragraph" w:styleId="21">
    <w:name w:val="Body Text 3"/>
    <w:basedOn w:val="1"/>
    <w:link w:val="119"/>
    <w:autoRedefine/>
    <w:semiHidden/>
    <w:qFormat/>
    <w:uiPriority w:val="0"/>
    <w:pPr>
      <w:spacing w:after="120"/>
    </w:pPr>
    <w:rPr>
      <w:rFonts w:ascii="Times New Roman" w:hAnsi="Times New Roman"/>
      <w:sz w:val="16"/>
      <w:szCs w:val="16"/>
    </w:rPr>
  </w:style>
  <w:style w:type="paragraph" w:styleId="22">
    <w:name w:val="Closing"/>
    <w:basedOn w:val="1"/>
    <w:link w:val="120"/>
    <w:autoRedefine/>
    <w:semiHidden/>
    <w:qFormat/>
    <w:uiPriority w:val="0"/>
    <w:pPr>
      <w:ind w:left="100" w:leftChars="2100"/>
    </w:pPr>
    <w:rPr>
      <w:rFonts w:ascii="Times New Roman" w:hAnsi="Times New Roman"/>
      <w:szCs w:val="24"/>
    </w:rPr>
  </w:style>
  <w:style w:type="paragraph" w:styleId="23">
    <w:name w:val="Body Text"/>
    <w:basedOn w:val="1"/>
    <w:next w:val="24"/>
    <w:link w:val="88"/>
    <w:autoRedefine/>
    <w:qFormat/>
    <w:uiPriority w:val="99"/>
    <w:pPr>
      <w:spacing w:line="360" w:lineRule="auto"/>
    </w:pPr>
    <w:rPr>
      <w:rFonts w:ascii="宋体" w:hAnsi="宋体"/>
      <w:kern w:val="0"/>
      <w:sz w:val="24"/>
      <w:szCs w:val="24"/>
    </w:rPr>
  </w:style>
  <w:style w:type="paragraph" w:styleId="24">
    <w:name w:val="Title"/>
    <w:basedOn w:val="1"/>
    <w:next w:val="1"/>
    <w:link w:val="158"/>
    <w:autoRedefine/>
    <w:qFormat/>
    <w:uiPriority w:val="0"/>
    <w:pPr>
      <w:spacing w:before="240" w:after="60"/>
      <w:jc w:val="center"/>
      <w:outlineLvl w:val="0"/>
    </w:pPr>
    <w:rPr>
      <w:rFonts w:ascii="Cambria" w:hAnsi="Cambria"/>
      <w:b/>
      <w:bCs/>
      <w:sz w:val="32"/>
      <w:szCs w:val="32"/>
    </w:rPr>
  </w:style>
  <w:style w:type="paragraph" w:styleId="25">
    <w:name w:val="Body Text Indent"/>
    <w:basedOn w:val="1"/>
    <w:link w:val="86"/>
    <w:autoRedefine/>
    <w:unhideWhenUsed/>
    <w:qFormat/>
    <w:uiPriority w:val="99"/>
    <w:pPr>
      <w:spacing w:after="120"/>
      <w:ind w:left="420" w:leftChars="200"/>
    </w:pPr>
  </w:style>
  <w:style w:type="paragraph" w:styleId="26">
    <w:name w:val="HTML Address"/>
    <w:basedOn w:val="1"/>
    <w:link w:val="121"/>
    <w:autoRedefine/>
    <w:semiHidden/>
    <w:qFormat/>
    <w:uiPriority w:val="0"/>
    <w:rPr>
      <w:rFonts w:ascii="Times New Roman" w:hAnsi="Times New Roman"/>
      <w:i/>
      <w:iCs/>
      <w:szCs w:val="24"/>
    </w:rPr>
  </w:style>
  <w:style w:type="paragraph" w:styleId="27">
    <w:name w:val="toc 5"/>
    <w:basedOn w:val="1"/>
    <w:next w:val="1"/>
    <w:autoRedefine/>
    <w:unhideWhenUsed/>
    <w:qFormat/>
    <w:uiPriority w:val="0"/>
    <w:pPr>
      <w:ind w:left="1680" w:leftChars="800"/>
    </w:pPr>
  </w:style>
  <w:style w:type="paragraph" w:styleId="28">
    <w:name w:val="toc 3"/>
    <w:basedOn w:val="1"/>
    <w:next w:val="1"/>
    <w:autoRedefine/>
    <w:unhideWhenUsed/>
    <w:qFormat/>
    <w:uiPriority w:val="0"/>
    <w:pPr>
      <w:ind w:left="840" w:leftChars="400"/>
    </w:pPr>
  </w:style>
  <w:style w:type="paragraph" w:styleId="29">
    <w:name w:val="Plain Text"/>
    <w:basedOn w:val="1"/>
    <w:link w:val="91"/>
    <w:autoRedefine/>
    <w:qFormat/>
    <w:uiPriority w:val="0"/>
    <w:rPr>
      <w:rFonts w:ascii="宋体" w:hAnsi="Courier New"/>
      <w:szCs w:val="21"/>
    </w:rPr>
  </w:style>
  <w:style w:type="paragraph" w:styleId="30">
    <w:name w:val="toc 8"/>
    <w:basedOn w:val="1"/>
    <w:next w:val="1"/>
    <w:autoRedefine/>
    <w:semiHidden/>
    <w:qFormat/>
    <w:uiPriority w:val="0"/>
    <w:pPr>
      <w:ind w:left="2940" w:leftChars="1400"/>
    </w:pPr>
  </w:style>
  <w:style w:type="paragraph" w:styleId="31">
    <w:name w:val="Date"/>
    <w:basedOn w:val="1"/>
    <w:next w:val="1"/>
    <w:link w:val="122"/>
    <w:autoRedefine/>
    <w:unhideWhenUsed/>
    <w:qFormat/>
    <w:uiPriority w:val="0"/>
    <w:pPr>
      <w:ind w:left="100" w:leftChars="2500"/>
    </w:pPr>
    <w:rPr>
      <w:rFonts w:ascii="Times New Roman" w:hAnsi="Times New Roman"/>
      <w:szCs w:val="20"/>
    </w:rPr>
  </w:style>
  <w:style w:type="paragraph" w:styleId="32">
    <w:name w:val="Body Text Indent 2"/>
    <w:basedOn w:val="1"/>
    <w:link w:val="123"/>
    <w:autoRedefine/>
    <w:semiHidden/>
    <w:qFormat/>
    <w:uiPriority w:val="0"/>
    <w:pPr>
      <w:spacing w:after="120" w:line="480" w:lineRule="auto"/>
      <w:ind w:left="420" w:leftChars="200"/>
    </w:pPr>
    <w:rPr>
      <w:rFonts w:ascii="Times New Roman" w:hAnsi="Times New Roman"/>
      <w:szCs w:val="24"/>
    </w:rPr>
  </w:style>
  <w:style w:type="paragraph" w:styleId="33">
    <w:name w:val="endnote text"/>
    <w:basedOn w:val="1"/>
    <w:link w:val="124"/>
    <w:autoRedefine/>
    <w:semiHidden/>
    <w:qFormat/>
    <w:uiPriority w:val="0"/>
    <w:pPr>
      <w:snapToGrid w:val="0"/>
      <w:jc w:val="left"/>
    </w:pPr>
    <w:rPr>
      <w:rFonts w:ascii="Times New Roman" w:hAnsi="Times New Roman"/>
      <w:szCs w:val="24"/>
    </w:rPr>
  </w:style>
  <w:style w:type="paragraph" w:styleId="34">
    <w:name w:val="Balloon Text"/>
    <w:basedOn w:val="1"/>
    <w:link w:val="90"/>
    <w:autoRedefine/>
    <w:unhideWhenUsed/>
    <w:qFormat/>
    <w:uiPriority w:val="0"/>
    <w:rPr>
      <w:kern w:val="0"/>
      <w:sz w:val="18"/>
      <w:szCs w:val="18"/>
    </w:rPr>
  </w:style>
  <w:style w:type="paragraph" w:styleId="35">
    <w:name w:val="footer"/>
    <w:basedOn w:val="1"/>
    <w:link w:val="89"/>
    <w:autoRedefine/>
    <w:unhideWhenUsed/>
    <w:qFormat/>
    <w:uiPriority w:val="0"/>
    <w:pPr>
      <w:tabs>
        <w:tab w:val="center" w:pos="4153"/>
        <w:tab w:val="right" w:pos="8306"/>
      </w:tabs>
      <w:snapToGrid w:val="0"/>
      <w:jc w:val="left"/>
    </w:pPr>
    <w:rPr>
      <w:kern w:val="0"/>
      <w:sz w:val="18"/>
      <w:szCs w:val="18"/>
    </w:rPr>
  </w:style>
  <w:style w:type="paragraph" w:styleId="36">
    <w:name w:val="header"/>
    <w:basedOn w:val="1"/>
    <w:link w:val="82"/>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7">
    <w:name w:val="Signature"/>
    <w:basedOn w:val="1"/>
    <w:link w:val="125"/>
    <w:autoRedefine/>
    <w:semiHidden/>
    <w:qFormat/>
    <w:uiPriority w:val="0"/>
    <w:pPr>
      <w:ind w:left="100" w:leftChars="2100"/>
    </w:pPr>
    <w:rPr>
      <w:rFonts w:ascii="Times New Roman" w:hAnsi="Times New Roman"/>
      <w:szCs w:val="24"/>
    </w:rPr>
  </w:style>
  <w:style w:type="paragraph" w:styleId="38">
    <w:name w:val="toc 1"/>
    <w:basedOn w:val="1"/>
    <w:next w:val="1"/>
    <w:autoRedefine/>
    <w:unhideWhenUsed/>
    <w:qFormat/>
    <w:uiPriority w:val="0"/>
  </w:style>
  <w:style w:type="paragraph" w:styleId="39">
    <w:name w:val="toc 4"/>
    <w:basedOn w:val="1"/>
    <w:next w:val="1"/>
    <w:autoRedefine/>
    <w:unhideWhenUsed/>
    <w:qFormat/>
    <w:uiPriority w:val="0"/>
    <w:pPr>
      <w:ind w:left="1260" w:leftChars="600"/>
    </w:pPr>
  </w:style>
  <w:style w:type="paragraph" w:styleId="40">
    <w:name w:val="Subtitle"/>
    <w:basedOn w:val="1"/>
    <w:next w:val="1"/>
    <w:link w:val="159"/>
    <w:autoRedefine/>
    <w:qFormat/>
    <w:uiPriority w:val="11"/>
    <w:pPr>
      <w:spacing w:before="240" w:after="60" w:line="312" w:lineRule="auto"/>
      <w:jc w:val="center"/>
      <w:outlineLvl w:val="1"/>
    </w:pPr>
    <w:rPr>
      <w:rFonts w:ascii="Cambria" w:hAnsi="Cambria"/>
      <w:b/>
      <w:bCs/>
      <w:kern w:val="28"/>
      <w:sz w:val="32"/>
      <w:szCs w:val="32"/>
    </w:rPr>
  </w:style>
  <w:style w:type="paragraph" w:styleId="41">
    <w:name w:val="List"/>
    <w:basedOn w:val="1"/>
    <w:autoRedefine/>
    <w:semiHidden/>
    <w:qFormat/>
    <w:uiPriority w:val="0"/>
    <w:pPr>
      <w:ind w:left="200" w:hanging="200" w:hangingChars="200"/>
    </w:pPr>
    <w:rPr>
      <w:rFonts w:ascii="Times New Roman" w:hAnsi="Times New Roman"/>
      <w:szCs w:val="24"/>
    </w:rPr>
  </w:style>
  <w:style w:type="paragraph" w:styleId="42">
    <w:name w:val="footnote text"/>
    <w:basedOn w:val="1"/>
    <w:link w:val="126"/>
    <w:autoRedefine/>
    <w:semiHidden/>
    <w:qFormat/>
    <w:uiPriority w:val="0"/>
    <w:pPr>
      <w:snapToGrid w:val="0"/>
      <w:jc w:val="left"/>
    </w:pPr>
    <w:rPr>
      <w:rFonts w:ascii="Times New Roman" w:hAnsi="Times New Roman"/>
      <w:sz w:val="18"/>
      <w:szCs w:val="20"/>
    </w:rPr>
  </w:style>
  <w:style w:type="paragraph" w:styleId="43">
    <w:name w:val="toc 6"/>
    <w:basedOn w:val="1"/>
    <w:next w:val="1"/>
    <w:autoRedefine/>
    <w:unhideWhenUsed/>
    <w:qFormat/>
    <w:uiPriority w:val="0"/>
    <w:pPr>
      <w:ind w:left="2100" w:leftChars="1000"/>
    </w:pPr>
  </w:style>
  <w:style w:type="paragraph" w:styleId="44">
    <w:name w:val="toc 2"/>
    <w:basedOn w:val="1"/>
    <w:next w:val="1"/>
    <w:autoRedefine/>
    <w:unhideWhenUsed/>
    <w:qFormat/>
    <w:uiPriority w:val="0"/>
    <w:pPr>
      <w:ind w:left="420" w:leftChars="200"/>
    </w:pPr>
  </w:style>
  <w:style w:type="paragraph" w:styleId="45">
    <w:name w:val="toc 9"/>
    <w:basedOn w:val="1"/>
    <w:next w:val="1"/>
    <w:autoRedefine/>
    <w:unhideWhenUsed/>
    <w:qFormat/>
    <w:uiPriority w:val="0"/>
    <w:pPr>
      <w:ind w:left="3360" w:leftChars="1600"/>
    </w:pPr>
  </w:style>
  <w:style w:type="paragraph" w:styleId="46">
    <w:name w:val="Message Header"/>
    <w:basedOn w:val="1"/>
    <w:link w:val="127"/>
    <w:autoRedefine/>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7">
    <w:name w:val="HTML Preformatted"/>
    <w:basedOn w:val="1"/>
    <w:link w:val="128"/>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autoRedefine/>
    <w:unhideWhenUsed/>
    <w:qFormat/>
    <w:uiPriority w:val="0"/>
  </w:style>
  <w:style w:type="paragraph" w:styleId="50">
    <w:name w:val="annotation subject"/>
    <w:basedOn w:val="19"/>
    <w:next w:val="19"/>
    <w:link w:val="96"/>
    <w:autoRedefine/>
    <w:unhideWhenUsed/>
    <w:qFormat/>
    <w:uiPriority w:val="0"/>
    <w:rPr>
      <w:b/>
      <w:bCs/>
    </w:rPr>
  </w:style>
  <w:style w:type="paragraph" w:styleId="51">
    <w:name w:val="Body Text First Indent"/>
    <w:basedOn w:val="23"/>
    <w:link w:val="113"/>
    <w:autoRedefine/>
    <w:unhideWhenUsed/>
    <w:qFormat/>
    <w:uiPriority w:val="0"/>
    <w:pPr>
      <w:spacing w:after="120" w:line="240" w:lineRule="auto"/>
      <w:ind w:firstLine="420" w:firstLineChars="100"/>
    </w:pPr>
    <w:rPr>
      <w:rFonts w:ascii="Calibri" w:hAnsi="Calibri"/>
      <w:kern w:val="2"/>
      <w:sz w:val="21"/>
      <w:szCs w:val="22"/>
    </w:rPr>
  </w:style>
  <w:style w:type="paragraph" w:styleId="52">
    <w:name w:val="Body Text First Indent 2"/>
    <w:basedOn w:val="25"/>
    <w:link w:val="85"/>
    <w:autoRedefine/>
    <w:unhideWhenUsed/>
    <w:qFormat/>
    <w:uiPriority w:val="0"/>
    <w:pPr>
      <w:ind w:firstLine="420" w:firstLineChars="200"/>
    </w:pPr>
  </w:style>
  <w:style w:type="table" w:styleId="54">
    <w:name w:val="Table Grid"/>
    <w:basedOn w:val="5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autoRedefine/>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autoRedefine/>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autoRedefine/>
    <w:qFormat/>
    <w:uiPriority w:val="22"/>
    <w:rPr>
      <w:b/>
    </w:rPr>
  </w:style>
  <w:style w:type="character" w:styleId="59">
    <w:name w:val="endnote reference"/>
    <w:autoRedefine/>
    <w:semiHidden/>
    <w:qFormat/>
    <w:uiPriority w:val="0"/>
    <w:rPr>
      <w:vertAlign w:val="superscript"/>
    </w:rPr>
  </w:style>
  <w:style w:type="character" w:styleId="60">
    <w:name w:val="page number"/>
    <w:basedOn w:val="57"/>
    <w:autoRedefine/>
    <w:unhideWhenUsed/>
    <w:qFormat/>
    <w:uiPriority w:val="99"/>
  </w:style>
  <w:style w:type="character" w:styleId="61">
    <w:name w:val="FollowedHyperlink"/>
    <w:autoRedefine/>
    <w:qFormat/>
    <w:uiPriority w:val="99"/>
    <w:rPr>
      <w:color w:val="800080"/>
      <w:u w:val="single"/>
    </w:rPr>
  </w:style>
  <w:style w:type="character" w:styleId="62">
    <w:name w:val="Emphasis"/>
    <w:basedOn w:val="57"/>
    <w:autoRedefine/>
    <w:qFormat/>
    <w:uiPriority w:val="20"/>
  </w:style>
  <w:style w:type="character" w:styleId="63">
    <w:name w:val="HTML Definition"/>
    <w:autoRedefine/>
    <w:qFormat/>
    <w:uiPriority w:val="0"/>
    <w:rPr>
      <w:i/>
      <w:iCs/>
    </w:rPr>
  </w:style>
  <w:style w:type="character" w:styleId="64">
    <w:name w:val="HTML Typewriter"/>
    <w:autoRedefine/>
    <w:semiHidden/>
    <w:qFormat/>
    <w:uiPriority w:val="0"/>
    <w:rPr>
      <w:rFonts w:ascii="Courier New" w:hAnsi="Courier New" w:cs="Courier New"/>
      <w:sz w:val="20"/>
      <w:szCs w:val="20"/>
    </w:rPr>
  </w:style>
  <w:style w:type="character" w:styleId="65">
    <w:name w:val="HTML Variable"/>
    <w:autoRedefine/>
    <w:qFormat/>
    <w:uiPriority w:val="0"/>
    <w:rPr>
      <w:i/>
      <w:iCs/>
    </w:rPr>
  </w:style>
  <w:style w:type="character" w:styleId="66">
    <w:name w:val="Hyperlink"/>
    <w:autoRedefine/>
    <w:qFormat/>
    <w:uiPriority w:val="0"/>
    <w:rPr>
      <w:color w:val="0000FF"/>
      <w:u w:val="single"/>
    </w:rPr>
  </w:style>
  <w:style w:type="character" w:styleId="67">
    <w:name w:val="HTML Code"/>
    <w:autoRedefine/>
    <w:qFormat/>
    <w:uiPriority w:val="0"/>
    <w:rPr>
      <w:rFonts w:ascii="Courier New" w:hAnsi="Courier New" w:cs="Courier New"/>
      <w:sz w:val="20"/>
      <w:szCs w:val="20"/>
    </w:rPr>
  </w:style>
  <w:style w:type="character" w:styleId="68">
    <w:name w:val="annotation reference"/>
    <w:autoRedefine/>
    <w:unhideWhenUsed/>
    <w:qFormat/>
    <w:uiPriority w:val="0"/>
    <w:rPr>
      <w:sz w:val="21"/>
      <w:szCs w:val="21"/>
    </w:rPr>
  </w:style>
  <w:style w:type="character" w:styleId="69">
    <w:name w:val="HTML Cite"/>
    <w:autoRedefine/>
    <w:qFormat/>
    <w:uiPriority w:val="0"/>
    <w:rPr>
      <w:i/>
      <w:iCs/>
    </w:rPr>
  </w:style>
  <w:style w:type="character" w:styleId="70">
    <w:name w:val="footnote reference"/>
    <w:autoRedefine/>
    <w:semiHidden/>
    <w:qFormat/>
    <w:uiPriority w:val="0"/>
    <w:rPr>
      <w:vertAlign w:val="superscript"/>
    </w:rPr>
  </w:style>
  <w:style w:type="character" w:styleId="71">
    <w:name w:val="HTML Keyboard"/>
    <w:autoRedefine/>
    <w:qFormat/>
    <w:uiPriority w:val="0"/>
    <w:rPr>
      <w:rFonts w:ascii="Courier New" w:hAnsi="Courier New" w:cs="Courier New"/>
      <w:sz w:val="20"/>
      <w:szCs w:val="20"/>
    </w:rPr>
  </w:style>
  <w:style w:type="character" w:styleId="72">
    <w:name w:val="HTML Sample"/>
    <w:autoRedefine/>
    <w:qFormat/>
    <w:uiPriority w:val="0"/>
    <w:rPr>
      <w:rFonts w:ascii="Courier New" w:hAnsi="Courier New" w:cs="Courier New"/>
    </w:rPr>
  </w:style>
  <w:style w:type="character" w:customStyle="1" w:styleId="73">
    <w:name w:val="标题 1 Char"/>
    <w:link w:val="3"/>
    <w:autoRedefine/>
    <w:qFormat/>
    <w:uiPriority w:val="0"/>
    <w:rPr>
      <w:b/>
      <w:bCs/>
      <w:kern w:val="44"/>
      <w:sz w:val="44"/>
      <w:szCs w:val="44"/>
    </w:rPr>
  </w:style>
  <w:style w:type="character" w:customStyle="1" w:styleId="74">
    <w:name w:val="标题 2 Char"/>
    <w:link w:val="4"/>
    <w:autoRedefine/>
    <w:qFormat/>
    <w:uiPriority w:val="0"/>
    <w:rPr>
      <w:rFonts w:ascii="Cambria" w:hAnsi="Cambria" w:eastAsia="宋体"/>
      <w:b/>
      <w:bCs/>
      <w:kern w:val="2"/>
      <w:sz w:val="32"/>
      <w:szCs w:val="32"/>
      <w:lang w:val="en-US" w:eastAsia="zh-CN" w:bidi="ar-SA"/>
    </w:rPr>
  </w:style>
  <w:style w:type="character" w:customStyle="1" w:styleId="75">
    <w:name w:val="标题 3 Char"/>
    <w:link w:val="5"/>
    <w:autoRedefine/>
    <w:qFormat/>
    <w:uiPriority w:val="0"/>
    <w:rPr>
      <w:rFonts w:ascii="Calibri" w:hAnsi="Calibri" w:eastAsia="宋体"/>
      <w:b/>
      <w:bCs/>
      <w:kern w:val="2"/>
      <w:sz w:val="32"/>
      <w:szCs w:val="32"/>
      <w:lang w:val="en-US" w:eastAsia="zh-CN" w:bidi="ar-SA"/>
    </w:rPr>
  </w:style>
  <w:style w:type="character" w:customStyle="1" w:styleId="76">
    <w:name w:val="标题 4 Char"/>
    <w:link w:val="6"/>
    <w:autoRedefine/>
    <w:qFormat/>
    <w:uiPriority w:val="0"/>
    <w:rPr>
      <w:rFonts w:ascii="宋体" w:hAnsi="宋体" w:eastAsia="宋体" w:cs="宋体"/>
      <w:b/>
      <w:bCs/>
      <w:sz w:val="24"/>
      <w:szCs w:val="24"/>
      <w:lang w:val="en-US" w:eastAsia="zh-CN" w:bidi="ar-SA"/>
    </w:rPr>
  </w:style>
  <w:style w:type="character" w:customStyle="1" w:styleId="77">
    <w:name w:val="标题 5 Char"/>
    <w:basedOn w:val="57"/>
    <w:link w:val="7"/>
    <w:autoRedefine/>
    <w:qFormat/>
    <w:uiPriority w:val="0"/>
    <w:rPr>
      <w:rFonts w:ascii="Times New Roman" w:hAnsi="Times New Roman"/>
    </w:rPr>
  </w:style>
  <w:style w:type="character" w:customStyle="1" w:styleId="78">
    <w:name w:val="标题 6 Char"/>
    <w:basedOn w:val="57"/>
    <w:link w:val="8"/>
    <w:autoRedefine/>
    <w:qFormat/>
    <w:uiPriority w:val="0"/>
    <w:rPr>
      <w:rFonts w:ascii="Times New Roman" w:hAnsi="Times New Roman"/>
    </w:rPr>
  </w:style>
  <w:style w:type="character" w:customStyle="1" w:styleId="79">
    <w:name w:val="标题 7 Char"/>
    <w:link w:val="9"/>
    <w:autoRedefine/>
    <w:qFormat/>
    <w:uiPriority w:val="0"/>
    <w:rPr>
      <w:rFonts w:ascii="Calibri" w:hAnsi="Calibri" w:eastAsia="宋体"/>
      <w:b/>
      <w:bCs/>
      <w:kern w:val="2"/>
      <w:sz w:val="24"/>
      <w:szCs w:val="24"/>
      <w:lang w:val="en-US" w:eastAsia="zh-CN" w:bidi="ar-SA"/>
    </w:rPr>
  </w:style>
  <w:style w:type="character" w:customStyle="1" w:styleId="80">
    <w:name w:val="标题 8 Char"/>
    <w:basedOn w:val="57"/>
    <w:link w:val="10"/>
    <w:autoRedefine/>
    <w:qFormat/>
    <w:uiPriority w:val="0"/>
    <w:rPr>
      <w:rFonts w:ascii="Times New Roman" w:hAnsi="Times New Roman"/>
    </w:rPr>
  </w:style>
  <w:style w:type="character" w:customStyle="1" w:styleId="81">
    <w:name w:val="标题 9 Char"/>
    <w:basedOn w:val="57"/>
    <w:link w:val="11"/>
    <w:autoRedefine/>
    <w:qFormat/>
    <w:uiPriority w:val="0"/>
    <w:rPr>
      <w:rFonts w:ascii="Times New Roman" w:hAnsi="Times New Roman"/>
    </w:rPr>
  </w:style>
  <w:style w:type="character" w:customStyle="1" w:styleId="82">
    <w:name w:val="页眉 Char"/>
    <w:link w:val="36"/>
    <w:autoRedefine/>
    <w:qFormat/>
    <w:uiPriority w:val="0"/>
    <w:rPr>
      <w:sz w:val="18"/>
      <w:szCs w:val="18"/>
    </w:rPr>
  </w:style>
  <w:style w:type="character" w:styleId="83">
    <w:name w:val="Placeholder Text"/>
    <w:autoRedefine/>
    <w:semiHidden/>
    <w:qFormat/>
    <w:uiPriority w:val="99"/>
    <w:rPr>
      <w:color w:val="808080"/>
    </w:rPr>
  </w:style>
  <w:style w:type="character" w:customStyle="1" w:styleId="84">
    <w:name w:val="title"/>
    <w:basedOn w:val="57"/>
    <w:autoRedefine/>
    <w:qFormat/>
    <w:uiPriority w:val="0"/>
  </w:style>
  <w:style w:type="character" w:customStyle="1" w:styleId="85">
    <w:name w:val="正文首行缩进 2 Char"/>
    <w:basedOn w:val="86"/>
    <w:link w:val="52"/>
    <w:autoRedefine/>
    <w:qFormat/>
    <w:uiPriority w:val="0"/>
  </w:style>
  <w:style w:type="character" w:customStyle="1" w:styleId="86">
    <w:name w:val="正文文本缩进 Char"/>
    <w:basedOn w:val="57"/>
    <w:link w:val="25"/>
    <w:autoRedefine/>
    <w:semiHidden/>
    <w:qFormat/>
    <w:uiPriority w:val="99"/>
  </w:style>
  <w:style w:type="character" w:customStyle="1" w:styleId="87">
    <w:name w:val="批注文字 Char"/>
    <w:link w:val="19"/>
    <w:autoRedefine/>
    <w:semiHidden/>
    <w:qFormat/>
    <w:uiPriority w:val="0"/>
    <w:rPr>
      <w:kern w:val="2"/>
      <w:sz w:val="21"/>
      <w:szCs w:val="22"/>
    </w:rPr>
  </w:style>
  <w:style w:type="character" w:customStyle="1" w:styleId="88">
    <w:name w:val="正文文本 Char"/>
    <w:link w:val="23"/>
    <w:autoRedefine/>
    <w:qFormat/>
    <w:uiPriority w:val="99"/>
    <w:rPr>
      <w:rFonts w:ascii="宋体" w:hAnsi="宋体" w:eastAsia="宋体" w:cs="Times New Roman"/>
      <w:sz w:val="24"/>
      <w:szCs w:val="24"/>
    </w:rPr>
  </w:style>
  <w:style w:type="character" w:customStyle="1" w:styleId="89">
    <w:name w:val="页脚 Char"/>
    <w:link w:val="35"/>
    <w:autoRedefine/>
    <w:qFormat/>
    <w:uiPriority w:val="0"/>
    <w:rPr>
      <w:sz w:val="18"/>
      <w:szCs w:val="18"/>
    </w:rPr>
  </w:style>
  <w:style w:type="character" w:customStyle="1" w:styleId="90">
    <w:name w:val="批注框文本 Char"/>
    <w:link w:val="34"/>
    <w:autoRedefine/>
    <w:semiHidden/>
    <w:qFormat/>
    <w:uiPriority w:val="0"/>
    <w:rPr>
      <w:sz w:val="18"/>
      <w:szCs w:val="18"/>
    </w:rPr>
  </w:style>
  <w:style w:type="character" w:customStyle="1" w:styleId="91">
    <w:name w:val="纯文本 Char"/>
    <w:link w:val="29"/>
    <w:autoRedefine/>
    <w:qFormat/>
    <w:uiPriority w:val="0"/>
    <w:rPr>
      <w:rFonts w:ascii="宋体" w:hAnsi="Courier New" w:cs="Courier New"/>
      <w:kern w:val="2"/>
      <w:sz w:val="21"/>
      <w:szCs w:val="21"/>
    </w:rPr>
  </w:style>
  <w:style w:type="character" w:customStyle="1" w:styleId="92">
    <w:name w:val="标题3 Char"/>
    <w:link w:val="93"/>
    <w:autoRedefine/>
    <w:qFormat/>
    <w:uiPriority w:val="0"/>
    <w:rPr>
      <w:rFonts w:ascii="宋体" w:hAnsi="宋体"/>
      <w:color w:val="000000"/>
      <w:sz w:val="24"/>
    </w:rPr>
  </w:style>
  <w:style w:type="paragraph" w:customStyle="1" w:styleId="93">
    <w:name w:val="标题3"/>
    <w:basedOn w:val="5"/>
    <w:link w:val="92"/>
    <w:autoRedefine/>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autoRedefine/>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18"/>
    <w:autoRedefine/>
    <w:qFormat/>
    <w:uiPriority w:val="0"/>
    <w:rPr>
      <w:rFonts w:ascii="宋体"/>
      <w:kern w:val="2"/>
      <w:sz w:val="18"/>
      <w:szCs w:val="18"/>
    </w:rPr>
  </w:style>
  <w:style w:type="character" w:customStyle="1" w:styleId="96">
    <w:name w:val="批注主题 Char"/>
    <w:link w:val="50"/>
    <w:autoRedefine/>
    <w:semiHidden/>
    <w:qFormat/>
    <w:uiPriority w:val="0"/>
    <w:rPr>
      <w:b/>
      <w:bCs/>
      <w:kern w:val="2"/>
      <w:sz w:val="21"/>
      <w:szCs w:val="22"/>
    </w:rPr>
  </w:style>
  <w:style w:type="paragraph" w:customStyle="1" w:styleId="97">
    <w:name w:val="Report正文"/>
    <w:basedOn w:val="1"/>
    <w:autoRedefine/>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1"/>
    <w:autoRedefine/>
    <w:qFormat/>
    <w:uiPriority w:val="34"/>
    <w:pPr>
      <w:ind w:firstLine="420" w:firstLineChars="200"/>
    </w:pPr>
  </w:style>
  <w:style w:type="paragraph" w:customStyle="1" w:styleId="99">
    <w:name w:val="TOC Heading"/>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0">
    <w:name w:val="p3"/>
    <w:basedOn w:val="1"/>
    <w:autoRedefine/>
    <w:qFormat/>
    <w:uiPriority w:val="0"/>
    <w:pPr>
      <w:spacing w:line="30" w:lineRule="atLeast"/>
      <w:jc w:val="center"/>
    </w:pPr>
    <w:rPr>
      <w:rFonts w:hint="eastAsia" w:ascii="宋体" w:hAnsi="宋体" w:cs="宋体"/>
      <w:kern w:val="0"/>
      <w:sz w:val="36"/>
      <w:szCs w:val="36"/>
    </w:rPr>
  </w:style>
  <w:style w:type="paragraph" w:customStyle="1" w:styleId="101">
    <w:name w:val="Report 1.1.1"/>
    <w:basedOn w:val="102"/>
    <w:autoRedefine/>
    <w:qFormat/>
    <w:uiPriority w:val="0"/>
    <w:pPr>
      <w:tabs>
        <w:tab w:val="left" w:pos="720"/>
      </w:tabs>
    </w:pPr>
    <w:rPr>
      <w:rFonts w:hAnsi="华文细黑" w:eastAsia="华文细黑" w:cs="Arial"/>
      <w:lang w:eastAsia="zh-CN"/>
    </w:rPr>
  </w:style>
  <w:style w:type="paragraph" w:customStyle="1" w:styleId="102">
    <w:name w:val="DTZ Heading 3"/>
    <w:basedOn w:val="1"/>
    <w:next w:val="1"/>
    <w:autoRedefine/>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3">
    <w:name w:val="Char Char Char1 Char"/>
    <w:basedOn w:val="36"/>
    <w:next w:val="1"/>
    <w:autoRedefine/>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4">
    <w:name w:val="Default"/>
    <w:autoRedefine/>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5">
    <w:name w:val="DTZ Heading 4"/>
    <w:basedOn w:val="1"/>
    <w:autoRedefine/>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6">
    <w:name w:val="DTZ Heading 1"/>
    <w:basedOn w:val="1"/>
    <w:next w:val="1"/>
    <w:autoRedefine/>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7">
    <w:name w:val="xl81"/>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8">
    <w:name w:val="样式3"/>
    <w:basedOn w:val="23"/>
    <w:autoRedefine/>
    <w:qFormat/>
    <w:uiPriority w:val="0"/>
    <w:pPr>
      <w:spacing w:after="120"/>
    </w:pPr>
    <w:rPr>
      <w:rFonts w:hAnsi="Times New Roman"/>
      <w:sz w:val="21"/>
    </w:rPr>
  </w:style>
  <w:style w:type="paragraph" w:customStyle="1" w:styleId="109">
    <w:name w:val="DTZ Heading 2"/>
    <w:basedOn w:val="106"/>
    <w:next w:val="1"/>
    <w:autoRedefine/>
    <w:qFormat/>
    <w:uiPriority w:val="0"/>
    <w:pPr>
      <w:numPr>
        <w:ilvl w:val="1"/>
      </w:numPr>
      <w:tabs>
        <w:tab w:val="left" w:pos="5963"/>
      </w:tabs>
      <w:spacing w:after="0" w:line="340" w:lineRule="exact"/>
    </w:pPr>
    <w:rPr>
      <w:sz w:val="28"/>
    </w:rPr>
  </w:style>
  <w:style w:type="paragraph" w:customStyle="1" w:styleId="110">
    <w:name w:val="保留正文"/>
    <w:basedOn w:val="23"/>
    <w:autoRedefine/>
    <w:qFormat/>
    <w:uiPriority w:val="0"/>
    <w:pPr>
      <w:keepNext/>
      <w:spacing w:after="160" w:line="240" w:lineRule="auto"/>
    </w:pPr>
    <w:rPr>
      <w:rFonts w:ascii="Times New Roman" w:hAnsi="Times New Roman"/>
      <w:sz w:val="21"/>
    </w:rPr>
  </w:style>
  <w:style w:type="paragraph" w:customStyle="1" w:styleId="111">
    <w:name w:val="小标题 2"/>
    <w:basedOn w:val="1"/>
    <w:autoRedefine/>
    <w:qFormat/>
    <w:uiPriority w:val="0"/>
    <w:pPr>
      <w:autoSpaceDE w:val="0"/>
      <w:autoSpaceDN w:val="0"/>
      <w:adjustRightInd w:val="0"/>
    </w:pPr>
    <w:rPr>
      <w:rFonts w:ascii="金桥简粗宋" w:hAnsi="Times New Roman" w:eastAsia="金桥简粗宋"/>
      <w:kern w:val="0"/>
      <w:sz w:val="28"/>
      <w:szCs w:val="28"/>
    </w:rPr>
  </w:style>
  <w:style w:type="paragraph" w:customStyle="1" w:styleId="112">
    <w:name w:val="一、"/>
    <w:basedOn w:val="1"/>
    <w:autoRedefine/>
    <w:qFormat/>
    <w:uiPriority w:val="0"/>
    <w:pPr>
      <w:tabs>
        <w:tab w:val="left" w:pos="720"/>
      </w:tabs>
      <w:spacing w:line="740" w:lineRule="exact"/>
    </w:pPr>
    <w:rPr>
      <w:sz w:val="28"/>
      <w:szCs w:val="24"/>
    </w:rPr>
  </w:style>
  <w:style w:type="character" w:customStyle="1" w:styleId="113">
    <w:name w:val="正文首行缩进 Char"/>
    <w:basedOn w:val="88"/>
    <w:link w:val="51"/>
    <w:autoRedefine/>
    <w:semiHidden/>
    <w:qFormat/>
    <w:uiPriority w:val="0"/>
    <w:rPr>
      <w:kern w:val="2"/>
      <w:sz w:val="21"/>
      <w:szCs w:val="22"/>
    </w:rPr>
  </w:style>
  <w:style w:type="paragraph" w:customStyle="1" w:styleId="114">
    <w:name w:val="_Style 2"/>
    <w:basedOn w:val="1"/>
    <w:autoRedefine/>
    <w:qFormat/>
    <w:uiPriority w:val="99"/>
    <w:pPr>
      <w:ind w:firstLine="420" w:firstLineChars="200"/>
    </w:pPr>
  </w:style>
  <w:style w:type="paragraph" w:customStyle="1" w:styleId="115">
    <w:name w:val="UserStyle_0"/>
    <w:basedOn w:val="1"/>
    <w:autoRedefine/>
    <w:qFormat/>
    <w:uiPriority w:val="0"/>
    <w:pPr>
      <w:spacing w:before="15"/>
      <w:ind w:left="120"/>
    </w:pPr>
    <w:rPr>
      <w:rFonts w:ascii="Arial Unicode MS" w:hAnsi="Arial Unicode MS" w:eastAsia="Arial Unicode MS"/>
      <w:sz w:val="32"/>
      <w:szCs w:val="32"/>
    </w:rPr>
  </w:style>
  <w:style w:type="character" w:customStyle="1" w:styleId="116">
    <w:name w:val="注释标题 Char"/>
    <w:basedOn w:val="57"/>
    <w:link w:val="13"/>
    <w:autoRedefine/>
    <w:semiHidden/>
    <w:qFormat/>
    <w:uiPriority w:val="0"/>
    <w:rPr>
      <w:rFonts w:ascii="Times New Roman" w:hAnsi="Times New Roman"/>
      <w:kern w:val="2"/>
      <w:sz w:val="21"/>
      <w:szCs w:val="24"/>
    </w:rPr>
  </w:style>
  <w:style w:type="character" w:customStyle="1" w:styleId="117">
    <w:name w:val="电子邮件签名 Char"/>
    <w:basedOn w:val="57"/>
    <w:link w:val="15"/>
    <w:autoRedefine/>
    <w:semiHidden/>
    <w:qFormat/>
    <w:uiPriority w:val="0"/>
    <w:rPr>
      <w:rFonts w:ascii="Times New Roman" w:hAnsi="Times New Roman"/>
      <w:kern w:val="2"/>
      <w:sz w:val="21"/>
      <w:szCs w:val="24"/>
    </w:rPr>
  </w:style>
  <w:style w:type="character" w:customStyle="1" w:styleId="118">
    <w:name w:val="称呼 Char"/>
    <w:basedOn w:val="57"/>
    <w:link w:val="20"/>
    <w:autoRedefine/>
    <w:semiHidden/>
    <w:qFormat/>
    <w:uiPriority w:val="0"/>
    <w:rPr>
      <w:rFonts w:ascii="Times New Roman" w:hAnsi="Times New Roman"/>
      <w:kern w:val="2"/>
      <w:sz w:val="21"/>
      <w:szCs w:val="24"/>
    </w:rPr>
  </w:style>
  <w:style w:type="character" w:customStyle="1" w:styleId="119">
    <w:name w:val="正文文本 3 Char"/>
    <w:basedOn w:val="57"/>
    <w:link w:val="21"/>
    <w:autoRedefine/>
    <w:semiHidden/>
    <w:qFormat/>
    <w:uiPriority w:val="0"/>
    <w:rPr>
      <w:rFonts w:ascii="Times New Roman" w:hAnsi="Times New Roman"/>
      <w:kern w:val="2"/>
      <w:sz w:val="16"/>
      <w:szCs w:val="16"/>
    </w:rPr>
  </w:style>
  <w:style w:type="character" w:customStyle="1" w:styleId="120">
    <w:name w:val="结束语 Char"/>
    <w:basedOn w:val="57"/>
    <w:link w:val="22"/>
    <w:autoRedefine/>
    <w:semiHidden/>
    <w:qFormat/>
    <w:uiPriority w:val="0"/>
    <w:rPr>
      <w:rFonts w:ascii="Times New Roman" w:hAnsi="Times New Roman"/>
      <w:kern w:val="2"/>
      <w:sz w:val="21"/>
      <w:szCs w:val="24"/>
    </w:rPr>
  </w:style>
  <w:style w:type="character" w:customStyle="1" w:styleId="121">
    <w:name w:val="HTML 地址 Char"/>
    <w:basedOn w:val="57"/>
    <w:link w:val="26"/>
    <w:autoRedefine/>
    <w:semiHidden/>
    <w:qFormat/>
    <w:uiPriority w:val="0"/>
    <w:rPr>
      <w:rFonts w:ascii="Times New Roman" w:hAnsi="Times New Roman"/>
      <w:i/>
      <w:iCs/>
      <w:kern w:val="2"/>
      <w:sz w:val="21"/>
      <w:szCs w:val="24"/>
    </w:rPr>
  </w:style>
  <w:style w:type="character" w:customStyle="1" w:styleId="122">
    <w:name w:val="日期 Char"/>
    <w:basedOn w:val="57"/>
    <w:link w:val="31"/>
    <w:autoRedefine/>
    <w:qFormat/>
    <w:uiPriority w:val="0"/>
    <w:rPr>
      <w:rFonts w:ascii="Times New Roman" w:hAnsi="Times New Roman"/>
      <w:kern w:val="2"/>
      <w:sz w:val="21"/>
    </w:rPr>
  </w:style>
  <w:style w:type="character" w:customStyle="1" w:styleId="123">
    <w:name w:val="正文文本缩进 2 Char"/>
    <w:basedOn w:val="57"/>
    <w:link w:val="32"/>
    <w:autoRedefine/>
    <w:semiHidden/>
    <w:qFormat/>
    <w:uiPriority w:val="0"/>
    <w:rPr>
      <w:rFonts w:ascii="Times New Roman" w:hAnsi="Times New Roman"/>
      <w:kern w:val="2"/>
      <w:sz w:val="21"/>
      <w:szCs w:val="24"/>
    </w:rPr>
  </w:style>
  <w:style w:type="character" w:customStyle="1" w:styleId="124">
    <w:name w:val="尾注文本 Char"/>
    <w:basedOn w:val="57"/>
    <w:link w:val="33"/>
    <w:autoRedefine/>
    <w:semiHidden/>
    <w:qFormat/>
    <w:uiPriority w:val="0"/>
    <w:rPr>
      <w:rFonts w:ascii="Times New Roman" w:hAnsi="Times New Roman"/>
      <w:kern w:val="2"/>
      <w:sz w:val="21"/>
      <w:szCs w:val="24"/>
    </w:rPr>
  </w:style>
  <w:style w:type="character" w:customStyle="1" w:styleId="125">
    <w:name w:val="签名 Char"/>
    <w:basedOn w:val="57"/>
    <w:link w:val="37"/>
    <w:autoRedefine/>
    <w:semiHidden/>
    <w:qFormat/>
    <w:uiPriority w:val="0"/>
    <w:rPr>
      <w:rFonts w:ascii="Times New Roman" w:hAnsi="Times New Roman"/>
      <w:kern w:val="2"/>
      <w:sz w:val="21"/>
      <w:szCs w:val="24"/>
    </w:rPr>
  </w:style>
  <w:style w:type="character" w:customStyle="1" w:styleId="126">
    <w:name w:val="脚注文本 Char"/>
    <w:basedOn w:val="57"/>
    <w:link w:val="42"/>
    <w:autoRedefine/>
    <w:semiHidden/>
    <w:qFormat/>
    <w:uiPriority w:val="0"/>
    <w:rPr>
      <w:rFonts w:ascii="Times New Roman" w:hAnsi="Times New Roman"/>
      <w:kern w:val="2"/>
      <w:sz w:val="18"/>
    </w:rPr>
  </w:style>
  <w:style w:type="character" w:customStyle="1" w:styleId="127">
    <w:name w:val="信息标题 Char"/>
    <w:basedOn w:val="57"/>
    <w:link w:val="46"/>
    <w:autoRedefine/>
    <w:semiHidden/>
    <w:qFormat/>
    <w:uiPriority w:val="0"/>
    <w:rPr>
      <w:rFonts w:ascii="Arial" w:hAnsi="Arial" w:cs="Arial"/>
      <w:kern w:val="2"/>
      <w:sz w:val="24"/>
      <w:szCs w:val="24"/>
      <w:shd w:val="pct20" w:color="auto" w:fill="auto"/>
    </w:rPr>
  </w:style>
  <w:style w:type="character" w:customStyle="1" w:styleId="128">
    <w:name w:val="HTML 预设格式 Char"/>
    <w:basedOn w:val="57"/>
    <w:link w:val="47"/>
    <w:autoRedefine/>
    <w:semiHidden/>
    <w:qFormat/>
    <w:uiPriority w:val="0"/>
    <w:rPr>
      <w:rFonts w:ascii="宋体" w:hAnsi="宋体" w:cs="宋体"/>
      <w:color w:val="000000"/>
      <w:sz w:val="24"/>
      <w:szCs w:val="24"/>
    </w:rPr>
  </w:style>
  <w:style w:type="character" w:customStyle="1" w:styleId="129">
    <w:name w:val="unnamed211"/>
    <w:autoRedefine/>
    <w:semiHidden/>
    <w:qFormat/>
    <w:uiPriority w:val="0"/>
    <w:rPr>
      <w:sz w:val="23"/>
      <w:szCs w:val="23"/>
    </w:rPr>
  </w:style>
  <w:style w:type="character" w:customStyle="1" w:styleId="130">
    <w:name w:val="ss1"/>
    <w:autoRedefine/>
    <w:semiHidden/>
    <w:qFormat/>
    <w:uiPriority w:val="0"/>
    <w:rPr>
      <w:rFonts w:hint="default" w:ascii="ˎ̥" w:hAnsi="ˎ̥"/>
      <w:color w:val="000000"/>
      <w:sz w:val="18"/>
      <w:szCs w:val="18"/>
      <w:u w:val="none"/>
    </w:rPr>
  </w:style>
  <w:style w:type="character" w:customStyle="1" w:styleId="131">
    <w:name w:val="f142"/>
    <w:autoRedefine/>
    <w:semiHidden/>
    <w:qFormat/>
    <w:uiPriority w:val="0"/>
    <w:rPr>
      <w:sz w:val="21"/>
      <w:szCs w:val="21"/>
    </w:rPr>
  </w:style>
  <w:style w:type="character" w:customStyle="1" w:styleId="132">
    <w:name w:val="f14b1"/>
    <w:autoRedefine/>
    <w:semiHidden/>
    <w:qFormat/>
    <w:uiPriority w:val="0"/>
    <w:rPr>
      <w:b/>
      <w:bCs/>
      <w:sz w:val="21"/>
      <w:szCs w:val="21"/>
    </w:rPr>
  </w:style>
  <w:style w:type="character" w:customStyle="1" w:styleId="133">
    <w:name w:val="ca-41"/>
    <w:autoRedefine/>
    <w:qFormat/>
    <w:uiPriority w:val="0"/>
    <w:rPr>
      <w:rFonts w:hint="eastAsia" w:ascii="黑体" w:eastAsia="黑体"/>
      <w:b/>
      <w:bCs/>
      <w:spacing w:val="-20"/>
      <w:sz w:val="30"/>
      <w:szCs w:val="30"/>
    </w:rPr>
  </w:style>
  <w:style w:type="character" w:customStyle="1" w:styleId="134">
    <w:name w:val="签名 Char1"/>
    <w:basedOn w:val="57"/>
    <w:autoRedefine/>
    <w:semiHidden/>
    <w:qFormat/>
    <w:uiPriority w:val="99"/>
    <w:rPr>
      <w:rFonts w:ascii="Times New Roman" w:hAnsi="Times New Roman" w:eastAsia="宋体" w:cs="Times New Roman"/>
      <w:szCs w:val="20"/>
    </w:rPr>
  </w:style>
  <w:style w:type="character" w:customStyle="1" w:styleId="135">
    <w:name w:val="正文文本缩进 2 Char1"/>
    <w:basedOn w:val="57"/>
    <w:autoRedefine/>
    <w:semiHidden/>
    <w:qFormat/>
    <w:uiPriority w:val="99"/>
    <w:rPr>
      <w:rFonts w:ascii="Times New Roman" w:hAnsi="Times New Roman" w:eastAsia="宋体" w:cs="Times New Roman"/>
      <w:szCs w:val="20"/>
    </w:rPr>
  </w:style>
  <w:style w:type="paragraph" w:customStyle="1" w:styleId="136">
    <w:name w:val="style93"/>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37">
    <w:name w:val="纯文本 Char1"/>
    <w:autoRedefine/>
    <w:qFormat/>
    <w:uiPriority w:val="0"/>
    <w:rPr>
      <w:rFonts w:ascii="宋体" w:hAnsi="Courier New" w:cs="Courier New"/>
      <w:kern w:val="2"/>
      <w:sz w:val="21"/>
      <w:szCs w:val="21"/>
    </w:rPr>
  </w:style>
  <w:style w:type="character" w:customStyle="1" w:styleId="138">
    <w:name w:val="Char Char23"/>
    <w:autoRedefine/>
    <w:semiHidden/>
    <w:qFormat/>
    <w:uiPriority w:val="0"/>
    <w:rPr>
      <w:rFonts w:ascii="Times New Roman" w:hAnsi="Times New Roman" w:eastAsia="宋体" w:cs="Times New Roman"/>
      <w:b/>
      <w:bCs/>
      <w:szCs w:val="24"/>
    </w:rPr>
  </w:style>
  <w:style w:type="paragraph" w:customStyle="1" w:styleId="139">
    <w:name w:val="z-窗体顶端1"/>
    <w:basedOn w:val="1"/>
    <w:next w:val="1"/>
    <w:link w:val="140"/>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140">
    <w:name w:val="z-窗体顶端 Char"/>
    <w:basedOn w:val="57"/>
    <w:link w:val="139"/>
    <w:autoRedefine/>
    <w:qFormat/>
    <w:uiPriority w:val="99"/>
    <w:rPr>
      <w:rFonts w:ascii="Arial" w:hAnsi="Arial"/>
      <w:vanish/>
      <w:sz w:val="16"/>
      <w:szCs w:val="16"/>
    </w:rPr>
  </w:style>
  <w:style w:type="paragraph" w:customStyle="1" w:styleId="141">
    <w:name w:val="z-窗体底端1"/>
    <w:basedOn w:val="1"/>
    <w:next w:val="1"/>
    <w:link w:val="142"/>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142">
    <w:name w:val="z-窗体底端 Char"/>
    <w:basedOn w:val="57"/>
    <w:link w:val="141"/>
    <w:autoRedefine/>
    <w:qFormat/>
    <w:uiPriority w:val="99"/>
    <w:rPr>
      <w:rFonts w:ascii="Arial" w:hAnsi="Arial"/>
      <w:vanish/>
      <w:sz w:val="16"/>
      <w:szCs w:val="16"/>
    </w:rPr>
  </w:style>
  <w:style w:type="paragraph" w:customStyle="1" w:styleId="143">
    <w:name w:val="_Style 10"/>
    <w:autoRedefine/>
    <w:qFormat/>
    <w:uiPriority w:val="0"/>
    <w:rPr>
      <w:rFonts w:ascii="Calibri" w:hAnsi="Calibri" w:eastAsia="宋体" w:cs="Times New Roman"/>
      <w:kern w:val="2"/>
      <w:sz w:val="21"/>
      <w:szCs w:val="22"/>
      <w:lang w:val="en-US" w:eastAsia="zh-CN" w:bidi="ar-SA"/>
    </w:rPr>
  </w:style>
  <w:style w:type="paragraph" w:customStyle="1" w:styleId="144">
    <w:name w:val="列出段落1"/>
    <w:basedOn w:val="1"/>
    <w:autoRedefine/>
    <w:qFormat/>
    <w:uiPriority w:val="34"/>
    <w:pPr>
      <w:ind w:firstLine="420" w:firstLineChars="200"/>
    </w:pPr>
  </w:style>
  <w:style w:type="paragraph" w:customStyle="1" w:styleId="145">
    <w:name w:val="列出段落2"/>
    <w:basedOn w:val="146"/>
    <w:autoRedefine/>
    <w:qFormat/>
    <w:uiPriority w:val="34"/>
    <w:pPr>
      <w:ind w:firstLine="420" w:firstLineChars="200"/>
    </w:pPr>
  </w:style>
  <w:style w:type="paragraph" w:customStyle="1" w:styleId="146">
    <w:name w:val="正文2"/>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47">
    <w:name w:val="Normal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autoRedefine/>
    <w:qFormat/>
    <w:uiPriority w:val="0"/>
    <w:rPr>
      <w:rFonts w:ascii="FZXBSJW--GB1-0" w:hAnsi="FZXBSJW--GB1-0" w:eastAsia="FZXBSJW--GB1-0" w:cs="FZXBSJW--GB1-0"/>
      <w:color w:val="000000"/>
      <w:sz w:val="44"/>
      <w:szCs w:val="44"/>
    </w:rPr>
  </w:style>
  <w:style w:type="character" w:customStyle="1" w:styleId="150">
    <w:name w:val="fontstyle31"/>
    <w:basedOn w:val="57"/>
    <w:autoRedefine/>
    <w:qFormat/>
    <w:uiPriority w:val="0"/>
    <w:rPr>
      <w:rFonts w:ascii="仿宋_GB2312" w:hAnsi="仿宋_GB2312" w:eastAsia="仿宋_GB2312" w:cs="仿宋_GB2312"/>
      <w:color w:val="000000"/>
      <w:sz w:val="32"/>
      <w:szCs w:val="32"/>
    </w:rPr>
  </w:style>
  <w:style w:type="paragraph" w:customStyle="1" w:styleId="151">
    <w:name w:val="页脚2"/>
    <w:basedOn w:val="146"/>
    <w:autoRedefine/>
    <w:unhideWhenUsed/>
    <w:qFormat/>
    <w:uiPriority w:val="0"/>
    <w:pPr>
      <w:tabs>
        <w:tab w:val="center" w:pos="4153"/>
        <w:tab w:val="right" w:pos="8306"/>
      </w:tabs>
      <w:snapToGrid w:val="0"/>
      <w:jc w:val="left"/>
    </w:pPr>
    <w:rPr>
      <w:sz w:val="18"/>
      <w:szCs w:val="18"/>
    </w:rPr>
  </w:style>
  <w:style w:type="character" w:customStyle="1" w:styleId="152">
    <w:name w:val="纯文本 Char2"/>
    <w:autoRedefine/>
    <w:qFormat/>
    <w:uiPriority w:val="0"/>
    <w:rPr>
      <w:rFonts w:ascii="宋体" w:hAnsi="Courier New" w:eastAsia="宋体" w:cs="Courier New"/>
      <w:sz w:val="21"/>
      <w:szCs w:val="21"/>
    </w:rPr>
  </w:style>
  <w:style w:type="character" w:customStyle="1" w:styleId="153">
    <w:name w:val="fontstrikethrough"/>
    <w:basedOn w:val="57"/>
    <w:autoRedefine/>
    <w:qFormat/>
    <w:uiPriority w:val="0"/>
    <w:rPr>
      <w:strike/>
    </w:rPr>
  </w:style>
  <w:style w:type="character" w:customStyle="1" w:styleId="154">
    <w:name w:val="副标题 Char"/>
    <w:link w:val="40"/>
    <w:autoRedefine/>
    <w:qFormat/>
    <w:uiPriority w:val="11"/>
    <w:rPr>
      <w:rFonts w:ascii="Cambria" w:hAnsi="Cambria"/>
      <w:b/>
      <w:bCs/>
      <w:kern w:val="28"/>
      <w:sz w:val="32"/>
      <w:szCs w:val="32"/>
    </w:rPr>
  </w:style>
  <w:style w:type="character" w:customStyle="1" w:styleId="155">
    <w:name w:val="fontborder"/>
    <w:basedOn w:val="57"/>
    <w:autoRedefine/>
    <w:qFormat/>
    <w:uiPriority w:val="0"/>
    <w:rPr>
      <w:bdr w:val="single" w:color="000000" w:sz="6" w:space="0"/>
    </w:rPr>
  </w:style>
  <w:style w:type="character" w:customStyle="1" w:styleId="156">
    <w:name w:val="标题 Char1"/>
    <w:autoRedefine/>
    <w:qFormat/>
    <w:uiPriority w:val="10"/>
    <w:rPr>
      <w:rFonts w:ascii="Cambria" w:hAnsi="Cambria" w:cs="Times New Roman"/>
      <w:b/>
      <w:bCs/>
      <w:kern w:val="2"/>
      <w:sz w:val="32"/>
      <w:szCs w:val="32"/>
    </w:rPr>
  </w:style>
  <w:style w:type="character" w:customStyle="1" w:styleId="157">
    <w:name w:val="标题 Char"/>
    <w:link w:val="24"/>
    <w:autoRedefine/>
    <w:qFormat/>
    <w:uiPriority w:val="0"/>
    <w:rPr>
      <w:rFonts w:ascii="Cambria" w:hAnsi="Cambria"/>
      <w:b/>
      <w:bCs/>
      <w:kern w:val="2"/>
      <w:sz w:val="32"/>
      <w:szCs w:val="32"/>
    </w:rPr>
  </w:style>
  <w:style w:type="character" w:customStyle="1" w:styleId="158">
    <w:name w:val="标题 Char2"/>
    <w:basedOn w:val="57"/>
    <w:link w:val="24"/>
    <w:autoRedefine/>
    <w:qFormat/>
    <w:uiPriority w:val="10"/>
    <w:rPr>
      <w:rFonts w:asciiTheme="majorHAnsi" w:hAnsiTheme="majorHAnsi" w:cstheme="majorBidi"/>
      <w:b/>
      <w:bCs/>
      <w:kern w:val="2"/>
      <w:sz w:val="32"/>
      <w:szCs w:val="32"/>
    </w:rPr>
  </w:style>
  <w:style w:type="character" w:customStyle="1" w:styleId="159">
    <w:name w:val="副标题 Char1"/>
    <w:basedOn w:val="57"/>
    <w:link w:val="40"/>
    <w:autoRedefine/>
    <w:qFormat/>
    <w:uiPriority w:val="11"/>
    <w:rPr>
      <w:rFonts w:asciiTheme="majorHAnsi" w:hAnsiTheme="majorHAnsi" w:cstheme="majorBidi"/>
      <w:b/>
      <w:bCs/>
      <w:kern w:val="28"/>
      <w:sz w:val="32"/>
      <w:szCs w:val="32"/>
    </w:rPr>
  </w:style>
  <w:style w:type="paragraph" w:customStyle="1" w:styleId="160">
    <w:name w:val="Heading 2_1"/>
    <w:basedOn w:val="147"/>
    <w:next w:val="147"/>
    <w:autoRedefine/>
    <w:qFormat/>
    <w:uiPriority w:val="0"/>
    <w:pPr>
      <w:spacing w:before="360" w:after="120" w:line="360" w:lineRule="auto"/>
      <w:outlineLvl w:val="1"/>
    </w:pPr>
    <w:rPr>
      <w:rFonts w:ascii="Cambria" w:hAnsi="Cambria" w:eastAsia="黑体"/>
      <w:b/>
      <w:bCs/>
      <w:sz w:val="32"/>
      <w:szCs w:val="32"/>
    </w:rPr>
  </w:style>
  <w:style w:type="paragraph" w:customStyle="1" w:styleId="161">
    <w:name w:val="Normal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autoRedefine/>
    <w:qFormat/>
    <w:uiPriority w:val="0"/>
    <w:pPr>
      <w:widowControl/>
      <w:spacing w:line="300" w:lineRule="auto"/>
      <w:jc w:val="left"/>
    </w:pPr>
    <w:rPr>
      <w:kern w:val="0"/>
      <w:sz w:val="24"/>
      <w:szCs w:val="21"/>
      <w:lang w:eastAsia="en-US" w:bidi="en-US"/>
    </w:rPr>
  </w:style>
  <w:style w:type="paragraph" w:customStyle="1" w:styleId="163">
    <w:name w:val="Normal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autoRedefine/>
    <w:qFormat/>
    <w:uiPriority w:val="0"/>
    <w:rPr>
      <w:rFonts w:ascii="宋体" w:hAnsi="Courier New" w:cs="Courier New"/>
      <w:szCs w:val="21"/>
    </w:rPr>
  </w:style>
  <w:style w:type="character" w:customStyle="1" w:styleId="165">
    <w:name w:val="_Style 1"/>
    <w:autoRedefine/>
    <w:qFormat/>
    <w:uiPriority w:val="19"/>
    <w:rPr>
      <w:rFonts w:eastAsia="宋体"/>
      <w:iCs/>
      <w:color w:val="404040"/>
      <w:sz w:val="30"/>
    </w:rPr>
  </w:style>
  <w:style w:type="paragraph" w:customStyle="1" w:styleId="166">
    <w:name w:val="条款标题"/>
    <w:basedOn w:val="4"/>
    <w:autoRedefine/>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样式1"/>
    <w:basedOn w:val="6"/>
    <w:autoRedefine/>
    <w:qFormat/>
    <w:uiPriority w:val="0"/>
    <w:pPr>
      <w:keepLines/>
      <w:numPr>
        <w:ilvl w:val="0"/>
        <w:numId w:val="0"/>
      </w:numPr>
      <w:tabs>
        <w:tab w:val="clear" w:pos="864"/>
      </w:tabs>
      <w:spacing w:before="280" w:after="290" w:line="376" w:lineRule="auto"/>
    </w:pPr>
    <w:rPr>
      <w:rFonts w:ascii="Arial" w:hAnsi="Arial" w:cs="Arial"/>
      <w:sz w:val="28"/>
      <w:szCs w:val="28"/>
    </w:rPr>
  </w:style>
  <w:style w:type="paragraph" w:customStyle="1" w:styleId="169">
    <w:name w:val="正文1"/>
    <w:basedOn w:val="1"/>
    <w:qFormat/>
    <w:uiPriority w:val="0"/>
    <w:pPr>
      <w:tabs>
        <w:tab w:val="left" w:pos="9072"/>
      </w:tabs>
      <w:spacing w:line="460" w:lineRule="exact"/>
      <w:ind w:right="-293" w:rightChars="-100" w:firstLine="506"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18083</Words>
  <Characters>18889</Characters>
  <Lines>137</Lines>
  <Paragraphs>38</Paragraphs>
  <TotalTime>15</TotalTime>
  <ScaleCrop>false</ScaleCrop>
  <LinksUpToDate>false</LinksUpToDate>
  <CharactersWithSpaces>19390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2023-05-24T09:28:00Z</dcterms:created>
  <dc:creator>微软用户</dc:creator>
  <cp:lastModifiedBy>FLY</cp:lastModifiedBy>
  <cp:lastPrinted>2019-11-20T08:55:00Z</cp:lastPrinted>
  <dcterms:modified xsi:type="dcterms:W3CDTF">2024-09-27T08:04:24Z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897F4653DFD54B8A81545F5DF1A25B4F_13</vt:lpwstr>
  </property>
</Properties>
</file>