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C1D0B0">
      <w:pPr>
        <w:ind w:right="1284"/>
        <w:rPr>
          <w:rFonts w:ascii="宋体" w:hAnsi="宋体"/>
          <w:b/>
          <w:color w:val="000000"/>
          <w:spacing w:val="20"/>
          <w:sz w:val="28"/>
        </w:rPr>
      </w:pPr>
    </w:p>
    <w:p w14:paraId="7308616A">
      <w:pPr>
        <w:jc w:val="right"/>
        <w:rPr>
          <w:rFonts w:ascii="Tahoma" w:hAnsi="Tahoma" w:eastAsia="Tahoma" w:cs="Tahoma"/>
          <w:sz w:val="22"/>
          <w:shd w:val="clear" w:color="auto" w:fill="F9F9F9"/>
        </w:rPr>
      </w:pPr>
      <w:r>
        <w:rPr>
          <w:rFonts w:hint="eastAsia" w:ascii="宋体" w:hAnsi="宋体"/>
          <w:b/>
          <w:color w:val="000000"/>
          <w:spacing w:val="20"/>
          <w:sz w:val="28"/>
        </w:rPr>
        <w:t>项目编号：</w:t>
      </w:r>
      <w:r>
        <w:rPr>
          <w:rFonts w:ascii="Tahoma" w:hAnsi="Tahoma" w:eastAsia="Tahoma" w:cs="Tahoma"/>
          <w:sz w:val="22"/>
          <w:shd w:val="clear" w:color="auto" w:fill="F9F9F9"/>
        </w:rPr>
        <w:t xml:space="preserve"> XM20230720</w:t>
      </w:r>
    </w:p>
    <w:p w14:paraId="6E8A229C">
      <w:pPr>
        <w:jc w:val="center"/>
        <w:rPr>
          <w:rFonts w:ascii="黑体" w:hAnsi="Arial" w:eastAsia="黑体" w:cs="Arial"/>
          <w:color w:val="000000"/>
          <w:sz w:val="52"/>
          <w:szCs w:val="52"/>
        </w:rPr>
      </w:pPr>
      <w:r>
        <w:rPr>
          <w:rFonts w:hint="eastAsia" w:ascii="黑体" w:hAnsi="Arial" w:eastAsia="黑体" w:cs="Arial"/>
          <w:color w:val="000000"/>
          <w:sz w:val="52"/>
          <w:szCs w:val="52"/>
        </w:rPr>
        <w:t>【服务类】</w:t>
      </w:r>
    </w:p>
    <w:p w14:paraId="3BFA0987">
      <w:pPr>
        <w:jc w:val="center"/>
        <w:outlineLvl w:val="0"/>
        <w:rPr>
          <w:rFonts w:ascii="黑体" w:hAnsi="黑体" w:eastAsia="黑体"/>
          <w:sz w:val="52"/>
          <w:szCs w:val="52"/>
        </w:rPr>
      </w:pPr>
      <w:r>
        <w:rPr>
          <w:rFonts w:hint="eastAsia" w:ascii="黑体" w:hAnsi="黑体" w:eastAsia="黑体"/>
          <w:sz w:val="52"/>
          <w:szCs w:val="52"/>
        </w:rPr>
        <w:t>北京中医药大学深圳医院（龙岗）</w:t>
      </w:r>
    </w:p>
    <w:p w14:paraId="1E88028A">
      <w:pPr>
        <w:jc w:val="center"/>
        <w:outlineLvl w:val="0"/>
        <w:rPr>
          <w:rFonts w:ascii="黑体" w:hAnsi="Arial" w:eastAsia="黑体" w:cs="Arial"/>
          <w:color w:val="000000"/>
          <w:sz w:val="52"/>
          <w:szCs w:val="52"/>
        </w:rPr>
      </w:pPr>
      <w:r>
        <w:rPr>
          <w:rFonts w:hint="eastAsia" w:ascii="黑体" w:hAnsi="Arial" w:eastAsia="黑体" w:cs="Arial"/>
          <w:color w:val="000000"/>
          <w:sz w:val="52"/>
          <w:szCs w:val="52"/>
        </w:rPr>
        <w:t>园山污水运维服务</w:t>
      </w:r>
    </w:p>
    <w:p w14:paraId="71B3C2DF">
      <w:pPr>
        <w:jc w:val="center"/>
        <w:outlineLvl w:val="0"/>
        <w:rPr>
          <w:rFonts w:ascii="黑体" w:hAnsi="黑体" w:eastAsia="黑体" w:cs="Arial"/>
          <w:color w:val="000000"/>
          <w:sz w:val="52"/>
          <w:szCs w:val="52"/>
        </w:rPr>
      </w:pPr>
      <w:r>
        <w:rPr>
          <w:rFonts w:ascii="黑体" w:hAnsi="Arial" w:eastAsia="黑体" w:cs="Arial"/>
          <w:color w:val="000000"/>
          <w:sz w:val="52"/>
          <w:szCs w:val="52"/>
        </w:rPr>
        <w:t>采购</w:t>
      </w:r>
      <w:r>
        <w:rPr>
          <w:rFonts w:hint="eastAsia" w:ascii="黑体" w:hAnsi="Arial" w:eastAsia="黑体" w:cs="Arial"/>
          <w:color w:val="000000"/>
          <w:sz w:val="52"/>
          <w:szCs w:val="52"/>
        </w:rPr>
        <w:t>招标文件</w:t>
      </w:r>
    </w:p>
    <w:p w14:paraId="767C9399">
      <w:pPr>
        <w:spacing w:line="440" w:lineRule="exact"/>
        <w:ind w:firstLine="1040" w:firstLineChars="200"/>
        <w:rPr>
          <w:rFonts w:ascii="Arial" w:hAnsi="Arial" w:eastAsia="仿宋_GB2312" w:cs="Arial"/>
          <w:color w:val="000000"/>
          <w:sz w:val="52"/>
        </w:rPr>
      </w:pPr>
    </w:p>
    <w:p w14:paraId="005DF625">
      <w:pPr>
        <w:rPr>
          <w:rFonts w:ascii="Arial" w:hAnsi="Arial" w:eastAsia="仿宋_GB2312" w:cs="Arial"/>
          <w:color w:val="000000"/>
          <w:sz w:val="44"/>
        </w:rPr>
      </w:pPr>
    </w:p>
    <w:p w14:paraId="1FBF5EE3">
      <w:pPr>
        <w:rPr>
          <w:rFonts w:ascii="Arial" w:hAnsi="Arial" w:eastAsia="仿宋_GB2312" w:cs="Arial"/>
          <w:color w:val="000000"/>
          <w:sz w:val="44"/>
        </w:rPr>
      </w:pPr>
    </w:p>
    <w:p w14:paraId="6A23F922">
      <w:pPr>
        <w:rPr>
          <w:rFonts w:ascii="Arial" w:hAnsi="Arial" w:eastAsia="仿宋_GB2312" w:cs="Arial"/>
          <w:color w:val="000000"/>
          <w:sz w:val="44"/>
        </w:rPr>
      </w:pPr>
    </w:p>
    <w:p w14:paraId="2C4DCE6A">
      <w:pPr>
        <w:rPr>
          <w:rFonts w:ascii="Arial" w:hAnsi="Arial" w:eastAsia="仿宋_GB2312" w:cs="Arial"/>
          <w:color w:val="000000"/>
          <w:sz w:val="44"/>
        </w:rPr>
      </w:pPr>
    </w:p>
    <w:p w14:paraId="61166F85">
      <w:pPr>
        <w:rPr>
          <w:rFonts w:ascii="Arial" w:hAnsi="Arial" w:eastAsia="仿宋_GB2312" w:cs="Arial"/>
          <w:color w:val="000000"/>
          <w:sz w:val="44"/>
        </w:rPr>
      </w:pPr>
    </w:p>
    <w:p w14:paraId="4CB9C32D">
      <w:pPr>
        <w:rPr>
          <w:rFonts w:ascii="Arial" w:hAnsi="Arial" w:eastAsia="仿宋_GB2312" w:cs="Arial"/>
          <w:color w:val="000000"/>
          <w:sz w:val="44"/>
        </w:rPr>
      </w:pPr>
    </w:p>
    <w:p w14:paraId="0D27D1DB">
      <w:pPr>
        <w:rPr>
          <w:rFonts w:ascii="Arial" w:hAnsi="Arial" w:eastAsia="仿宋_GB2312" w:cs="Arial"/>
          <w:color w:val="000000"/>
          <w:sz w:val="44"/>
        </w:rPr>
      </w:pPr>
    </w:p>
    <w:p w14:paraId="7A8CC658">
      <w:pPr>
        <w:snapToGrid w:val="0"/>
        <w:spacing w:line="480" w:lineRule="auto"/>
        <w:jc w:val="center"/>
        <w:rPr>
          <w:rFonts w:ascii="黑体" w:hAnsi="黑体" w:eastAsia="黑体"/>
          <w:sz w:val="36"/>
          <w:szCs w:val="36"/>
        </w:rPr>
      </w:pPr>
    </w:p>
    <w:p w14:paraId="0FC89072">
      <w:pPr>
        <w:snapToGrid w:val="0"/>
        <w:spacing w:line="480" w:lineRule="auto"/>
        <w:jc w:val="center"/>
        <w:rPr>
          <w:rFonts w:ascii="黑体" w:hAnsi="黑体" w:eastAsia="黑体" w:cs="Arial"/>
          <w:color w:val="000000"/>
          <w:sz w:val="36"/>
          <w:szCs w:val="36"/>
        </w:rPr>
      </w:pPr>
      <w:r>
        <w:rPr>
          <w:rFonts w:hint="eastAsia" w:ascii="黑体" w:hAnsi="黑体" w:eastAsia="黑体"/>
          <w:sz w:val="36"/>
          <w:szCs w:val="36"/>
        </w:rPr>
        <w:t>北京中医药大学深圳医院（龙岗）</w:t>
      </w:r>
    </w:p>
    <w:p w14:paraId="18D4E502">
      <w:pPr>
        <w:snapToGrid w:val="0"/>
        <w:spacing w:line="480" w:lineRule="auto"/>
        <w:jc w:val="center"/>
        <w:rPr>
          <w:rFonts w:ascii="黑体" w:hAnsi="黑体" w:eastAsia="黑体" w:cs="Arial"/>
          <w:color w:val="000000"/>
          <w:sz w:val="52"/>
        </w:rPr>
      </w:pPr>
      <w:r>
        <w:rPr>
          <w:rFonts w:hint="eastAsia" w:ascii="黑体" w:hAnsi="黑体" w:eastAsia="黑体" w:cs="Arial"/>
          <w:color w:val="000000"/>
          <w:sz w:val="36"/>
          <w:szCs w:val="36"/>
        </w:rPr>
        <w:t>二</w:t>
      </w:r>
      <w:r>
        <w:rPr>
          <w:rFonts w:hint="eastAsia" w:ascii="黑体" w:hAnsi="黑体" w:eastAsia="黑体" w:cs="宋体"/>
          <w:color w:val="000000"/>
          <w:sz w:val="36"/>
          <w:szCs w:val="36"/>
        </w:rPr>
        <w:t>〇二三</w:t>
      </w:r>
      <w:r>
        <w:rPr>
          <w:rFonts w:hint="eastAsia" w:ascii="黑体" w:hAnsi="黑体" w:eastAsia="黑体" w:cs="Arial"/>
          <w:color w:val="000000"/>
          <w:sz w:val="36"/>
          <w:szCs w:val="36"/>
        </w:rPr>
        <w:t>年</w:t>
      </w:r>
      <w:r>
        <w:rPr>
          <w:rFonts w:hint="eastAsia" w:ascii="黑体" w:hAnsi="黑体" w:eastAsia="黑体" w:cs="宋体"/>
          <w:color w:val="000000"/>
          <w:sz w:val="36"/>
          <w:szCs w:val="36"/>
        </w:rPr>
        <w:t>六</w:t>
      </w:r>
      <w:r>
        <w:rPr>
          <w:rFonts w:hint="eastAsia" w:ascii="黑体" w:hAnsi="黑体" w:eastAsia="黑体" w:cs="Arial"/>
          <w:color w:val="000000"/>
          <w:sz w:val="36"/>
          <w:szCs w:val="36"/>
        </w:rPr>
        <w:t>月</w:t>
      </w:r>
    </w:p>
    <w:p w14:paraId="4718B820">
      <w:pPr>
        <w:rPr>
          <w:rFonts w:ascii="宋体" w:hAnsi="宋体"/>
          <w:color w:val="000000"/>
          <w:sz w:val="24"/>
        </w:rPr>
      </w:pPr>
    </w:p>
    <w:p w14:paraId="1522282E">
      <w:pPr>
        <w:rPr>
          <w:rFonts w:ascii="宋体" w:hAnsi="宋体"/>
          <w:b/>
          <w:sz w:val="44"/>
          <w:szCs w:val="44"/>
        </w:rPr>
      </w:pPr>
    </w:p>
    <w:p w14:paraId="1BAF2E20">
      <w:pPr>
        <w:widowControl/>
        <w:jc w:val="left"/>
        <w:rPr>
          <w:rFonts w:ascii="宋体" w:hAnsi="宋体"/>
          <w:b/>
          <w:sz w:val="44"/>
          <w:szCs w:val="44"/>
        </w:rPr>
      </w:pPr>
      <w:r>
        <w:rPr>
          <w:rFonts w:ascii="宋体" w:hAnsi="宋体"/>
          <w:b/>
          <w:sz w:val="44"/>
          <w:szCs w:val="44"/>
        </w:rPr>
        <w:br w:type="page"/>
      </w:r>
    </w:p>
    <w:p w14:paraId="42057FB4">
      <w:pPr>
        <w:jc w:val="center"/>
        <w:rPr>
          <w:rFonts w:ascii="宋体" w:hAnsi="宋体"/>
          <w:b/>
          <w:sz w:val="44"/>
          <w:szCs w:val="44"/>
        </w:rPr>
      </w:pPr>
      <w:r>
        <w:rPr>
          <w:rFonts w:hint="eastAsia" w:ascii="宋体" w:hAnsi="宋体"/>
          <w:b/>
          <w:sz w:val="44"/>
          <w:szCs w:val="44"/>
        </w:rPr>
        <w:t>北京中医药大学深圳医院（龙岗）</w:t>
      </w:r>
    </w:p>
    <w:p w14:paraId="49F22D44">
      <w:pPr>
        <w:jc w:val="center"/>
        <w:rPr>
          <w:rFonts w:ascii="宋体" w:hAnsi="宋体"/>
          <w:b/>
          <w:sz w:val="44"/>
          <w:szCs w:val="44"/>
        </w:rPr>
      </w:pPr>
      <w:r>
        <w:rPr>
          <w:rFonts w:ascii="宋体" w:hAnsi="宋体"/>
          <w:b/>
          <w:sz w:val="44"/>
          <w:szCs w:val="44"/>
        </w:rPr>
        <w:t>园山污水运维服务</w:t>
      </w:r>
      <w:r>
        <w:rPr>
          <w:rFonts w:hint="eastAsia" w:ascii="宋体" w:hAnsi="宋体"/>
          <w:b/>
          <w:sz w:val="44"/>
          <w:szCs w:val="44"/>
        </w:rPr>
        <w:t>招标文件</w:t>
      </w:r>
    </w:p>
    <w:p w14:paraId="41E03864">
      <w:pPr>
        <w:rPr>
          <w:rFonts w:ascii="宋体" w:hAnsi="宋体"/>
          <w:b/>
          <w:sz w:val="32"/>
          <w:szCs w:val="32"/>
        </w:rPr>
      </w:pPr>
    </w:p>
    <w:p w14:paraId="563BD4E8">
      <w:pPr>
        <w:rPr>
          <w:rFonts w:asciiTheme="minorEastAsia" w:hAnsiTheme="minorEastAsia"/>
          <w:b/>
          <w:sz w:val="32"/>
          <w:szCs w:val="32"/>
        </w:rPr>
      </w:pPr>
      <w:r>
        <w:rPr>
          <w:rFonts w:hint="eastAsia" w:asciiTheme="minorEastAsia" w:hAnsiTheme="minorEastAsia"/>
          <w:b/>
          <w:sz w:val="32"/>
          <w:szCs w:val="32"/>
        </w:rPr>
        <w:t xml:space="preserve">招标文件编号：  </w:t>
      </w:r>
      <w:r>
        <w:rPr>
          <w:rFonts w:asciiTheme="minorEastAsia" w:hAnsiTheme="minorEastAsia"/>
          <w:b/>
          <w:sz w:val="32"/>
          <w:szCs w:val="32"/>
        </w:rPr>
        <w:t>XM20230720</w:t>
      </w:r>
    </w:p>
    <w:p w14:paraId="7956A1B5">
      <w:pPr>
        <w:outlineLvl w:val="0"/>
        <w:rPr>
          <w:rFonts w:asciiTheme="minorEastAsia" w:hAnsiTheme="minorEastAsia"/>
          <w:b/>
          <w:sz w:val="32"/>
          <w:szCs w:val="32"/>
        </w:rPr>
      </w:pPr>
      <w:r>
        <w:rPr>
          <w:rFonts w:hint="eastAsia" w:asciiTheme="minorEastAsia" w:hAnsiTheme="minorEastAsia"/>
          <w:b/>
          <w:sz w:val="32"/>
          <w:szCs w:val="32"/>
        </w:rPr>
        <w:t>项目名称：</w:t>
      </w:r>
      <w:bookmarkStart w:id="0" w:name="OLE_LINK3"/>
      <w:bookmarkStart w:id="1" w:name="OLE_LINK4"/>
      <w:r>
        <w:rPr>
          <w:rFonts w:hint="eastAsia" w:asciiTheme="minorEastAsia" w:hAnsiTheme="minorEastAsia"/>
          <w:b/>
          <w:sz w:val="32"/>
          <w:szCs w:val="32"/>
        </w:rPr>
        <w:t>北京中医药大学深圳医院（龙岗）</w:t>
      </w:r>
      <w:bookmarkEnd w:id="0"/>
      <w:bookmarkEnd w:id="1"/>
      <w:r>
        <w:rPr>
          <w:rFonts w:asciiTheme="minorEastAsia" w:hAnsiTheme="minorEastAsia"/>
          <w:b/>
          <w:sz w:val="32"/>
          <w:szCs w:val="32"/>
        </w:rPr>
        <w:t>园山污水运维服务</w:t>
      </w:r>
      <w:r>
        <w:rPr>
          <w:rFonts w:hint="eastAsia" w:asciiTheme="minorEastAsia" w:hAnsiTheme="minorEastAsia"/>
          <w:b/>
          <w:sz w:val="32"/>
          <w:szCs w:val="32"/>
        </w:rPr>
        <w:t>招标项目</w:t>
      </w:r>
    </w:p>
    <w:p w14:paraId="3B0BFD10">
      <w:pPr>
        <w:spacing w:line="1000" w:lineRule="exact"/>
        <w:ind w:left="948" w:hanging="948" w:hangingChars="295"/>
        <w:rPr>
          <w:rFonts w:asciiTheme="minorEastAsia" w:hAnsiTheme="minorEastAsia"/>
          <w:b/>
          <w:sz w:val="32"/>
          <w:szCs w:val="32"/>
        </w:rPr>
      </w:pPr>
      <w:r>
        <w:rPr>
          <w:rFonts w:hint="eastAsia" w:asciiTheme="minorEastAsia" w:hAnsiTheme="minorEastAsia"/>
          <w:b/>
          <w:sz w:val="32"/>
          <w:szCs w:val="32"/>
        </w:rPr>
        <w:t xml:space="preserve">采购方式：院内公开采购招标 </w:t>
      </w:r>
    </w:p>
    <w:p w14:paraId="3EC8413E">
      <w:pPr>
        <w:spacing w:line="1000" w:lineRule="exact"/>
        <w:rPr>
          <w:rFonts w:asciiTheme="minorEastAsia" w:hAnsiTheme="minorEastAsia"/>
          <w:b/>
          <w:sz w:val="32"/>
          <w:szCs w:val="32"/>
        </w:rPr>
      </w:pPr>
      <w:r>
        <w:rPr>
          <w:rFonts w:hint="eastAsia" w:asciiTheme="minorEastAsia" w:hAnsiTheme="minorEastAsia"/>
          <w:b/>
          <w:sz w:val="32"/>
          <w:szCs w:val="32"/>
        </w:rPr>
        <w:t xml:space="preserve">采购单位名称：北京中医药大学深圳医院（龙岗）  </w:t>
      </w:r>
    </w:p>
    <w:p w14:paraId="42AB6785">
      <w:pPr>
        <w:spacing w:line="1000" w:lineRule="exact"/>
        <w:rPr>
          <w:rFonts w:asciiTheme="minorEastAsia" w:hAnsiTheme="minorEastAsia"/>
          <w:b/>
          <w:sz w:val="32"/>
          <w:szCs w:val="32"/>
        </w:rPr>
      </w:pPr>
      <w:r>
        <w:rPr>
          <w:rFonts w:hint="eastAsia" w:asciiTheme="minorEastAsia" w:hAnsiTheme="minorEastAsia"/>
          <w:b/>
          <w:sz w:val="32"/>
          <w:szCs w:val="32"/>
        </w:rPr>
        <w:t>采购单位地址：</w:t>
      </w:r>
      <w:r>
        <w:rPr>
          <w:rFonts w:asciiTheme="minorEastAsia" w:hAnsiTheme="minorEastAsia"/>
          <w:b/>
          <w:sz w:val="32"/>
          <w:szCs w:val="32"/>
        </w:rPr>
        <w:t>深圳市龙岗区体育新城大运路1号</w:t>
      </w:r>
    </w:p>
    <w:p w14:paraId="5333CD88">
      <w:pPr>
        <w:spacing w:line="1000" w:lineRule="exact"/>
        <w:rPr>
          <w:rFonts w:asciiTheme="minorEastAsia" w:hAnsiTheme="minorEastAsia"/>
          <w:b/>
          <w:sz w:val="32"/>
          <w:szCs w:val="32"/>
        </w:rPr>
      </w:pPr>
      <w:r>
        <w:rPr>
          <w:rFonts w:hint="eastAsia" w:asciiTheme="minorEastAsia" w:hAnsiTheme="minorEastAsia"/>
          <w:b/>
          <w:sz w:val="32"/>
          <w:szCs w:val="32"/>
        </w:rPr>
        <w:t>联系人：李工</w:t>
      </w:r>
    </w:p>
    <w:p w14:paraId="1F6C8BCF">
      <w:pPr>
        <w:spacing w:line="1000" w:lineRule="exact"/>
        <w:rPr>
          <w:rFonts w:asciiTheme="minorEastAsia" w:hAnsiTheme="minorEastAsia"/>
          <w:b/>
          <w:color w:val="000000" w:themeColor="text1"/>
          <w:sz w:val="32"/>
          <w:szCs w:val="32"/>
          <w:shd w:val="clear" w:color="auto" w:fill="FFFFFF"/>
        </w:rPr>
      </w:pPr>
      <w:r>
        <w:rPr>
          <w:rFonts w:hint="eastAsia" w:asciiTheme="minorEastAsia" w:hAnsiTheme="minorEastAsia"/>
          <w:b/>
          <w:sz w:val="32"/>
          <w:szCs w:val="32"/>
        </w:rPr>
        <w:t>电  话：</w:t>
      </w:r>
      <w:r>
        <w:rPr>
          <w:rFonts w:hint="eastAsia" w:asciiTheme="minorEastAsia" w:hAnsiTheme="minorEastAsia"/>
          <w:b/>
          <w:color w:val="000000" w:themeColor="text1"/>
          <w:sz w:val="32"/>
          <w:szCs w:val="32"/>
          <w:shd w:val="clear" w:color="auto" w:fill="FFFFFF"/>
        </w:rPr>
        <w:t>0755-</w:t>
      </w:r>
      <w:r>
        <w:rPr>
          <w:rFonts w:hint="eastAsia" w:asciiTheme="minorEastAsia" w:hAnsiTheme="minorEastAsia"/>
          <w:color w:val="000000" w:themeColor="text1"/>
          <w:sz w:val="32"/>
          <w:szCs w:val="32"/>
          <w:shd w:val="clear" w:color="auto" w:fill="FFFFFF"/>
        </w:rPr>
        <w:t>89981165</w:t>
      </w:r>
    </w:p>
    <w:p w14:paraId="2DDF0CA3">
      <w:pPr>
        <w:spacing w:line="1000" w:lineRule="exact"/>
        <w:rPr>
          <w:rFonts w:ascii="宋体" w:hAnsi="宋体"/>
          <w:b/>
          <w:sz w:val="32"/>
          <w:szCs w:val="32"/>
        </w:rPr>
      </w:pPr>
    </w:p>
    <w:p w14:paraId="6927195A">
      <w:pPr>
        <w:jc w:val="center"/>
        <w:rPr>
          <w:rFonts w:ascii="宋体" w:hAnsi="宋体"/>
          <w:b/>
        </w:rPr>
      </w:pPr>
    </w:p>
    <w:p w14:paraId="01F1F6B4">
      <w:pPr>
        <w:rPr>
          <w:rFonts w:cs="宋体" w:asciiTheme="minorEastAsia" w:hAnsiTheme="minorEastAsia"/>
          <w:color w:val="000000"/>
          <w:kern w:val="0"/>
          <w:sz w:val="24"/>
          <w:szCs w:val="24"/>
        </w:rPr>
      </w:pPr>
      <w:r>
        <w:rPr>
          <w:rFonts w:hint="eastAsia" w:hAnsi="宋体"/>
          <w:b/>
          <w:bCs/>
          <w:sz w:val="72"/>
        </w:rPr>
        <w:br w:type="page"/>
      </w:r>
      <w:r>
        <w:rPr>
          <w:rFonts w:hint="eastAsia" w:asciiTheme="minorEastAsia" w:hAnsiTheme="minorEastAsia"/>
          <w:b/>
          <w:bCs/>
          <w:sz w:val="24"/>
          <w:szCs w:val="24"/>
        </w:rPr>
        <w:t>院内采购招标公告：</w:t>
      </w:r>
      <w:r>
        <w:rPr>
          <w:rFonts w:hint="eastAsia" w:cs="宋体" w:asciiTheme="minorEastAsia" w:hAnsiTheme="minorEastAsia"/>
          <w:color w:val="000000"/>
          <w:kern w:val="0"/>
          <w:sz w:val="24"/>
          <w:szCs w:val="24"/>
        </w:rPr>
        <w:t>详见龙岗政府在线</w:t>
      </w:r>
    </w:p>
    <w:p w14:paraId="01D501D5">
      <w:pPr>
        <w:rPr>
          <w:rFonts w:asciiTheme="minorEastAsia" w:hAnsiTheme="minorEastAsia"/>
          <w:color w:val="000000"/>
          <w:sz w:val="24"/>
          <w:szCs w:val="24"/>
        </w:rPr>
      </w:pPr>
      <w:r>
        <w:rPr>
          <w:rFonts w:hint="eastAsia" w:asciiTheme="minorEastAsia" w:hAnsiTheme="minorEastAsia"/>
          <w:color w:val="000000"/>
          <w:sz w:val="24"/>
          <w:szCs w:val="24"/>
        </w:rPr>
        <w:t>关键信息</w:t>
      </w:r>
    </w:p>
    <w:p w14:paraId="5766669C">
      <w:pPr>
        <w:jc w:val="center"/>
        <w:rPr>
          <w:rFonts w:asciiTheme="minorEastAsia" w:hAnsiTheme="minorEastAsia"/>
          <w:b/>
          <w:color w:val="000000"/>
          <w:sz w:val="24"/>
          <w:szCs w:val="24"/>
        </w:rPr>
      </w:pPr>
      <w:r>
        <w:rPr>
          <w:rFonts w:hint="eastAsia" w:asciiTheme="minorEastAsia" w:hAnsiTheme="minorEastAsia"/>
          <w:b/>
          <w:color w:val="000000"/>
          <w:sz w:val="24"/>
          <w:szCs w:val="24"/>
        </w:rPr>
        <w:t>投标须知前附表</w:t>
      </w:r>
    </w:p>
    <w:tbl>
      <w:tblPr>
        <w:tblStyle w:val="16"/>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5840"/>
      </w:tblGrid>
      <w:tr w14:paraId="1996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tcPr>
          <w:p w14:paraId="400FF4AE">
            <w:pPr>
              <w:jc w:val="center"/>
              <w:rPr>
                <w:rFonts w:asciiTheme="minorEastAsia" w:hAnsiTheme="minorEastAsia"/>
                <w:color w:val="000000"/>
                <w:sz w:val="24"/>
                <w:szCs w:val="24"/>
              </w:rPr>
            </w:pPr>
            <w:bookmarkStart w:id="2" w:name="bt总则"/>
            <w:bookmarkEnd w:id="2"/>
            <w:r>
              <w:rPr>
                <w:rFonts w:asciiTheme="minorEastAsia" w:hAnsiTheme="minorEastAsia"/>
                <w:color w:val="000000"/>
                <w:sz w:val="24"/>
                <w:szCs w:val="24"/>
              </w:rPr>
              <w:t>项目类型</w:t>
            </w:r>
          </w:p>
        </w:tc>
        <w:tc>
          <w:tcPr>
            <w:tcW w:w="5840" w:type="dxa"/>
          </w:tcPr>
          <w:p w14:paraId="5DA2E779">
            <w:pPr>
              <w:jc w:val="center"/>
              <w:rPr>
                <w:rFonts w:asciiTheme="minorEastAsia" w:hAnsiTheme="minorEastAsia"/>
                <w:color w:val="000000"/>
                <w:sz w:val="24"/>
                <w:szCs w:val="24"/>
              </w:rPr>
            </w:pPr>
            <w:r>
              <w:rPr>
                <w:rFonts w:hint="eastAsia" w:asciiTheme="minorEastAsia" w:hAnsiTheme="minorEastAsia"/>
                <w:color w:val="000000"/>
                <w:sz w:val="24"/>
                <w:szCs w:val="24"/>
              </w:rPr>
              <w:t>服务</w:t>
            </w:r>
          </w:p>
        </w:tc>
      </w:tr>
      <w:tr w14:paraId="2737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tcPr>
          <w:p w14:paraId="2296132F">
            <w:pPr>
              <w:jc w:val="center"/>
              <w:rPr>
                <w:rFonts w:asciiTheme="minorEastAsia" w:hAnsiTheme="minorEastAsia"/>
                <w:color w:val="000000"/>
                <w:sz w:val="24"/>
                <w:szCs w:val="24"/>
              </w:rPr>
            </w:pPr>
            <w:r>
              <w:rPr>
                <w:rFonts w:asciiTheme="minorEastAsia" w:hAnsiTheme="minorEastAsia"/>
                <w:color w:val="000000"/>
                <w:sz w:val="24"/>
                <w:szCs w:val="24"/>
              </w:rPr>
              <w:t>采购方式</w:t>
            </w:r>
          </w:p>
        </w:tc>
        <w:tc>
          <w:tcPr>
            <w:tcW w:w="5840" w:type="dxa"/>
          </w:tcPr>
          <w:p w14:paraId="30D5AD3F">
            <w:pPr>
              <w:jc w:val="center"/>
              <w:rPr>
                <w:rFonts w:asciiTheme="minorEastAsia" w:hAnsiTheme="minorEastAsia"/>
                <w:color w:val="000000"/>
                <w:sz w:val="24"/>
                <w:szCs w:val="24"/>
              </w:rPr>
            </w:pPr>
            <w:r>
              <w:rPr>
                <w:rFonts w:hint="eastAsia" w:asciiTheme="minorEastAsia" w:hAnsiTheme="minorEastAsia"/>
                <w:color w:val="000000"/>
                <w:sz w:val="24"/>
                <w:szCs w:val="24"/>
              </w:rPr>
              <w:t>院内</w:t>
            </w:r>
            <w:r>
              <w:rPr>
                <w:rFonts w:asciiTheme="minorEastAsia" w:hAnsiTheme="minorEastAsia"/>
                <w:color w:val="000000"/>
                <w:sz w:val="24"/>
                <w:szCs w:val="24"/>
              </w:rPr>
              <w:t>公开招标</w:t>
            </w:r>
          </w:p>
        </w:tc>
      </w:tr>
      <w:tr w14:paraId="6129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tcPr>
          <w:p w14:paraId="7F86A1FE">
            <w:pPr>
              <w:jc w:val="center"/>
              <w:rPr>
                <w:rFonts w:asciiTheme="minorEastAsia" w:hAnsiTheme="minorEastAsia"/>
                <w:color w:val="000000"/>
                <w:sz w:val="24"/>
                <w:szCs w:val="24"/>
              </w:rPr>
            </w:pPr>
            <w:r>
              <w:rPr>
                <w:rFonts w:asciiTheme="minorEastAsia" w:hAnsiTheme="minorEastAsia"/>
                <w:color w:val="000000"/>
                <w:sz w:val="24"/>
                <w:szCs w:val="24"/>
              </w:rPr>
              <w:t>货币类型</w:t>
            </w:r>
          </w:p>
        </w:tc>
        <w:tc>
          <w:tcPr>
            <w:tcW w:w="5840" w:type="dxa"/>
          </w:tcPr>
          <w:p w14:paraId="3FC3205D">
            <w:pPr>
              <w:jc w:val="center"/>
              <w:rPr>
                <w:rFonts w:asciiTheme="minorEastAsia" w:hAnsiTheme="minorEastAsia"/>
                <w:color w:val="000000"/>
                <w:sz w:val="24"/>
                <w:szCs w:val="24"/>
              </w:rPr>
            </w:pPr>
            <w:r>
              <w:rPr>
                <w:rFonts w:asciiTheme="minorEastAsia" w:hAnsiTheme="minorEastAsia"/>
                <w:color w:val="000000"/>
                <w:sz w:val="24"/>
                <w:szCs w:val="24"/>
              </w:rPr>
              <w:t>人民币</w:t>
            </w:r>
          </w:p>
        </w:tc>
      </w:tr>
      <w:tr w14:paraId="1987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tcPr>
          <w:p w14:paraId="216CBE08">
            <w:pPr>
              <w:jc w:val="center"/>
              <w:rPr>
                <w:rFonts w:asciiTheme="minorEastAsia" w:hAnsiTheme="minorEastAsia"/>
                <w:sz w:val="24"/>
                <w:szCs w:val="24"/>
              </w:rPr>
            </w:pPr>
            <w:r>
              <w:rPr>
                <w:rFonts w:asciiTheme="minorEastAsia" w:hAnsiTheme="minorEastAsia"/>
                <w:sz w:val="24"/>
                <w:szCs w:val="24"/>
              </w:rPr>
              <w:t>预算金额</w:t>
            </w:r>
          </w:p>
        </w:tc>
        <w:tc>
          <w:tcPr>
            <w:tcW w:w="5840" w:type="dxa"/>
          </w:tcPr>
          <w:p w14:paraId="6015BA2A">
            <w:pPr>
              <w:jc w:val="center"/>
              <w:rPr>
                <w:rFonts w:asciiTheme="minorEastAsia" w:hAnsiTheme="minorEastAsia"/>
                <w:sz w:val="24"/>
                <w:szCs w:val="24"/>
              </w:rPr>
            </w:pPr>
            <w:r>
              <w:rPr>
                <w:rFonts w:hint="eastAsia" w:cs="Times New Roman" w:asciiTheme="minorEastAsia" w:hAnsiTheme="minorEastAsia"/>
                <w:sz w:val="24"/>
                <w:szCs w:val="24"/>
              </w:rPr>
              <w:t>15</w:t>
            </w:r>
            <w:r>
              <w:rPr>
                <w:rFonts w:hint="eastAsia" w:asciiTheme="minorEastAsia" w:hAnsiTheme="minorEastAsia"/>
                <w:sz w:val="24"/>
                <w:szCs w:val="24"/>
              </w:rPr>
              <w:t>万元（含税）</w:t>
            </w:r>
          </w:p>
        </w:tc>
      </w:tr>
      <w:tr w14:paraId="3D62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tcPr>
          <w:p w14:paraId="7271AE9E">
            <w:pPr>
              <w:jc w:val="center"/>
              <w:rPr>
                <w:rFonts w:asciiTheme="minorEastAsia" w:hAnsiTheme="minorEastAsia"/>
                <w:sz w:val="24"/>
                <w:szCs w:val="24"/>
              </w:rPr>
            </w:pPr>
            <w:r>
              <w:rPr>
                <w:rFonts w:asciiTheme="minorEastAsia" w:hAnsiTheme="minorEastAsia"/>
                <w:sz w:val="24"/>
                <w:szCs w:val="24"/>
              </w:rPr>
              <w:t>最高限价</w:t>
            </w:r>
          </w:p>
        </w:tc>
        <w:tc>
          <w:tcPr>
            <w:tcW w:w="5840" w:type="dxa"/>
          </w:tcPr>
          <w:p w14:paraId="61528D99">
            <w:pPr>
              <w:jc w:val="center"/>
              <w:rPr>
                <w:rFonts w:cs="Times New Roman" w:asciiTheme="minorEastAsia" w:hAnsiTheme="minorEastAsia"/>
                <w:sz w:val="24"/>
                <w:szCs w:val="24"/>
              </w:rPr>
            </w:pPr>
            <w:r>
              <w:rPr>
                <w:rFonts w:hint="eastAsia" w:cs="Times New Roman" w:asciiTheme="minorEastAsia" w:hAnsiTheme="minorEastAsia"/>
                <w:sz w:val="24"/>
                <w:szCs w:val="24"/>
              </w:rPr>
              <w:t>14.3</w:t>
            </w:r>
            <w:r>
              <w:rPr>
                <w:rFonts w:hint="eastAsia" w:asciiTheme="minorEastAsia" w:hAnsiTheme="minorEastAsia"/>
                <w:sz w:val="24"/>
                <w:szCs w:val="24"/>
              </w:rPr>
              <w:t>万元（含税）</w:t>
            </w:r>
          </w:p>
        </w:tc>
      </w:tr>
      <w:tr w14:paraId="0B53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Align w:val="center"/>
          </w:tcPr>
          <w:p w14:paraId="3082AC7C">
            <w:pPr>
              <w:jc w:val="center"/>
              <w:rPr>
                <w:rFonts w:asciiTheme="minorEastAsia" w:hAnsiTheme="minorEastAsia"/>
                <w:bCs/>
                <w:sz w:val="24"/>
                <w:szCs w:val="24"/>
              </w:rPr>
            </w:pPr>
            <w:r>
              <w:rPr>
                <w:rFonts w:hint="eastAsia" w:asciiTheme="minorEastAsia" w:hAnsiTheme="minorEastAsia"/>
                <w:bCs/>
                <w:sz w:val="24"/>
                <w:szCs w:val="24"/>
              </w:rPr>
              <w:t>评标方法</w:t>
            </w:r>
          </w:p>
        </w:tc>
        <w:tc>
          <w:tcPr>
            <w:tcW w:w="5840" w:type="dxa"/>
            <w:vAlign w:val="center"/>
          </w:tcPr>
          <w:p w14:paraId="0B2CF39D">
            <w:pPr>
              <w:jc w:val="center"/>
              <w:rPr>
                <w:rFonts w:asciiTheme="minorEastAsia" w:hAnsiTheme="minorEastAsia"/>
                <w:sz w:val="24"/>
                <w:szCs w:val="24"/>
              </w:rPr>
            </w:pPr>
            <w:r>
              <w:rPr>
                <w:rFonts w:hint="eastAsia" w:asciiTheme="minorEastAsia" w:hAnsiTheme="minorEastAsia"/>
                <w:sz w:val="24"/>
                <w:szCs w:val="24"/>
              </w:rPr>
              <w:t>综合评分法</w:t>
            </w:r>
          </w:p>
        </w:tc>
      </w:tr>
      <w:tr w14:paraId="2486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Align w:val="center"/>
          </w:tcPr>
          <w:p w14:paraId="2DAB583C">
            <w:pPr>
              <w:jc w:val="center"/>
              <w:rPr>
                <w:rFonts w:asciiTheme="minorEastAsia" w:hAnsiTheme="minorEastAsia"/>
                <w:bCs/>
                <w:color w:val="000000"/>
                <w:sz w:val="24"/>
                <w:szCs w:val="24"/>
              </w:rPr>
            </w:pPr>
            <w:r>
              <w:rPr>
                <w:rFonts w:hint="eastAsia" w:asciiTheme="minorEastAsia" w:hAnsiTheme="minorEastAsia"/>
                <w:bCs/>
                <w:color w:val="000000"/>
                <w:sz w:val="24"/>
                <w:szCs w:val="24"/>
              </w:rPr>
              <w:t>定标方法</w:t>
            </w:r>
          </w:p>
        </w:tc>
        <w:tc>
          <w:tcPr>
            <w:tcW w:w="5840" w:type="dxa"/>
            <w:vAlign w:val="center"/>
          </w:tcPr>
          <w:p w14:paraId="7AF64C3D">
            <w:pPr>
              <w:jc w:val="center"/>
              <w:rPr>
                <w:rFonts w:asciiTheme="minorEastAsia" w:hAnsiTheme="minorEastAsia"/>
                <w:color w:val="000000"/>
                <w:sz w:val="24"/>
                <w:szCs w:val="24"/>
              </w:rPr>
            </w:pPr>
            <w:r>
              <w:rPr>
                <w:rFonts w:hint="eastAsia" w:asciiTheme="minorEastAsia" w:hAnsiTheme="minorEastAsia"/>
                <w:color w:val="000000"/>
                <w:sz w:val="24"/>
                <w:szCs w:val="24"/>
              </w:rPr>
              <w:t>综合评分法：评标委员会依据本招标文件所约定的评标方法进行评审和比较，根据评审结果评选出最高分值的作为年度预选中标服务商</w:t>
            </w:r>
          </w:p>
        </w:tc>
      </w:tr>
      <w:tr w14:paraId="72EA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Align w:val="center"/>
          </w:tcPr>
          <w:p w14:paraId="0648E427">
            <w:pPr>
              <w:jc w:val="center"/>
              <w:rPr>
                <w:rFonts w:asciiTheme="minorEastAsia" w:hAnsiTheme="minorEastAsia"/>
                <w:bCs/>
                <w:color w:val="000000"/>
                <w:sz w:val="24"/>
                <w:szCs w:val="24"/>
              </w:rPr>
            </w:pPr>
            <w:r>
              <w:rPr>
                <w:rFonts w:hint="eastAsia" w:asciiTheme="minorEastAsia" w:hAnsiTheme="minorEastAsia"/>
                <w:bCs/>
                <w:color w:val="000000"/>
                <w:sz w:val="24"/>
                <w:szCs w:val="24"/>
              </w:rPr>
              <w:t>中标预选供应商数量</w:t>
            </w:r>
          </w:p>
        </w:tc>
        <w:tc>
          <w:tcPr>
            <w:tcW w:w="5840" w:type="dxa"/>
            <w:vAlign w:val="center"/>
          </w:tcPr>
          <w:p w14:paraId="3FFAC907">
            <w:pPr>
              <w:jc w:val="center"/>
              <w:rPr>
                <w:rFonts w:asciiTheme="minorEastAsia" w:hAnsiTheme="minorEastAsia"/>
                <w:color w:val="000000"/>
                <w:sz w:val="24"/>
                <w:szCs w:val="24"/>
              </w:rPr>
            </w:pPr>
            <w:r>
              <w:rPr>
                <w:rFonts w:hint="eastAsia" w:asciiTheme="minorEastAsia" w:hAnsiTheme="minorEastAsia"/>
                <w:color w:val="000000"/>
                <w:sz w:val="24"/>
                <w:szCs w:val="24"/>
              </w:rPr>
              <w:t>一家</w:t>
            </w:r>
          </w:p>
        </w:tc>
      </w:tr>
      <w:tr w14:paraId="4468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Align w:val="center"/>
          </w:tcPr>
          <w:p w14:paraId="61A274B5">
            <w:pPr>
              <w:jc w:val="center"/>
              <w:rPr>
                <w:rFonts w:asciiTheme="minorEastAsia" w:hAnsiTheme="minorEastAsia"/>
                <w:color w:val="000000"/>
                <w:sz w:val="24"/>
                <w:szCs w:val="24"/>
              </w:rPr>
            </w:pPr>
            <w:r>
              <w:rPr>
                <w:rFonts w:hint="eastAsia" w:asciiTheme="minorEastAsia" w:hAnsiTheme="minorEastAsia"/>
                <w:color w:val="000000"/>
                <w:sz w:val="24"/>
                <w:szCs w:val="24"/>
              </w:rPr>
              <w:t>投标人的替代方案</w:t>
            </w:r>
          </w:p>
        </w:tc>
        <w:tc>
          <w:tcPr>
            <w:tcW w:w="5840" w:type="dxa"/>
            <w:vAlign w:val="center"/>
          </w:tcPr>
          <w:p w14:paraId="5F0BE22B">
            <w:pPr>
              <w:jc w:val="center"/>
              <w:rPr>
                <w:rFonts w:asciiTheme="minorEastAsia" w:hAnsiTheme="minorEastAsia"/>
                <w:color w:val="000000"/>
                <w:sz w:val="24"/>
                <w:szCs w:val="24"/>
                <w:u w:val="single"/>
              </w:rPr>
            </w:pPr>
            <w:r>
              <w:rPr>
                <w:rFonts w:hint="eastAsia" w:asciiTheme="minorEastAsia" w:hAnsiTheme="minorEastAsia"/>
                <w:color w:val="000000"/>
                <w:sz w:val="24"/>
                <w:szCs w:val="24"/>
              </w:rPr>
              <w:t>不允许</w:t>
            </w:r>
          </w:p>
        </w:tc>
      </w:tr>
      <w:tr w14:paraId="7615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Align w:val="center"/>
          </w:tcPr>
          <w:p w14:paraId="1CE6091A">
            <w:pPr>
              <w:jc w:val="center"/>
              <w:rPr>
                <w:rFonts w:asciiTheme="minorEastAsia" w:hAnsiTheme="minorEastAsia"/>
                <w:color w:val="000000"/>
                <w:sz w:val="24"/>
                <w:szCs w:val="24"/>
              </w:rPr>
            </w:pPr>
            <w:r>
              <w:rPr>
                <w:rFonts w:hint="eastAsia" w:asciiTheme="minorEastAsia" w:hAnsiTheme="minorEastAsia"/>
                <w:color w:val="000000"/>
                <w:sz w:val="24"/>
                <w:szCs w:val="24"/>
              </w:rPr>
              <w:t>投标文件份数</w:t>
            </w:r>
          </w:p>
        </w:tc>
        <w:tc>
          <w:tcPr>
            <w:tcW w:w="5840" w:type="dxa"/>
            <w:vAlign w:val="center"/>
          </w:tcPr>
          <w:p w14:paraId="349CF922">
            <w:pPr>
              <w:jc w:val="center"/>
              <w:rPr>
                <w:rFonts w:asciiTheme="minorEastAsia" w:hAnsiTheme="minorEastAsia"/>
                <w:sz w:val="24"/>
                <w:szCs w:val="24"/>
              </w:rPr>
            </w:pPr>
            <w:r>
              <w:rPr>
                <w:rFonts w:hint="eastAsia" w:asciiTheme="minorEastAsia" w:hAnsiTheme="minorEastAsia"/>
                <w:sz w:val="24"/>
                <w:szCs w:val="24"/>
              </w:rPr>
              <w:t>一正五副</w:t>
            </w:r>
          </w:p>
        </w:tc>
      </w:tr>
    </w:tbl>
    <w:p w14:paraId="09284185">
      <w:pPr>
        <w:jc w:val="center"/>
        <w:rPr>
          <w:rFonts w:asciiTheme="minorEastAsia" w:hAnsiTheme="minorEastAsia"/>
          <w:b/>
          <w:color w:val="000000"/>
          <w:sz w:val="24"/>
          <w:szCs w:val="24"/>
        </w:rPr>
      </w:pPr>
    </w:p>
    <w:p w14:paraId="273E277A">
      <w:pPr>
        <w:jc w:val="center"/>
        <w:rPr>
          <w:rFonts w:asciiTheme="minorEastAsia" w:hAnsiTheme="minorEastAsia"/>
          <w:b/>
          <w:color w:val="000000"/>
          <w:sz w:val="24"/>
          <w:szCs w:val="24"/>
        </w:rPr>
      </w:pPr>
    </w:p>
    <w:p w14:paraId="638A06C5">
      <w:pPr>
        <w:jc w:val="center"/>
        <w:rPr>
          <w:rFonts w:asciiTheme="minorEastAsia" w:hAnsiTheme="minorEastAsia"/>
          <w:color w:val="000000"/>
          <w:sz w:val="24"/>
          <w:szCs w:val="24"/>
        </w:rPr>
      </w:pPr>
      <w:r>
        <w:rPr>
          <w:rFonts w:hint="eastAsia" w:asciiTheme="minorEastAsia" w:hAnsiTheme="minorEastAsia"/>
          <w:b/>
          <w:color w:val="000000"/>
          <w:sz w:val="24"/>
          <w:szCs w:val="24"/>
        </w:rPr>
        <w:t>投标文件初审表</w:t>
      </w:r>
    </w:p>
    <w:tbl>
      <w:tblPr>
        <w:tblStyle w:val="16"/>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406"/>
      </w:tblGrid>
      <w:tr w14:paraId="1497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2" w:type="dxa"/>
            <w:gridSpan w:val="2"/>
            <w:tcBorders>
              <w:top w:val="single" w:color="auto" w:sz="4" w:space="0"/>
              <w:left w:val="single" w:color="auto" w:sz="4" w:space="0"/>
              <w:bottom w:val="single" w:color="auto" w:sz="4" w:space="0"/>
              <w:right w:val="single" w:color="auto" w:sz="4" w:space="0"/>
            </w:tcBorders>
          </w:tcPr>
          <w:p w14:paraId="431EB405">
            <w:pPr>
              <w:jc w:val="center"/>
              <w:rPr>
                <w:rFonts w:asciiTheme="minorEastAsia" w:hAnsiTheme="minorEastAsia"/>
                <w:color w:val="000000"/>
                <w:sz w:val="24"/>
                <w:szCs w:val="24"/>
              </w:rPr>
            </w:pPr>
            <w:r>
              <w:rPr>
                <w:rFonts w:hint="eastAsia" w:asciiTheme="minorEastAsia" w:hAnsiTheme="minorEastAsia"/>
                <w:color w:val="000000"/>
                <w:sz w:val="24"/>
                <w:szCs w:val="24"/>
              </w:rPr>
              <w:t>资格性检查表</w:t>
            </w:r>
          </w:p>
        </w:tc>
      </w:tr>
      <w:tr w14:paraId="2E53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14:paraId="04BAB266">
            <w:pPr>
              <w:jc w:val="center"/>
              <w:rPr>
                <w:rFonts w:asciiTheme="minorEastAsia" w:hAnsiTheme="minorEastAsia"/>
                <w:color w:val="000000"/>
                <w:sz w:val="24"/>
                <w:szCs w:val="24"/>
              </w:rPr>
            </w:pPr>
            <w:r>
              <w:rPr>
                <w:rFonts w:asciiTheme="minorEastAsia" w:hAnsiTheme="minorEastAsia"/>
                <w:color w:val="000000"/>
                <w:sz w:val="24"/>
                <w:szCs w:val="24"/>
              </w:rPr>
              <w:t>1</w:t>
            </w:r>
          </w:p>
        </w:tc>
        <w:tc>
          <w:tcPr>
            <w:tcW w:w="7406" w:type="dxa"/>
            <w:tcBorders>
              <w:top w:val="single" w:color="auto" w:sz="4" w:space="0"/>
              <w:left w:val="single" w:color="auto" w:sz="4" w:space="0"/>
              <w:bottom w:val="single" w:color="auto" w:sz="4" w:space="0"/>
              <w:right w:val="single" w:color="auto" w:sz="4" w:space="0"/>
            </w:tcBorders>
          </w:tcPr>
          <w:p w14:paraId="1E92DA61">
            <w:pPr>
              <w:rPr>
                <w:rFonts w:asciiTheme="minorEastAsia" w:hAnsiTheme="minorEastAsia"/>
                <w:color w:val="000000"/>
                <w:sz w:val="24"/>
                <w:szCs w:val="24"/>
              </w:rPr>
            </w:pPr>
            <w:r>
              <w:rPr>
                <w:rFonts w:hint="eastAsia" w:asciiTheme="minorEastAsia" w:hAnsiTheme="minorEastAsia"/>
                <w:color w:val="000000"/>
                <w:sz w:val="24"/>
                <w:szCs w:val="24"/>
              </w:rPr>
              <w:t>投标人不具备招标资质要求，或未提交相应资格证明材料</w:t>
            </w:r>
            <w:r>
              <w:rPr>
                <w:rFonts w:asciiTheme="minorEastAsia" w:hAnsiTheme="minorEastAsia"/>
                <w:color w:val="000000"/>
                <w:sz w:val="24"/>
                <w:szCs w:val="24"/>
              </w:rPr>
              <w:t>(</w:t>
            </w:r>
            <w:r>
              <w:rPr>
                <w:rFonts w:hint="eastAsia" w:asciiTheme="minorEastAsia" w:hAnsiTheme="minorEastAsia"/>
                <w:color w:val="000000"/>
                <w:sz w:val="24"/>
                <w:szCs w:val="24"/>
              </w:rPr>
              <w:t>详见招标公告投标人资质要求，其中未列示的资质要求不得导致废标</w:t>
            </w:r>
            <w:r>
              <w:rPr>
                <w:rFonts w:asciiTheme="minorEastAsia" w:hAnsiTheme="minorEastAsia"/>
                <w:color w:val="000000"/>
                <w:sz w:val="24"/>
                <w:szCs w:val="24"/>
              </w:rPr>
              <w:t>)</w:t>
            </w:r>
            <w:r>
              <w:rPr>
                <w:rFonts w:hint="eastAsia" w:asciiTheme="minorEastAsia" w:hAnsiTheme="minorEastAsia"/>
                <w:color w:val="000000"/>
                <w:sz w:val="24"/>
                <w:szCs w:val="24"/>
              </w:rPr>
              <w:t>。</w:t>
            </w:r>
          </w:p>
        </w:tc>
      </w:tr>
      <w:tr w14:paraId="7B7B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14:paraId="27022874">
            <w:pPr>
              <w:jc w:val="center"/>
              <w:rPr>
                <w:rFonts w:asciiTheme="minorEastAsia" w:hAnsiTheme="minorEastAsia"/>
                <w:color w:val="000000"/>
                <w:sz w:val="24"/>
                <w:szCs w:val="24"/>
              </w:rPr>
            </w:pPr>
            <w:r>
              <w:rPr>
                <w:rFonts w:asciiTheme="minorEastAsia" w:hAnsiTheme="minorEastAsia"/>
                <w:color w:val="000000"/>
                <w:sz w:val="24"/>
                <w:szCs w:val="24"/>
              </w:rPr>
              <w:t>2</w:t>
            </w:r>
          </w:p>
        </w:tc>
        <w:tc>
          <w:tcPr>
            <w:tcW w:w="7406" w:type="dxa"/>
            <w:tcBorders>
              <w:top w:val="single" w:color="auto" w:sz="4" w:space="0"/>
              <w:left w:val="single" w:color="auto" w:sz="4" w:space="0"/>
              <w:bottom w:val="single" w:color="auto" w:sz="4" w:space="0"/>
              <w:right w:val="single" w:color="auto" w:sz="4" w:space="0"/>
            </w:tcBorders>
          </w:tcPr>
          <w:p w14:paraId="606CA8D6">
            <w:pPr>
              <w:rPr>
                <w:rFonts w:asciiTheme="minorEastAsia" w:hAnsiTheme="minorEastAsia"/>
                <w:color w:val="000000"/>
                <w:sz w:val="24"/>
                <w:szCs w:val="24"/>
              </w:rPr>
            </w:pPr>
            <w:r>
              <w:rPr>
                <w:rFonts w:hint="eastAsia" w:asciiTheme="minorEastAsia" w:hAnsiTheme="minorEastAsia"/>
                <w:color w:val="000000"/>
                <w:sz w:val="24"/>
                <w:szCs w:val="24"/>
              </w:rPr>
              <w:t>投标人不具备国家有关法律规定的有关资质的</w:t>
            </w:r>
          </w:p>
        </w:tc>
      </w:tr>
      <w:tr w14:paraId="2920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2" w:type="dxa"/>
            <w:gridSpan w:val="2"/>
            <w:tcBorders>
              <w:top w:val="single" w:color="auto" w:sz="4" w:space="0"/>
              <w:left w:val="single" w:color="auto" w:sz="4" w:space="0"/>
              <w:bottom w:val="single" w:color="auto" w:sz="4" w:space="0"/>
              <w:right w:val="single" w:color="auto" w:sz="4" w:space="0"/>
            </w:tcBorders>
          </w:tcPr>
          <w:p w14:paraId="015E2A3C">
            <w:pPr>
              <w:jc w:val="center"/>
              <w:rPr>
                <w:rFonts w:asciiTheme="minorEastAsia" w:hAnsiTheme="minorEastAsia"/>
                <w:color w:val="000000"/>
                <w:sz w:val="24"/>
                <w:szCs w:val="24"/>
              </w:rPr>
            </w:pPr>
            <w:r>
              <w:rPr>
                <w:rFonts w:hint="eastAsia" w:asciiTheme="minorEastAsia" w:hAnsiTheme="minorEastAsia"/>
                <w:color w:val="000000"/>
                <w:sz w:val="24"/>
                <w:szCs w:val="24"/>
              </w:rPr>
              <w:t>符合性检查表</w:t>
            </w:r>
          </w:p>
        </w:tc>
      </w:tr>
      <w:tr w14:paraId="4A98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14:paraId="25310A1C">
            <w:pPr>
              <w:jc w:val="center"/>
              <w:rPr>
                <w:rFonts w:asciiTheme="minorEastAsia" w:hAnsiTheme="minorEastAsia"/>
                <w:color w:val="000000"/>
                <w:sz w:val="24"/>
                <w:szCs w:val="24"/>
              </w:rPr>
            </w:pPr>
            <w:r>
              <w:rPr>
                <w:rFonts w:asciiTheme="minorEastAsia" w:hAnsiTheme="minorEastAsia"/>
                <w:color w:val="000000"/>
                <w:sz w:val="24"/>
                <w:szCs w:val="24"/>
              </w:rPr>
              <w:t>1</w:t>
            </w:r>
          </w:p>
        </w:tc>
        <w:tc>
          <w:tcPr>
            <w:tcW w:w="7406" w:type="dxa"/>
            <w:tcBorders>
              <w:top w:val="single" w:color="auto" w:sz="4" w:space="0"/>
              <w:left w:val="single" w:color="auto" w:sz="4" w:space="0"/>
              <w:bottom w:val="single" w:color="auto" w:sz="4" w:space="0"/>
              <w:right w:val="single" w:color="auto" w:sz="4" w:space="0"/>
            </w:tcBorders>
          </w:tcPr>
          <w:p w14:paraId="50B0EB76">
            <w:pPr>
              <w:rPr>
                <w:rFonts w:asciiTheme="minorEastAsia" w:hAnsiTheme="minorEastAsia"/>
                <w:color w:val="000000"/>
                <w:sz w:val="24"/>
                <w:szCs w:val="24"/>
              </w:rPr>
            </w:pPr>
            <w:r>
              <w:rPr>
                <w:rFonts w:hint="eastAsia" w:asciiTheme="minorEastAsia" w:hAnsiTheme="minorEastAsia"/>
                <w:color w:val="000000"/>
                <w:sz w:val="24"/>
                <w:szCs w:val="24"/>
              </w:rPr>
              <w:t>将一个包中的内容拆开投标</w:t>
            </w:r>
          </w:p>
        </w:tc>
      </w:tr>
      <w:tr w14:paraId="0EEB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14:paraId="452DBD9A">
            <w:pPr>
              <w:jc w:val="center"/>
              <w:rPr>
                <w:rFonts w:asciiTheme="minorEastAsia" w:hAnsiTheme="minorEastAsia"/>
                <w:color w:val="000000"/>
                <w:sz w:val="24"/>
                <w:szCs w:val="24"/>
              </w:rPr>
            </w:pPr>
            <w:r>
              <w:rPr>
                <w:rFonts w:asciiTheme="minorEastAsia" w:hAnsiTheme="minorEastAsia"/>
                <w:color w:val="000000"/>
                <w:sz w:val="24"/>
                <w:szCs w:val="24"/>
              </w:rPr>
              <w:t>2</w:t>
            </w:r>
          </w:p>
        </w:tc>
        <w:tc>
          <w:tcPr>
            <w:tcW w:w="7406" w:type="dxa"/>
            <w:tcBorders>
              <w:top w:val="single" w:color="auto" w:sz="4" w:space="0"/>
              <w:left w:val="single" w:color="auto" w:sz="4" w:space="0"/>
              <w:bottom w:val="single" w:color="auto" w:sz="4" w:space="0"/>
              <w:right w:val="single" w:color="auto" w:sz="4" w:space="0"/>
            </w:tcBorders>
          </w:tcPr>
          <w:p w14:paraId="113C9F29">
            <w:pPr>
              <w:rPr>
                <w:rFonts w:asciiTheme="minorEastAsia" w:hAnsiTheme="minorEastAsia"/>
                <w:color w:val="000000"/>
                <w:sz w:val="24"/>
                <w:szCs w:val="24"/>
              </w:rPr>
            </w:pPr>
            <w:r>
              <w:rPr>
                <w:rFonts w:hint="eastAsia" w:asciiTheme="minorEastAsia" w:hAnsiTheme="minorEastAsia"/>
                <w:color w:val="000000"/>
                <w:sz w:val="24"/>
                <w:szCs w:val="24"/>
              </w:rPr>
              <w:t>投标人递交的投标文件、开标一览表未按招标文件要求密封、签署、盖章的</w:t>
            </w:r>
          </w:p>
        </w:tc>
      </w:tr>
      <w:tr w14:paraId="2124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14:paraId="789A3B8F">
            <w:pPr>
              <w:jc w:val="center"/>
              <w:rPr>
                <w:rFonts w:asciiTheme="minorEastAsia" w:hAnsiTheme="minorEastAsia"/>
                <w:color w:val="000000"/>
                <w:sz w:val="24"/>
                <w:szCs w:val="24"/>
              </w:rPr>
            </w:pPr>
            <w:r>
              <w:rPr>
                <w:rFonts w:asciiTheme="minorEastAsia" w:hAnsiTheme="minorEastAsia"/>
                <w:color w:val="000000"/>
                <w:sz w:val="24"/>
                <w:szCs w:val="24"/>
              </w:rPr>
              <w:t>3</w:t>
            </w:r>
          </w:p>
        </w:tc>
        <w:tc>
          <w:tcPr>
            <w:tcW w:w="7406" w:type="dxa"/>
            <w:tcBorders>
              <w:top w:val="single" w:color="auto" w:sz="4" w:space="0"/>
              <w:left w:val="single" w:color="auto" w:sz="4" w:space="0"/>
              <w:bottom w:val="single" w:color="auto" w:sz="4" w:space="0"/>
              <w:right w:val="single" w:color="auto" w:sz="4" w:space="0"/>
            </w:tcBorders>
          </w:tcPr>
          <w:p w14:paraId="73856BD3">
            <w:pPr>
              <w:rPr>
                <w:rFonts w:asciiTheme="minorEastAsia" w:hAnsiTheme="minorEastAsia"/>
                <w:color w:val="000000"/>
                <w:sz w:val="24"/>
                <w:szCs w:val="24"/>
              </w:rPr>
            </w:pPr>
            <w:r>
              <w:rPr>
                <w:rFonts w:hint="eastAsia" w:asciiTheme="minorEastAsia" w:hAnsiTheme="minorEastAsia"/>
                <w:color w:val="000000"/>
                <w:sz w:val="24"/>
                <w:szCs w:val="24"/>
              </w:rPr>
              <w:t>招标文件未规定允许有替代方案时，对同一项目投标时，同时提供两套或两套以上的投标方案</w:t>
            </w:r>
          </w:p>
        </w:tc>
      </w:tr>
      <w:tr w14:paraId="6B36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14:paraId="7CA93A25">
            <w:pPr>
              <w:jc w:val="center"/>
              <w:rPr>
                <w:rFonts w:asciiTheme="minorEastAsia" w:hAnsiTheme="minorEastAsia"/>
                <w:color w:val="000000"/>
                <w:sz w:val="24"/>
                <w:szCs w:val="24"/>
              </w:rPr>
            </w:pPr>
            <w:r>
              <w:rPr>
                <w:rFonts w:asciiTheme="minorEastAsia" w:hAnsiTheme="minorEastAsia"/>
                <w:color w:val="000000"/>
                <w:sz w:val="24"/>
                <w:szCs w:val="24"/>
              </w:rPr>
              <w:t>4</w:t>
            </w:r>
          </w:p>
        </w:tc>
        <w:tc>
          <w:tcPr>
            <w:tcW w:w="7406" w:type="dxa"/>
            <w:tcBorders>
              <w:top w:val="single" w:color="auto" w:sz="4" w:space="0"/>
              <w:left w:val="single" w:color="auto" w:sz="4" w:space="0"/>
              <w:bottom w:val="single" w:color="auto" w:sz="4" w:space="0"/>
              <w:right w:val="single" w:color="auto" w:sz="4" w:space="0"/>
            </w:tcBorders>
          </w:tcPr>
          <w:p w14:paraId="0DEEBA96">
            <w:pPr>
              <w:rPr>
                <w:rFonts w:asciiTheme="minorEastAsia" w:hAnsiTheme="minorEastAsia"/>
                <w:color w:val="000000"/>
                <w:sz w:val="24"/>
                <w:szCs w:val="24"/>
              </w:rPr>
            </w:pPr>
            <w:r>
              <w:rPr>
                <w:rFonts w:hint="eastAsia" w:asciiTheme="minorEastAsia" w:hAnsiTheme="minorEastAsia"/>
                <w:color w:val="000000"/>
                <w:sz w:val="24"/>
                <w:szCs w:val="24"/>
              </w:rPr>
              <w:t>投标总价高于预算限额</w:t>
            </w:r>
          </w:p>
        </w:tc>
      </w:tr>
      <w:tr w14:paraId="0AA6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14:paraId="40818185">
            <w:pPr>
              <w:jc w:val="center"/>
              <w:rPr>
                <w:rFonts w:asciiTheme="minorEastAsia" w:hAnsiTheme="minorEastAsia"/>
                <w:color w:val="000000"/>
                <w:sz w:val="24"/>
                <w:szCs w:val="24"/>
              </w:rPr>
            </w:pPr>
            <w:r>
              <w:rPr>
                <w:rFonts w:asciiTheme="minorEastAsia" w:hAnsiTheme="minorEastAsia"/>
                <w:color w:val="000000"/>
                <w:sz w:val="24"/>
                <w:szCs w:val="24"/>
              </w:rPr>
              <w:t>5</w:t>
            </w:r>
          </w:p>
        </w:tc>
        <w:tc>
          <w:tcPr>
            <w:tcW w:w="7406" w:type="dxa"/>
            <w:tcBorders>
              <w:top w:val="single" w:color="auto" w:sz="4" w:space="0"/>
              <w:left w:val="single" w:color="auto" w:sz="4" w:space="0"/>
              <w:bottom w:val="single" w:color="auto" w:sz="4" w:space="0"/>
              <w:right w:val="single" w:color="auto" w:sz="4" w:space="0"/>
            </w:tcBorders>
          </w:tcPr>
          <w:p w14:paraId="67FE9406">
            <w:pPr>
              <w:rPr>
                <w:rFonts w:asciiTheme="minorEastAsia" w:hAnsiTheme="minorEastAsia"/>
                <w:color w:val="000000"/>
                <w:sz w:val="24"/>
                <w:szCs w:val="24"/>
              </w:rPr>
            </w:pPr>
            <w:r>
              <w:rPr>
                <w:rFonts w:hint="eastAsia" w:asciiTheme="minorEastAsia" w:hAnsiTheme="minorEastAsia"/>
                <w:color w:val="000000"/>
                <w:sz w:val="24"/>
                <w:szCs w:val="24"/>
              </w:rPr>
              <w:t>投标文件载明的招标项目完成或服务期限不满足招标文件规定的</w:t>
            </w:r>
          </w:p>
        </w:tc>
      </w:tr>
      <w:tr w14:paraId="4C02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14:paraId="182C1419">
            <w:pPr>
              <w:jc w:val="center"/>
              <w:rPr>
                <w:rFonts w:asciiTheme="minorEastAsia" w:hAnsiTheme="minorEastAsia"/>
                <w:color w:val="000000"/>
                <w:sz w:val="24"/>
                <w:szCs w:val="24"/>
              </w:rPr>
            </w:pPr>
            <w:r>
              <w:rPr>
                <w:rFonts w:hint="eastAsia" w:asciiTheme="minorEastAsia" w:hAnsiTheme="minorEastAsia"/>
                <w:color w:val="000000"/>
                <w:sz w:val="24"/>
                <w:szCs w:val="24"/>
              </w:rPr>
              <w:t>6</w:t>
            </w:r>
          </w:p>
        </w:tc>
        <w:tc>
          <w:tcPr>
            <w:tcW w:w="7406" w:type="dxa"/>
            <w:tcBorders>
              <w:top w:val="single" w:color="auto" w:sz="4" w:space="0"/>
              <w:left w:val="single" w:color="auto" w:sz="4" w:space="0"/>
              <w:bottom w:val="single" w:color="auto" w:sz="4" w:space="0"/>
              <w:right w:val="single" w:color="auto" w:sz="4" w:space="0"/>
            </w:tcBorders>
          </w:tcPr>
          <w:p w14:paraId="635AD959">
            <w:pPr>
              <w:rPr>
                <w:rFonts w:asciiTheme="minorEastAsia" w:hAnsiTheme="minorEastAsia"/>
                <w:color w:val="000000"/>
                <w:sz w:val="24"/>
                <w:szCs w:val="24"/>
              </w:rPr>
            </w:pPr>
            <w:r>
              <w:rPr>
                <w:rFonts w:hint="eastAsia" w:asciiTheme="minorEastAsia" w:hAnsiTheme="minorEastAsia"/>
                <w:color w:val="000000"/>
                <w:sz w:val="24"/>
                <w:szCs w:val="24"/>
              </w:rPr>
              <w:t>投标报价有严重缺漏项目</w:t>
            </w:r>
          </w:p>
        </w:tc>
      </w:tr>
      <w:tr w14:paraId="1D78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14:paraId="52B50F8E">
            <w:pPr>
              <w:jc w:val="center"/>
              <w:rPr>
                <w:rFonts w:asciiTheme="minorEastAsia" w:hAnsiTheme="minorEastAsia"/>
                <w:color w:val="000000"/>
                <w:sz w:val="24"/>
                <w:szCs w:val="24"/>
              </w:rPr>
            </w:pPr>
            <w:r>
              <w:rPr>
                <w:rFonts w:hint="eastAsia" w:asciiTheme="minorEastAsia" w:hAnsiTheme="minorEastAsia"/>
                <w:color w:val="000000"/>
                <w:sz w:val="24"/>
                <w:szCs w:val="24"/>
              </w:rPr>
              <w:t>7</w:t>
            </w:r>
          </w:p>
        </w:tc>
        <w:tc>
          <w:tcPr>
            <w:tcW w:w="7406" w:type="dxa"/>
            <w:tcBorders>
              <w:top w:val="single" w:color="auto" w:sz="4" w:space="0"/>
              <w:left w:val="single" w:color="auto" w:sz="4" w:space="0"/>
              <w:bottom w:val="single" w:color="auto" w:sz="4" w:space="0"/>
              <w:right w:val="single" w:color="auto" w:sz="4" w:space="0"/>
            </w:tcBorders>
          </w:tcPr>
          <w:p w14:paraId="27A79E79">
            <w:pPr>
              <w:rPr>
                <w:rFonts w:asciiTheme="minorEastAsia" w:hAnsiTheme="minorEastAsia"/>
                <w:color w:val="000000"/>
                <w:sz w:val="24"/>
                <w:szCs w:val="24"/>
              </w:rPr>
            </w:pPr>
            <w:r>
              <w:rPr>
                <w:rFonts w:hint="eastAsia" w:asciiTheme="minorEastAsia" w:hAnsiTheme="minorEastAsia"/>
                <w:color w:val="000000"/>
                <w:sz w:val="24"/>
                <w:szCs w:val="24"/>
              </w:rPr>
              <w:t>法律、法规规定的其他情形</w:t>
            </w:r>
          </w:p>
        </w:tc>
      </w:tr>
    </w:tbl>
    <w:p w14:paraId="3D879AFC"/>
    <w:p w14:paraId="02CD93BE">
      <w:pPr>
        <w:widowControl/>
        <w:jc w:val="left"/>
      </w:pPr>
      <w:r>
        <w:br w:type="page"/>
      </w:r>
    </w:p>
    <w:p w14:paraId="28B78EF0"/>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587"/>
        <w:gridCol w:w="1355"/>
        <w:gridCol w:w="649"/>
        <w:gridCol w:w="4890"/>
        <w:gridCol w:w="1154"/>
      </w:tblGrid>
      <w:tr w14:paraId="53D0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87" w:type="pct"/>
            <w:tcBorders>
              <w:top w:val="single" w:color="auto" w:sz="4" w:space="0"/>
              <w:left w:val="single" w:color="auto" w:sz="4" w:space="0"/>
              <w:bottom w:val="single" w:color="auto" w:sz="4" w:space="0"/>
              <w:right w:val="single" w:color="auto" w:sz="4" w:space="0"/>
            </w:tcBorders>
            <w:vAlign w:val="center"/>
          </w:tcPr>
          <w:p w14:paraId="7DF65B55">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序号</w:t>
            </w:r>
          </w:p>
        </w:tc>
        <w:tc>
          <w:tcPr>
            <w:tcW w:w="3910" w:type="pct"/>
            <w:gridSpan w:val="4"/>
            <w:tcBorders>
              <w:top w:val="single" w:color="auto" w:sz="4" w:space="0"/>
              <w:left w:val="single" w:color="auto" w:sz="4" w:space="0"/>
              <w:bottom w:val="single" w:color="auto" w:sz="4" w:space="0"/>
              <w:right w:val="single" w:color="auto" w:sz="4" w:space="0"/>
            </w:tcBorders>
            <w:vAlign w:val="center"/>
          </w:tcPr>
          <w:p w14:paraId="6DF3CA6C">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评分项</w:t>
            </w:r>
          </w:p>
        </w:tc>
        <w:tc>
          <w:tcPr>
            <w:tcW w:w="603" w:type="pct"/>
            <w:tcBorders>
              <w:top w:val="single" w:color="auto" w:sz="4" w:space="0"/>
              <w:left w:val="single" w:color="auto" w:sz="4" w:space="0"/>
              <w:bottom w:val="single" w:color="auto" w:sz="4" w:space="0"/>
              <w:right w:val="single" w:color="auto" w:sz="4" w:space="0"/>
            </w:tcBorders>
            <w:vAlign w:val="center"/>
          </w:tcPr>
          <w:p w14:paraId="0E8AC591">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权重</w:t>
            </w:r>
          </w:p>
        </w:tc>
      </w:tr>
      <w:tr w14:paraId="019A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87" w:type="pct"/>
            <w:vMerge w:val="restart"/>
            <w:tcBorders>
              <w:top w:val="single" w:color="auto" w:sz="4" w:space="0"/>
              <w:left w:val="single" w:color="auto" w:sz="4" w:space="0"/>
              <w:right w:val="single" w:color="auto" w:sz="4" w:space="0"/>
            </w:tcBorders>
            <w:vAlign w:val="center"/>
          </w:tcPr>
          <w:p w14:paraId="4788FD80">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（一）</w:t>
            </w:r>
          </w:p>
        </w:tc>
        <w:tc>
          <w:tcPr>
            <w:tcW w:w="3910" w:type="pct"/>
            <w:gridSpan w:val="4"/>
            <w:tcBorders>
              <w:top w:val="single" w:color="auto" w:sz="4" w:space="0"/>
              <w:left w:val="single" w:color="auto" w:sz="4" w:space="0"/>
              <w:bottom w:val="single" w:color="auto" w:sz="4" w:space="0"/>
              <w:right w:val="single" w:color="auto" w:sz="4" w:space="0"/>
            </w:tcBorders>
            <w:vAlign w:val="center"/>
          </w:tcPr>
          <w:p w14:paraId="64695475">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价格部分</w:t>
            </w:r>
          </w:p>
        </w:tc>
        <w:tc>
          <w:tcPr>
            <w:tcW w:w="603" w:type="pct"/>
            <w:tcBorders>
              <w:top w:val="single" w:color="auto" w:sz="4" w:space="0"/>
              <w:left w:val="single" w:color="auto" w:sz="4" w:space="0"/>
              <w:bottom w:val="single" w:color="auto" w:sz="4" w:space="0"/>
              <w:right w:val="single" w:color="auto" w:sz="4" w:space="0"/>
            </w:tcBorders>
            <w:vAlign w:val="center"/>
          </w:tcPr>
          <w:p w14:paraId="3626290F">
            <w:pPr>
              <w:widowControl/>
              <w:snapToGrid w:val="0"/>
              <w:spacing w:line="460" w:lineRule="atLeast"/>
              <w:jc w:val="center"/>
              <w:rPr>
                <w:rFonts w:ascii="宋体" w:hAnsi="宋体" w:cs="宋体"/>
                <w:b/>
                <w:kern w:val="0"/>
                <w:szCs w:val="21"/>
              </w:rPr>
            </w:pPr>
            <w:r>
              <w:rPr>
                <w:rFonts w:hint="eastAsia" w:ascii="宋体" w:hAnsi="宋体" w:cs="宋体"/>
                <w:b/>
                <w:kern w:val="0"/>
                <w:szCs w:val="21"/>
              </w:rPr>
              <w:t>20</w:t>
            </w:r>
          </w:p>
        </w:tc>
      </w:tr>
      <w:tr w14:paraId="3347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continue"/>
            <w:tcBorders>
              <w:left w:val="single" w:color="auto" w:sz="4" w:space="0"/>
              <w:bottom w:val="single" w:color="auto" w:sz="4" w:space="0"/>
              <w:right w:val="single" w:color="auto" w:sz="4" w:space="0"/>
            </w:tcBorders>
            <w:vAlign w:val="center"/>
          </w:tcPr>
          <w:p w14:paraId="67A05B72">
            <w:pPr>
              <w:widowControl/>
              <w:snapToGrid w:val="0"/>
              <w:spacing w:line="460" w:lineRule="atLeast"/>
              <w:jc w:val="center"/>
              <w:rPr>
                <w:rFonts w:ascii="宋体" w:hAnsi="宋体" w:cs="宋体"/>
                <w:kern w:val="0"/>
                <w:szCs w:val="21"/>
              </w:rPr>
            </w:pPr>
          </w:p>
        </w:tc>
        <w:tc>
          <w:tcPr>
            <w:tcW w:w="3910" w:type="pct"/>
            <w:gridSpan w:val="4"/>
            <w:tcBorders>
              <w:top w:val="single" w:color="auto" w:sz="4" w:space="0"/>
              <w:left w:val="single" w:color="auto" w:sz="4" w:space="0"/>
              <w:bottom w:val="single" w:color="auto" w:sz="4" w:space="0"/>
              <w:right w:val="single" w:color="auto" w:sz="4" w:space="0"/>
            </w:tcBorders>
            <w:vAlign w:val="center"/>
          </w:tcPr>
          <w:p w14:paraId="3DDD5A84">
            <w:pPr>
              <w:spacing w:line="460" w:lineRule="atLeast"/>
              <w:jc w:val="left"/>
              <w:rPr>
                <w:rFonts w:ascii="宋体" w:hAnsi="宋体" w:cs="宋体"/>
                <w:szCs w:val="21"/>
              </w:rPr>
            </w:pPr>
            <w:r>
              <w:rPr>
                <w:rFonts w:hint="eastAsia" w:ascii="宋体" w:hAnsi="宋体" w:eastAsia="宋体" w:cs="宋体"/>
                <w:szCs w:val="21"/>
              </w:rPr>
              <w:t>满足招标文件要求且投标价格最低的投标报价为评标价基准价，其价格分为满分。</w:t>
            </w:r>
          </w:p>
          <w:p w14:paraId="5F0AD7CF">
            <w:pPr>
              <w:spacing w:line="460" w:lineRule="atLeast"/>
              <w:jc w:val="left"/>
              <w:rPr>
                <w:rFonts w:ascii="宋体" w:hAnsi="宋体" w:cs="宋体"/>
                <w:szCs w:val="21"/>
              </w:rPr>
            </w:pPr>
            <w:r>
              <w:rPr>
                <w:rFonts w:hint="eastAsia" w:ascii="宋体" w:hAnsi="宋体" w:eastAsia="宋体" w:cs="宋体"/>
                <w:szCs w:val="21"/>
              </w:rPr>
              <w:t>价格分计算公式：投标报价得分=(评标基准价/有效投标报价)×权重</w:t>
            </w:r>
          </w:p>
        </w:tc>
        <w:tc>
          <w:tcPr>
            <w:tcW w:w="603" w:type="pct"/>
            <w:tcBorders>
              <w:top w:val="single" w:color="auto" w:sz="4" w:space="0"/>
              <w:left w:val="single" w:color="auto" w:sz="4" w:space="0"/>
              <w:bottom w:val="single" w:color="auto" w:sz="4" w:space="0"/>
              <w:right w:val="single" w:color="auto" w:sz="4" w:space="0"/>
            </w:tcBorders>
            <w:vAlign w:val="center"/>
          </w:tcPr>
          <w:p w14:paraId="3B6220FF">
            <w:pPr>
              <w:snapToGrid w:val="0"/>
              <w:spacing w:line="460" w:lineRule="atLeast"/>
              <w:jc w:val="center"/>
              <w:rPr>
                <w:rFonts w:ascii="宋体" w:hAnsi="宋体" w:cs="宋体"/>
                <w:szCs w:val="21"/>
              </w:rPr>
            </w:pPr>
            <w:r>
              <w:rPr>
                <w:rFonts w:hint="eastAsia" w:ascii="宋体" w:hAnsi="宋体" w:eastAsia="宋体" w:cs="宋体"/>
                <w:szCs w:val="21"/>
              </w:rPr>
              <w:t>评分方式按公式计算</w:t>
            </w:r>
          </w:p>
        </w:tc>
      </w:tr>
      <w:tr w14:paraId="1F28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87" w:type="pct"/>
            <w:vMerge w:val="restart"/>
            <w:tcBorders>
              <w:top w:val="single" w:color="auto" w:sz="4" w:space="0"/>
              <w:left w:val="single" w:color="auto" w:sz="4" w:space="0"/>
              <w:right w:val="single" w:color="auto" w:sz="4" w:space="0"/>
            </w:tcBorders>
            <w:vAlign w:val="center"/>
          </w:tcPr>
          <w:p w14:paraId="4AE83751">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（二）</w:t>
            </w:r>
          </w:p>
        </w:tc>
        <w:tc>
          <w:tcPr>
            <w:tcW w:w="3910" w:type="pct"/>
            <w:gridSpan w:val="4"/>
            <w:tcBorders>
              <w:top w:val="single" w:color="auto" w:sz="4" w:space="0"/>
              <w:left w:val="single" w:color="auto" w:sz="4" w:space="0"/>
              <w:bottom w:val="single" w:color="auto" w:sz="4" w:space="0"/>
              <w:right w:val="single" w:color="auto" w:sz="4" w:space="0"/>
            </w:tcBorders>
            <w:vAlign w:val="center"/>
          </w:tcPr>
          <w:p w14:paraId="2F505020">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技术部分</w:t>
            </w:r>
          </w:p>
        </w:tc>
        <w:tc>
          <w:tcPr>
            <w:tcW w:w="603" w:type="pct"/>
            <w:tcBorders>
              <w:top w:val="single" w:color="auto" w:sz="4" w:space="0"/>
              <w:left w:val="single" w:color="auto" w:sz="4" w:space="0"/>
              <w:bottom w:val="single" w:color="auto" w:sz="4" w:space="0"/>
              <w:right w:val="single" w:color="auto" w:sz="4" w:space="0"/>
            </w:tcBorders>
            <w:vAlign w:val="center"/>
          </w:tcPr>
          <w:p w14:paraId="3292A7B1">
            <w:pPr>
              <w:widowControl/>
              <w:snapToGrid w:val="0"/>
              <w:spacing w:line="460" w:lineRule="atLeast"/>
              <w:jc w:val="center"/>
              <w:rPr>
                <w:rFonts w:ascii="宋体" w:hAnsi="宋体" w:cs="宋体"/>
                <w:b/>
                <w:kern w:val="0"/>
                <w:szCs w:val="21"/>
              </w:rPr>
            </w:pPr>
            <w:r>
              <w:rPr>
                <w:rFonts w:hint="eastAsia" w:ascii="宋体" w:hAnsi="宋体" w:cs="宋体"/>
                <w:b/>
                <w:kern w:val="0"/>
                <w:szCs w:val="21"/>
              </w:rPr>
              <w:t>45</w:t>
            </w:r>
          </w:p>
        </w:tc>
      </w:tr>
      <w:tr w14:paraId="6AE9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87" w:type="pct"/>
            <w:vMerge w:val="continue"/>
            <w:tcBorders>
              <w:left w:val="single" w:color="auto" w:sz="4" w:space="0"/>
              <w:right w:val="single" w:color="auto" w:sz="4" w:space="0"/>
            </w:tcBorders>
            <w:vAlign w:val="center"/>
          </w:tcPr>
          <w:p w14:paraId="5E2033F2">
            <w:pPr>
              <w:widowControl/>
              <w:snapToGrid w:val="0"/>
              <w:spacing w:line="460" w:lineRule="atLeast"/>
              <w:jc w:val="center"/>
              <w:rPr>
                <w:rFonts w:ascii="宋体" w:hAnsi="宋体" w:cs="宋体"/>
                <w:b/>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68458064">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序号</w:t>
            </w:r>
          </w:p>
        </w:tc>
        <w:tc>
          <w:tcPr>
            <w:tcW w:w="708" w:type="pct"/>
            <w:tcBorders>
              <w:top w:val="single" w:color="auto" w:sz="4" w:space="0"/>
              <w:left w:val="single" w:color="auto" w:sz="4" w:space="0"/>
              <w:bottom w:val="single" w:color="auto" w:sz="4" w:space="0"/>
              <w:right w:val="single" w:color="auto" w:sz="4" w:space="0"/>
            </w:tcBorders>
            <w:vAlign w:val="center"/>
          </w:tcPr>
          <w:p w14:paraId="5EB2A766">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内容</w:t>
            </w:r>
          </w:p>
        </w:tc>
        <w:tc>
          <w:tcPr>
            <w:tcW w:w="339" w:type="pct"/>
            <w:tcBorders>
              <w:top w:val="single" w:color="auto" w:sz="4" w:space="0"/>
              <w:left w:val="single" w:color="auto" w:sz="4" w:space="0"/>
              <w:bottom w:val="single" w:color="auto" w:sz="4" w:space="0"/>
              <w:right w:val="single" w:color="auto" w:sz="4" w:space="0"/>
            </w:tcBorders>
            <w:vAlign w:val="center"/>
          </w:tcPr>
          <w:p w14:paraId="0557B185">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权重</w:t>
            </w:r>
          </w:p>
        </w:tc>
        <w:tc>
          <w:tcPr>
            <w:tcW w:w="2556" w:type="pct"/>
            <w:tcBorders>
              <w:top w:val="single" w:color="auto" w:sz="4" w:space="0"/>
              <w:left w:val="single" w:color="auto" w:sz="4" w:space="0"/>
              <w:bottom w:val="single" w:color="auto" w:sz="4" w:space="0"/>
              <w:right w:val="single" w:color="auto" w:sz="4" w:space="0"/>
            </w:tcBorders>
            <w:vAlign w:val="center"/>
          </w:tcPr>
          <w:p w14:paraId="1AB4725D">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评分规则</w:t>
            </w:r>
          </w:p>
        </w:tc>
        <w:tc>
          <w:tcPr>
            <w:tcW w:w="603" w:type="pct"/>
            <w:tcBorders>
              <w:top w:val="single" w:color="auto" w:sz="4" w:space="0"/>
              <w:left w:val="single" w:color="auto" w:sz="4" w:space="0"/>
              <w:bottom w:val="single" w:color="auto" w:sz="4" w:space="0"/>
              <w:right w:val="single" w:color="auto" w:sz="4" w:space="0"/>
            </w:tcBorders>
            <w:vAlign w:val="center"/>
          </w:tcPr>
          <w:p w14:paraId="25BF8D8C">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评分</w:t>
            </w:r>
          </w:p>
          <w:p w14:paraId="163D6470">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方式</w:t>
            </w:r>
          </w:p>
        </w:tc>
      </w:tr>
      <w:tr w14:paraId="1970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continue"/>
            <w:tcBorders>
              <w:left w:val="single" w:color="auto" w:sz="4" w:space="0"/>
              <w:right w:val="single" w:color="auto" w:sz="4" w:space="0"/>
            </w:tcBorders>
            <w:vAlign w:val="center"/>
          </w:tcPr>
          <w:p w14:paraId="489AEC82">
            <w:pPr>
              <w:widowControl/>
              <w:snapToGrid w:val="0"/>
              <w:spacing w:line="460" w:lineRule="atLeast"/>
              <w:jc w:val="center"/>
              <w:rPr>
                <w:rFonts w:ascii="宋体" w:hAnsi="宋体" w:cs="宋体"/>
                <w:b/>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7C3302A9">
            <w:pPr>
              <w:widowControl/>
              <w:snapToGrid w:val="0"/>
              <w:spacing w:line="460" w:lineRule="atLeast"/>
              <w:jc w:val="center"/>
              <w:rPr>
                <w:rFonts w:ascii="宋体" w:hAnsi="宋体" w:cs="宋体"/>
                <w:kern w:val="0"/>
                <w:szCs w:val="21"/>
              </w:rPr>
            </w:pPr>
            <w:r>
              <w:rPr>
                <w:rFonts w:hint="eastAsia" w:ascii="宋体" w:hAnsi="宋体" w:eastAsia="宋体" w:cs="宋体"/>
                <w:kern w:val="0"/>
                <w:szCs w:val="21"/>
              </w:rPr>
              <w:t>1</w:t>
            </w:r>
          </w:p>
        </w:tc>
        <w:tc>
          <w:tcPr>
            <w:tcW w:w="708" w:type="pct"/>
            <w:tcBorders>
              <w:top w:val="single" w:color="auto" w:sz="4" w:space="0"/>
              <w:left w:val="single" w:color="auto" w:sz="4" w:space="0"/>
              <w:bottom w:val="single" w:color="auto" w:sz="4" w:space="0"/>
              <w:right w:val="single" w:color="auto" w:sz="4" w:space="0"/>
            </w:tcBorders>
            <w:vAlign w:val="center"/>
          </w:tcPr>
          <w:p w14:paraId="67ADD50B">
            <w:pPr>
              <w:snapToGrid w:val="0"/>
              <w:spacing w:line="360" w:lineRule="auto"/>
              <w:jc w:val="center"/>
              <w:rPr>
                <w:rFonts w:ascii="宋体" w:hAnsi="宋体" w:cs="宋体"/>
                <w:kern w:val="0"/>
                <w:szCs w:val="21"/>
              </w:rPr>
            </w:pPr>
            <w:r>
              <w:rPr>
                <w:rFonts w:hint="eastAsia" w:ascii="宋体" w:hAnsi="宋体"/>
                <w:szCs w:val="21"/>
                <w:u w:color="FFFFFF"/>
              </w:rPr>
              <w:t>项目服务方案</w:t>
            </w:r>
          </w:p>
        </w:tc>
        <w:tc>
          <w:tcPr>
            <w:tcW w:w="339" w:type="pct"/>
            <w:tcBorders>
              <w:top w:val="single" w:color="auto" w:sz="4" w:space="0"/>
              <w:left w:val="single" w:color="auto" w:sz="4" w:space="0"/>
              <w:bottom w:val="single" w:color="auto" w:sz="4" w:space="0"/>
              <w:right w:val="single" w:color="auto" w:sz="4" w:space="0"/>
            </w:tcBorders>
            <w:vAlign w:val="center"/>
          </w:tcPr>
          <w:p w14:paraId="07AD809C">
            <w:pPr>
              <w:snapToGrid w:val="0"/>
              <w:spacing w:line="360" w:lineRule="auto"/>
              <w:jc w:val="center"/>
              <w:rPr>
                <w:rFonts w:ascii="宋体" w:hAnsi="宋体" w:cs="宋体"/>
                <w:kern w:val="0"/>
                <w:szCs w:val="21"/>
              </w:rPr>
            </w:pPr>
            <w:r>
              <w:rPr>
                <w:rFonts w:hint="eastAsia" w:ascii="宋体" w:hAnsi="宋体"/>
                <w:szCs w:val="21"/>
                <w:u w:color="FFFFFF"/>
              </w:rPr>
              <w:t>30</w:t>
            </w:r>
          </w:p>
        </w:tc>
        <w:tc>
          <w:tcPr>
            <w:tcW w:w="2556" w:type="pct"/>
            <w:tcBorders>
              <w:top w:val="single" w:color="auto" w:sz="4" w:space="0"/>
              <w:left w:val="single" w:color="auto" w:sz="4" w:space="0"/>
              <w:bottom w:val="single" w:color="auto" w:sz="4" w:space="0"/>
              <w:right w:val="single" w:color="auto" w:sz="4" w:space="0"/>
            </w:tcBorders>
            <w:vAlign w:val="center"/>
          </w:tcPr>
          <w:p w14:paraId="2EDC4F36">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评分内容</w:t>
            </w:r>
          </w:p>
          <w:p w14:paraId="10B41E25">
            <w:pPr>
              <w:rPr>
                <w:rFonts w:ascii="宋体" w:hAnsi="宋体" w:cs="宋体"/>
                <w:kern w:val="0"/>
                <w:szCs w:val="21"/>
              </w:rPr>
            </w:pPr>
            <w:r>
              <w:rPr>
                <w:rFonts w:hint="eastAsia" w:ascii="宋体" w:hAnsi="宋体" w:cs="宋体"/>
                <w:kern w:val="0"/>
                <w:szCs w:val="21"/>
              </w:rPr>
              <w:t>对本项目需求内容的理解，并根据项目特点制定实施方案。</w:t>
            </w:r>
          </w:p>
          <w:p w14:paraId="05085088">
            <w:pPr>
              <w:pStyle w:val="37"/>
              <w:numPr>
                <w:ilvl w:val="0"/>
                <w:numId w:val="1"/>
              </w:numPr>
              <w:ind w:firstLineChars="0"/>
              <w:rPr>
                <w:rFonts w:cs="宋体"/>
                <w:kern w:val="0"/>
                <w:szCs w:val="21"/>
              </w:rPr>
            </w:pPr>
            <w:r>
              <w:rPr>
                <w:rFonts w:hint="eastAsia" w:cs="宋体"/>
                <w:kern w:val="0"/>
                <w:szCs w:val="21"/>
              </w:rPr>
              <w:t>对项目的废水治理设施的运维服务响应时间及方案；</w:t>
            </w:r>
          </w:p>
          <w:p w14:paraId="7A7A517E">
            <w:pPr>
              <w:pStyle w:val="37"/>
              <w:numPr>
                <w:ilvl w:val="0"/>
                <w:numId w:val="1"/>
              </w:numPr>
              <w:ind w:firstLineChars="0"/>
              <w:rPr>
                <w:rFonts w:ascii="宋体" w:hAnsi="宋体" w:cs="宋体"/>
                <w:kern w:val="0"/>
                <w:szCs w:val="21"/>
              </w:rPr>
            </w:pPr>
            <w:r>
              <w:rPr>
                <w:rFonts w:hint="eastAsia" w:cs="宋体"/>
                <w:kern w:val="0"/>
                <w:szCs w:val="21"/>
              </w:rPr>
              <w:t>废水治理设施的日常管理制度；</w:t>
            </w:r>
          </w:p>
          <w:p w14:paraId="6B32D997">
            <w:pPr>
              <w:pStyle w:val="37"/>
              <w:numPr>
                <w:ilvl w:val="0"/>
                <w:numId w:val="1"/>
              </w:numPr>
              <w:ind w:firstLineChars="0"/>
              <w:rPr>
                <w:rFonts w:ascii="宋体" w:hAnsi="宋体" w:cs="宋体"/>
                <w:kern w:val="0"/>
                <w:szCs w:val="21"/>
              </w:rPr>
            </w:pPr>
            <w:r>
              <w:rPr>
                <w:rFonts w:hint="eastAsia" w:cs="宋体"/>
                <w:kern w:val="0"/>
                <w:szCs w:val="21"/>
              </w:rPr>
              <w:t>废水治理设施的运维工作风险管控措施等情况进行评审。</w:t>
            </w:r>
          </w:p>
          <w:p w14:paraId="71CDDC6D">
            <w:pPr>
              <w:pStyle w:val="37"/>
              <w:numPr>
                <w:ilvl w:val="0"/>
                <w:numId w:val="1"/>
              </w:numPr>
              <w:ind w:firstLineChars="0"/>
              <w:rPr>
                <w:rFonts w:cs="宋体"/>
                <w:kern w:val="0"/>
                <w:szCs w:val="21"/>
              </w:rPr>
            </w:pPr>
            <w:r>
              <w:rPr>
                <w:rFonts w:hint="eastAsia" w:cs="宋体"/>
                <w:kern w:val="0"/>
                <w:szCs w:val="21"/>
              </w:rPr>
              <w:t>对项目的废气治理设施的运维服务响应时间及方案；</w:t>
            </w:r>
          </w:p>
          <w:p w14:paraId="6FA75F1D">
            <w:pPr>
              <w:pStyle w:val="37"/>
              <w:numPr>
                <w:ilvl w:val="0"/>
                <w:numId w:val="1"/>
              </w:numPr>
              <w:ind w:firstLineChars="0"/>
              <w:rPr>
                <w:rFonts w:cs="宋体"/>
                <w:kern w:val="0"/>
                <w:szCs w:val="21"/>
              </w:rPr>
            </w:pPr>
            <w:r>
              <w:rPr>
                <w:rFonts w:hint="eastAsia" w:cs="宋体"/>
                <w:kern w:val="0"/>
                <w:szCs w:val="21"/>
              </w:rPr>
              <w:t>废气治理设施的日常管理制度；</w:t>
            </w:r>
          </w:p>
          <w:p w14:paraId="31EEB70E">
            <w:pPr>
              <w:pStyle w:val="37"/>
              <w:numPr>
                <w:ilvl w:val="0"/>
                <w:numId w:val="1"/>
              </w:numPr>
              <w:ind w:firstLineChars="0"/>
              <w:rPr>
                <w:rFonts w:cs="宋体"/>
                <w:kern w:val="0"/>
                <w:szCs w:val="21"/>
              </w:rPr>
            </w:pPr>
            <w:r>
              <w:rPr>
                <w:rFonts w:hint="eastAsia" w:cs="宋体"/>
                <w:kern w:val="0"/>
                <w:szCs w:val="21"/>
              </w:rPr>
              <w:t>废气治理设施的运维工作风险管控措施等情况进行评审。</w:t>
            </w:r>
          </w:p>
          <w:p w14:paraId="142899AA">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评分依据</w:t>
            </w:r>
          </w:p>
          <w:p w14:paraId="0A43B864">
            <w:pPr>
              <w:widowControl/>
              <w:snapToGrid w:val="0"/>
              <w:spacing w:line="360" w:lineRule="auto"/>
              <w:jc w:val="left"/>
              <w:rPr>
                <w:rFonts w:ascii="宋体" w:hAnsi="宋体" w:cs="宋体"/>
                <w:kern w:val="0"/>
                <w:szCs w:val="21"/>
              </w:rPr>
            </w:pPr>
            <w:r>
              <w:rPr>
                <w:rFonts w:hint="eastAsia" w:ascii="宋体" w:hAnsi="宋体" w:cs="宋体"/>
                <w:kern w:val="0"/>
                <w:szCs w:val="21"/>
              </w:rPr>
              <w:t>满足以上6项得12分，每缺一项扣3分。</w:t>
            </w:r>
          </w:p>
          <w:p w14:paraId="06940371">
            <w:pPr>
              <w:widowControl/>
              <w:snapToGrid w:val="0"/>
              <w:spacing w:line="360" w:lineRule="auto"/>
              <w:jc w:val="left"/>
              <w:rPr>
                <w:rFonts w:ascii="宋体" w:hAnsi="宋体" w:cs="宋体"/>
                <w:kern w:val="0"/>
                <w:szCs w:val="21"/>
              </w:rPr>
            </w:pPr>
            <w:r>
              <w:rPr>
                <w:rFonts w:hint="eastAsia" w:ascii="宋体" w:hAnsi="宋体" w:cs="宋体"/>
                <w:kern w:val="0"/>
                <w:szCs w:val="21"/>
              </w:rPr>
              <w:t>对项目采购服务需求有清晰的理解，制定的实施方案有针对性且具体，方案详细具体的，得18分；</w:t>
            </w:r>
          </w:p>
          <w:p w14:paraId="758E2A50">
            <w:pPr>
              <w:widowControl/>
              <w:snapToGrid w:val="0"/>
              <w:spacing w:line="360" w:lineRule="auto"/>
              <w:jc w:val="left"/>
              <w:rPr>
                <w:rFonts w:ascii="宋体" w:hAnsi="宋体" w:cs="宋体"/>
                <w:kern w:val="0"/>
                <w:szCs w:val="21"/>
              </w:rPr>
            </w:pPr>
            <w:r>
              <w:rPr>
                <w:rFonts w:hint="eastAsia" w:ascii="宋体" w:hAnsi="宋体" w:cs="宋体"/>
                <w:kern w:val="0"/>
                <w:szCs w:val="21"/>
              </w:rPr>
              <w:t>对需求有清晰理解，实施方案有针对性且具体，能够较好保证服务质量效果的，得12分；</w:t>
            </w:r>
          </w:p>
          <w:p w14:paraId="2E670567">
            <w:pPr>
              <w:widowControl/>
              <w:snapToGrid w:val="0"/>
              <w:spacing w:line="360" w:lineRule="auto"/>
              <w:jc w:val="left"/>
              <w:rPr>
                <w:rFonts w:ascii="宋体" w:hAnsi="宋体" w:cs="宋体"/>
                <w:kern w:val="0"/>
                <w:szCs w:val="21"/>
              </w:rPr>
            </w:pPr>
            <w:r>
              <w:rPr>
                <w:rFonts w:hint="eastAsia" w:ascii="宋体" w:hAnsi="宋体" w:cs="宋体"/>
                <w:kern w:val="0"/>
                <w:szCs w:val="21"/>
              </w:rPr>
              <w:t>对需求有清晰理解，实施方案有针对性且较为具体，基本能满足服务质量要求的，得6分。</w:t>
            </w:r>
          </w:p>
          <w:p w14:paraId="1B3EF71E">
            <w:pPr>
              <w:widowControl/>
              <w:snapToGrid w:val="0"/>
              <w:spacing w:line="360" w:lineRule="auto"/>
              <w:jc w:val="left"/>
              <w:rPr>
                <w:rFonts w:ascii="宋体" w:hAnsi="宋体" w:cs="宋体"/>
                <w:kern w:val="0"/>
                <w:szCs w:val="21"/>
              </w:rPr>
            </w:pPr>
            <w:r>
              <w:rPr>
                <w:rFonts w:hint="eastAsia" w:ascii="宋体" w:hAnsi="宋体" w:cs="宋体"/>
                <w:kern w:val="0"/>
                <w:szCs w:val="21"/>
              </w:rPr>
              <w:t>其他情况不得分。</w:t>
            </w:r>
          </w:p>
        </w:tc>
        <w:tc>
          <w:tcPr>
            <w:tcW w:w="603" w:type="pct"/>
            <w:tcBorders>
              <w:top w:val="single" w:color="auto" w:sz="4" w:space="0"/>
              <w:left w:val="single" w:color="auto" w:sz="4" w:space="0"/>
              <w:bottom w:val="single" w:color="auto" w:sz="4" w:space="0"/>
              <w:right w:val="single" w:color="auto" w:sz="4" w:space="0"/>
            </w:tcBorders>
            <w:vAlign w:val="center"/>
          </w:tcPr>
          <w:p w14:paraId="0AA621AC">
            <w:pPr>
              <w:widowControl/>
              <w:snapToGrid w:val="0"/>
              <w:spacing w:line="460" w:lineRule="atLeast"/>
              <w:jc w:val="center"/>
              <w:rPr>
                <w:rFonts w:ascii="宋体" w:hAnsi="宋体" w:cs="宋体"/>
                <w:kern w:val="0"/>
                <w:szCs w:val="21"/>
              </w:rPr>
            </w:pPr>
            <w:r>
              <w:rPr>
                <w:rFonts w:hint="eastAsia" w:ascii="宋体" w:hAnsi="宋体" w:eastAsia="宋体" w:cs="宋体"/>
                <w:kern w:val="0"/>
                <w:szCs w:val="21"/>
              </w:rPr>
              <w:t>专家</w:t>
            </w:r>
          </w:p>
          <w:p w14:paraId="2F643D84">
            <w:pPr>
              <w:widowControl/>
              <w:snapToGrid w:val="0"/>
              <w:spacing w:line="460" w:lineRule="atLeast"/>
              <w:jc w:val="center"/>
              <w:rPr>
                <w:rFonts w:ascii="宋体" w:hAnsi="宋体" w:cs="宋体"/>
                <w:b/>
                <w:kern w:val="0"/>
                <w:szCs w:val="21"/>
              </w:rPr>
            </w:pPr>
            <w:r>
              <w:rPr>
                <w:rFonts w:hint="eastAsia" w:ascii="宋体" w:hAnsi="宋体" w:eastAsia="宋体" w:cs="宋体"/>
                <w:kern w:val="0"/>
                <w:szCs w:val="21"/>
              </w:rPr>
              <w:t>打分</w:t>
            </w:r>
          </w:p>
        </w:tc>
      </w:tr>
      <w:tr w14:paraId="5F29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continue"/>
            <w:tcBorders>
              <w:left w:val="single" w:color="auto" w:sz="4" w:space="0"/>
              <w:right w:val="single" w:color="auto" w:sz="4" w:space="0"/>
            </w:tcBorders>
            <w:vAlign w:val="center"/>
          </w:tcPr>
          <w:p w14:paraId="4754A2F5">
            <w:pPr>
              <w:widowControl/>
              <w:snapToGrid w:val="0"/>
              <w:spacing w:line="460" w:lineRule="atLeast"/>
              <w:jc w:val="center"/>
              <w:rPr>
                <w:rFonts w:ascii="宋体" w:hAnsi="宋体" w:cs="宋体"/>
                <w:b/>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7AFB435A">
            <w:pPr>
              <w:widowControl/>
              <w:snapToGrid w:val="0"/>
              <w:spacing w:line="460" w:lineRule="atLeast"/>
              <w:jc w:val="center"/>
              <w:rPr>
                <w:rFonts w:ascii="宋体" w:hAnsi="宋体" w:eastAsia="宋体" w:cs="宋体"/>
                <w:kern w:val="0"/>
                <w:szCs w:val="21"/>
              </w:rPr>
            </w:pPr>
            <w:r>
              <w:rPr>
                <w:rFonts w:hint="eastAsia" w:ascii="宋体" w:hAnsi="宋体" w:eastAsia="宋体" w:cs="宋体"/>
                <w:kern w:val="0"/>
                <w:szCs w:val="21"/>
              </w:rPr>
              <w:t>2</w:t>
            </w:r>
          </w:p>
        </w:tc>
        <w:tc>
          <w:tcPr>
            <w:tcW w:w="708" w:type="pct"/>
            <w:tcBorders>
              <w:top w:val="single" w:color="auto" w:sz="4" w:space="0"/>
              <w:left w:val="single" w:color="auto" w:sz="4" w:space="0"/>
              <w:bottom w:val="single" w:color="auto" w:sz="4" w:space="0"/>
              <w:right w:val="single" w:color="auto" w:sz="4" w:space="0"/>
            </w:tcBorders>
            <w:vAlign w:val="center"/>
          </w:tcPr>
          <w:p w14:paraId="0EFF7B2A">
            <w:pPr>
              <w:jc w:val="center"/>
              <w:rPr>
                <w:rFonts w:ascii="宋体" w:hAnsi="宋体" w:cs="宋体"/>
                <w:szCs w:val="21"/>
              </w:rPr>
            </w:pPr>
            <w:r>
              <w:rPr>
                <w:rFonts w:hint="eastAsia" w:ascii="宋体" w:hAnsi="宋体" w:cs="宋体"/>
                <w:szCs w:val="21"/>
              </w:rPr>
              <w:t>服务条款偏离情况</w:t>
            </w:r>
          </w:p>
        </w:tc>
        <w:tc>
          <w:tcPr>
            <w:tcW w:w="339" w:type="pct"/>
            <w:tcBorders>
              <w:top w:val="single" w:color="auto" w:sz="4" w:space="0"/>
              <w:left w:val="single" w:color="auto" w:sz="4" w:space="0"/>
              <w:bottom w:val="single" w:color="auto" w:sz="4" w:space="0"/>
              <w:right w:val="single" w:color="auto" w:sz="4" w:space="0"/>
            </w:tcBorders>
            <w:vAlign w:val="center"/>
          </w:tcPr>
          <w:p w14:paraId="4AF2318E">
            <w:pPr>
              <w:jc w:val="center"/>
              <w:rPr>
                <w:rFonts w:ascii="宋体" w:hAnsi="宋体" w:cs="宋体"/>
                <w:kern w:val="0"/>
                <w:szCs w:val="21"/>
              </w:rPr>
            </w:pPr>
            <w:r>
              <w:rPr>
                <w:rFonts w:hint="eastAsia" w:ascii="宋体" w:hAnsi="宋体" w:cs="宋体"/>
                <w:kern w:val="0"/>
                <w:szCs w:val="21"/>
              </w:rPr>
              <w:t>15</w:t>
            </w:r>
          </w:p>
        </w:tc>
        <w:tc>
          <w:tcPr>
            <w:tcW w:w="2556" w:type="pct"/>
            <w:tcBorders>
              <w:top w:val="single" w:color="auto" w:sz="4" w:space="0"/>
              <w:left w:val="single" w:color="auto" w:sz="4" w:space="0"/>
              <w:bottom w:val="single" w:color="auto" w:sz="4" w:space="0"/>
              <w:right w:val="single" w:color="auto" w:sz="4" w:space="0"/>
            </w:tcBorders>
          </w:tcPr>
          <w:p w14:paraId="0C272F78">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评分内容</w:t>
            </w:r>
          </w:p>
          <w:p w14:paraId="10FB6D54">
            <w:pPr>
              <w:widowControl/>
              <w:snapToGrid w:val="0"/>
              <w:spacing w:line="360" w:lineRule="auto"/>
              <w:jc w:val="left"/>
              <w:rPr>
                <w:rFonts w:ascii="宋体" w:hAnsi="宋体" w:cs="宋体"/>
                <w:szCs w:val="21"/>
              </w:rPr>
            </w:pPr>
            <w:r>
              <w:rPr>
                <w:rFonts w:hint="eastAsia" w:ascii="宋体" w:hAnsi="宋体" w:cs="宋体"/>
                <w:szCs w:val="21"/>
              </w:rPr>
              <w:t>投标人应如实填写《</w:t>
            </w:r>
            <w:r>
              <w:rPr>
                <w:rFonts w:hint="eastAsia"/>
              </w:rPr>
              <w:t>服务条款偏离表</w:t>
            </w:r>
            <w:r>
              <w:rPr>
                <w:rFonts w:hint="eastAsia" w:ascii="宋体" w:hAnsi="宋体" w:cs="宋体"/>
                <w:szCs w:val="21"/>
              </w:rPr>
              <w:t>》，逐一响应项目需求中“项目服务要求”及“项目商务要求”中的服务条款，全部满足得15分，每负偏离一项扣1.5分，最低0分。</w:t>
            </w:r>
          </w:p>
          <w:p w14:paraId="47DFDB91">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评分依据</w:t>
            </w:r>
          </w:p>
          <w:p w14:paraId="3EA725F2">
            <w:pPr>
              <w:pStyle w:val="8"/>
              <w:rPr>
                <w:rFonts w:ascii="宋体" w:hAnsi="宋体" w:cs="宋体"/>
                <w:b w:val="0"/>
                <w:bCs w:val="0"/>
                <w:sz w:val="21"/>
                <w:szCs w:val="21"/>
              </w:rPr>
            </w:pPr>
            <w:r>
              <w:rPr>
                <w:rFonts w:hint="eastAsia" w:ascii="宋体" w:hAnsi="宋体" w:cs="宋体"/>
                <w:b w:val="0"/>
                <w:bCs w:val="0"/>
                <w:sz w:val="21"/>
                <w:szCs w:val="21"/>
              </w:rPr>
              <w:t>投标人须按照招标文件要求提供《服务条款偏离表》。</w:t>
            </w:r>
          </w:p>
        </w:tc>
        <w:tc>
          <w:tcPr>
            <w:tcW w:w="603" w:type="pct"/>
            <w:tcBorders>
              <w:top w:val="single" w:color="auto" w:sz="4" w:space="0"/>
              <w:left w:val="single" w:color="auto" w:sz="4" w:space="0"/>
              <w:bottom w:val="single" w:color="auto" w:sz="4" w:space="0"/>
              <w:right w:val="single" w:color="auto" w:sz="4" w:space="0"/>
            </w:tcBorders>
            <w:vAlign w:val="center"/>
          </w:tcPr>
          <w:p w14:paraId="45EC9B9B">
            <w:pPr>
              <w:widowControl/>
              <w:snapToGrid w:val="0"/>
              <w:spacing w:line="460" w:lineRule="atLeast"/>
              <w:jc w:val="center"/>
              <w:rPr>
                <w:rFonts w:ascii="宋体" w:hAnsi="宋体" w:cs="宋体"/>
                <w:kern w:val="0"/>
                <w:szCs w:val="21"/>
              </w:rPr>
            </w:pPr>
            <w:r>
              <w:rPr>
                <w:rFonts w:hint="eastAsia" w:ascii="宋体" w:hAnsi="宋体" w:eastAsia="宋体" w:cs="宋体"/>
                <w:kern w:val="0"/>
                <w:szCs w:val="21"/>
              </w:rPr>
              <w:t>专家</w:t>
            </w:r>
          </w:p>
          <w:p w14:paraId="266A0849">
            <w:pPr>
              <w:widowControl/>
              <w:snapToGrid w:val="0"/>
              <w:spacing w:line="460" w:lineRule="atLeast"/>
              <w:jc w:val="center"/>
              <w:rPr>
                <w:rFonts w:ascii="宋体" w:hAnsi="宋体" w:eastAsia="宋体" w:cs="宋体"/>
                <w:kern w:val="0"/>
                <w:szCs w:val="21"/>
              </w:rPr>
            </w:pPr>
            <w:r>
              <w:rPr>
                <w:rFonts w:hint="eastAsia" w:ascii="宋体" w:hAnsi="宋体" w:eastAsia="宋体" w:cs="宋体"/>
                <w:kern w:val="0"/>
                <w:szCs w:val="21"/>
              </w:rPr>
              <w:t>打分</w:t>
            </w:r>
          </w:p>
        </w:tc>
      </w:tr>
      <w:tr w14:paraId="4BAC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Merge w:val="restart"/>
            <w:tcBorders>
              <w:top w:val="single" w:color="auto" w:sz="4" w:space="0"/>
              <w:left w:val="single" w:color="auto" w:sz="4" w:space="0"/>
              <w:right w:val="single" w:color="auto" w:sz="4" w:space="0"/>
            </w:tcBorders>
            <w:vAlign w:val="center"/>
          </w:tcPr>
          <w:p w14:paraId="519D6774">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（三）</w:t>
            </w:r>
          </w:p>
        </w:tc>
        <w:tc>
          <w:tcPr>
            <w:tcW w:w="3910" w:type="pct"/>
            <w:gridSpan w:val="4"/>
            <w:tcBorders>
              <w:top w:val="single" w:color="auto" w:sz="4" w:space="0"/>
              <w:left w:val="single" w:color="auto" w:sz="4" w:space="0"/>
              <w:bottom w:val="single" w:color="auto" w:sz="4" w:space="0"/>
              <w:right w:val="single" w:color="auto" w:sz="4" w:space="0"/>
            </w:tcBorders>
            <w:vAlign w:val="center"/>
          </w:tcPr>
          <w:p w14:paraId="6AE71D9B">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商务部分</w:t>
            </w:r>
          </w:p>
        </w:tc>
        <w:tc>
          <w:tcPr>
            <w:tcW w:w="603" w:type="pct"/>
            <w:tcBorders>
              <w:top w:val="single" w:color="auto" w:sz="4" w:space="0"/>
              <w:left w:val="single" w:color="auto" w:sz="4" w:space="0"/>
              <w:bottom w:val="single" w:color="auto" w:sz="4" w:space="0"/>
              <w:right w:val="single" w:color="auto" w:sz="4" w:space="0"/>
            </w:tcBorders>
            <w:vAlign w:val="center"/>
          </w:tcPr>
          <w:p w14:paraId="18D8F334">
            <w:pPr>
              <w:widowControl/>
              <w:snapToGrid w:val="0"/>
              <w:spacing w:line="460" w:lineRule="atLeast"/>
              <w:jc w:val="center"/>
              <w:rPr>
                <w:rFonts w:ascii="宋体" w:hAnsi="宋体" w:cs="宋体"/>
                <w:b/>
                <w:kern w:val="0"/>
                <w:szCs w:val="21"/>
              </w:rPr>
            </w:pPr>
            <w:r>
              <w:rPr>
                <w:rFonts w:hint="eastAsia" w:ascii="宋体" w:hAnsi="宋体" w:cs="宋体"/>
                <w:b/>
                <w:kern w:val="0"/>
                <w:szCs w:val="21"/>
              </w:rPr>
              <w:t>35</w:t>
            </w:r>
          </w:p>
        </w:tc>
      </w:tr>
      <w:tr w14:paraId="37B5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continue"/>
            <w:tcBorders>
              <w:left w:val="single" w:color="auto" w:sz="4" w:space="0"/>
              <w:right w:val="single" w:color="auto" w:sz="4" w:space="0"/>
            </w:tcBorders>
            <w:vAlign w:val="center"/>
          </w:tcPr>
          <w:p w14:paraId="73D74FC6">
            <w:pPr>
              <w:widowControl/>
              <w:snapToGrid w:val="0"/>
              <w:spacing w:line="460" w:lineRule="atLeast"/>
              <w:jc w:val="center"/>
              <w:rPr>
                <w:rFonts w:ascii="宋体" w:hAnsi="宋体" w:cs="宋体"/>
                <w:b/>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1345F416">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序号</w:t>
            </w:r>
          </w:p>
        </w:tc>
        <w:tc>
          <w:tcPr>
            <w:tcW w:w="708" w:type="pct"/>
            <w:tcBorders>
              <w:top w:val="single" w:color="auto" w:sz="4" w:space="0"/>
              <w:left w:val="single" w:color="auto" w:sz="4" w:space="0"/>
              <w:bottom w:val="single" w:color="auto" w:sz="4" w:space="0"/>
              <w:right w:val="single" w:color="auto" w:sz="4" w:space="0"/>
            </w:tcBorders>
            <w:vAlign w:val="center"/>
          </w:tcPr>
          <w:p w14:paraId="2556E0A9">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评分因素</w:t>
            </w:r>
          </w:p>
        </w:tc>
        <w:tc>
          <w:tcPr>
            <w:tcW w:w="339" w:type="pct"/>
            <w:tcBorders>
              <w:top w:val="single" w:color="auto" w:sz="4" w:space="0"/>
              <w:left w:val="single" w:color="auto" w:sz="4" w:space="0"/>
              <w:bottom w:val="single" w:color="auto" w:sz="4" w:space="0"/>
              <w:right w:val="single" w:color="auto" w:sz="4" w:space="0"/>
            </w:tcBorders>
            <w:vAlign w:val="center"/>
          </w:tcPr>
          <w:p w14:paraId="22D8D017">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权重</w:t>
            </w:r>
          </w:p>
        </w:tc>
        <w:tc>
          <w:tcPr>
            <w:tcW w:w="2556" w:type="pct"/>
            <w:tcBorders>
              <w:top w:val="single" w:color="auto" w:sz="4" w:space="0"/>
              <w:left w:val="single" w:color="auto" w:sz="4" w:space="0"/>
              <w:bottom w:val="single" w:color="auto" w:sz="4" w:space="0"/>
              <w:right w:val="single" w:color="auto" w:sz="4" w:space="0"/>
            </w:tcBorders>
            <w:vAlign w:val="center"/>
          </w:tcPr>
          <w:p w14:paraId="2F1A2855">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评分规则</w:t>
            </w:r>
          </w:p>
        </w:tc>
        <w:tc>
          <w:tcPr>
            <w:tcW w:w="603" w:type="pct"/>
            <w:tcBorders>
              <w:top w:val="single" w:color="auto" w:sz="4" w:space="0"/>
              <w:left w:val="single" w:color="auto" w:sz="4" w:space="0"/>
              <w:bottom w:val="single" w:color="auto" w:sz="4" w:space="0"/>
              <w:right w:val="single" w:color="auto" w:sz="4" w:space="0"/>
            </w:tcBorders>
            <w:vAlign w:val="center"/>
          </w:tcPr>
          <w:p w14:paraId="7DF9EAB9">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评分</w:t>
            </w:r>
          </w:p>
          <w:p w14:paraId="54B78482">
            <w:pPr>
              <w:widowControl/>
              <w:snapToGrid w:val="0"/>
              <w:spacing w:line="460" w:lineRule="atLeast"/>
              <w:jc w:val="center"/>
              <w:rPr>
                <w:rFonts w:ascii="宋体" w:hAnsi="宋体" w:cs="宋体"/>
                <w:b/>
                <w:kern w:val="0"/>
                <w:szCs w:val="21"/>
              </w:rPr>
            </w:pPr>
            <w:r>
              <w:rPr>
                <w:rFonts w:hint="eastAsia" w:ascii="宋体" w:hAnsi="宋体" w:eastAsia="宋体" w:cs="宋体"/>
                <w:b/>
                <w:kern w:val="0"/>
                <w:szCs w:val="21"/>
              </w:rPr>
              <w:t>方式</w:t>
            </w:r>
          </w:p>
        </w:tc>
      </w:tr>
      <w:tr w14:paraId="4B21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continue"/>
            <w:tcBorders>
              <w:left w:val="single" w:color="auto" w:sz="4" w:space="0"/>
              <w:right w:val="single" w:color="auto" w:sz="4" w:space="0"/>
            </w:tcBorders>
            <w:vAlign w:val="center"/>
          </w:tcPr>
          <w:p w14:paraId="0824B799">
            <w:pPr>
              <w:widowControl/>
              <w:snapToGrid w:val="0"/>
              <w:spacing w:line="460" w:lineRule="atLeast"/>
              <w:jc w:val="center"/>
              <w:rPr>
                <w:rFonts w:ascii="宋体" w:hAnsi="宋体" w:cs="宋体"/>
                <w:b/>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2E241B4E">
            <w:pPr>
              <w:widowControl/>
              <w:snapToGrid w:val="0"/>
              <w:spacing w:line="460" w:lineRule="atLeast"/>
              <w:jc w:val="center"/>
              <w:rPr>
                <w:rFonts w:ascii="宋体" w:hAnsi="宋体" w:eastAsia="宋体" w:cs="宋体"/>
                <w:kern w:val="0"/>
                <w:szCs w:val="21"/>
              </w:rPr>
            </w:pPr>
            <w:r>
              <w:rPr>
                <w:rFonts w:hint="eastAsia" w:ascii="宋体" w:hAnsi="宋体" w:eastAsia="宋体" w:cs="宋体"/>
                <w:kern w:val="0"/>
                <w:szCs w:val="21"/>
              </w:rPr>
              <w:t>1</w:t>
            </w:r>
          </w:p>
        </w:tc>
        <w:tc>
          <w:tcPr>
            <w:tcW w:w="708" w:type="pct"/>
            <w:tcBorders>
              <w:top w:val="single" w:color="auto" w:sz="4" w:space="0"/>
              <w:left w:val="single" w:color="auto" w:sz="4" w:space="0"/>
              <w:bottom w:val="single" w:color="auto" w:sz="4" w:space="0"/>
              <w:right w:val="single" w:color="auto" w:sz="4" w:space="0"/>
            </w:tcBorders>
            <w:vAlign w:val="center"/>
          </w:tcPr>
          <w:p w14:paraId="33FFFF0F">
            <w:pPr>
              <w:jc w:val="center"/>
              <w:rPr>
                <w:rFonts w:ascii="宋体" w:hAnsi="宋体" w:cs="宋体"/>
                <w:szCs w:val="21"/>
              </w:rPr>
            </w:pPr>
            <w:r>
              <w:rPr>
                <w:rFonts w:hint="eastAsia" w:ascii="宋体" w:hAnsi="宋体" w:cs="宋体"/>
                <w:sz w:val="18"/>
                <w:szCs w:val="18"/>
              </w:rPr>
              <w:t>本项目团队人员情况</w:t>
            </w:r>
          </w:p>
        </w:tc>
        <w:tc>
          <w:tcPr>
            <w:tcW w:w="339" w:type="pct"/>
            <w:tcBorders>
              <w:top w:val="single" w:color="auto" w:sz="4" w:space="0"/>
              <w:left w:val="single" w:color="auto" w:sz="4" w:space="0"/>
              <w:bottom w:val="single" w:color="auto" w:sz="4" w:space="0"/>
              <w:right w:val="single" w:color="auto" w:sz="4" w:space="0"/>
            </w:tcBorders>
            <w:vAlign w:val="center"/>
          </w:tcPr>
          <w:p w14:paraId="2FD0181A">
            <w:pPr>
              <w:jc w:val="center"/>
              <w:rPr>
                <w:rFonts w:ascii="宋体" w:hAnsi="宋体" w:cs="宋体"/>
                <w:kern w:val="0"/>
                <w:szCs w:val="21"/>
              </w:rPr>
            </w:pPr>
            <w:r>
              <w:rPr>
                <w:rFonts w:hint="eastAsia" w:ascii="宋体" w:hAnsi="宋体" w:cs="宋体"/>
                <w:kern w:val="0"/>
                <w:szCs w:val="21"/>
              </w:rPr>
              <w:t>15</w:t>
            </w:r>
          </w:p>
        </w:tc>
        <w:tc>
          <w:tcPr>
            <w:tcW w:w="2556" w:type="pct"/>
            <w:tcBorders>
              <w:top w:val="single" w:color="auto" w:sz="4" w:space="0"/>
              <w:left w:val="single" w:color="auto" w:sz="4" w:space="0"/>
              <w:bottom w:val="single" w:color="auto" w:sz="4" w:space="0"/>
              <w:right w:val="single" w:color="auto" w:sz="4" w:space="0"/>
            </w:tcBorders>
          </w:tcPr>
          <w:p w14:paraId="7CCDE096">
            <w:pPr>
              <w:pStyle w:val="8"/>
              <w:snapToGrid w:val="0"/>
              <w:jc w:val="left"/>
              <w:rPr>
                <w:rFonts w:ascii="宋体" w:hAnsi="宋体" w:cs="宋体"/>
                <w:bCs w:val="0"/>
                <w:kern w:val="0"/>
                <w:sz w:val="21"/>
                <w:szCs w:val="21"/>
              </w:rPr>
            </w:pPr>
            <w:r>
              <w:rPr>
                <w:rFonts w:hint="eastAsia" w:ascii="宋体" w:hAnsi="宋体" w:cs="宋体"/>
                <w:bCs w:val="0"/>
                <w:kern w:val="0"/>
                <w:sz w:val="21"/>
                <w:szCs w:val="21"/>
              </w:rPr>
              <w:t>评分内容</w:t>
            </w:r>
          </w:p>
          <w:p w14:paraId="5BBAEEAF">
            <w:pPr>
              <w:pStyle w:val="8"/>
              <w:snapToGrid w:val="0"/>
              <w:jc w:val="left"/>
              <w:rPr>
                <w:rFonts w:ascii="宋体" w:hAnsi="宋体" w:cs="宋体" w:eastAsiaTheme="minorEastAsia"/>
                <w:b w:val="0"/>
                <w:bCs w:val="0"/>
                <w:kern w:val="0"/>
                <w:sz w:val="21"/>
                <w:szCs w:val="21"/>
              </w:rPr>
            </w:pPr>
            <w:r>
              <w:rPr>
                <w:rFonts w:hint="eastAsia" w:ascii="宋体" w:hAnsi="宋体" w:cs="宋体" w:eastAsiaTheme="minorEastAsia"/>
                <w:b w:val="0"/>
                <w:bCs w:val="0"/>
                <w:kern w:val="0"/>
                <w:sz w:val="21"/>
                <w:szCs w:val="21"/>
              </w:rPr>
              <w:t>投标人为此次投标项目专设服务人员：</w:t>
            </w:r>
          </w:p>
          <w:p w14:paraId="52F42474">
            <w:pPr>
              <w:pStyle w:val="8"/>
              <w:rPr>
                <w:rFonts w:ascii="宋体" w:hAnsi="宋体" w:cs="宋体" w:eastAsiaTheme="minorEastAsia"/>
                <w:b w:val="0"/>
                <w:bCs w:val="0"/>
                <w:kern w:val="0"/>
                <w:sz w:val="21"/>
                <w:szCs w:val="21"/>
              </w:rPr>
            </w:pPr>
            <w:r>
              <w:rPr>
                <w:rFonts w:hint="eastAsia" w:ascii="宋体" w:hAnsi="宋体" w:cs="宋体" w:eastAsiaTheme="minorEastAsia"/>
                <w:b w:val="0"/>
                <w:bCs w:val="0"/>
                <w:kern w:val="0"/>
                <w:sz w:val="21"/>
                <w:szCs w:val="21"/>
              </w:rPr>
              <w:t>1、具有环境保护设施运行人员技能培训合格证（考试合格证）或环境污染治理设施运营人员考试合格证（工种仅为污废水处理工），具有6名及以上得8分，3名（含）至5名（含）得4分，其他不得分，本小项最高得8分；</w:t>
            </w:r>
          </w:p>
          <w:p w14:paraId="77C9BE64">
            <w:pPr>
              <w:pStyle w:val="8"/>
              <w:rPr>
                <w:rFonts w:ascii="宋体" w:hAnsi="宋体" w:cs="宋体" w:eastAsiaTheme="minorEastAsia"/>
                <w:b w:val="0"/>
                <w:bCs w:val="0"/>
                <w:kern w:val="0"/>
                <w:sz w:val="21"/>
                <w:szCs w:val="21"/>
              </w:rPr>
            </w:pPr>
            <w:r>
              <w:rPr>
                <w:rFonts w:hint="eastAsia" w:ascii="宋体" w:hAnsi="宋体" w:cs="宋体" w:eastAsiaTheme="minorEastAsia"/>
                <w:b w:val="0"/>
                <w:bCs w:val="0"/>
                <w:kern w:val="0"/>
                <w:sz w:val="21"/>
                <w:szCs w:val="21"/>
              </w:rPr>
              <w:t>2、具有环境保护设施运行人员技能培训合格证（考试合格证）或环境污染治理设施运营人员考试合格证（工种仅为废气处理工），具有2名及以上得3分，1名得1分，其他不得分，本小项最高得3分；</w:t>
            </w:r>
          </w:p>
          <w:p w14:paraId="6F074163">
            <w:pPr>
              <w:pStyle w:val="8"/>
              <w:rPr>
                <w:rFonts w:ascii="宋体" w:hAnsi="宋体" w:cs="宋体" w:eastAsiaTheme="minorEastAsia"/>
                <w:b w:val="0"/>
                <w:bCs w:val="0"/>
                <w:kern w:val="0"/>
                <w:sz w:val="21"/>
                <w:szCs w:val="21"/>
              </w:rPr>
            </w:pPr>
            <w:r>
              <w:rPr>
                <w:rFonts w:hint="eastAsia" w:ascii="宋体" w:hAnsi="宋体" w:cs="宋体" w:eastAsiaTheme="minorEastAsia"/>
                <w:b w:val="0"/>
                <w:bCs w:val="0"/>
                <w:kern w:val="0"/>
                <w:sz w:val="21"/>
                <w:szCs w:val="21"/>
              </w:rPr>
              <w:t>3、具有1名及以上环境自动监控（污废水）运行工证得2分，本小项最高得2分；</w:t>
            </w:r>
          </w:p>
          <w:p w14:paraId="4940ED7B">
            <w:pPr>
              <w:pStyle w:val="8"/>
              <w:rPr>
                <w:rFonts w:ascii="宋体" w:hAnsi="宋体" w:cs="宋体" w:eastAsiaTheme="minorEastAsia"/>
                <w:b w:val="0"/>
                <w:bCs w:val="0"/>
                <w:kern w:val="0"/>
                <w:sz w:val="21"/>
                <w:szCs w:val="21"/>
              </w:rPr>
            </w:pPr>
            <w:r>
              <w:rPr>
                <w:rFonts w:hint="eastAsia" w:ascii="宋体" w:hAnsi="宋体" w:cs="宋体" w:eastAsiaTheme="minorEastAsia"/>
                <w:b w:val="0"/>
                <w:bCs w:val="0"/>
                <w:kern w:val="0"/>
                <w:sz w:val="21"/>
                <w:szCs w:val="21"/>
              </w:rPr>
              <w:t>4、具有1名及以上排污单位自行监测技术能力培训证得1分；</w:t>
            </w:r>
          </w:p>
          <w:p w14:paraId="7144C435">
            <w:pPr>
              <w:pStyle w:val="8"/>
              <w:rPr>
                <w:rFonts w:ascii="宋体" w:hAnsi="宋体" w:cs="宋体" w:eastAsiaTheme="minorEastAsia"/>
                <w:b w:val="0"/>
                <w:bCs w:val="0"/>
                <w:kern w:val="0"/>
                <w:sz w:val="21"/>
                <w:szCs w:val="21"/>
              </w:rPr>
            </w:pPr>
            <w:r>
              <w:rPr>
                <w:rFonts w:hint="eastAsia" w:ascii="宋体" w:hAnsi="宋体" w:cs="宋体" w:eastAsiaTheme="minorEastAsia"/>
                <w:b w:val="0"/>
                <w:bCs w:val="0"/>
                <w:kern w:val="0"/>
                <w:sz w:val="21"/>
                <w:szCs w:val="21"/>
              </w:rPr>
              <w:t>5、具有1名及以上电工特种作业操作证的1分</w:t>
            </w:r>
          </w:p>
          <w:p w14:paraId="29E9A74A">
            <w:pPr>
              <w:pStyle w:val="8"/>
              <w:snapToGrid w:val="0"/>
              <w:jc w:val="left"/>
              <w:rPr>
                <w:rFonts w:ascii="宋体" w:hAnsi="宋体" w:cs="宋体"/>
                <w:bCs w:val="0"/>
                <w:kern w:val="0"/>
                <w:sz w:val="21"/>
                <w:szCs w:val="21"/>
              </w:rPr>
            </w:pPr>
            <w:r>
              <w:rPr>
                <w:rFonts w:hint="eastAsia" w:ascii="宋体" w:hAnsi="宋体" w:cs="宋体"/>
                <w:bCs w:val="0"/>
                <w:kern w:val="0"/>
                <w:sz w:val="21"/>
                <w:szCs w:val="21"/>
              </w:rPr>
              <w:t>评分依据</w:t>
            </w:r>
          </w:p>
          <w:p w14:paraId="67423631">
            <w:pPr>
              <w:spacing w:after="60" w:line="360" w:lineRule="auto"/>
              <w:rPr>
                <w:rFonts w:ascii="宋体" w:hAnsi="宋体" w:cs="宋体"/>
                <w:szCs w:val="21"/>
              </w:rPr>
            </w:pPr>
            <w:r>
              <w:rPr>
                <w:rFonts w:hint="eastAsia" w:ascii="宋体" w:hAnsi="宋体" w:cs="宋体"/>
                <w:szCs w:val="21"/>
              </w:rPr>
              <w:t>（1）</w:t>
            </w:r>
            <w:r>
              <w:rPr>
                <w:rFonts w:hint="eastAsia" w:ascii="宋体" w:hAnsi="宋体" w:eastAsia="宋体" w:cs="Times New Roman"/>
                <w:bCs/>
                <w:szCs w:val="21"/>
              </w:rPr>
              <w:t>提供相关人员相关证书扫描件</w:t>
            </w:r>
            <w:r>
              <w:rPr>
                <w:rFonts w:hint="eastAsia" w:ascii="宋体" w:hAnsi="宋体" w:cs="宋体"/>
                <w:szCs w:val="21"/>
              </w:rPr>
              <w:t>；</w:t>
            </w:r>
          </w:p>
          <w:p w14:paraId="76AB73D2">
            <w:pPr>
              <w:pStyle w:val="8"/>
              <w:rPr>
                <w:rFonts w:ascii="宋体" w:hAnsi="宋体" w:cs="宋体"/>
                <w:sz w:val="21"/>
                <w:szCs w:val="21"/>
              </w:rPr>
            </w:pPr>
            <w:r>
              <w:rPr>
                <w:rFonts w:hint="eastAsia" w:ascii="宋体" w:hAnsi="宋体"/>
                <w:b w:val="0"/>
                <w:sz w:val="21"/>
                <w:szCs w:val="21"/>
              </w:rPr>
              <w:t>（2）提供投标人为团队成员缴纳的开标日前三个月载有社保部门公章的社保缴纳证明材料（如开标日上一个月的社保材料因社保部门原因暂时无法取得，则可以往前顺延一个月，公司成立不足3月的，提供自成立以来相关人员的社保证明），原件备查。</w:t>
            </w:r>
          </w:p>
        </w:tc>
        <w:tc>
          <w:tcPr>
            <w:tcW w:w="603" w:type="pct"/>
            <w:tcBorders>
              <w:top w:val="single" w:color="auto" w:sz="4" w:space="0"/>
              <w:left w:val="single" w:color="auto" w:sz="4" w:space="0"/>
              <w:bottom w:val="single" w:color="auto" w:sz="4" w:space="0"/>
              <w:right w:val="single" w:color="auto" w:sz="4" w:space="0"/>
            </w:tcBorders>
            <w:vAlign w:val="center"/>
          </w:tcPr>
          <w:p w14:paraId="67EF3439">
            <w:pPr>
              <w:widowControl/>
              <w:snapToGrid w:val="0"/>
              <w:spacing w:line="460" w:lineRule="atLeast"/>
              <w:jc w:val="center"/>
              <w:rPr>
                <w:rFonts w:ascii="宋体" w:hAnsi="宋体" w:cs="宋体"/>
                <w:kern w:val="0"/>
                <w:szCs w:val="21"/>
              </w:rPr>
            </w:pPr>
            <w:r>
              <w:rPr>
                <w:rFonts w:hint="eastAsia" w:ascii="宋体" w:hAnsi="宋体" w:eastAsia="宋体" w:cs="宋体"/>
                <w:kern w:val="0"/>
                <w:szCs w:val="21"/>
              </w:rPr>
              <w:t>专家</w:t>
            </w:r>
          </w:p>
          <w:p w14:paraId="67755986">
            <w:pPr>
              <w:widowControl/>
              <w:snapToGrid w:val="0"/>
              <w:spacing w:line="460" w:lineRule="atLeast"/>
              <w:jc w:val="center"/>
              <w:rPr>
                <w:rFonts w:ascii="宋体" w:hAnsi="宋体" w:eastAsia="宋体" w:cs="宋体"/>
                <w:kern w:val="0"/>
                <w:szCs w:val="21"/>
              </w:rPr>
            </w:pPr>
            <w:r>
              <w:rPr>
                <w:rFonts w:hint="eastAsia" w:ascii="宋体" w:hAnsi="宋体" w:eastAsia="宋体" w:cs="宋体"/>
                <w:kern w:val="0"/>
                <w:szCs w:val="21"/>
              </w:rPr>
              <w:t>打分</w:t>
            </w:r>
          </w:p>
        </w:tc>
      </w:tr>
      <w:tr w14:paraId="609C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continue"/>
            <w:tcBorders>
              <w:left w:val="single" w:color="auto" w:sz="4" w:space="0"/>
              <w:right w:val="single" w:color="auto" w:sz="4" w:space="0"/>
            </w:tcBorders>
            <w:vAlign w:val="center"/>
          </w:tcPr>
          <w:p w14:paraId="05B83B32">
            <w:pPr>
              <w:widowControl/>
              <w:snapToGrid w:val="0"/>
              <w:spacing w:line="460" w:lineRule="atLeast"/>
              <w:jc w:val="center"/>
              <w:rPr>
                <w:rFonts w:ascii="宋体" w:hAnsi="宋体" w:cs="宋体"/>
                <w:b/>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218D4036">
            <w:pPr>
              <w:widowControl/>
              <w:snapToGrid w:val="0"/>
              <w:spacing w:line="460" w:lineRule="atLeast"/>
              <w:jc w:val="center"/>
              <w:rPr>
                <w:rFonts w:ascii="宋体" w:hAnsi="宋体" w:eastAsia="宋体" w:cs="宋体"/>
                <w:kern w:val="0"/>
                <w:szCs w:val="21"/>
              </w:rPr>
            </w:pPr>
            <w:r>
              <w:rPr>
                <w:rFonts w:hint="eastAsia" w:ascii="宋体" w:hAnsi="宋体" w:eastAsia="宋体" w:cs="宋体"/>
                <w:kern w:val="0"/>
                <w:szCs w:val="21"/>
              </w:rPr>
              <w:t>2</w:t>
            </w:r>
          </w:p>
        </w:tc>
        <w:tc>
          <w:tcPr>
            <w:tcW w:w="708" w:type="pct"/>
            <w:tcBorders>
              <w:top w:val="single" w:color="auto" w:sz="4" w:space="0"/>
              <w:left w:val="single" w:color="auto" w:sz="4" w:space="0"/>
              <w:bottom w:val="single" w:color="auto" w:sz="4" w:space="0"/>
              <w:right w:val="single" w:color="auto" w:sz="4" w:space="0"/>
            </w:tcBorders>
            <w:vAlign w:val="center"/>
          </w:tcPr>
          <w:p w14:paraId="4ABB4E20">
            <w:pPr>
              <w:adjustRightInd w:val="0"/>
              <w:snapToGrid w:val="0"/>
              <w:spacing w:line="460" w:lineRule="atLeast"/>
              <w:jc w:val="center"/>
              <w:rPr>
                <w:rFonts w:ascii="宋体" w:hAnsi="宋体" w:cs="宋体"/>
                <w:kern w:val="0"/>
                <w:szCs w:val="21"/>
              </w:rPr>
            </w:pPr>
            <w:r>
              <w:rPr>
                <w:rFonts w:hint="eastAsia" w:ascii="宋体" w:hAnsi="宋体" w:eastAsia="宋体" w:cs="宋体"/>
                <w:szCs w:val="21"/>
              </w:rPr>
              <w:t>同类业绩</w:t>
            </w:r>
          </w:p>
        </w:tc>
        <w:tc>
          <w:tcPr>
            <w:tcW w:w="339" w:type="pct"/>
            <w:tcBorders>
              <w:top w:val="single" w:color="auto" w:sz="4" w:space="0"/>
              <w:left w:val="single" w:color="auto" w:sz="4" w:space="0"/>
              <w:bottom w:val="single" w:color="auto" w:sz="4" w:space="0"/>
              <w:right w:val="single" w:color="auto" w:sz="4" w:space="0"/>
            </w:tcBorders>
            <w:vAlign w:val="center"/>
          </w:tcPr>
          <w:p w14:paraId="49743F36">
            <w:pPr>
              <w:adjustRightInd w:val="0"/>
              <w:snapToGrid w:val="0"/>
              <w:spacing w:line="460" w:lineRule="atLeast"/>
              <w:jc w:val="center"/>
              <w:rPr>
                <w:rFonts w:ascii="宋体" w:hAnsi="宋体" w:cs="宋体"/>
                <w:kern w:val="0"/>
                <w:szCs w:val="21"/>
              </w:rPr>
            </w:pPr>
            <w:r>
              <w:rPr>
                <w:rFonts w:hint="eastAsia" w:ascii="宋体" w:hAnsi="宋体" w:cs="宋体"/>
                <w:kern w:val="0"/>
                <w:szCs w:val="21"/>
              </w:rPr>
              <w:t>10</w:t>
            </w:r>
          </w:p>
        </w:tc>
        <w:tc>
          <w:tcPr>
            <w:tcW w:w="2556" w:type="pct"/>
            <w:tcBorders>
              <w:top w:val="single" w:color="auto" w:sz="4" w:space="0"/>
              <w:left w:val="single" w:color="auto" w:sz="4" w:space="0"/>
              <w:bottom w:val="single" w:color="auto" w:sz="4" w:space="0"/>
              <w:right w:val="single" w:color="auto" w:sz="4" w:space="0"/>
            </w:tcBorders>
          </w:tcPr>
          <w:p w14:paraId="485172FC">
            <w:pPr>
              <w:adjustRightInd w:val="0"/>
              <w:snapToGrid w:val="0"/>
              <w:spacing w:line="360" w:lineRule="auto"/>
              <w:rPr>
                <w:rFonts w:ascii="宋体" w:hAnsi="宋体" w:eastAsia="宋体" w:cs="宋体"/>
                <w:sz w:val="24"/>
                <w:szCs w:val="24"/>
                <w:lang w:bidi="ar"/>
              </w:rPr>
            </w:pPr>
            <w:r>
              <w:rPr>
                <w:rFonts w:hint="eastAsia" w:ascii="宋体" w:hAnsi="宋体" w:cs="宋体"/>
                <w:b/>
                <w:bCs/>
                <w:kern w:val="0"/>
                <w:szCs w:val="21"/>
              </w:rPr>
              <w:t>评分内容</w:t>
            </w:r>
          </w:p>
          <w:p w14:paraId="28065CD0">
            <w:pPr>
              <w:snapToGrid w:val="0"/>
              <w:spacing w:after="60" w:line="360" w:lineRule="auto"/>
              <w:rPr>
                <w:rFonts w:ascii="宋体" w:hAnsi="宋体" w:eastAsia="宋体" w:cs="宋体"/>
                <w:bCs/>
                <w:szCs w:val="21"/>
              </w:rPr>
            </w:pPr>
            <w:r>
              <w:rPr>
                <w:rFonts w:hint="eastAsia" w:ascii="宋体" w:hAnsi="宋体" w:eastAsia="宋体" w:cs="宋体"/>
                <w:szCs w:val="21"/>
              </w:rPr>
              <w:t>投标人近三年（本项目投标截止日往前3年，以合同履约期为准），</w:t>
            </w:r>
            <w:r>
              <w:rPr>
                <w:rFonts w:hint="eastAsia" w:ascii="宋体" w:hAnsi="宋体" w:cs="宋体"/>
                <w:kern w:val="0"/>
                <w:sz w:val="18"/>
                <w:szCs w:val="18"/>
              </w:rPr>
              <w:t>承接过此类项目（废水废气处理设施运行维护保养相关项目）的业绩</w:t>
            </w:r>
            <w:r>
              <w:rPr>
                <w:rFonts w:hint="eastAsia" w:ascii="宋体" w:hAnsi="宋体" w:eastAsia="宋体" w:cs="宋体"/>
                <w:szCs w:val="21"/>
              </w:rPr>
              <w:t>，每提供一项业绩</w:t>
            </w:r>
            <w:r>
              <w:rPr>
                <w:rFonts w:hint="eastAsia" w:ascii="宋体" w:hAnsi="宋体" w:eastAsia="宋体" w:cs="宋体"/>
                <w:bCs/>
                <w:szCs w:val="21"/>
              </w:rPr>
              <w:t>得2分，最高得10分。</w:t>
            </w:r>
          </w:p>
          <w:p w14:paraId="042F1ED7">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评分依据</w:t>
            </w:r>
          </w:p>
          <w:p w14:paraId="1713D79A">
            <w:pPr>
              <w:snapToGrid w:val="0"/>
              <w:spacing w:after="60" w:line="360" w:lineRule="auto"/>
              <w:jc w:val="left"/>
              <w:rPr>
                <w:rFonts w:ascii="宋体" w:hAnsi="宋体" w:cs="宋体"/>
                <w:szCs w:val="21"/>
              </w:rPr>
            </w:pPr>
            <w:r>
              <w:rPr>
                <w:rFonts w:hint="eastAsia" w:ascii="宋体" w:hAnsi="宋体" w:eastAsia="宋体" w:cs="宋体"/>
                <w:szCs w:val="21"/>
              </w:rPr>
              <w:t>提供合同关键页扫描件及甲方出具的履约评标证明, 未按要求提供相关材料或扫描件不清晰导致无法识别的不计得分。同一项目续签合同的不重复计分。</w:t>
            </w:r>
            <w:r>
              <w:rPr>
                <w:rFonts w:hint="eastAsia" w:ascii="宋体" w:hAnsi="宋体" w:eastAsia="宋体" w:cs="宋体"/>
                <w:kern w:val="0"/>
                <w:szCs w:val="21"/>
                <w:lang w:bidi="ar"/>
              </w:rPr>
              <w:t>评分中出现无证明资料或专家无法凭所提供资料判断是否得分的情况，一律作不得分处理。</w:t>
            </w:r>
          </w:p>
        </w:tc>
        <w:tc>
          <w:tcPr>
            <w:tcW w:w="603" w:type="pct"/>
            <w:tcBorders>
              <w:top w:val="single" w:color="auto" w:sz="4" w:space="0"/>
              <w:left w:val="single" w:color="auto" w:sz="4" w:space="0"/>
              <w:bottom w:val="single" w:color="auto" w:sz="4" w:space="0"/>
              <w:right w:val="single" w:color="auto" w:sz="4" w:space="0"/>
            </w:tcBorders>
            <w:vAlign w:val="center"/>
          </w:tcPr>
          <w:p w14:paraId="3D6DFF97">
            <w:pPr>
              <w:widowControl/>
              <w:snapToGrid w:val="0"/>
              <w:spacing w:line="460" w:lineRule="atLeast"/>
              <w:jc w:val="center"/>
              <w:rPr>
                <w:rFonts w:ascii="宋体" w:hAnsi="宋体" w:cs="宋体"/>
                <w:kern w:val="0"/>
                <w:szCs w:val="21"/>
              </w:rPr>
            </w:pPr>
            <w:r>
              <w:rPr>
                <w:rFonts w:hint="eastAsia" w:ascii="宋体" w:hAnsi="宋体" w:eastAsia="宋体" w:cs="宋体"/>
                <w:kern w:val="0"/>
                <w:szCs w:val="21"/>
              </w:rPr>
              <w:t>专家</w:t>
            </w:r>
          </w:p>
          <w:p w14:paraId="5BD41583">
            <w:pPr>
              <w:widowControl/>
              <w:snapToGrid w:val="0"/>
              <w:spacing w:line="460" w:lineRule="atLeast"/>
              <w:jc w:val="center"/>
              <w:rPr>
                <w:rFonts w:ascii="宋体" w:hAnsi="宋体" w:eastAsia="宋体" w:cs="宋体"/>
                <w:kern w:val="0"/>
                <w:szCs w:val="21"/>
              </w:rPr>
            </w:pPr>
            <w:r>
              <w:rPr>
                <w:rFonts w:hint="eastAsia" w:ascii="宋体" w:hAnsi="宋体" w:eastAsia="宋体" w:cs="宋体"/>
                <w:kern w:val="0"/>
                <w:szCs w:val="21"/>
              </w:rPr>
              <w:t>打分</w:t>
            </w:r>
          </w:p>
        </w:tc>
      </w:tr>
      <w:tr w14:paraId="1F14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continue"/>
            <w:tcBorders>
              <w:left w:val="single" w:color="auto" w:sz="4" w:space="0"/>
              <w:right w:val="single" w:color="auto" w:sz="4" w:space="0"/>
            </w:tcBorders>
            <w:vAlign w:val="center"/>
          </w:tcPr>
          <w:p w14:paraId="1CB55E72">
            <w:pPr>
              <w:widowControl/>
              <w:snapToGrid w:val="0"/>
              <w:spacing w:line="460" w:lineRule="atLeast"/>
              <w:jc w:val="center"/>
              <w:rPr>
                <w:rFonts w:ascii="宋体" w:hAnsi="宋体" w:cs="宋体"/>
                <w:b/>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4965E191">
            <w:pPr>
              <w:widowControl/>
              <w:snapToGrid w:val="0"/>
              <w:spacing w:line="460" w:lineRule="atLeast"/>
              <w:jc w:val="center"/>
              <w:rPr>
                <w:rFonts w:ascii="宋体" w:hAnsi="宋体" w:eastAsia="宋体" w:cs="宋体"/>
                <w:kern w:val="0"/>
                <w:szCs w:val="21"/>
              </w:rPr>
            </w:pPr>
            <w:r>
              <w:rPr>
                <w:rFonts w:hint="eastAsia" w:ascii="宋体" w:hAnsi="宋体" w:eastAsia="宋体" w:cs="宋体"/>
                <w:kern w:val="0"/>
                <w:szCs w:val="21"/>
              </w:rPr>
              <w:t>3</w:t>
            </w:r>
          </w:p>
        </w:tc>
        <w:tc>
          <w:tcPr>
            <w:tcW w:w="708" w:type="pct"/>
            <w:tcBorders>
              <w:top w:val="single" w:color="auto" w:sz="4" w:space="0"/>
              <w:left w:val="single" w:color="auto" w:sz="4" w:space="0"/>
              <w:bottom w:val="single" w:color="auto" w:sz="4" w:space="0"/>
              <w:right w:val="single" w:color="auto" w:sz="4" w:space="0"/>
            </w:tcBorders>
            <w:vAlign w:val="center"/>
          </w:tcPr>
          <w:p w14:paraId="463B9ACF">
            <w:pPr>
              <w:jc w:val="center"/>
              <w:rPr>
                <w:rFonts w:ascii="宋体" w:hAnsi="宋体" w:cs="宋体"/>
                <w:sz w:val="18"/>
                <w:szCs w:val="18"/>
              </w:rPr>
            </w:pPr>
            <w:r>
              <w:rPr>
                <w:rFonts w:hint="eastAsia" w:ascii="宋体" w:hAnsi="宋体" w:cs="宋体"/>
                <w:sz w:val="18"/>
                <w:szCs w:val="18"/>
              </w:rPr>
              <w:t>通过相关认证情况</w:t>
            </w:r>
          </w:p>
        </w:tc>
        <w:tc>
          <w:tcPr>
            <w:tcW w:w="339" w:type="pct"/>
            <w:tcBorders>
              <w:top w:val="single" w:color="auto" w:sz="4" w:space="0"/>
              <w:left w:val="single" w:color="auto" w:sz="4" w:space="0"/>
              <w:bottom w:val="single" w:color="auto" w:sz="4" w:space="0"/>
              <w:right w:val="single" w:color="auto" w:sz="4" w:space="0"/>
            </w:tcBorders>
            <w:vAlign w:val="center"/>
          </w:tcPr>
          <w:p w14:paraId="3934F25E">
            <w:pPr>
              <w:adjustRightInd w:val="0"/>
              <w:snapToGrid w:val="0"/>
              <w:spacing w:line="360" w:lineRule="auto"/>
              <w:rPr>
                <w:rFonts w:ascii="宋体" w:hAnsi="宋体" w:eastAsia="宋体" w:cs="宋体"/>
                <w:sz w:val="24"/>
                <w:szCs w:val="24"/>
                <w:lang w:bidi="ar"/>
              </w:rPr>
            </w:pPr>
            <w:r>
              <w:rPr>
                <w:rFonts w:hint="eastAsia" w:ascii="宋体" w:hAnsi="宋体" w:eastAsia="宋体" w:cs="宋体"/>
                <w:sz w:val="24"/>
                <w:szCs w:val="24"/>
                <w:lang w:bidi="ar"/>
              </w:rPr>
              <w:t>5</w:t>
            </w:r>
          </w:p>
        </w:tc>
        <w:tc>
          <w:tcPr>
            <w:tcW w:w="2556" w:type="pct"/>
            <w:tcBorders>
              <w:top w:val="single" w:color="auto" w:sz="4" w:space="0"/>
              <w:left w:val="single" w:color="auto" w:sz="4" w:space="0"/>
              <w:bottom w:val="single" w:color="auto" w:sz="4" w:space="0"/>
              <w:right w:val="single" w:color="auto" w:sz="4" w:space="0"/>
            </w:tcBorders>
            <w:vAlign w:val="center"/>
          </w:tcPr>
          <w:p w14:paraId="779A3ED9">
            <w:pPr>
              <w:jc w:val="left"/>
              <w:rPr>
                <w:rFonts w:ascii="宋体" w:hAnsi="宋体" w:cs="宋体"/>
                <w:b/>
                <w:bCs/>
                <w:sz w:val="18"/>
                <w:szCs w:val="18"/>
              </w:rPr>
            </w:pPr>
            <w:r>
              <w:rPr>
                <w:rFonts w:hint="eastAsia" w:ascii="宋体" w:hAnsi="宋体" w:cs="宋体"/>
                <w:b/>
                <w:bCs/>
                <w:sz w:val="18"/>
                <w:szCs w:val="18"/>
              </w:rPr>
              <w:t>评审内容：</w:t>
            </w:r>
          </w:p>
          <w:p w14:paraId="7FBCC1FA">
            <w:pPr>
              <w:rPr>
                <w:rFonts w:ascii="宋体" w:hAnsi="宋体" w:cs="宋体"/>
                <w:sz w:val="18"/>
                <w:szCs w:val="18"/>
              </w:rPr>
            </w:pPr>
            <w:r>
              <w:rPr>
                <w:rFonts w:hint="eastAsia" w:ascii="宋体" w:hAnsi="宋体" w:cs="宋体"/>
                <w:sz w:val="18"/>
                <w:szCs w:val="18"/>
              </w:rPr>
              <w:t>具有ISO14001环境管理体系认证及ISO9001质量管理体系认证且认证范围含有废水处理设施的运营服务。</w:t>
            </w:r>
          </w:p>
          <w:p w14:paraId="35315D4A">
            <w:pPr>
              <w:rPr>
                <w:rFonts w:ascii="宋体" w:hAnsi="宋体" w:cs="宋体"/>
                <w:b/>
                <w:bCs/>
                <w:sz w:val="18"/>
                <w:szCs w:val="18"/>
              </w:rPr>
            </w:pPr>
            <w:r>
              <w:rPr>
                <w:rFonts w:hint="eastAsia" w:ascii="宋体" w:hAnsi="宋体" w:cs="宋体"/>
                <w:b/>
                <w:bCs/>
                <w:sz w:val="18"/>
                <w:szCs w:val="18"/>
              </w:rPr>
              <w:t>评分标准：</w:t>
            </w:r>
          </w:p>
          <w:p w14:paraId="1B842B24">
            <w:pPr>
              <w:rPr>
                <w:rFonts w:ascii="宋体" w:hAnsi="宋体" w:cs="宋体"/>
                <w:sz w:val="18"/>
                <w:szCs w:val="18"/>
              </w:rPr>
            </w:pPr>
            <w:r>
              <w:rPr>
                <w:rFonts w:hint="eastAsia" w:ascii="宋体" w:hAnsi="宋体" w:cs="宋体"/>
                <w:sz w:val="18"/>
                <w:szCs w:val="18"/>
              </w:rPr>
              <w:t>1、同时具有质量管理体系、环境管理体系，得5分；</w:t>
            </w:r>
          </w:p>
          <w:p w14:paraId="4FEFBC2C">
            <w:pPr>
              <w:rPr>
                <w:rFonts w:ascii="宋体" w:hAnsi="宋体" w:cs="宋体"/>
                <w:sz w:val="18"/>
                <w:szCs w:val="18"/>
              </w:rPr>
            </w:pPr>
            <w:r>
              <w:rPr>
                <w:rFonts w:hint="eastAsia" w:ascii="宋体" w:hAnsi="宋体" w:cs="宋体"/>
                <w:sz w:val="18"/>
                <w:szCs w:val="18"/>
              </w:rPr>
              <w:t>2、具有质量管理体系或环境管理体系之一的，得2分，其他不得分。</w:t>
            </w:r>
          </w:p>
          <w:p w14:paraId="5ADCCBEA">
            <w:pPr>
              <w:pStyle w:val="8"/>
              <w:rPr>
                <w:rFonts w:ascii="宋体" w:hAnsi="宋体" w:cs="宋体"/>
                <w:sz w:val="18"/>
                <w:szCs w:val="18"/>
              </w:rPr>
            </w:pPr>
            <w:r>
              <w:rPr>
                <w:rFonts w:hint="eastAsia" w:ascii="宋体" w:hAnsi="宋体" w:cs="宋体"/>
                <w:kern w:val="0"/>
                <w:sz w:val="18"/>
                <w:szCs w:val="18"/>
              </w:rPr>
              <w:t>（提供证书复印件加盖投标人公章，未提供的不得分。）</w:t>
            </w:r>
          </w:p>
        </w:tc>
        <w:tc>
          <w:tcPr>
            <w:tcW w:w="603" w:type="pct"/>
            <w:tcBorders>
              <w:top w:val="single" w:color="auto" w:sz="4" w:space="0"/>
              <w:left w:val="single" w:color="auto" w:sz="4" w:space="0"/>
              <w:bottom w:val="single" w:color="auto" w:sz="4" w:space="0"/>
              <w:right w:val="single" w:color="auto" w:sz="4" w:space="0"/>
            </w:tcBorders>
            <w:vAlign w:val="center"/>
          </w:tcPr>
          <w:p w14:paraId="0BE94A2B">
            <w:pPr>
              <w:widowControl/>
              <w:snapToGrid w:val="0"/>
              <w:spacing w:line="460" w:lineRule="atLeast"/>
              <w:jc w:val="center"/>
              <w:rPr>
                <w:rFonts w:ascii="宋体" w:hAnsi="宋体" w:cs="宋体"/>
                <w:kern w:val="0"/>
                <w:szCs w:val="21"/>
              </w:rPr>
            </w:pPr>
            <w:r>
              <w:rPr>
                <w:rFonts w:hint="eastAsia" w:ascii="宋体" w:hAnsi="宋体" w:eastAsia="宋体" w:cs="宋体"/>
                <w:kern w:val="0"/>
                <w:szCs w:val="21"/>
              </w:rPr>
              <w:t>专家</w:t>
            </w:r>
          </w:p>
          <w:p w14:paraId="7F394AC5">
            <w:pPr>
              <w:widowControl/>
              <w:snapToGrid w:val="0"/>
              <w:spacing w:line="460" w:lineRule="atLeast"/>
              <w:jc w:val="center"/>
              <w:rPr>
                <w:rFonts w:ascii="宋体" w:hAnsi="宋体" w:eastAsia="宋体" w:cs="宋体"/>
                <w:kern w:val="0"/>
                <w:szCs w:val="21"/>
              </w:rPr>
            </w:pPr>
            <w:r>
              <w:rPr>
                <w:rFonts w:hint="eastAsia" w:ascii="宋体" w:hAnsi="宋体" w:eastAsia="宋体" w:cs="宋体"/>
                <w:kern w:val="0"/>
                <w:szCs w:val="21"/>
              </w:rPr>
              <w:t>打分</w:t>
            </w:r>
          </w:p>
        </w:tc>
      </w:tr>
      <w:tr w14:paraId="0A93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487" w:type="pct"/>
            <w:vMerge w:val="continue"/>
            <w:tcBorders>
              <w:left w:val="single" w:color="auto" w:sz="4" w:space="0"/>
              <w:right w:val="single" w:color="auto" w:sz="4" w:space="0"/>
            </w:tcBorders>
            <w:vAlign w:val="center"/>
          </w:tcPr>
          <w:p w14:paraId="5A95005A">
            <w:pPr>
              <w:widowControl/>
              <w:snapToGrid w:val="0"/>
              <w:spacing w:line="460" w:lineRule="atLeast"/>
              <w:jc w:val="left"/>
              <w:rPr>
                <w:rFonts w:ascii="宋体" w:hAnsi="宋体" w:cs="宋体"/>
                <w:kern w:val="0"/>
                <w:szCs w:val="21"/>
              </w:rPr>
            </w:pPr>
          </w:p>
        </w:tc>
        <w:tc>
          <w:tcPr>
            <w:tcW w:w="307" w:type="pct"/>
            <w:tcBorders>
              <w:top w:val="single" w:color="auto" w:sz="4" w:space="0"/>
              <w:left w:val="single" w:color="auto" w:sz="4" w:space="0"/>
              <w:bottom w:val="single" w:color="auto" w:sz="4" w:space="0"/>
              <w:right w:val="single" w:color="auto" w:sz="4" w:space="0"/>
            </w:tcBorders>
            <w:vAlign w:val="center"/>
          </w:tcPr>
          <w:p w14:paraId="6E7E0189">
            <w:pPr>
              <w:widowControl/>
              <w:snapToGrid w:val="0"/>
              <w:spacing w:line="460" w:lineRule="atLeast"/>
              <w:jc w:val="center"/>
              <w:rPr>
                <w:rFonts w:ascii="宋体" w:hAnsi="宋体" w:eastAsia="宋体" w:cs="宋体"/>
                <w:kern w:val="0"/>
                <w:szCs w:val="21"/>
              </w:rPr>
            </w:pPr>
            <w:r>
              <w:rPr>
                <w:rFonts w:hint="eastAsia" w:ascii="宋体" w:hAnsi="宋体" w:eastAsia="宋体" w:cs="宋体"/>
                <w:kern w:val="0"/>
                <w:szCs w:val="21"/>
              </w:rPr>
              <w:t>4</w:t>
            </w:r>
          </w:p>
        </w:tc>
        <w:tc>
          <w:tcPr>
            <w:tcW w:w="708" w:type="pct"/>
            <w:tcBorders>
              <w:top w:val="single" w:color="auto" w:sz="4" w:space="0"/>
              <w:left w:val="single" w:color="auto" w:sz="4" w:space="0"/>
              <w:bottom w:val="single" w:color="auto" w:sz="4" w:space="0"/>
              <w:right w:val="single" w:color="auto" w:sz="4" w:space="0"/>
            </w:tcBorders>
            <w:vAlign w:val="center"/>
          </w:tcPr>
          <w:p w14:paraId="0FEB6DEE">
            <w:pPr>
              <w:widowControl/>
              <w:snapToGrid w:val="0"/>
              <w:spacing w:line="460" w:lineRule="atLeast"/>
              <w:jc w:val="center"/>
              <w:rPr>
                <w:rFonts w:ascii="宋体" w:hAnsi="宋体" w:cs="宋体"/>
                <w:bCs/>
                <w:kern w:val="0"/>
                <w:szCs w:val="21"/>
              </w:rPr>
            </w:pPr>
            <w:r>
              <w:rPr>
                <w:rFonts w:hint="eastAsia" w:ascii="宋体" w:hAnsi="宋体" w:cs="宋体"/>
                <w:bCs/>
                <w:kern w:val="0"/>
                <w:szCs w:val="21"/>
              </w:rPr>
              <w:t>投标人信用情况</w:t>
            </w:r>
          </w:p>
        </w:tc>
        <w:tc>
          <w:tcPr>
            <w:tcW w:w="339" w:type="pct"/>
            <w:tcBorders>
              <w:top w:val="single" w:color="auto" w:sz="4" w:space="0"/>
              <w:left w:val="single" w:color="auto" w:sz="4" w:space="0"/>
              <w:bottom w:val="single" w:color="auto" w:sz="4" w:space="0"/>
              <w:right w:val="single" w:color="auto" w:sz="4" w:space="0"/>
            </w:tcBorders>
            <w:vAlign w:val="center"/>
          </w:tcPr>
          <w:p w14:paraId="09139891">
            <w:pPr>
              <w:widowControl/>
              <w:snapToGrid w:val="0"/>
              <w:spacing w:line="460" w:lineRule="atLeast"/>
              <w:jc w:val="center"/>
              <w:rPr>
                <w:rFonts w:ascii="宋体" w:hAnsi="宋体" w:cs="宋体"/>
                <w:bCs/>
                <w:kern w:val="0"/>
                <w:szCs w:val="21"/>
              </w:rPr>
            </w:pPr>
            <w:r>
              <w:rPr>
                <w:rFonts w:hint="eastAsia" w:ascii="宋体" w:hAnsi="宋体" w:cs="宋体"/>
                <w:bCs/>
                <w:kern w:val="0"/>
                <w:szCs w:val="21"/>
              </w:rPr>
              <w:t>5</w:t>
            </w:r>
          </w:p>
        </w:tc>
        <w:tc>
          <w:tcPr>
            <w:tcW w:w="2556" w:type="pct"/>
            <w:tcBorders>
              <w:top w:val="single" w:color="auto" w:sz="4" w:space="0"/>
              <w:left w:val="single" w:color="auto" w:sz="4" w:space="0"/>
              <w:bottom w:val="single" w:color="auto" w:sz="4" w:space="0"/>
              <w:right w:val="single" w:color="auto" w:sz="4" w:space="0"/>
            </w:tcBorders>
            <w:vAlign w:val="center"/>
          </w:tcPr>
          <w:p w14:paraId="6BF298F0">
            <w:pPr>
              <w:adjustRightInd w:val="0"/>
              <w:snapToGrid w:val="0"/>
              <w:spacing w:line="360" w:lineRule="auto"/>
              <w:rPr>
                <w:rFonts w:ascii="宋体" w:hAnsi="宋体" w:eastAsia="宋体" w:cs="宋体"/>
                <w:sz w:val="24"/>
                <w:szCs w:val="24"/>
                <w:lang w:bidi="ar"/>
              </w:rPr>
            </w:pPr>
            <w:r>
              <w:rPr>
                <w:rFonts w:hint="eastAsia" w:ascii="宋体" w:hAnsi="宋体" w:cs="宋体"/>
                <w:b/>
                <w:bCs/>
                <w:kern w:val="0"/>
                <w:szCs w:val="21"/>
              </w:rPr>
              <w:t>评分内容</w:t>
            </w:r>
          </w:p>
          <w:p w14:paraId="2CC48E65">
            <w:pPr>
              <w:widowControl/>
              <w:spacing w:after="78" w:line="460" w:lineRule="atLeast"/>
              <w:jc w:val="left"/>
              <w:rPr>
                <w:rFonts w:ascii="宋体" w:hAnsi="宋体" w:cs="宋体"/>
                <w:kern w:val="0"/>
                <w:szCs w:val="21"/>
              </w:rPr>
            </w:pPr>
            <w:r>
              <w:rPr>
                <w:rFonts w:hint="eastAsia" w:ascii="宋体" w:hAnsi="宋体" w:cs="宋体"/>
                <w:kern w:val="0"/>
                <w:szCs w:val="21"/>
              </w:rPr>
              <w:t>投标人近三年（2019年1月至本项目投标截止日）在采购人单位中无不良记录，履约信誉良好。符合要求得5分；不符合要求得0分。</w:t>
            </w:r>
          </w:p>
          <w:p w14:paraId="61070BF7">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评分依据</w:t>
            </w:r>
          </w:p>
          <w:p w14:paraId="036C4A8F">
            <w:pPr>
              <w:widowControl/>
              <w:spacing w:after="78" w:line="460" w:lineRule="atLeast"/>
              <w:jc w:val="left"/>
              <w:rPr>
                <w:rFonts w:ascii="宋体" w:hAnsi="宋体" w:cs="宋体"/>
                <w:kern w:val="0"/>
                <w:szCs w:val="21"/>
                <w:lang w:bidi="ar"/>
              </w:rPr>
            </w:pPr>
            <w:r>
              <w:rPr>
                <w:rFonts w:hint="eastAsia" w:cs="宋体"/>
                <w:szCs w:val="21"/>
              </w:rPr>
              <w:t>提供承诺函（格式自拟），如投标人提供的承诺函内容虚假的，一经查实，后果由投标人自行承担。</w:t>
            </w:r>
          </w:p>
        </w:tc>
        <w:tc>
          <w:tcPr>
            <w:tcW w:w="603" w:type="pct"/>
            <w:tcBorders>
              <w:top w:val="single" w:color="auto" w:sz="4" w:space="0"/>
              <w:left w:val="single" w:color="auto" w:sz="4" w:space="0"/>
              <w:bottom w:val="single" w:color="auto" w:sz="4" w:space="0"/>
              <w:right w:val="single" w:color="auto" w:sz="4" w:space="0"/>
            </w:tcBorders>
            <w:vAlign w:val="center"/>
          </w:tcPr>
          <w:p w14:paraId="725339C3">
            <w:pPr>
              <w:widowControl/>
              <w:snapToGrid w:val="0"/>
              <w:spacing w:line="460" w:lineRule="atLeast"/>
              <w:jc w:val="center"/>
              <w:rPr>
                <w:rFonts w:ascii="宋体" w:hAnsi="宋体" w:cs="宋体"/>
                <w:kern w:val="0"/>
                <w:szCs w:val="21"/>
              </w:rPr>
            </w:pPr>
            <w:r>
              <w:rPr>
                <w:rFonts w:hint="eastAsia" w:ascii="宋体" w:hAnsi="宋体" w:eastAsia="宋体" w:cs="宋体"/>
                <w:kern w:val="0"/>
                <w:szCs w:val="21"/>
              </w:rPr>
              <w:t>专家</w:t>
            </w:r>
          </w:p>
          <w:p w14:paraId="0D73ACDA">
            <w:pPr>
              <w:widowControl/>
              <w:snapToGrid w:val="0"/>
              <w:spacing w:line="460" w:lineRule="atLeast"/>
              <w:jc w:val="center"/>
              <w:rPr>
                <w:rFonts w:ascii="宋体" w:hAnsi="宋体" w:eastAsia="宋体" w:cs="宋体"/>
                <w:kern w:val="0"/>
                <w:szCs w:val="21"/>
              </w:rPr>
            </w:pPr>
            <w:r>
              <w:rPr>
                <w:rFonts w:hint="eastAsia" w:ascii="宋体" w:hAnsi="宋体" w:eastAsia="宋体" w:cs="宋体"/>
                <w:kern w:val="0"/>
                <w:szCs w:val="21"/>
              </w:rPr>
              <w:t>打分</w:t>
            </w:r>
          </w:p>
        </w:tc>
      </w:tr>
    </w:tbl>
    <w:p w14:paraId="17F425E0"/>
    <w:p w14:paraId="2E3254B6">
      <w:pPr>
        <w:widowControl/>
        <w:jc w:val="left"/>
      </w:pPr>
      <w:r>
        <w:br w:type="page"/>
      </w:r>
    </w:p>
    <w:p w14:paraId="3667C370">
      <w:pPr>
        <w:widowControl/>
        <w:jc w:val="left"/>
      </w:pPr>
    </w:p>
    <w:p w14:paraId="23634FCE">
      <w:pPr>
        <w:pStyle w:val="2"/>
        <w:jc w:val="center"/>
        <w:rPr>
          <w:color w:val="000000"/>
        </w:rPr>
      </w:pPr>
      <w:r>
        <w:rPr>
          <w:rFonts w:hint="eastAsia"/>
          <w:color w:val="000000"/>
        </w:rPr>
        <w:t>目   录</w:t>
      </w:r>
    </w:p>
    <w:p w14:paraId="090B8805">
      <w:pPr>
        <w:spacing w:line="560" w:lineRule="exact"/>
        <w:ind w:firstLine="482" w:firstLineChars="200"/>
        <w:rPr>
          <w:rFonts w:ascii="黑体" w:eastAsia="黑体"/>
          <w:b/>
          <w:color w:val="000000"/>
          <w:sz w:val="24"/>
        </w:rPr>
      </w:pPr>
      <w:r>
        <w:rPr>
          <w:rFonts w:hint="eastAsia" w:ascii="黑体" w:eastAsia="黑体"/>
          <w:b/>
          <w:color w:val="000000"/>
          <w:sz w:val="24"/>
        </w:rPr>
        <w:t>第一部分  投标书</w:t>
      </w:r>
    </w:p>
    <w:p w14:paraId="2139993B">
      <w:pPr>
        <w:spacing w:line="560" w:lineRule="exact"/>
        <w:ind w:firstLine="482" w:firstLineChars="200"/>
        <w:rPr>
          <w:rFonts w:ascii="黑体" w:eastAsia="黑体"/>
          <w:b/>
          <w:color w:val="000000"/>
          <w:sz w:val="24"/>
        </w:rPr>
      </w:pPr>
      <w:r>
        <w:rPr>
          <w:rFonts w:hint="eastAsia" w:ascii="黑体" w:eastAsia="黑体"/>
          <w:b/>
          <w:color w:val="000000"/>
          <w:sz w:val="24"/>
        </w:rPr>
        <w:t>第二部分  招标内容</w:t>
      </w:r>
    </w:p>
    <w:p w14:paraId="01BB5C90">
      <w:pPr>
        <w:spacing w:line="560" w:lineRule="exact"/>
        <w:ind w:firstLine="482" w:firstLineChars="200"/>
        <w:rPr>
          <w:rFonts w:ascii="黑体" w:eastAsia="黑体"/>
          <w:b/>
          <w:color w:val="000000"/>
          <w:sz w:val="24"/>
        </w:rPr>
      </w:pPr>
      <w:r>
        <w:rPr>
          <w:rFonts w:hint="eastAsia" w:ascii="黑体" w:eastAsia="黑体"/>
          <w:b/>
          <w:color w:val="000000"/>
          <w:sz w:val="24"/>
        </w:rPr>
        <w:t>第三部分  服务要求</w:t>
      </w:r>
    </w:p>
    <w:p w14:paraId="69AA5196">
      <w:pPr>
        <w:spacing w:line="560" w:lineRule="exact"/>
        <w:ind w:firstLine="482" w:firstLineChars="200"/>
        <w:rPr>
          <w:rFonts w:ascii="黑体" w:eastAsia="黑体"/>
          <w:b/>
          <w:color w:val="000000"/>
          <w:sz w:val="24"/>
        </w:rPr>
      </w:pPr>
      <w:r>
        <w:rPr>
          <w:rFonts w:hint="eastAsia" w:ascii="黑体" w:eastAsia="黑体"/>
          <w:b/>
          <w:color w:val="000000"/>
          <w:sz w:val="24"/>
        </w:rPr>
        <w:t>第四部分  合同条款及格式（仅供参考）</w:t>
      </w:r>
    </w:p>
    <w:p w14:paraId="608C5595">
      <w:pPr>
        <w:spacing w:line="560" w:lineRule="exact"/>
        <w:ind w:firstLine="482" w:firstLineChars="200"/>
        <w:rPr>
          <w:rFonts w:ascii="黑体" w:eastAsia="黑体"/>
          <w:b/>
          <w:color w:val="000000"/>
          <w:sz w:val="24"/>
        </w:rPr>
      </w:pPr>
      <w:r>
        <w:rPr>
          <w:rFonts w:hint="eastAsia" w:ascii="黑体" w:eastAsia="黑体"/>
          <w:b/>
          <w:color w:val="000000"/>
          <w:sz w:val="24"/>
        </w:rPr>
        <w:t>第五部分  投标文件格式、附件</w:t>
      </w:r>
    </w:p>
    <w:p w14:paraId="444858A9">
      <w:pPr>
        <w:spacing w:line="560" w:lineRule="exact"/>
        <w:ind w:firstLine="482" w:firstLineChars="200"/>
        <w:jc w:val="left"/>
        <w:rPr>
          <w:rFonts w:ascii="黑体" w:eastAsia="黑体"/>
          <w:b/>
          <w:color w:val="000000"/>
          <w:sz w:val="24"/>
        </w:rPr>
      </w:pPr>
      <w:r>
        <w:rPr>
          <w:rFonts w:hint="eastAsia" w:ascii="黑体" w:eastAsia="黑体"/>
          <w:b/>
          <w:color w:val="000000"/>
          <w:sz w:val="24"/>
        </w:rPr>
        <w:t>第六部分  商务部分招标文件格式</w:t>
      </w:r>
    </w:p>
    <w:p w14:paraId="506A7F52">
      <w:pPr>
        <w:spacing w:line="560" w:lineRule="exact"/>
        <w:ind w:firstLine="480" w:firstLineChars="200"/>
        <w:rPr>
          <w:color w:val="000000"/>
          <w:sz w:val="24"/>
        </w:rPr>
      </w:pPr>
    </w:p>
    <w:p w14:paraId="29FE2840">
      <w:pPr>
        <w:jc w:val="left"/>
        <w:rPr>
          <w:rFonts w:ascii="黑体" w:eastAsia="黑体"/>
          <w:b/>
          <w:color w:val="000000"/>
          <w:sz w:val="24"/>
        </w:rPr>
      </w:pPr>
    </w:p>
    <w:p w14:paraId="2927914E">
      <w:pPr>
        <w:spacing w:line="360" w:lineRule="auto"/>
        <w:ind w:firstLine="540" w:firstLineChars="225"/>
        <w:rPr>
          <w:color w:val="000000"/>
          <w:sz w:val="24"/>
        </w:rPr>
      </w:pPr>
    </w:p>
    <w:p w14:paraId="33B957F1">
      <w:pPr>
        <w:spacing w:line="360" w:lineRule="auto"/>
        <w:ind w:firstLine="540" w:firstLineChars="225"/>
        <w:rPr>
          <w:color w:val="000000"/>
          <w:sz w:val="24"/>
        </w:rPr>
      </w:pPr>
    </w:p>
    <w:p w14:paraId="6E58AD3B">
      <w:pPr>
        <w:spacing w:line="360" w:lineRule="auto"/>
        <w:ind w:firstLine="540" w:firstLineChars="225"/>
        <w:rPr>
          <w:color w:val="000000"/>
          <w:sz w:val="24"/>
        </w:rPr>
      </w:pPr>
    </w:p>
    <w:p w14:paraId="34990487">
      <w:pPr>
        <w:spacing w:line="360" w:lineRule="auto"/>
        <w:ind w:firstLine="540" w:firstLineChars="225"/>
        <w:rPr>
          <w:color w:val="000000"/>
          <w:sz w:val="24"/>
        </w:rPr>
      </w:pPr>
    </w:p>
    <w:p w14:paraId="6106D418">
      <w:pPr>
        <w:spacing w:line="360" w:lineRule="auto"/>
        <w:ind w:firstLine="540" w:firstLineChars="225"/>
        <w:rPr>
          <w:color w:val="000000"/>
          <w:sz w:val="24"/>
        </w:rPr>
      </w:pPr>
    </w:p>
    <w:p w14:paraId="1A6ED7E9">
      <w:pPr>
        <w:spacing w:line="360" w:lineRule="auto"/>
        <w:ind w:firstLine="540" w:firstLineChars="225"/>
        <w:rPr>
          <w:color w:val="000000"/>
          <w:sz w:val="24"/>
        </w:rPr>
      </w:pPr>
    </w:p>
    <w:p w14:paraId="359DA329">
      <w:pPr>
        <w:spacing w:line="360" w:lineRule="auto"/>
        <w:ind w:firstLine="540" w:firstLineChars="225"/>
        <w:rPr>
          <w:color w:val="000000"/>
          <w:sz w:val="24"/>
        </w:rPr>
      </w:pPr>
    </w:p>
    <w:p w14:paraId="36D21366">
      <w:pPr>
        <w:spacing w:line="360" w:lineRule="auto"/>
        <w:ind w:firstLine="540" w:firstLineChars="225"/>
        <w:rPr>
          <w:color w:val="000000"/>
          <w:sz w:val="24"/>
        </w:rPr>
      </w:pPr>
    </w:p>
    <w:p w14:paraId="067B0D51">
      <w:pPr>
        <w:spacing w:line="360" w:lineRule="auto"/>
        <w:ind w:firstLine="540" w:firstLineChars="225"/>
        <w:rPr>
          <w:color w:val="000000"/>
          <w:sz w:val="24"/>
        </w:rPr>
      </w:pPr>
    </w:p>
    <w:p w14:paraId="6AA2AE5F">
      <w:pPr>
        <w:spacing w:line="360" w:lineRule="auto"/>
        <w:ind w:firstLine="542" w:firstLineChars="225"/>
        <w:rPr>
          <w:rFonts w:eastAsia="黑体"/>
          <w:b/>
          <w:color w:val="000000"/>
          <w:sz w:val="24"/>
        </w:rPr>
        <w:sectPr>
          <w:headerReference r:id="rId3" w:type="default"/>
          <w:footerReference r:id="rId4" w:type="default"/>
          <w:footerReference r:id="rId5" w:type="even"/>
          <w:pgSz w:w="11906" w:h="16838"/>
          <w:pgMar w:top="1134" w:right="1416" w:bottom="1134" w:left="1134" w:header="851" w:footer="992" w:gutter="0"/>
          <w:cols w:space="720" w:num="1"/>
          <w:docGrid w:type="lines" w:linePitch="312" w:charSpace="0"/>
        </w:sectPr>
      </w:pPr>
    </w:p>
    <w:p w14:paraId="5C6ED17F">
      <w:pPr>
        <w:pStyle w:val="10"/>
        <w:spacing w:line="460" w:lineRule="atLeast"/>
        <w:rPr>
          <w:rFonts w:hAnsi="宋体"/>
          <w:b/>
          <w:bCs/>
          <w:color w:val="000000"/>
          <w:sz w:val="30"/>
          <w:szCs w:val="30"/>
        </w:rPr>
      </w:pPr>
    </w:p>
    <w:p w14:paraId="6079750C">
      <w:pPr>
        <w:pStyle w:val="10"/>
        <w:spacing w:line="400" w:lineRule="exact"/>
        <w:ind w:firstLine="482" w:firstLineChars="200"/>
        <w:jc w:val="left"/>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第一部分 投标书</w:t>
      </w:r>
    </w:p>
    <w:p w14:paraId="3D2DC48E">
      <w:pPr>
        <w:pStyle w:val="10"/>
        <w:spacing w:line="400" w:lineRule="exact"/>
        <w:ind w:firstLine="482" w:firstLineChars="200"/>
        <w:jc w:val="left"/>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rPr>
        <w:t>投 标 书</w:t>
      </w:r>
    </w:p>
    <w:p w14:paraId="71AD1126">
      <w:pPr>
        <w:spacing w:line="400" w:lineRule="exact"/>
        <w:ind w:firstLine="480" w:firstLineChars="200"/>
        <w:jc w:val="left"/>
        <w:rPr>
          <w:rFonts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北京中医药大学深圳医院（龙岗）</w:t>
      </w:r>
      <w:r>
        <w:rPr>
          <w:rFonts w:hint="eastAsia" w:asciiTheme="majorEastAsia" w:hAnsiTheme="majorEastAsia" w:eastAsiaTheme="majorEastAsia"/>
          <w:color w:val="000000"/>
          <w:sz w:val="24"/>
          <w:szCs w:val="24"/>
        </w:rPr>
        <w:t>对</w:t>
      </w:r>
      <w:r>
        <w:rPr>
          <w:rFonts w:hint="eastAsia" w:asciiTheme="majorEastAsia" w:hAnsiTheme="majorEastAsia" w:eastAsiaTheme="majorEastAsia"/>
          <w:b/>
          <w:color w:val="000000"/>
          <w:sz w:val="24"/>
          <w:szCs w:val="24"/>
          <w:u w:val="single"/>
        </w:rPr>
        <w:t>北京中医药大学深圳医院（龙岗）</w:t>
      </w:r>
      <w:r>
        <w:rPr>
          <w:rFonts w:asciiTheme="majorEastAsia" w:hAnsiTheme="majorEastAsia" w:eastAsiaTheme="majorEastAsia"/>
          <w:b/>
          <w:color w:val="000000"/>
          <w:sz w:val="24"/>
          <w:szCs w:val="24"/>
          <w:u w:val="single"/>
        </w:rPr>
        <w:t>园山污水运维服务</w:t>
      </w:r>
      <w:r>
        <w:rPr>
          <w:rFonts w:hint="eastAsia" w:asciiTheme="majorEastAsia" w:hAnsiTheme="majorEastAsia" w:eastAsiaTheme="majorEastAsia"/>
          <w:color w:val="000000"/>
          <w:sz w:val="24"/>
          <w:szCs w:val="24"/>
        </w:rPr>
        <w:t>招标项目进行院内公开采购招标，欢迎具有此项资质和技术能力，且能满足招标文件各项要求的公司企业参加投标（不接受联合投标）。</w:t>
      </w:r>
    </w:p>
    <w:p w14:paraId="5E6AFC63">
      <w:pPr>
        <w:spacing w:line="400" w:lineRule="exact"/>
        <w:ind w:firstLine="482" w:firstLineChars="200"/>
        <w:jc w:val="left"/>
        <w:rPr>
          <w:rFonts w:cs="宋体" w:asciiTheme="majorEastAsia" w:hAnsiTheme="majorEastAsia" w:eastAsiaTheme="majorEastAsia"/>
          <w:b/>
          <w:color w:val="000000"/>
          <w:sz w:val="24"/>
          <w:szCs w:val="24"/>
          <w:u w:val="single"/>
        </w:rPr>
      </w:pPr>
      <w:r>
        <w:rPr>
          <w:rFonts w:hint="eastAsia" w:cs="宋体" w:asciiTheme="majorEastAsia" w:hAnsiTheme="majorEastAsia" w:eastAsiaTheme="majorEastAsia"/>
          <w:b/>
          <w:bCs/>
          <w:color w:val="000000"/>
          <w:sz w:val="24"/>
          <w:szCs w:val="24"/>
        </w:rPr>
        <w:t>1、招标项目名称:</w:t>
      </w:r>
      <w:r>
        <w:rPr>
          <w:rFonts w:hint="eastAsia" w:cs="宋体" w:asciiTheme="majorEastAsia" w:hAnsiTheme="majorEastAsia" w:eastAsiaTheme="majorEastAsia"/>
          <w:b/>
          <w:color w:val="000000"/>
          <w:sz w:val="24"/>
          <w:szCs w:val="24"/>
          <w:u w:val="single"/>
        </w:rPr>
        <w:t>北京中医药大学深圳医院（龙岗）</w:t>
      </w:r>
      <w:r>
        <w:rPr>
          <w:rFonts w:asciiTheme="majorEastAsia" w:hAnsiTheme="majorEastAsia" w:eastAsiaTheme="majorEastAsia"/>
          <w:b/>
          <w:color w:val="000000"/>
          <w:sz w:val="24"/>
          <w:szCs w:val="24"/>
          <w:u w:val="single"/>
        </w:rPr>
        <w:t>园山污水运维服务</w:t>
      </w:r>
      <w:r>
        <w:rPr>
          <w:rFonts w:hint="eastAsia" w:cs="宋体" w:asciiTheme="majorEastAsia" w:hAnsiTheme="majorEastAsia" w:eastAsiaTheme="majorEastAsia"/>
          <w:b/>
          <w:color w:val="000000"/>
          <w:sz w:val="24"/>
          <w:szCs w:val="24"/>
          <w:u w:val="single"/>
        </w:rPr>
        <w:t>招标项目</w:t>
      </w:r>
    </w:p>
    <w:p w14:paraId="682AE735">
      <w:pPr>
        <w:spacing w:line="400" w:lineRule="exact"/>
        <w:ind w:firstLine="482" w:firstLineChars="200"/>
        <w:jc w:val="left"/>
        <w:rPr>
          <w:rFonts w:cs="宋体" w:asciiTheme="majorEastAsia" w:hAnsiTheme="majorEastAsia" w:eastAsiaTheme="majorEastAsia"/>
          <w:color w:val="000000"/>
          <w:sz w:val="24"/>
          <w:szCs w:val="24"/>
        </w:rPr>
      </w:pPr>
      <w:r>
        <w:rPr>
          <w:rFonts w:hint="eastAsia" w:cs="宋体" w:asciiTheme="majorEastAsia" w:hAnsiTheme="majorEastAsia" w:eastAsiaTheme="majorEastAsia"/>
          <w:b/>
          <w:bCs/>
          <w:color w:val="000000"/>
          <w:sz w:val="24"/>
          <w:szCs w:val="24"/>
        </w:rPr>
        <w:t>2、招标方式:</w:t>
      </w:r>
      <w:r>
        <w:rPr>
          <w:rFonts w:hint="eastAsia" w:cs="宋体" w:asciiTheme="majorEastAsia" w:hAnsiTheme="majorEastAsia" w:eastAsiaTheme="majorEastAsia"/>
          <w:color w:val="000000"/>
          <w:sz w:val="24"/>
          <w:szCs w:val="24"/>
        </w:rPr>
        <w:t>院内公开采购招标</w:t>
      </w:r>
    </w:p>
    <w:p w14:paraId="56286C3A">
      <w:pPr>
        <w:spacing w:line="400" w:lineRule="exact"/>
        <w:ind w:firstLine="482" w:firstLineChars="200"/>
        <w:jc w:val="left"/>
        <w:rPr>
          <w:rFonts w:cs="宋体" w:asciiTheme="majorEastAsia" w:hAnsiTheme="majorEastAsia" w:eastAsiaTheme="majorEastAsia"/>
          <w:color w:val="000000"/>
          <w:sz w:val="24"/>
          <w:szCs w:val="24"/>
          <w:u w:val="single"/>
        </w:rPr>
      </w:pPr>
      <w:r>
        <w:rPr>
          <w:rFonts w:hint="eastAsia" w:cs="宋体" w:asciiTheme="majorEastAsia" w:hAnsiTheme="majorEastAsia" w:eastAsiaTheme="majorEastAsia"/>
          <w:b/>
          <w:color w:val="000000"/>
          <w:sz w:val="24"/>
          <w:szCs w:val="24"/>
        </w:rPr>
        <w:t>3、</w:t>
      </w:r>
      <w:r>
        <w:rPr>
          <w:rFonts w:hint="eastAsia" w:cs="宋体" w:asciiTheme="majorEastAsia" w:hAnsiTheme="majorEastAsia" w:eastAsiaTheme="majorEastAsia"/>
          <w:b/>
          <w:bCs/>
          <w:color w:val="000000"/>
          <w:sz w:val="24"/>
          <w:szCs w:val="24"/>
        </w:rPr>
        <w:t>投标截止时间、投标地点</w:t>
      </w:r>
    </w:p>
    <w:p w14:paraId="53D98B77">
      <w:pPr>
        <w:spacing w:line="400" w:lineRule="exact"/>
        <w:ind w:firstLine="480" w:firstLineChars="200"/>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投标截止时间：2023年5月22日上午11：00 前，逾期不送达或不符合规定的文件视为非实质响应，恕不接受。</w:t>
      </w:r>
    </w:p>
    <w:p w14:paraId="723F3CA4">
      <w:pPr>
        <w:spacing w:line="400" w:lineRule="exact"/>
        <w:ind w:firstLine="480" w:firstLineChars="200"/>
        <w:jc w:val="left"/>
        <w:rPr>
          <w:rFonts w:cs="宋体" w:asciiTheme="majorEastAsia" w:hAnsiTheme="majorEastAsia" w:eastAsiaTheme="majorEastAsia"/>
          <w:dstrike/>
          <w:color w:val="000000" w:themeColor="text1"/>
          <w:sz w:val="24"/>
          <w:szCs w:val="24"/>
        </w:rPr>
      </w:pPr>
      <w:r>
        <w:rPr>
          <w:rFonts w:hint="eastAsia" w:cs="宋体" w:asciiTheme="majorEastAsia" w:hAnsiTheme="majorEastAsia" w:eastAsiaTheme="majorEastAsia"/>
          <w:color w:val="000000" w:themeColor="text1"/>
          <w:sz w:val="24"/>
          <w:szCs w:val="24"/>
        </w:rPr>
        <w:t>投标地点：北京中医药大学深圳医院（龙岗）招采办科教楼317室</w:t>
      </w:r>
    </w:p>
    <w:p w14:paraId="58ADA3F0">
      <w:pPr>
        <w:spacing w:line="400" w:lineRule="exact"/>
        <w:ind w:firstLine="482" w:firstLineChars="200"/>
        <w:jc w:val="left"/>
        <w:rPr>
          <w:rFonts w:cs="宋体" w:asciiTheme="majorEastAsia" w:hAnsiTheme="majorEastAsia" w:eastAsiaTheme="majorEastAsia"/>
          <w:b/>
          <w:bCs/>
          <w:color w:val="000000" w:themeColor="text1"/>
          <w:sz w:val="24"/>
          <w:szCs w:val="24"/>
        </w:rPr>
      </w:pPr>
      <w:r>
        <w:rPr>
          <w:rFonts w:hint="eastAsia" w:cs="宋体" w:asciiTheme="majorEastAsia" w:hAnsiTheme="majorEastAsia" w:eastAsiaTheme="majorEastAsia"/>
          <w:b/>
          <w:bCs/>
          <w:color w:val="000000" w:themeColor="text1"/>
          <w:sz w:val="24"/>
          <w:szCs w:val="24"/>
        </w:rPr>
        <w:t>4、开标时间、地点</w:t>
      </w:r>
    </w:p>
    <w:p w14:paraId="1480E36B">
      <w:pPr>
        <w:spacing w:line="400" w:lineRule="exact"/>
        <w:ind w:firstLine="480" w:firstLineChars="200"/>
        <w:jc w:val="left"/>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themeColor="text1"/>
          <w:sz w:val="24"/>
          <w:szCs w:val="24"/>
        </w:rPr>
        <w:t>另行通知</w:t>
      </w:r>
    </w:p>
    <w:p w14:paraId="17A36BB4">
      <w:pPr>
        <w:spacing w:line="400" w:lineRule="exact"/>
        <w:ind w:firstLine="482" w:firstLineChars="200"/>
        <w:jc w:val="left"/>
        <w:rPr>
          <w:rFonts w:cs="宋体" w:asciiTheme="majorEastAsia" w:hAnsiTheme="majorEastAsia" w:eastAsiaTheme="majorEastAsia"/>
          <w:color w:val="000000"/>
          <w:sz w:val="24"/>
          <w:szCs w:val="24"/>
        </w:rPr>
      </w:pPr>
      <w:r>
        <w:rPr>
          <w:rFonts w:hint="eastAsia" w:cs="宋体" w:asciiTheme="majorEastAsia" w:hAnsiTheme="majorEastAsia" w:eastAsiaTheme="majorEastAsia"/>
          <w:b/>
          <w:color w:val="000000"/>
          <w:sz w:val="24"/>
          <w:szCs w:val="24"/>
        </w:rPr>
        <w:t>5、预算控制金额：</w:t>
      </w:r>
      <w:r>
        <w:rPr>
          <w:rFonts w:hint="eastAsia" w:cs="宋体" w:asciiTheme="majorEastAsia" w:hAnsiTheme="majorEastAsia" w:eastAsiaTheme="majorEastAsia"/>
          <w:color w:val="000000"/>
          <w:sz w:val="24"/>
          <w:szCs w:val="24"/>
        </w:rPr>
        <w:t>本项目预算控制金额为人民币</w:t>
      </w:r>
      <w:r>
        <w:rPr>
          <w:rFonts w:hint="eastAsia" w:cs="Times New Roman" w:asciiTheme="majorEastAsia" w:hAnsiTheme="majorEastAsia" w:eastAsiaTheme="majorEastAsia"/>
          <w:sz w:val="24"/>
          <w:szCs w:val="24"/>
          <w:u w:val="single"/>
        </w:rPr>
        <w:t>14.3</w:t>
      </w:r>
      <w:r>
        <w:rPr>
          <w:rFonts w:hint="eastAsia" w:cs="宋体" w:asciiTheme="majorEastAsia" w:hAnsiTheme="majorEastAsia" w:eastAsiaTheme="majorEastAsia"/>
          <w:color w:val="000000"/>
          <w:sz w:val="24"/>
          <w:szCs w:val="24"/>
          <w:u w:val="single"/>
        </w:rPr>
        <w:t>万元（含税）</w:t>
      </w:r>
      <w:r>
        <w:rPr>
          <w:rFonts w:hint="eastAsia" w:cs="宋体" w:asciiTheme="majorEastAsia" w:hAnsiTheme="majorEastAsia" w:eastAsiaTheme="majorEastAsia"/>
          <w:color w:val="000000"/>
          <w:sz w:val="24"/>
          <w:szCs w:val="24"/>
        </w:rPr>
        <w:t>，投标报价超过控制金额将导致废标。</w:t>
      </w:r>
    </w:p>
    <w:p w14:paraId="402E4D59">
      <w:pPr>
        <w:spacing w:line="400" w:lineRule="exact"/>
        <w:ind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6</w:t>
      </w:r>
      <w:r>
        <w:rPr>
          <w:rFonts w:cs="宋体" w:asciiTheme="majorEastAsia" w:hAnsiTheme="majorEastAsia" w:eastAsiaTheme="majorEastAsia"/>
          <w:kern w:val="0"/>
          <w:sz w:val="24"/>
          <w:szCs w:val="24"/>
        </w:rPr>
        <w:t>、付款方式：</w:t>
      </w:r>
    </w:p>
    <w:p w14:paraId="3A5C74A0">
      <w:pPr>
        <w:spacing w:line="400" w:lineRule="exact"/>
        <w:ind w:firstLine="480" w:firstLineChars="200"/>
        <w:jc w:val="left"/>
        <w:rPr>
          <w:rFonts w:cs="宋体" w:asciiTheme="majorEastAsia" w:hAnsiTheme="majorEastAsia" w:eastAsiaTheme="majorEastAsia"/>
          <w:kern w:val="0"/>
          <w:sz w:val="24"/>
          <w:szCs w:val="24"/>
          <w:u w:val="single"/>
        </w:rPr>
      </w:pPr>
      <w:r>
        <w:rPr>
          <w:rFonts w:hint="eastAsia" w:asciiTheme="majorEastAsia" w:hAnsiTheme="majorEastAsia" w:eastAsiaTheme="majorEastAsia"/>
          <w:sz w:val="24"/>
          <w:szCs w:val="24"/>
        </w:rPr>
        <w:t>按照深圳市龙岗区财政局相关规定执行。</w:t>
      </w:r>
    </w:p>
    <w:p w14:paraId="5954F8D8">
      <w:pPr>
        <w:spacing w:line="400" w:lineRule="exact"/>
        <w:ind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7</w:t>
      </w:r>
      <w:r>
        <w:rPr>
          <w:rFonts w:cs="宋体" w:asciiTheme="majorEastAsia" w:hAnsiTheme="majorEastAsia" w:eastAsiaTheme="majorEastAsia"/>
          <w:kern w:val="0"/>
          <w:sz w:val="24"/>
          <w:szCs w:val="24"/>
        </w:rPr>
        <w:t>、合同期限： 1  年。</w:t>
      </w:r>
    </w:p>
    <w:p w14:paraId="1B2B46EC">
      <w:pPr>
        <w:widowControl/>
        <w:jc w:val="left"/>
        <w:rPr>
          <w:rFonts w:cs="宋体" w:asciiTheme="majorEastAsia" w:hAnsiTheme="majorEastAsia" w:eastAsiaTheme="majorEastAsia"/>
          <w:b/>
          <w:color w:val="000000"/>
          <w:sz w:val="24"/>
          <w:szCs w:val="24"/>
        </w:rPr>
      </w:pPr>
      <w:r>
        <w:rPr>
          <w:rFonts w:cs="宋体" w:asciiTheme="majorEastAsia" w:hAnsiTheme="majorEastAsia" w:eastAsiaTheme="majorEastAsia"/>
          <w:b/>
          <w:color w:val="000000"/>
          <w:sz w:val="24"/>
          <w:szCs w:val="24"/>
        </w:rPr>
        <w:br w:type="page"/>
      </w:r>
    </w:p>
    <w:p w14:paraId="527682A2">
      <w:pPr>
        <w:spacing w:line="400" w:lineRule="exact"/>
        <w:ind w:firstLine="482" w:firstLineChars="200"/>
        <w:jc w:val="left"/>
        <w:rPr>
          <w:rFonts w:cs="宋体" w:asciiTheme="majorEastAsia" w:hAnsiTheme="majorEastAsia" w:eastAsiaTheme="majorEastAsia"/>
          <w:color w:val="000000"/>
          <w:sz w:val="24"/>
          <w:szCs w:val="24"/>
        </w:rPr>
      </w:pPr>
      <w:r>
        <w:rPr>
          <w:rFonts w:hint="eastAsia" w:cs="宋体" w:asciiTheme="majorEastAsia" w:hAnsiTheme="majorEastAsia" w:eastAsiaTheme="majorEastAsia"/>
          <w:b/>
          <w:color w:val="000000"/>
          <w:sz w:val="24"/>
          <w:szCs w:val="24"/>
        </w:rPr>
        <w:t xml:space="preserve">第二部分  </w:t>
      </w:r>
      <w:r>
        <w:rPr>
          <w:rFonts w:cs="宋体" w:asciiTheme="majorEastAsia" w:hAnsiTheme="majorEastAsia" w:eastAsiaTheme="majorEastAsia"/>
          <w:b/>
          <w:kern w:val="0"/>
          <w:sz w:val="24"/>
          <w:szCs w:val="24"/>
        </w:rPr>
        <w:t>招标内容</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8"/>
        <w:gridCol w:w="989"/>
        <w:gridCol w:w="4815"/>
      </w:tblGrid>
      <w:tr w14:paraId="759B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14:paraId="0B7FABB0">
            <w:pPr>
              <w:spacing w:line="240" w:lineRule="atLeast"/>
              <w:jc w:val="center"/>
              <w:rPr>
                <w:rFonts w:ascii="宋体" w:hAnsi="宋体" w:cs="宋体"/>
                <w:sz w:val="18"/>
                <w:szCs w:val="18"/>
              </w:rPr>
            </w:pPr>
            <w:r>
              <w:rPr>
                <w:rFonts w:hint="eastAsia" w:ascii="宋体" w:hAnsi="宋体" w:eastAsia="宋体" w:cs="宋体"/>
                <w:sz w:val="18"/>
                <w:szCs w:val="18"/>
              </w:rPr>
              <w:t>园山院区污水处理站预算</w:t>
            </w:r>
          </w:p>
        </w:tc>
      </w:tr>
      <w:tr w14:paraId="1F54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F83E4B0">
            <w:pPr>
              <w:spacing w:line="240" w:lineRule="atLeast"/>
              <w:jc w:val="center"/>
              <w:rPr>
                <w:rFonts w:ascii="宋体" w:hAnsi="宋体" w:cs="宋体"/>
                <w:sz w:val="18"/>
                <w:szCs w:val="18"/>
              </w:rPr>
            </w:pPr>
            <w:r>
              <w:rPr>
                <w:rFonts w:hint="eastAsia" w:ascii="宋体" w:hAnsi="宋体" w:eastAsia="宋体" w:cs="宋体"/>
                <w:sz w:val="18"/>
                <w:szCs w:val="18"/>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47E8C233">
            <w:pPr>
              <w:spacing w:line="240" w:lineRule="atLeast"/>
              <w:jc w:val="center"/>
              <w:rPr>
                <w:rFonts w:ascii="宋体" w:hAnsi="宋体" w:cs="宋体"/>
                <w:sz w:val="18"/>
                <w:szCs w:val="18"/>
              </w:rPr>
            </w:pPr>
            <w:r>
              <w:rPr>
                <w:rFonts w:hint="eastAsia" w:ascii="宋体" w:hAnsi="宋体" w:eastAsia="宋体" w:cs="宋体"/>
                <w:sz w:val="18"/>
                <w:szCs w:val="18"/>
              </w:rPr>
              <w:t>预算（万元）</w:t>
            </w:r>
          </w:p>
        </w:tc>
        <w:tc>
          <w:tcPr>
            <w:tcW w:w="0" w:type="auto"/>
            <w:tcBorders>
              <w:top w:val="single" w:color="auto" w:sz="4" w:space="0"/>
              <w:left w:val="single" w:color="auto" w:sz="4" w:space="0"/>
              <w:bottom w:val="single" w:color="auto" w:sz="4" w:space="0"/>
              <w:right w:val="single" w:color="auto" w:sz="4" w:space="0"/>
            </w:tcBorders>
            <w:vAlign w:val="center"/>
          </w:tcPr>
          <w:p w14:paraId="1C98524B">
            <w:pPr>
              <w:spacing w:line="240" w:lineRule="atLeast"/>
              <w:jc w:val="center"/>
              <w:rPr>
                <w:rFonts w:ascii="宋体" w:hAnsi="宋体" w:cs="宋体"/>
                <w:sz w:val="18"/>
                <w:szCs w:val="18"/>
              </w:rPr>
            </w:pPr>
            <w:r>
              <w:rPr>
                <w:rFonts w:hint="eastAsia" w:ascii="宋体" w:hAnsi="宋体" w:eastAsia="宋体" w:cs="宋体"/>
                <w:sz w:val="18"/>
                <w:szCs w:val="18"/>
              </w:rPr>
              <w:t>备注</w:t>
            </w:r>
          </w:p>
        </w:tc>
      </w:tr>
      <w:tr w14:paraId="1527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3D25FBF">
            <w:pPr>
              <w:spacing w:line="240" w:lineRule="atLeast"/>
              <w:jc w:val="center"/>
              <w:rPr>
                <w:rFonts w:ascii="宋体" w:hAnsi="宋体" w:cs="宋体"/>
                <w:sz w:val="18"/>
                <w:szCs w:val="18"/>
              </w:rPr>
            </w:pPr>
            <w:r>
              <w:rPr>
                <w:rFonts w:hint="eastAsia" w:ascii="宋体" w:hAnsi="宋体" w:eastAsia="宋体" w:cs="宋体"/>
                <w:sz w:val="18"/>
                <w:szCs w:val="18"/>
              </w:rPr>
              <w:t>运维人工</w:t>
            </w:r>
          </w:p>
        </w:tc>
        <w:tc>
          <w:tcPr>
            <w:tcW w:w="0" w:type="auto"/>
            <w:tcBorders>
              <w:top w:val="single" w:color="auto" w:sz="4" w:space="0"/>
              <w:left w:val="single" w:color="auto" w:sz="4" w:space="0"/>
              <w:bottom w:val="single" w:color="auto" w:sz="4" w:space="0"/>
              <w:right w:val="single" w:color="auto" w:sz="4" w:space="0"/>
            </w:tcBorders>
            <w:vAlign w:val="center"/>
          </w:tcPr>
          <w:p w14:paraId="0263676E">
            <w:pPr>
              <w:spacing w:line="240" w:lineRule="atLeast"/>
              <w:jc w:val="center"/>
              <w:rPr>
                <w:rFonts w:ascii="宋体" w:hAnsi="宋体" w:cs="宋体"/>
                <w:sz w:val="18"/>
                <w:szCs w:val="18"/>
              </w:rPr>
            </w:pPr>
            <w:r>
              <w:rPr>
                <w:rFonts w:hint="eastAsia" w:ascii="宋体" w:hAnsi="宋体" w:eastAsia="宋体" w:cs="宋体"/>
                <w:sz w:val="18"/>
                <w:szCs w:val="18"/>
              </w:rPr>
              <w:t>9.4</w:t>
            </w:r>
          </w:p>
        </w:tc>
        <w:tc>
          <w:tcPr>
            <w:tcW w:w="0" w:type="auto"/>
            <w:tcBorders>
              <w:top w:val="single" w:color="auto" w:sz="4" w:space="0"/>
              <w:left w:val="single" w:color="auto" w:sz="4" w:space="0"/>
              <w:bottom w:val="single" w:color="auto" w:sz="4" w:space="0"/>
              <w:right w:val="single" w:color="auto" w:sz="4" w:space="0"/>
            </w:tcBorders>
            <w:vAlign w:val="center"/>
          </w:tcPr>
          <w:p w14:paraId="3275C735">
            <w:pPr>
              <w:spacing w:line="240" w:lineRule="atLeast"/>
              <w:jc w:val="center"/>
              <w:rPr>
                <w:rFonts w:ascii="宋体" w:hAnsi="宋体" w:cs="宋体"/>
                <w:sz w:val="18"/>
                <w:szCs w:val="18"/>
              </w:rPr>
            </w:pPr>
            <w:r>
              <w:rPr>
                <w:rFonts w:hint="eastAsia" w:ascii="宋体" w:hAnsi="宋体" w:eastAsia="宋体" w:cs="宋体"/>
                <w:sz w:val="18"/>
                <w:szCs w:val="18"/>
              </w:rPr>
              <w:t>包含车辆、电工、污水处理工、在线维护及员工社保、劳保等费用等，每天至少两次现场检测水质并做好登记</w:t>
            </w:r>
          </w:p>
        </w:tc>
      </w:tr>
      <w:tr w14:paraId="3580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E44B521">
            <w:pPr>
              <w:spacing w:line="240" w:lineRule="atLeast"/>
              <w:jc w:val="center"/>
              <w:rPr>
                <w:rFonts w:ascii="宋体" w:hAnsi="宋体" w:cs="宋体"/>
                <w:sz w:val="18"/>
                <w:szCs w:val="18"/>
              </w:rPr>
            </w:pPr>
            <w:r>
              <w:rPr>
                <w:rFonts w:hint="eastAsia" w:ascii="宋体" w:hAnsi="宋体" w:eastAsia="宋体" w:cs="宋体"/>
                <w:sz w:val="18"/>
                <w:szCs w:val="18"/>
              </w:rPr>
              <w:t>污水处理药剂</w:t>
            </w:r>
          </w:p>
        </w:tc>
        <w:tc>
          <w:tcPr>
            <w:tcW w:w="0" w:type="auto"/>
            <w:tcBorders>
              <w:top w:val="single" w:color="auto" w:sz="4" w:space="0"/>
              <w:left w:val="single" w:color="auto" w:sz="4" w:space="0"/>
              <w:bottom w:val="single" w:color="auto" w:sz="4" w:space="0"/>
              <w:right w:val="single" w:color="auto" w:sz="4" w:space="0"/>
            </w:tcBorders>
            <w:vAlign w:val="center"/>
          </w:tcPr>
          <w:p w14:paraId="482D3379">
            <w:pPr>
              <w:spacing w:line="240" w:lineRule="atLeast"/>
              <w:jc w:val="center"/>
              <w:rPr>
                <w:rFonts w:ascii="宋体" w:hAnsi="宋体" w:cs="宋体"/>
                <w:sz w:val="18"/>
                <w:szCs w:val="18"/>
              </w:rPr>
            </w:pPr>
            <w:r>
              <w:rPr>
                <w:rFonts w:hint="eastAsia" w:ascii="宋体" w:hAnsi="宋体" w:eastAsia="宋体" w:cs="宋体"/>
                <w:sz w:val="18"/>
                <w:szCs w:val="18"/>
              </w:rPr>
              <w:t>1.4</w:t>
            </w:r>
          </w:p>
        </w:tc>
        <w:tc>
          <w:tcPr>
            <w:tcW w:w="0" w:type="auto"/>
            <w:tcBorders>
              <w:top w:val="single" w:color="auto" w:sz="4" w:space="0"/>
              <w:left w:val="single" w:color="auto" w:sz="4" w:space="0"/>
              <w:bottom w:val="single" w:color="auto" w:sz="4" w:space="0"/>
              <w:right w:val="single" w:color="auto" w:sz="4" w:space="0"/>
            </w:tcBorders>
            <w:vAlign w:val="center"/>
          </w:tcPr>
          <w:p w14:paraId="79D09077">
            <w:pPr>
              <w:spacing w:line="240" w:lineRule="atLeast"/>
              <w:jc w:val="center"/>
              <w:rPr>
                <w:rFonts w:ascii="宋体" w:hAnsi="宋体" w:cs="宋体"/>
                <w:sz w:val="18"/>
                <w:szCs w:val="18"/>
              </w:rPr>
            </w:pPr>
            <w:r>
              <w:rPr>
                <w:rFonts w:hint="eastAsia" w:ascii="宋体" w:hAnsi="宋体" w:eastAsia="宋体" w:cs="宋体"/>
                <w:sz w:val="18"/>
                <w:szCs w:val="18"/>
              </w:rPr>
              <w:t>日均排放24方，每处理一方水计1.6元</w:t>
            </w:r>
          </w:p>
        </w:tc>
      </w:tr>
      <w:tr w14:paraId="633B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C7F5377">
            <w:pPr>
              <w:spacing w:line="240" w:lineRule="atLeast"/>
              <w:jc w:val="center"/>
              <w:rPr>
                <w:rFonts w:ascii="宋体" w:hAnsi="宋体" w:cs="宋体"/>
                <w:sz w:val="18"/>
                <w:szCs w:val="18"/>
              </w:rPr>
            </w:pPr>
            <w:r>
              <w:rPr>
                <w:rFonts w:hint="eastAsia" w:ascii="宋体" w:hAnsi="宋体" w:eastAsia="宋体" w:cs="宋体"/>
                <w:sz w:val="18"/>
                <w:szCs w:val="18"/>
              </w:rPr>
              <w:t>在线检测设备运维药剂、标液、校准液等耗材</w:t>
            </w:r>
          </w:p>
        </w:tc>
        <w:tc>
          <w:tcPr>
            <w:tcW w:w="0" w:type="auto"/>
            <w:tcBorders>
              <w:top w:val="single" w:color="auto" w:sz="4" w:space="0"/>
              <w:left w:val="single" w:color="auto" w:sz="4" w:space="0"/>
              <w:bottom w:val="single" w:color="auto" w:sz="4" w:space="0"/>
              <w:right w:val="single" w:color="auto" w:sz="4" w:space="0"/>
            </w:tcBorders>
            <w:vAlign w:val="center"/>
          </w:tcPr>
          <w:p w14:paraId="63016B28">
            <w:pPr>
              <w:spacing w:line="240" w:lineRule="atLeast"/>
              <w:jc w:val="center"/>
              <w:rPr>
                <w:rFonts w:ascii="宋体" w:hAnsi="宋体" w:cs="宋体"/>
                <w:sz w:val="18"/>
                <w:szCs w:val="18"/>
              </w:rPr>
            </w:pPr>
            <w:r>
              <w:rPr>
                <w:rFonts w:hint="eastAsia" w:ascii="宋体" w:hAnsi="宋体" w:eastAsia="宋体" w:cs="宋体"/>
                <w:sz w:val="18"/>
                <w:szCs w:val="18"/>
              </w:rPr>
              <w:t>2.1</w:t>
            </w:r>
          </w:p>
        </w:tc>
        <w:tc>
          <w:tcPr>
            <w:tcW w:w="0" w:type="auto"/>
            <w:tcBorders>
              <w:top w:val="single" w:color="auto" w:sz="4" w:space="0"/>
              <w:left w:val="single" w:color="auto" w:sz="4" w:space="0"/>
              <w:bottom w:val="single" w:color="auto" w:sz="4" w:space="0"/>
              <w:right w:val="single" w:color="auto" w:sz="4" w:space="0"/>
            </w:tcBorders>
            <w:vAlign w:val="center"/>
          </w:tcPr>
          <w:p w14:paraId="0CE8E94D">
            <w:pPr>
              <w:spacing w:line="240" w:lineRule="atLeast"/>
              <w:jc w:val="center"/>
              <w:rPr>
                <w:rFonts w:ascii="宋体" w:hAnsi="宋体" w:cs="宋体"/>
                <w:sz w:val="18"/>
                <w:szCs w:val="18"/>
              </w:rPr>
            </w:pPr>
            <w:r>
              <w:rPr>
                <w:rFonts w:hint="eastAsia" w:ascii="宋体" w:hAnsi="宋体" w:eastAsia="宋体" w:cs="宋体"/>
                <w:sz w:val="18"/>
                <w:szCs w:val="18"/>
              </w:rPr>
              <w:t>PH、余氯、流量计等在线检测设备，自行维护，随机检查，无需上传环保局。</w:t>
            </w:r>
          </w:p>
        </w:tc>
      </w:tr>
      <w:tr w14:paraId="5242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BAA0112">
            <w:pPr>
              <w:spacing w:line="240" w:lineRule="atLeast"/>
              <w:jc w:val="center"/>
              <w:rPr>
                <w:rFonts w:ascii="宋体" w:hAnsi="宋体" w:cs="宋体"/>
                <w:sz w:val="18"/>
                <w:szCs w:val="18"/>
              </w:rPr>
            </w:pPr>
            <w:r>
              <w:rPr>
                <w:rFonts w:hint="eastAsia" w:ascii="宋体" w:hAnsi="宋体" w:eastAsia="宋体" w:cs="宋体"/>
                <w:sz w:val="18"/>
                <w:szCs w:val="18"/>
              </w:rPr>
              <w:t>每月、每季度、每年网上登记信息披露</w:t>
            </w:r>
          </w:p>
        </w:tc>
        <w:tc>
          <w:tcPr>
            <w:tcW w:w="0" w:type="auto"/>
            <w:tcBorders>
              <w:top w:val="single" w:color="auto" w:sz="4" w:space="0"/>
              <w:left w:val="single" w:color="auto" w:sz="4" w:space="0"/>
              <w:bottom w:val="single" w:color="auto" w:sz="4" w:space="0"/>
              <w:right w:val="single" w:color="auto" w:sz="4" w:space="0"/>
            </w:tcBorders>
            <w:vAlign w:val="center"/>
          </w:tcPr>
          <w:p w14:paraId="275311D9">
            <w:pPr>
              <w:spacing w:line="240" w:lineRule="atLeast"/>
              <w:jc w:val="center"/>
              <w:rPr>
                <w:rFonts w:ascii="宋体" w:hAnsi="宋体" w:cs="宋体"/>
                <w:sz w:val="18"/>
                <w:szCs w:val="18"/>
              </w:rPr>
            </w:pPr>
            <w:r>
              <w:rPr>
                <w:rFonts w:hint="eastAsia" w:ascii="宋体" w:hAnsi="宋体" w:eastAsia="宋体" w:cs="宋体"/>
                <w:sz w:val="18"/>
                <w:szCs w:val="18"/>
              </w:rPr>
              <w:t>----</w:t>
            </w:r>
          </w:p>
        </w:tc>
        <w:tc>
          <w:tcPr>
            <w:tcW w:w="0" w:type="auto"/>
            <w:tcBorders>
              <w:top w:val="single" w:color="auto" w:sz="4" w:space="0"/>
              <w:left w:val="single" w:color="auto" w:sz="4" w:space="0"/>
              <w:bottom w:val="single" w:color="auto" w:sz="4" w:space="0"/>
              <w:right w:val="single" w:color="auto" w:sz="4" w:space="0"/>
            </w:tcBorders>
            <w:vAlign w:val="center"/>
          </w:tcPr>
          <w:p w14:paraId="47EFE182">
            <w:pPr>
              <w:spacing w:line="240" w:lineRule="atLeast"/>
              <w:jc w:val="center"/>
              <w:rPr>
                <w:rFonts w:ascii="宋体" w:hAnsi="宋体" w:cs="宋体"/>
                <w:sz w:val="18"/>
                <w:szCs w:val="18"/>
              </w:rPr>
            </w:pPr>
            <w:r>
              <w:rPr>
                <w:rFonts w:hint="eastAsia" w:ascii="宋体" w:hAnsi="宋体" w:eastAsia="宋体" w:cs="宋体"/>
                <w:sz w:val="18"/>
                <w:szCs w:val="18"/>
              </w:rPr>
              <w:t>简化管理</w:t>
            </w:r>
          </w:p>
        </w:tc>
      </w:tr>
      <w:tr w14:paraId="0EAB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FD39031">
            <w:pPr>
              <w:spacing w:line="240" w:lineRule="atLeast"/>
              <w:jc w:val="center"/>
              <w:rPr>
                <w:rFonts w:ascii="宋体" w:hAnsi="宋体" w:cs="宋体"/>
                <w:sz w:val="18"/>
                <w:szCs w:val="18"/>
              </w:rPr>
            </w:pPr>
            <w:r>
              <w:rPr>
                <w:rFonts w:hint="eastAsia" w:ascii="宋体" w:hAnsi="宋体" w:eastAsia="宋体" w:cs="宋体"/>
                <w:sz w:val="18"/>
                <w:szCs w:val="18"/>
              </w:rPr>
              <w:t>环保培训会议及管家服务</w:t>
            </w:r>
          </w:p>
        </w:tc>
        <w:tc>
          <w:tcPr>
            <w:tcW w:w="0" w:type="auto"/>
            <w:tcBorders>
              <w:top w:val="single" w:color="auto" w:sz="4" w:space="0"/>
              <w:left w:val="single" w:color="auto" w:sz="4" w:space="0"/>
              <w:bottom w:val="single" w:color="auto" w:sz="4" w:space="0"/>
              <w:right w:val="single" w:color="auto" w:sz="4" w:space="0"/>
            </w:tcBorders>
            <w:vAlign w:val="center"/>
          </w:tcPr>
          <w:p w14:paraId="5194ED1C">
            <w:pPr>
              <w:spacing w:line="240" w:lineRule="atLeast"/>
              <w:jc w:val="center"/>
              <w:rPr>
                <w:rFonts w:ascii="宋体" w:hAnsi="宋体" w:cs="宋体"/>
                <w:sz w:val="18"/>
                <w:szCs w:val="18"/>
              </w:rPr>
            </w:pPr>
            <w:r>
              <w:rPr>
                <w:rFonts w:hint="eastAsia" w:ascii="宋体" w:hAnsi="宋体" w:eastAsia="宋体" w:cs="宋体"/>
                <w:sz w:val="18"/>
                <w:szCs w:val="18"/>
              </w:rPr>
              <w:t>----</w:t>
            </w:r>
          </w:p>
        </w:tc>
        <w:tc>
          <w:tcPr>
            <w:tcW w:w="0" w:type="auto"/>
            <w:tcBorders>
              <w:top w:val="single" w:color="auto" w:sz="4" w:space="0"/>
              <w:left w:val="single" w:color="auto" w:sz="4" w:space="0"/>
              <w:bottom w:val="single" w:color="auto" w:sz="4" w:space="0"/>
              <w:right w:val="single" w:color="auto" w:sz="4" w:space="0"/>
            </w:tcBorders>
            <w:vAlign w:val="center"/>
          </w:tcPr>
          <w:p w14:paraId="3E7A266C">
            <w:pPr>
              <w:spacing w:line="240" w:lineRule="atLeast"/>
              <w:jc w:val="center"/>
              <w:rPr>
                <w:rFonts w:ascii="宋体" w:hAnsi="宋体" w:cs="宋体"/>
                <w:sz w:val="18"/>
                <w:szCs w:val="18"/>
              </w:rPr>
            </w:pPr>
            <w:r>
              <w:rPr>
                <w:rFonts w:hint="eastAsia" w:ascii="宋体" w:hAnsi="宋体" w:eastAsia="宋体" w:cs="宋体"/>
                <w:sz w:val="18"/>
                <w:szCs w:val="18"/>
              </w:rPr>
              <w:t>简化管理</w:t>
            </w:r>
          </w:p>
        </w:tc>
      </w:tr>
      <w:tr w14:paraId="5293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2F28479">
            <w:pPr>
              <w:spacing w:line="240" w:lineRule="atLeast"/>
              <w:jc w:val="center"/>
              <w:rPr>
                <w:rFonts w:ascii="宋体" w:hAnsi="宋体" w:cs="宋体"/>
                <w:sz w:val="18"/>
                <w:szCs w:val="18"/>
              </w:rPr>
            </w:pPr>
            <w:r>
              <w:rPr>
                <w:rFonts w:hint="eastAsia" w:ascii="宋体" w:hAnsi="宋体" w:eastAsia="宋体" w:cs="宋体"/>
                <w:sz w:val="18"/>
                <w:szCs w:val="18"/>
              </w:rPr>
              <w:t>每日手工检测污水耗材（每天至少两次检测PH、余氯等）</w:t>
            </w:r>
          </w:p>
        </w:tc>
        <w:tc>
          <w:tcPr>
            <w:tcW w:w="0" w:type="auto"/>
            <w:tcBorders>
              <w:top w:val="single" w:color="auto" w:sz="4" w:space="0"/>
              <w:left w:val="single" w:color="auto" w:sz="4" w:space="0"/>
              <w:bottom w:val="single" w:color="auto" w:sz="4" w:space="0"/>
              <w:right w:val="single" w:color="auto" w:sz="4" w:space="0"/>
            </w:tcBorders>
            <w:vAlign w:val="center"/>
          </w:tcPr>
          <w:p w14:paraId="41FC9CB8">
            <w:pPr>
              <w:spacing w:line="240" w:lineRule="atLeast"/>
              <w:jc w:val="center"/>
              <w:rPr>
                <w:rFonts w:ascii="宋体" w:hAnsi="宋体" w:cs="宋体"/>
                <w:sz w:val="18"/>
                <w:szCs w:val="18"/>
              </w:rPr>
            </w:pPr>
            <w:r>
              <w:rPr>
                <w:rFonts w:hint="eastAsia" w:ascii="宋体" w:hAnsi="宋体" w:eastAsia="宋体" w:cs="宋体"/>
                <w:sz w:val="18"/>
                <w:szCs w:val="18"/>
              </w:rPr>
              <w:t>0.9</w:t>
            </w:r>
          </w:p>
        </w:tc>
        <w:tc>
          <w:tcPr>
            <w:tcW w:w="0" w:type="auto"/>
            <w:tcBorders>
              <w:top w:val="single" w:color="auto" w:sz="4" w:space="0"/>
              <w:left w:val="single" w:color="auto" w:sz="4" w:space="0"/>
              <w:bottom w:val="single" w:color="auto" w:sz="4" w:space="0"/>
              <w:right w:val="single" w:color="auto" w:sz="4" w:space="0"/>
            </w:tcBorders>
            <w:vAlign w:val="center"/>
          </w:tcPr>
          <w:p w14:paraId="7126199E">
            <w:pPr>
              <w:spacing w:line="240" w:lineRule="atLeast"/>
              <w:jc w:val="center"/>
              <w:rPr>
                <w:rFonts w:ascii="宋体" w:hAnsi="宋体" w:cs="宋体"/>
                <w:sz w:val="18"/>
                <w:szCs w:val="18"/>
              </w:rPr>
            </w:pPr>
            <w:r>
              <w:rPr>
                <w:rFonts w:hint="eastAsia" w:ascii="宋体" w:hAnsi="宋体" w:eastAsia="宋体" w:cs="宋体"/>
                <w:sz w:val="18"/>
                <w:szCs w:val="18"/>
              </w:rPr>
              <w:t>环保要求日常台账管理</w:t>
            </w:r>
          </w:p>
        </w:tc>
      </w:tr>
      <w:tr w14:paraId="4F6B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5C06D61">
            <w:pPr>
              <w:spacing w:line="240" w:lineRule="atLeast"/>
              <w:jc w:val="center"/>
              <w:rPr>
                <w:rFonts w:ascii="宋体" w:hAnsi="宋体" w:cs="宋体"/>
                <w:sz w:val="18"/>
                <w:szCs w:val="18"/>
              </w:rPr>
            </w:pPr>
            <w:r>
              <w:rPr>
                <w:rFonts w:hint="eastAsia" w:ascii="宋体" w:hAnsi="宋体" w:eastAsia="宋体" w:cs="宋体"/>
                <w:sz w:val="18"/>
                <w:szCs w:val="18"/>
              </w:rPr>
              <w:t>废气处理设备检修维护</w:t>
            </w:r>
          </w:p>
        </w:tc>
        <w:tc>
          <w:tcPr>
            <w:tcW w:w="0" w:type="auto"/>
            <w:tcBorders>
              <w:top w:val="single" w:color="auto" w:sz="4" w:space="0"/>
              <w:left w:val="single" w:color="auto" w:sz="4" w:space="0"/>
              <w:bottom w:val="single" w:color="auto" w:sz="4" w:space="0"/>
              <w:right w:val="single" w:color="auto" w:sz="4" w:space="0"/>
            </w:tcBorders>
            <w:vAlign w:val="center"/>
          </w:tcPr>
          <w:p w14:paraId="601A1035">
            <w:pPr>
              <w:spacing w:line="240" w:lineRule="atLeast"/>
              <w:jc w:val="center"/>
              <w:rPr>
                <w:rFonts w:ascii="宋体" w:hAnsi="宋体" w:cs="宋体"/>
                <w:sz w:val="18"/>
                <w:szCs w:val="18"/>
              </w:rPr>
            </w:pPr>
            <w:r>
              <w:rPr>
                <w:rFonts w:hint="eastAsia" w:ascii="宋体" w:hAnsi="宋体" w:eastAsia="宋体" w:cs="宋体"/>
                <w:sz w:val="18"/>
                <w:szCs w:val="18"/>
              </w:rPr>
              <w:t>0.6</w:t>
            </w:r>
          </w:p>
        </w:tc>
        <w:tc>
          <w:tcPr>
            <w:tcW w:w="0" w:type="auto"/>
            <w:tcBorders>
              <w:top w:val="single" w:color="auto" w:sz="4" w:space="0"/>
              <w:left w:val="single" w:color="auto" w:sz="4" w:space="0"/>
              <w:bottom w:val="single" w:color="auto" w:sz="4" w:space="0"/>
              <w:right w:val="single" w:color="auto" w:sz="4" w:space="0"/>
            </w:tcBorders>
            <w:vAlign w:val="center"/>
          </w:tcPr>
          <w:p w14:paraId="76F9AEC6">
            <w:pPr>
              <w:spacing w:line="240" w:lineRule="atLeast"/>
              <w:jc w:val="center"/>
              <w:rPr>
                <w:rFonts w:ascii="宋体" w:hAnsi="宋体" w:cs="宋体"/>
                <w:sz w:val="18"/>
                <w:szCs w:val="18"/>
              </w:rPr>
            </w:pPr>
          </w:p>
        </w:tc>
      </w:tr>
      <w:tr w14:paraId="1671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8858AD6">
            <w:pPr>
              <w:spacing w:line="240" w:lineRule="atLeast"/>
              <w:jc w:val="center"/>
              <w:rPr>
                <w:rFonts w:ascii="宋体" w:hAnsi="宋体" w:cs="宋体"/>
                <w:sz w:val="18"/>
                <w:szCs w:val="18"/>
              </w:rPr>
            </w:pPr>
            <w:r>
              <w:rPr>
                <w:rFonts w:hint="eastAsia" w:ascii="宋体" w:hAnsi="宋体" w:eastAsia="宋体" w:cs="宋体"/>
                <w:sz w:val="18"/>
                <w:szCs w:val="18"/>
              </w:rPr>
              <w:t>污水处理设备检修维护</w:t>
            </w:r>
          </w:p>
        </w:tc>
        <w:tc>
          <w:tcPr>
            <w:tcW w:w="0" w:type="auto"/>
            <w:tcBorders>
              <w:top w:val="single" w:color="auto" w:sz="4" w:space="0"/>
              <w:left w:val="single" w:color="auto" w:sz="4" w:space="0"/>
              <w:bottom w:val="single" w:color="auto" w:sz="4" w:space="0"/>
              <w:right w:val="single" w:color="auto" w:sz="4" w:space="0"/>
            </w:tcBorders>
            <w:vAlign w:val="center"/>
          </w:tcPr>
          <w:p w14:paraId="228C3B7C">
            <w:pPr>
              <w:spacing w:line="240" w:lineRule="atLeast"/>
              <w:jc w:val="center"/>
              <w:rPr>
                <w:rFonts w:ascii="宋体" w:hAnsi="宋体" w:cs="宋体"/>
                <w:sz w:val="18"/>
                <w:szCs w:val="18"/>
              </w:rPr>
            </w:pPr>
            <w:r>
              <w:rPr>
                <w:rFonts w:hint="eastAsia" w:ascii="宋体" w:hAnsi="宋体" w:eastAsia="宋体" w:cs="宋体"/>
                <w:sz w:val="18"/>
                <w:szCs w:val="18"/>
              </w:rPr>
              <w:t>0.6</w:t>
            </w:r>
          </w:p>
        </w:tc>
        <w:tc>
          <w:tcPr>
            <w:tcW w:w="0" w:type="auto"/>
            <w:tcBorders>
              <w:top w:val="single" w:color="auto" w:sz="4" w:space="0"/>
              <w:left w:val="single" w:color="auto" w:sz="4" w:space="0"/>
              <w:bottom w:val="single" w:color="auto" w:sz="4" w:space="0"/>
              <w:right w:val="single" w:color="auto" w:sz="4" w:space="0"/>
            </w:tcBorders>
            <w:vAlign w:val="center"/>
          </w:tcPr>
          <w:p w14:paraId="57F64706">
            <w:pPr>
              <w:spacing w:line="240" w:lineRule="atLeast"/>
              <w:jc w:val="center"/>
              <w:rPr>
                <w:rFonts w:ascii="宋体" w:hAnsi="宋体" w:cs="宋体"/>
                <w:sz w:val="18"/>
                <w:szCs w:val="18"/>
              </w:rPr>
            </w:pPr>
          </w:p>
        </w:tc>
      </w:tr>
      <w:tr w14:paraId="04C3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538CDAC">
            <w:pPr>
              <w:spacing w:line="240" w:lineRule="atLeast"/>
              <w:jc w:val="center"/>
              <w:rPr>
                <w:rFonts w:ascii="宋体" w:hAnsi="宋体" w:cs="宋体"/>
                <w:sz w:val="18"/>
                <w:szCs w:val="18"/>
              </w:rPr>
            </w:pPr>
            <w:r>
              <w:rPr>
                <w:rFonts w:hint="eastAsia" w:ascii="宋体" w:hAnsi="宋体" w:eastAsia="宋体" w:cs="宋体"/>
                <w:sz w:val="18"/>
                <w:szCs w:val="18"/>
              </w:rPr>
              <w:t>风险管控、管理等</w:t>
            </w:r>
          </w:p>
        </w:tc>
        <w:tc>
          <w:tcPr>
            <w:tcW w:w="0" w:type="auto"/>
            <w:tcBorders>
              <w:top w:val="single" w:color="auto" w:sz="4" w:space="0"/>
              <w:left w:val="single" w:color="auto" w:sz="4" w:space="0"/>
              <w:bottom w:val="single" w:color="auto" w:sz="4" w:space="0"/>
              <w:right w:val="single" w:color="auto" w:sz="4" w:space="0"/>
            </w:tcBorders>
            <w:vAlign w:val="center"/>
          </w:tcPr>
          <w:p w14:paraId="2DFD1D97">
            <w:pPr>
              <w:spacing w:line="240" w:lineRule="atLeast"/>
              <w:jc w:val="center"/>
              <w:rPr>
                <w:rFonts w:ascii="宋体" w:hAnsi="宋体" w:cs="宋体"/>
                <w:sz w:val="18"/>
                <w:szCs w:val="18"/>
              </w:rPr>
            </w:pPr>
            <w:r>
              <w:rPr>
                <w:rFonts w:hint="eastAsia" w:ascii="宋体" w:hAnsi="宋体" w:eastAsia="宋体" w:cs="宋体"/>
                <w:sz w:val="18"/>
                <w:szCs w:val="18"/>
              </w:rPr>
              <w:t>-----</w:t>
            </w:r>
          </w:p>
        </w:tc>
        <w:tc>
          <w:tcPr>
            <w:tcW w:w="0" w:type="auto"/>
            <w:tcBorders>
              <w:top w:val="single" w:color="auto" w:sz="4" w:space="0"/>
              <w:left w:val="single" w:color="auto" w:sz="4" w:space="0"/>
              <w:bottom w:val="single" w:color="auto" w:sz="4" w:space="0"/>
              <w:right w:val="single" w:color="auto" w:sz="4" w:space="0"/>
            </w:tcBorders>
            <w:vAlign w:val="center"/>
          </w:tcPr>
          <w:p w14:paraId="32B4F326">
            <w:pPr>
              <w:spacing w:line="240" w:lineRule="atLeast"/>
              <w:jc w:val="center"/>
              <w:rPr>
                <w:rFonts w:ascii="宋体" w:hAnsi="宋体" w:cs="宋体"/>
                <w:sz w:val="18"/>
                <w:szCs w:val="18"/>
              </w:rPr>
            </w:pPr>
            <w:r>
              <w:rPr>
                <w:rFonts w:hint="eastAsia" w:ascii="宋体" w:hAnsi="宋体" w:eastAsia="宋体" w:cs="宋体"/>
                <w:sz w:val="18"/>
                <w:szCs w:val="18"/>
              </w:rPr>
              <w:t>简化管理</w:t>
            </w:r>
          </w:p>
        </w:tc>
      </w:tr>
      <w:tr w14:paraId="4EA4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14:paraId="55EE1676">
            <w:pPr>
              <w:spacing w:line="240" w:lineRule="atLeast"/>
              <w:jc w:val="center"/>
              <w:rPr>
                <w:rFonts w:ascii="宋体" w:hAnsi="宋体" w:cs="宋体"/>
                <w:sz w:val="18"/>
                <w:szCs w:val="18"/>
              </w:rPr>
            </w:pPr>
            <w:r>
              <w:rPr>
                <w:rFonts w:hint="eastAsia" w:ascii="宋体" w:hAnsi="宋体" w:eastAsia="宋体" w:cs="宋体"/>
                <w:sz w:val="18"/>
                <w:szCs w:val="18"/>
              </w:rPr>
              <w:t>预算价格15万元</w:t>
            </w:r>
          </w:p>
        </w:tc>
      </w:tr>
    </w:tbl>
    <w:p w14:paraId="217317F8">
      <w:pPr>
        <w:spacing w:line="400" w:lineRule="exact"/>
        <w:jc w:val="left"/>
        <w:rPr>
          <w:rFonts w:cs="Arial" w:asciiTheme="majorEastAsia" w:hAnsiTheme="majorEastAsia" w:eastAsiaTheme="majorEastAsia"/>
          <w:color w:val="000000"/>
          <w:sz w:val="24"/>
          <w:szCs w:val="24"/>
        </w:rPr>
      </w:pPr>
    </w:p>
    <w:p w14:paraId="75CA8278">
      <w:pPr>
        <w:widowControl/>
        <w:ind w:firstLine="420"/>
        <w:jc w:val="left"/>
        <w:rPr>
          <w:rFonts w:cs="宋体" w:asciiTheme="majorEastAsia" w:hAnsiTheme="majorEastAsia" w:eastAsiaTheme="majorEastAsia"/>
          <w:b/>
          <w:color w:val="000000"/>
          <w:sz w:val="24"/>
          <w:szCs w:val="24"/>
        </w:rPr>
      </w:pPr>
      <w:r>
        <w:rPr>
          <w:rFonts w:hint="eastAsia" w:cs="宋体" w:asciiTheme="majorEastAsia" w:hAnsiTheme="majorEastAsia" w:eastAsiaTheme="majorEastAsia"/>
          <w:b/>
          <w:color w:val="000000"/>
          <w:sz w:val="24"/>
          <w:szCs w:val="24"/>
        </w:rPr>
        <w:t>第三部分 项目要求</w:t>
      </w:r>
    </w:p>
    <w:p w14:paraId="7326B2A0">
      <w:pPr>
        <w:widowControl/>
        <w:jc w:val="left"/>
        <w:rPr>
          <w:rFonts w:cs="宋体" w:asciiTheme="majorEastAsia" w:hAnsiTheme="majorEastAsia" w:eastAsiaTheme="majorEastAsia"/>
          <w:b/>
          <w:color w:val="000000"/>
          <w:sz w:val="24"/>
          <w:szCs w:val="24"/>
        </w:rPr>
      </w:pPr>
      <w:r>
        <w:rPr>
          <w:rFonts w:hint="eastAsia" w:cs="宋体" w:asciiTheme="majorEastAsia" w:hAnsiTheme="majorEastAsia" w:eastAsiaTheme="majorEastAsia"/>
          <w:b/>
          <w:color w:val="000000"/>
          <w:sz w:val="24"/>
          <w:szCs w:val="24"/>
        </w:rPr>
        <w:tab/>
      </w:r>
      <w:r>
        <w:rPr>
          <w:rFonts w:hint="eastAsia" w:cs="宋体" w:asciiTheme="majorEastAsia" w:hAnsiTheme="majorEastAsia" w:eastAsiaTheme="majorEastAsia"/>
          <w:b/>
          <w:color w:val="000000"/>
          <w:sz w:val="24"/>
          <w:szCs w:val="24"/>
        </w:rPr>
        <w:t>服务要求：</w:t>
      </w:r>
    </w:p>
    <w:p w14:paraId="098DBD22">
      <w:pPr>
        <w:spacing w:line="420" w:lineRule="exact"/>
        <w:ind w:firstLine="405"/>
        <w:rPr>
          <w:rFonts w:ascii="宋体" w:hAnsi="宋体"/>
          <w:sz w:val="24"/>
        </w:rPr>
      </w:pPr>
      <w:r>
        <w:rPr>
          <w:rFonts w:ascii="宋体" w:hAnsi="宋体"/>
          <w:sz w:val="24"/>
          <w:szCs w:val="24"/>
        </w:rPr>
        <w:t>1</w:t>
      </w:r>
      <w:r>
        <w:rPr>
          <w:rFonts w:hint="eastAsia" w:ascii="宋体" w:hAnsi="宋体"/>
          <w:sz w:val="24"/>
          <w:szCs w:val="24"/>
        </w:rPr>
        <w:t>.做好与招标方运行维护的交接工作，中标方</w:t>
      </w:r>
      <w:r>
        <w:rPr>
          <w:rFonts w:hint="eastAsia" w:ascii="宋体" w:hAnsi="宋体" w:eastAsia="宋体" w:cs="宋体"/>
          <w:color w:val="000000" w:themeColor="text1"/>
          <w:sz w:val="24"/>
        </w:rPr>
        <w:t>派遣的工作人员应当有相关的培训及合格上岗资格，工作人员应严格遵守医院各类管理制度，因违规违纪所造成的人身财产损失由中标方负责及赔偿</w:t>
      </w:r>
      <w:r>
        <w:rPr>
          <w:rFonts w:hint="eastAsia" w:ascii="宋体" w:hAnsi="宋体"/>
          <w:sz w:val="24"/>
          <w:szCs w:val="24"/>
        </w:rPr>
        <w:t>。</w:t>
      </w:r>
    </w:p>
    <w:p w14:paraId="6145F817">
      <w:pPr>
        <w:spacing w:line="420" w:lineRule="exact"/>
        <w:ind w:firstLine="405"/>
        <w:rPr>
          <w:rFonts w:ascii="宋体" w:hAnsi="宋体"/>
          <w:sz w:val="24"/>
        </w:rPr>
      </w:pPr>
      <w:r>
        <w:rPr>
          <w:rFonts w:ascii="宋体" w:hAnsi="宋体"/>
          <w:sz w:val="24"/>
          <w:szCs w:val="24"/>
        </w:rPr>
        <w:t>2</w:t>
      </w:r>
      <w:r>
        <w:rPr>
          <w:rFonts w:hint="eastAsia" w:ascii="宋体" w:hAnsi="宋体"/>
          <w:sz w:val="24"/>
          <w:szCs w:val="24"/>
        </w:rPr>
        <w:t>.</w:t>
      </w:r>
      <w:r>
        <w:rPr>
          <w:rFonts w:ascii="宋体" w:hAnsi="宋体"/>
          <w:sz w:val="24"/>
          <w:szCs w:val="24"/>
        </w:rPr>
        <w:t>保证污水站各设备优质、高效、安全可靠运行，确保出水能够稳定达到排放要求。</w:t>
      </w:r>
      <w:r>
        <w:rPr>
          <w:rFonts w:hint="eastAsia" w:ascii="宋体" w:hAnsi="宋体"/>
          <w:sz w:val="24"/>
          <w:szCs w:val="24"/>
        </w:rPr>
        <w:t>如出现污水处理不达标导致的处罚整改等后果，由中标方负责整改并承担相应的处罚及责任。</w:t>
      </w:r>
    </w:p>
    <w:tbl>
      <w:tblPr>
        <w:tblStyle w:val="16"/>
        <w:tblW w:w="0" w:type="auto"/>
        <w:jc w:val="center"/>
        <w:tblLayout w:type="autofit"/>
        <w:tblCellMar>
          <w:top w:w="0" w:type="dxa"/>
          <w:left w:w="108" w:type="dxa"/>
          <w:bottom w:w="0" w:type="dxa"/>
          <w:right w:w="108" w:type="dxa"/>
        </w:tblCellMar>
      </w:tblPr>
      <w:tblGrid>
        <w:gridCol w:w="555"/>
        <w:gridCol w:w="1490"/>
        <w:gridCol w:w="2237"/>
        <w:gridCol w:w="4240"/>
      </w:tblGrid>
      <w:tr w14:paraId="25A9BB7D">
        <w:tblPrEx>
          <w:tblCellMar>
            <w:top w:w="0" w:type="dxa"/>
            <w:left w:w="108" w:type="dxa"/>
            <w:bottom w:w="0" w:type="dxa"/>
            <w:right w:w="108" w:type="dxa"/>
          </w:tblCellMar>
        </w:tblPrEx>
        <w:trPr>
          <w:trHeight w:val="2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DC18C6">
            <w:pPr>
              <w:widowControl/>
              <w:jc w:val="center"/>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园山院区相关环境指标要求</w:t>
            </w:r>
          </w:p>
        </w:tc>
      </w:tr>
      <w:tr w14:paraId="52A26934">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10E66">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样品名称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023D8">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采样点位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84CFC">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检测项目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B8ABD">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限制标准</w:t>
            </w:r>
          </w:p>
        </w:tc>
      </w:tr>
      <w:tr w14:paraId="6E14BCC9">
        <w:tblPrEx>
          <w:tblCellMar>
            <w:top w:w="0" w:type="dxa"/>
            <w:left w:w="108" w:type="dxa"/>
            <w:bottom w:w="0" w:type="dxa"/>
            <w:right w:w="108" w:type="dxa"/>
          </w:tblCellMar>
        </w:tblPrEx>
        <w:trPr>
          <w:trHeight w:val="11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CF5DA">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医疗废水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24FD7">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医疗废水处理设施污水总排放口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CEF35">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PH值、BOD5、氨氮、石油类、动植物油、阴离子表面活性剂、挥发酚、总氰化物、沙门氏菌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03D88">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GB18466-2005表2预处理</w:t>
            </w:r>
          </w:p>
        </w:tc>
      </w:tr>
      <w:tr w14:paraId="415602E0">
        <w:tblPrEx>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24532">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901B5">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1C912">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粪大肠菌群</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93672">
            <w:pPr>
              <w:jc w:val="center"/>
              <w:rPr>
                <w:rFonts w:ascii="宋体" w:hAnsi="宋体" w:cs="宋体"/>
                <w:color w:val="000000"/>
                <w:sz w:val="18"/>
                <w:szCs w:val="18"/>
              </w:rPr>
            </w:pPr>
          </w:p>
        </w:tc>
      </w:tr>
      <w:tr w14:paraId="0C968917">
        <w:tblPrEx>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91B58">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F0773">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2DE79">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悬浮物、化学需氧量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D879C">
            <w:pPr>
              <w:jc w:val="center"/>
              <w:rPr>
                <w:rFonts w:ascii="宋体" w:hAnsi="宋体" w:cs="宋体"/>
                <w:color w:val="000000"/>
                <w:sz w:val="18"/>
                <w:szCs w:val="18"/>
              </w:rPr>
            </w:pPr>
          </w:p>
        </w:tc>
      </w:tr>
      <w:tr w14:paraId="0806E1E9">
        <w:tblPrEx>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D9D6A">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FFE57">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2DA7C">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志贺氏菌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12A8A">
            <w:pPr>
              <w:jc w:val="center"/>
              <w:rPr>
                <w:rFonts w:ascii="宋体" w:hAnsi="宋体" w:cs="宋体"/>
                <w:color w:val="000000"/>
                <w:sz w:val="18"/>
                <w:szCs w:val="18"/>
              </w:rPr>
            </w:pPr>
          </w:p>
        </w:tc>
      </w:tr>
      <w:tr w14:paraId="50A31FB1">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7D019">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无组织废气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6E1C5">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医疗废水处理站周界、无组织监控点位、厂区内监控点位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482B2">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氨、硫化氢、臭气浓度、氯气、甲烷、非甲烷总烃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A2819">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GB18466-2005表3、广东省《大气污染物排放限值》第二时段无组织排放监控浓度限值、《挥发性有机物无组织排放控制标准》附录A“区内 VOCs 无组织排放监控要求”</w:t>
            </w:r>
          </w:p>
        </w:tc>
      </w:tr>
      <w:tr w14:paraId="4F61E2BD">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8EE97">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噪声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9995E">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东北、东南、西南面厂界外 1米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30C1C">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等效声级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B1F0F">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《工业企业厂界环境噪声排放标准》(GB12348-2008)3 类标准</w:t>
            </w:r>
          </w:p>
        </w:tc>
      </w:tr>
    </w:tbl>
    <w:p w14:paraId="72FD6093">
      <w:pPr>
        <w:spacing w:line="420" w:lineRule="exact"/>
        <w:ind w:firstLine="405"/>
        <w:rPr>
          <w:rFonts w:ascii="宋体" w:hAnsi="宋体"/>
          <w:sz w:val="24"/>
        </w:rPr>
      </w:pPr>
      <w:r>
        <w:rPr>
          <w:rFonts w:ascii="宋体" w:hAnsi="宋体"/>
          <w:sz w:val="24"/>
          <w:szCs w:val="24"/>
        </w:rPr>
        <w:t>3</w:t>
      </w:r>
      <w:r>
        <w:rPr>
          <w:rFonts w:hint="eastAsia" w:ascii="宋体" w:hAnsi="宋体"/>
          <w:sz w:val="24"/>
          <w:szCs w:val="24"/>
        </w:rPr>
        <w:t>.</w:t>
      </w:r>
      <w:r>
        <w:rPr>
          <w:rFonts w:ascii="宋体" w:hAnsi="宋体"/>
          <w:sz w:val="24"/>
          <w:szCs w:val="24"/>
        </w:rPr>
        <w:t xml:space="preserve">强化污水站运行维护管理，充分利用各种技术手段，实时监控，迅速准确地排除各种故障，压缩故障时间。 </w:t>
      </w:r>
    </w:p>
    <w:p w14:paraId="58E41EB0">
      <w:pPr>
        <w:spacing w:line="420" w:lineRule="exact"/>
        <w:ind w:firstLine="405"/>
        <w:rPr>
          <w:rFonts w:ascii="宋体" w:hAnsi="宋体"/>
          <w:sz w:val="24"/>
        </w:rPr>
      </w:pPr>
      <w:r>
        <w:rPr>
          <w:rFonts w:hint="eastAsia" w:ascii="宋体" w:hAnsi="宋体"/>
          <w:sz w:val="24"/>
          <w:szCs w:val="24"/>
        </w:rPr>
        <w:t>4.负责污水处理行业法律规定的相关项目检测，提供检测记录。</w:t>
      </w:r>
    </w:p>
    <w:p w14:paraId="3BC5BDFF">
      <w:pPr>
        <w:spacing w:line="420" w:lineRule="exact"/>
        <w:ind w:firstLine="405"/>
        <w:rPr>
          <w:rFonts w:ascii="宋体" w:hAnsi="宋体"/>
          <w:sz w:val="24"/>
        </w:rPr>
      </w:pPr>
      <w:r>
        <w:rPr>
          <w:rFonts w:hint="eastAsia" w:ascii="宋体" w:hAnsi="宋体"/>
          <w:sz w:val="24"/>
          <w:szCs w:val="24"/>
        </w:rPr>
        <w:t>5.</w:t>
      </w:r>
      <w:r>
        <w:rPr>
          <w:rFonts w:ascii="宋体" w:hAnsi="宋体"/>
          <w:sz w:val="24"/>
          <w:szCs w:val="24"/>
        </w:rPr>
        <w:t>建立</w:t>
      </w:r>
      <w:r>
        <w:rPr>
          <w:rFonts w:hint="eastAsia" w:ascii="宋体" w:hAnsi="宋体"/>
          <w:sz w:val="24"/>
          <w:szCs w:val="24"/>
        </w:rPr>
        <w:t>有关台账</w:t>
      </w:r>
      <w:r>
        <w:rPr>
          <w:rFonts w:ascii="宋体" w:hAnsi="宋体"/>
          <w:sz w:val="24"/>
          <w:szCs w:val="24"/>
        </w:rPr>
        <w:t>，如日常运行及巡检记录、易损件及配件</w:t>
      </w:r>
      <w:r>
        <w:rPr>
          <w:rFonts w:hint="eastAsia" w:ascii="宋体" w:hAnsi="宋体"/>
          <w:sz w:val="24"/>
          <w:szCs w:val="24"/>
        </w:rPr>
        <w:t>更</w:t>
      </w:r>
      <w:r>
        <w:rPr>
          <w:rFonts w:ascii="宋体" w:hAnsi="宋体"/>
          <w:sz w:val="24"/>
          <w:szCs w:val="24"/>
        </w:rPr>
        <w:t>换记录、废水处</w:t>
      </w:r>
      <w:r>
        <w:rPr>
          <w:rFonts w:ascii="宋体" w:hAnsi="宋体" w:eastAsia="宋体" w:cs="Times New Roman"/>
          <w:sz w:val="24"/>
          <w:szCs w:val="24"/>
        </w:rPr>
        <w:t>理日常检测及校准记录、异常数据说明及记录等。</w:t>
      </w:r>
      <w:r>
        <w:rPr>
          <w:rFonts w:hint="eastAsia" w:ascii="宋体" w:hAnsi="宋体" w:eastAsia="宋体" w:cs="Times New Roman"/>
          <w:sz w:val="24"/>
          <w:szCs w:val="24"/>
        </w:rPr>
        <w:t>每天至少上午、下午各1次现场巡检、运维、检测、记录。</w:t>
      </w:r>
    </w:p>
    <w:p w14:paraId="5E7A6AAC">
      <w:pPr>
        <w:spacing w:line="420" w:lineRule="exact"/>
        <w:ind w:firstLine="405"/>
        <w:rPr>
          <w:rFonts w:ascii="宋体" w:hAnsi="宋体"/>
          <w:sz w:val="24"/>
        </w:rPr>
      </w:pPr>
      <w:r>
        <w:rPr>
          <w:rFonts w:hint="eastAsia" w:ascii="宋体" w:hAnsi="宋体" w:eastAsia="宋体" w:cs="Times New Roman"/>
          <w:sz w:val="24"/>
          <w:szCs w:val="24"/>
        </w:rPr>
        <w:t>6.中标方负责承担项目所有运维人工费用、耗材（药剂、标液、校准液、台账记录本等）费用，以及单个配件200元以下（含200元）的维修更换费用等一切满足本项目</w:t>
      </w:r>
      <w:r>
        <w:rPr>
          <w:rFonts w:ascii="宋体" w:hAnsi="宋体"/>
          <w:sz w:val="24"/>
          <w:szCs w:val="24"/>
        </w:rPr>
        <w:t>污水站安全可靠</w:t>
      </w:r>
      <w:r>
        <w:rPr>
          <w:rFonts w:hint="eastAsia" w:ascii="宋体" w:hAnsi="宋体"/>
          <w:sz w:val="24"/>
          <w:szCs w:val="24"/>
        </w:rPr>
        <w:t>达标</w:t>
      </w:r>
      <w:r>
        <w:rPr>
          <w:rFonts w:ascii="宋体" w:hAnsi="宋体"/>
          <w:sz w:val="24"/>
          <w:szCs w:val="24"/>
        </w:rPr>
        <w:t>运行</w:t>
      </w:r>
      <w:r>
        <w:rPr>
          <w:rFonts w:hint="eastAsia" w:ascii="宋体" w:hAnsi="宋体"/>
          <w:sz w:val="24"/>
          <w:szCs w:val="24"/>
        </w:rPr>
        <w:t>的费用，单</w:t>
      </w:r>
      <w:r>
        <w:rPr>
          <w:rFonts w:hint="eastAsia" w:ascii="宋体" w:hAnsi="宋体" w:eastAsia="宋体" w:cs="Times New Roman"/>
          <w:sz w:val="24"/>
          <w:szCs w:val="24"/>
        </w:rPr>
        <w:t>个配件</w:t>
      </w:r>
      <w:r>
        <w:rPr>
          <w:rFonts w:hint="eastAsia" w:ascii="宋体" w:hAnsi="宋体"/>
          <w:sz w:val="24"/>
          <w:szCs w:val="24"/>
        </w:rPr>
        <w:t>维修更换费用在200元以上的，由中标方提出书面申请，医院经核实非人为原因造成的，批复后中标方进行维修、更换，费用由医院承担，单独结算。</w:t>
      </w:r>
    </w:p>
    <w:p w14:paraId="113C0C6E">
      <w:pPr>
        <w:spacing w:line="420" w:lineRule="exact"/>
        <w:ind w:firstLine="405"/>
        <w:rPr>
          <w:rFonts w:ascii="宋体" w:hAnsi="宋体"/>
          <w:sz w:val="24"/>
        </w:rPr>
      </w:pPr>
      <w:r>
        <w:rPr>
          <w:rFonts w:hint="eastAsia" w:ascii="宋体" w:hAnsi="宋体" w:eastAsia="宋体" w:cs="Times New Roman"/>
          <w:sz w:val="24"/>
          <w:szCs w:val="24"/>
        </w:rPr>
        <w:t>7.中标方应协助招标方完成环保检查等相关环保工作。</w:t>
      </w:r>
    </w:p>
    <w:p w14:paraId="2EFF80A7">
      <w:pPr>
        <w:spacing w:line="420" w:lineRule="exact"/>
        <w:ind w:firstLine="405"/>
        <w:rPr>
          <w:rFonts w:ascii="宋体" w:hAnsi="宋体"/>
          <w:sz w:val="24"/>
        </w:rPr>
      </w:pPr>
      <w:r>
        <w:rPr>
          <w:rFonts w:hint="eastAsia" w:ascii="宋体" w:hAnsi="宋体" w:eastAsia="宋体" w:cs="Times New Roman"/>
          <w:sz w:val="24"/>
          <w:szCs w:val="24"/>
        </w:rPr>
        <w:t>8.服务期限到后，中标方必须将所有资料无条件移交给招标方，且保证资料的真实与完整。</w:t>
      </w:r>
    </w:p>
    <w:p w14:paraId="133F07FC">
      <w:pPr>
        <w:spacing w:line="420" w:lineRule="exact"/>
        <w:ind w:firstLine="405"/>
        <w:rPr>
          <w:rFonts w:ascii="宋体" w:hAnsi="宋体"/>
          <w:sz w:val="24"/>
        </w:rPr>
      </w:pPr>
      <w:r>
        <w:rPr>
          <w:rFonts w:hint="eastAsia" w:ascii="宋体" w:hAnsi="宋体" w:eastAsia="宋体" w:cs="Times New Roman"/>
          <w:sz w:val="24"/>
          <w:szCs w:val="24"/>
        </w:rPr>
        <w:t>9.每季度考核总分在90分（含90分）以上，全额支付季度管理服务费；每季度考核总分在89分—80分的，每下降1分，扣每季度管理服务费的1%；每季度考核总分在79分—70分的，每下降1分，扣每季度管理服务费的2%；季度考核总分在70分以下的，只支付季度管理服务费50%；考核分数如有小数点的以四舍五入取其整数作为款项支付的依据。</w:t>
      </w:r>
    </w:p>
    <w:tbl>
      <w:tblPr>
        <w:tblStyle w:val="16"/>
        <w:tblW w:w="0" w:type="auto"/>
        <w:jc w:val="center"/>
        <w:tblLayout w:type="fixed"/>
        <w:tblCellMar>
          <w:top w:w="0" w:type="dxa"/>
          <w:left w:w="108" w:type="dxa"/>
          <w:bottom w:w="0" w:type="dxa"/>
          <w:right w:w="108" w:type="dxa"/>
        </w:tblCellMar>
      </w:tblPr>
      <w:tblGrid>
        <w:gridCol w:w="474"/>
        <w:gridCol w:w="317"/>
        <w:gridCol w:w="2049"/>
        <w:gridCol w:w="2075"/>
        <w:gridCol w:w="584"/>
        <w:gridCol w:w="2252"/>
        <w:gridCol w:w="385"/>
        <w:gridCol w:w="386"/>
      </w:tblGrid>
      <w:tr w14:paraId="3172C418">
        <w:tblPrEx>
          <w:tblCellMar>
            <w:top w:w="0" w:type="dxa"/>
            <w:left w:w="108" w:type="dxa"/>
            <w:bottom w:w="0" w:type="dxa"/>
            <w:right w:w="108" w:type="dxa"/>
          </w:tblCellMar>
        </w:tblPrEx>
        <w:trPr>
          <w:trHeight w:val="285" w:hRule="atLeast"/>
          <w:jc w:val="center"/>
        </w:trPr>
        <w:tc>
          <w:tcPr>
            <w:tcW w:w="8522" w:type="dxa"/>
            <w:gridSpan w:val="8"/>
            <w:tcBorders>
              <w:top w:val="single" w:color="auto" w:sz="4" w:space="0"/>
              <w:left w:val="single" w:color="auto" w:sz="4" w:space="0"/>
              <w:bottom w:val="single" w:color="auto" w:sz="4" w:space="0"/>
              <w:right w:val="single" w:color="auto" w:sz="4" w:space="0"/>
            </w:tcBorders>
            <w:noWrap/>
            <w:vAlign w:val="center"/>
          </w:tcPr>
          <w:p w14:paraId="300B32A1">
            <w:pPr>
              <w:widowControl/>
              <w:spacing w:line="240" w:lineRule="atLeast"/>
              <w:jc w:val="center"/>
              <w:rPr>
                <w:rFonts w:ascii="宋体" w:hAnsi="宋体" w:cs="宋体"/>
                <w:b/>
                <w:kern w:val="0"/>
                <w:sz w:val="18"/>
                <w:szCs w:val="18"/>
              </w:rPr>
            </w:pPr>
            <w:r>
              <w:rPr>
                <w:rFonts w:hint="eastAsia" w:ascii="宋体" w:hAnsi="宋体" w:eastAsia="宋体" w:cs="宋体"/>
                <w:b/>
                <w:bCs/>
                <w:sz w:val="18"/>
                <w:szCs w:val="18"/>
              </w:rPr>
              <w:t>污水处理站季度运行考核表（供参考，可调整，以合同为准）</w:t>
            </w:r>
          </w:p>
        </w:tc>
      </w:tr>
      <w:tr w14:paraId="703079E5">
        <w:tblPrEx>
          <w:tblCellMar>
            <w:top w:w="0" w:type="dxa"/>
            <w:left w:w="108" w:type="dxa"/>
            <w:bottom w:w="0" w:type="dxa"/>
            <w:right w:w="108" w:type="dxa"/>
          </w:tblCellMar>
        </w:tblPrEx>
        <w:trPr>
          <w:trHeight w:val="285" w:hRule="atLeast"/>
          <w:jc w:val="center"/>
        </w:trPr>
        <w:tc>
          <w:tcPr>
            <w:tcW w:w="2840" w:type="dxa"/>
            <w:gridSpan w:val="3"/>
            <w:tcBorders>
              <w:top w:val="single" w:color="auto" w:sz="4" w:space="0"/>
              <w:left w:val="single" w:color="auto" w:sz="4" w:space="0"/>
              <w:bottom w:val="single" w:color="auto" w:sz="4" w:space="0"/>
              <w:right w:val="single" w:color="auto" w:sz="4" w:space="0"/>
            </w:tcBorders>
            <w:noWrap/>
            <w:vAlign w:val="center"/>
          </w:tcPr>
          <w:p w14:paraId="2AC1C0A5">
            <w:pPr>
              <w:widowControl/>
              <w:spacing w:line="240" w:lineRule="atLeast"/>
              <w:rPr>
                <w:rFonts w:ascii="宋体" w:hAnsi="宋体" w:cs="宋体"/>
                <w:b/>
                <w:kern w:val="0"/>
                <w:sz w:val="18"/>
                <w:szCs w:val="18"/>
              </w:rPr>
            </w:pPr>
            <w:r>
              <w:rPr>
                <w:rFonts w:hint="eastAsia" w:ascii="宋体" w:hAnsi="宋体" w:eastAsia="宋体" w:cs="宋体"/>
                <w:b/>
                <w:kern w:val="0"/>
                <w:sz w:val="18"/>
                <w:szCs w:val="18"/>
              </w:rPr>
              <w:t>考核部门：</w:t>
            </w:r>
          </w:p>
        </w:tc>
        <w:tc>
          <w:tcPr>
            <w:tcW w:w="2659" w:type="dxa"/>
            <w:gridSpan w:val="2"/>
            <w:tcBorders>
              <w:top w:val="single" w:color="auto" w:sz="4" w:space="0"/>
              <w:left w:val="nil"/>
              <w:bottom w:val="single" w:color="auto" w:sz="4" w:space="0"/>
              <w:right w:val="single" w:color="auto" w:sz="4" w:space="0"/>
            </w:tcBorders>
            <w:noWrap/>
            <w:vAlign w:val="center"/>
          </w:tcPr>
          <w:p w14:paraId="5D31E829">
            <w:pPr>
              <w:widowControl/>
              <w:spacing w:line="240" w:lineRule="atLeast"/>
              <w:rPr>
                <w:rFonts w:ascii="宋体" w:hAnsi="宋体" w:cs="宋体"/>
                <w:b/>
                <w:kern w:val="0"/>
                <w:sz w:val="18"/>
                <w:szCs w:val="18"/>
              </w:rPr>
            </w:pPr>
            <w:r>
              <w:rPr>
                <w:rFonts w:hint="eastAsia" w:ascii="宋体" w:hAnsi="宋体" w:eastAsia="宋体" w:cs="宋体"/>
                <w:b/>
                <w:kern w:val="0"/>
                <w:sz w:val="18"/>
                <w:szCs w:val="18"/>
              </w:rPr>
              <w:t>考核时间：</w:t>
            </w:r>
          </w:p>
        </w:tc>
        <w:tc>
          <w:tcPr>
            <w:tcW w:w="3023" w:type="dxa"/>
            <w:gridSpan w:val="3"/>
            <w:tcBorders>
              <w:top w:val="single" w:color="auto" w:sz="4" w:space="0"/>
              <w:left w:val="nil"/>
              <w:bottom w:val="single" w:color="auto" w:sz="4" w:space="0"/>
              <w:right w:val="single" w:color="auto" w:sz="4" w:space="0"/>
            </w:tcBorders>
            <w:noWrap/>
            <w:vAlign w:val="center"/>
          </w:tcPr>
          <w:p w14:paraId="2FAA2EB0">
            <w:pPr>
              <w:widowControl/>
              <w:spacing w:line="240" w:lineRule="atLeast"/>
              <w:rPr>
                <w:rFonts w:ascii="宋体" w:hAnsi="宋体" w:cs="宋体"/>
                <w:b/>
                <w:kern w:val="0"/>
                <w:sz w:val="18"/>
                <w:szCs w:val="18"/>
              </w:rPr>
            </w:pPr>
            <w:r>
              <w:rPr>
                <w:rFonts w:hint="eastAsia" w:ascii="宋体" w:hAnsi="宋体" w:eastAsia="宋体" w:cs="宋体"/>
                <w:b/>
                <w:kern w:val="0"/>
                <w:sz w:val="18"/>
                <w:szCs w:val="18"/>
              </w:rPr>
              <w:t>考核人：</w:t>
            </w:r>
          </w:p>
        </w:tc>
      </w:tr>
      <w:tr w14:paraId="39C5522E">
        <w:tblPrEx>
          <w:tblCellMar>
            <w:top w:w="0" w:type="dxa"/>
            <w:left w:w="108" w:type="dxa"/>
            <w:bottom w:w="0" w:type="dxa"/>
            <w:right w:w="108" w:type="dxa"/>
          </w:tblCellMar>
        </w:tblPrEx>
        <w:trPr>
          <w:trHeight w:val="285" w:hRule="atLeast"/>
          <w:jc w:val="center"/>
        </w:trPr>
        <w:tc>
          <w:tcPr>
            <w:tcW w:w="474" w:type="dxa"/>
            <w:tcBorders>
              <w:top w:val="nil"/>
              <w:left w:val="single" w:color="auto" w:sz="4" w:space="0"/>
              <w:bottom w:val="single" w:color="auto" w:sz="4" w:space="0"/>
              <w:right w:val="single" w:color="auto" w:sz="4" w:space="0"/>
            </w:tcBorders>
            <w:noWrap/>
            <w:vAlign w:val="center"/>
          </w:tcPr>
          <w:p w14:paraId="4DF225A4">
            <w:pPr>
              <w:widowControl/>
              <w:spacing w:line="240" w:lineRule="atLeast"/>
              <w:jc w:val="center"/>
              <w:rPr>
                <w:rFonts w:ascii="宋体" w:hAnsi="宋体" w:cs="宋体"/>
                <w:b/>
                <w:bCs/>
                <w:kern w:val="0"/>
                <w:sz w:val="18"/>
                <w:szCs w:val="18"/>
              </w:rPr>
            </w:pPr>
            <w:r>
              <w:rPr>
                <w:rFonts w:hint="eastAsia" w:ascii="宋体" w:hAnsi="宋体" w:eastAsia="宋体" w:cs="宋体"/>
                <w:b/>
                <w:bCs/>
                <w:kern w:val="0"/>
                <w:sz w:val="18"/>
                <w:szCs w:val="18"/>
              </w:rPr>
              <w:t>项目</w:t>
            </w:r>
          </w:p>
        </w:tc>
        <w:tc>
          <w:tcPr>
            <w:tcW w:w="317" w:type="dxa"/>
            <w:tcBorders>
              <w:top w:val="nil"/>
              <w:left w:val="nil"/>
              <w:bottom w:val="single" w:color="auto" w:sz="4" w:space="0"/>
              <w:right w:val="single" w:color="auto" w:sz="4" w:space="0"/>
            </w:tcBorders>
            <w:noWrap/>
            <w:vAlign w:val="center"/>
          </w:tcPr>
          <w:p w14:paraId="7EBA14F5">
            <w:pPr>
              <w:widowControl/>
              <w:spacing w:line="240" w:lineRule="atLeast"/>
              <w:jc w:val="center"/>
              <w:rPr>
                <w:rFonts w:ascii="宋体" w:hAnsi="宋体" w:cs="宋体"/>
                <w:b/>
                <w:bCs/>
                <w:kern w:val="0"/>
                <w:sz w:val="18"/>
                <w:szCs w:val="18"/>
              </w:rPr>
            </w:pPr>
            <w:r>
              <w:rPr>
                <w:rFonts w:hint="eastAsia" w:ascii="宋体" w:hAnsi="宋体" w:eastAsia="宋体" w:cs="宋体"/>
                <w:b/>
                <w:bCs/>
                <w:kern w:val="0"/>
                <w:sz w:val="18"/>
                <w:szCs w:val="18"/>
              </w:rPr>
              <w:t>项目内容</w:t>
            </w:r>
          </w:p>
        </w:tc>
        <w:tc>
          <w:tcPr>
            <w:tcW w:w="4124" w:type="dxa"/>
            <w:gridSpan w:val="2"/>
            <w:tcBorders>
              <w:top w:val="single" w:color="auto" w:sz="4" w:space="0"/>
              <w:left w:val="nil"/>
              <w:bottom w:val="single" w:color="auto" w:sz="4" w:space="0"/>
              <w:right w:val="single" w:color="auto" w:sz="4" w:space="0"/>
            </w:tcBorders>
            <w:noWrap/>
            <w:vAlign w:val="center"/>
          </w:tcPr>
          <w:p w14:paraId="08759CBF">
            <w:pPr>
              <w:widowControl/>
              <w:spacing w:line="240" w:lineRule="atLeast"/>
              <w:jc w:val="center"/>
              <w:rPr>
                <w:rFonts w:ascii="宋体" w:hAnsi="宋体" w:cs="宋体"/>
                <w:b/>
                <w:bCs/>
                <w:kern w:val="0"/>
                <w:sz w:val="18"/>
                <w:szCs w:val="18"/>
              </w:rPr>
            </w:pPr>
            <w:r>
              <w:rPr>
                <w:rFonts w:hint="eastAsia" w:ascii="宋体" w:hAnsi="宋体" w:eastAsia="宋体" w:cs="宋体"/>
                <w:b/>
                <w:bCs/>
                <w:kern w:val="0"/>
                <w:sz w:val="18"/>
                <w:szCs w:val="18"/>
              </w:rPr>
              <w:t>基本要求</w:t>
            </w:r>
          </w:p>
        </w:tc>
        <w:tc>
          <w:tcPr>
            <w:tcW w:w="584" w:type="dxa"/>
            <w:tcBorders>
              <w:top w:val="nil"/>
              <w:left w:val="nil"/>
              <w:bottom w:val="single" w:color="auto" w:sz="4" w:space="0"/>
              <w:right w:val="single" w:color="auto" w:sz="4" w:space="0"/>
            </w:tcBorders>
            <w:noWrap/>
            <w:vAlign w:val="center"/>
          </w:tcPr>
          <w:p w14:paraId="35D43882">
            <w:pPr>
              <w:widowControl/>
              <w:spacing w:line="240" w:lineRule="atLeast"/>
              <w:jc w:val="center"/>
              <w:rPr>
                <w:rFonts w:ascii="宋体" w:hAnsi="宋体" w:cs="宋体"/>
                <w:b/>
                <w:bCs/>
                <w:kern w:val="0"/>
                <w:sz w:val="18"/>
                <w:szCs w:val="18"/>
              </w:rPr>
            </w:pPr>
            <w:r>
              <w:rPr>
                <w:rFonts w:hint="eastAsia" w:ascii="宋体" w:hAnsi="宋体" w:eastAsia="宋体" w:cs="宋体"/>
                <w:b/>
                <w:bCs/>
                <w:kern w:val="0"/>
                <w:sz w:val="18"/>
                <w:szCs w:val="18"/>
              </w:rPr>
              <w:t>标准分值</w:t>
            </w:r>
          </w:p>
        </w:tc>
        <w:tc>
          <w:tcPr>
            <w:tcW w:w="2252" w:type="dxa"/>
            <w:tcBorders>
              <w:top w:val="single" w:color="auto" w:sz="4" w:space="0"/>
              <w:left w:val="nil"/>
              <w:bottom w:val="single" w:color="auto" w:sz="4" w:space="0"/>
              <w:right w:val="single" w:color="auto" w:sz="4" w:space="0"/>
            </w:tcBorders>
            <w:noWrap/>
            <w:vAlign w:val="center"/>
          </w:tcPr>
          <w:p w14:paraId="3BD615D5">
            <w:pPr>
              <w:widowControl/>
              <w:spacing w:line="240" w:lineRule="atLeast"/>
              <w:jc w:val="center"/>
              <w:rPr>
                <w:rFonts w:ascii="宋体" w:hAnsi="宋体" w:cs="宋体"/>
                <w:b/>
                <w:bCs/>
                <w:kern w:val="0"/>
                <w:sz w:val="18"/>
                <w:szCs w:val="18"/>
              </w:rPr>
            </w:pPr>
            <w:r>
              <w:rPr>
                <w:rFonts w:hint="eastAsia" w:ascii="宋体" w:hAnsi="宋体" w:eastAsia="宋体" w:cs="宋体"/>
                <w:b/>
                <w:bCs/>
                <w:kern w:val="0"/>
                <w:sz w:val="18"/>
                <w:szCs w:val="18"/>
              </w:rPr>
              <w:t>评分方法</w:t>
            </w:r>
          </w:p>
        </w:tc>
        <w:tc>
          <w:tcPr>
            <w:tcW w:w="385" w:type="dxa"/>
            <w:tcBorders>
              <w:top w:val="nil"/>
              <w:left w:val="nil"/>
              <w:bottom w:val="single" w:color="auto" w:sz="4" w:space="0"/>
              <w:right w:val="single" w:color="auto" w:sz="4" w:space="0"/>
            </w:tcBorders>
            <w:noWrap/>
            <w:vAlign w:val="center"/>
          </w:tcPr>
          <w:p w14:paraId="0DDF7F1E">
            <w:pPr>
              <w:widowControl/>
              <w:spacing w:line="240" w:lineRule="atLeast"/>
              <w:jc w:val="center"/>
              <w:rPr>
                <w:rFonts w:ascii="宋体" w:hAnsi="宋体" w:cs="宋体"/>
                <w:b/>
                <w:bCs/>
                <w:kern w:val="0"/>
                <w:sz w:val="18"/>
                <w:szCs w:val="18"/>
              </w:rPr>
            </w:pPr>
            <w:r>
              <w:rPr>
                <w:rFonts w:hint="eastAsia" w:ascii="宋体" w:hAnsi="宋体" w:eastAsia="宋体" w:cs="宋体"/>
                <w:b/>
                <w:bCs/>
                <w:kern w:val="0"/>
                <w:sz w:val="18"/>
                <w:szCs w:val="18"/>
              </w:rPr>
              <w:t>存在问题</w:t>
            </w:r>
          </w:p>
        </w:tc>
        <w:tc>
          <w:tcPr>
            <w:tcW w:w="386" w:type="dxa"/>
            <w:tcBorders>
              <w:top w:val="nil"/>
              <w:left w:val="nil"/>
              <w:bottom w:val="single" w:color="auto" w:sz="4" w:space="0"/>
              <w:right w:val="single" w:color="auto" w:sz="4" w:space="0"/>
            </w:tcBorders>
            <w:noWrap/>
            <w:vAlign w:val="center"/>
          </w:tcPr>
          <w:p w14:paraId="53B1A65A">
            <w:pPr>
              <w:widowControl/>
              <w:spacing w:line="240" w:lineRule="atLeast"/>
              <w:jc w:val="center"/>
              <w:rPr>
                <w:rFonts w:ascii="宋体" w:hAnsi="宋体" w:cs="宋体"/>
                <w:b/>
                <w:bCs/>
                <w:kern w:val="0"/>
                <w:sz w:val="18"/>
                <w:szCs w:val="18"/>
              </w:rPr>
            </w:pPr>
            <w:r>
              <w:rPr>
                <w:rFonts w:hint="eastAsia" w:ascii="宋体" w:hAnsi="宋体" w:eastAsia="宋体" w:cs="宋体"/>
                <w:b/>
                <w:bCs/>
                <w:kern w:val="0"/>
                <w:sz w:val="18"/>
                <w:szCs w:val="18"/>
              </w:rPr>
              <w:t>得分情况</w:t>
            </w:r>
          </w:p>
        </w:tc>
      </w:tr>
      <w:tr w14:paraId="6ADDF695">
        <w:tblPrEx>
          <w:tblCellMar>
            <w:top w:w="0" w:type="dxa"/>
            <w:left w:w="108" w:type="dxa"/>
            <w:bottom w:w="0" w:type="dxa"/>
            <w:right w:w="108" w:type="dxa"/>
          </w:tblCellMar>
        </w:tblPrEx>
        <w:trPr>
          <w:trHeight w:val="285" w:hRule="atLeast"/>
          <w:jc w:val="center"/>
        </w:trPr>
        <w:tc>
          <w:tcPr>
            <w:tcW w:w="474" w:type="dxa"/>
            <w:vMerge w:val="restart"/>
            <w:tcBorders>
              <w:top w:val="nil"/>
              <w:left w:val="single" w:color="auto" w:sz="4" w:space="0"/>
              <w:right w:val="single" w:color="auto" w:sz="4" w:space="0"/>
            </w:tcBorders>
            <w:noWrap/>
            <w:vAlign w:val="center"/>
          </w:tcPr>
          <w:p w14:paraId="365E8B2E">
            <w:pPr>
              <w:widowControl/>
              <w:spacing w:line="240" w:lineRule="atLeast"/>
              <w:jc w:val="center"/>
              <w:rPr>
                <w:rFonts w:ascii="宋体" w:hAnsi="宋体" w:cs="宋体"/>
                <w:b/>
                <w:bCs/>
                <w:kern w:val="0"/>
                <w:sz w:val="18"/>
                <w:szCs w:val="18"/>
              </w:rPr>
            </w:pPr>
            <w:r>
              <w:rPr>
                <w:rFonts w:hint="eastAsia" w:ascii="宋体" w:hAnsi="宋体" w:eastAsia="宋体" w:cs="宋体"/>
                <w:kern w:val="0"/>
                <w:sz w:val="18"/>
                <w:szCs w:val="18"/>
              </w:rPr>
              <w:t>一、基础管理（32分）</w:t>
            </w:r>
          </w:p>
        </w:tc>
        <w:tc>
          <w:tcPr>
            <w:tcW w:w="317" w:type="dxa"/>
            <w:tcBorders>
              <w:top w:val="nil"/>
              <w:left w:val="nil"/>
              <w:bottom w:val="single" w:color="auto" w:sz="4" w:space="0"/>
              <w:right w:val="single" w:color="auto" w:sz="4" w:space="0"/>
            </w:tcBorders>
            <w:noWrap/>
            <w:vAlign w:val="center"/>
          </w:tcPr>
          <w:p w14:paraId="214B3575">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制度完善</w:t>
            </w:r>
          </w:p>
        </w:tc>
        <w:tc>
          <w:tcPr>
            <w:tcW w:w="4124" w:type="dxa"/>
            <w:gridSpan w:val="2"/>
            <w:tcBorders>
              <w:top w:val="single" w:color="auto" w:sz="4" w:space="0"/>
              <w:left w:val="nil"/>
              <w:bottom w:val="single" w:color="auto" w:sz="4" w:space="0"/>
              <w:right w:val="single" w:color="auto" w:sz="4" w:space="0"/>
            </w:tcBorders>
            <w:noWrap/>
            <w:vAlign w:val="center"/>
          </w:tcPr>
          <w:p w14:paraId="26DA13AF">
            <w:pPr>
              <w:widowControl/>
              <w:spacing w:line="240" w:lineRule="atLeast"/>
              <w:rPr>
                <w:rFonts w:ascii="宋体" w:hAnsi="宋体" w:cs="宋体"/>
                <w:kern w:val="0"/>
                <w:sz w:val="18"/>
                <w:szCs w:val="18"/>
              </w:rPr>
            </w:pPr>
            <w:r>
              <w:rPr>
                <w:rFonts w:hint="eastAsia" w:ascii="宋体" w:hAnsi="宋体" w:eastAsia="宋体" w:cs="宋体"/>
                <w:kern w:val="0"/>
                <w:sz w:val="18"/>
                <w:szCs w:val="18"/>
              </w:rPr>
              <w:t>建立完善工艺管理制度，制定严格的岗位责任制度（设备保养制、交接班制、安全操作制等），编订工艺管理作业指导书。</w:t>
            </w:r>
          </w:p>
        </w:tc>
        <w:tc>
          <w:tcPr>
            <w:tcW w:w="584" w:type="dxa"/>
            <w:tcBorders>
              <w:top w:val="nil"/>
              <w:left w:val="nil"/>
              <w:bottom w:val="single" w:color="auto" w:sz="4" w:space="0"/>
              <w:right w:val="single" w:color="auto" w:sz="4" w:space="0"/>
            </w:tcBorders>
            <w:noWrap/>
            <w:vAlign w:val="center"/>
          </w:tcPr>
          <w:p w14:paraId="5D8F4B35">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6</w:t>
            </w:r>
          </w:p>
        </w:tc>
        <w:tc>
          <w:tcPr>
            <w:tcW w:w="2252" w:type="dxa"/>
            <w:tcBorders>
              <w:top w:val="single" w:color="auto" w:sz="4" w:space="0"/>
              <w:left w:val="nil"/>
              <w:bottom w:val="single" w:color="auto" w:sz="4" w:space="0"/>
              <w:right w:val="single" w:color="auto" w:sz="4" w:space="0"/>
            </w:tcBorders>
            <w:noWrap/>
            <w:vAlign w:val="center"/>
          </w:tcPr>
          <w:p w14:paraId="42E0FA13">
            <w:pPr>
              <w:widowControl/>
              <w:spacing w:line="240" w:lineRule="atLeast"/>
              <w:rPr>
                <w:rFonts w:ascii="宋体" w:hAnsi="宋体" w:cs="宋体"/>
                <w:kern w:val="0"/>
                <w:sz w:val="18"/>
                <w:szCs w:val="18"/>
              </w:rPr>
            </w:pPr>
            <w:r>
              <w:rPr>
                <w:rFonts w:hint="eastAsia" w:ascii="宋体" w:hAnsi="宋体" w:eastAsia="宋体" w:cs="宋体"/>
                <w:kern w:val="0"/>
                <w:sz w:val="18"/>
                <w:szCs w:val="18"/>
              </w:rPr>
              <w:t>缺一项扣1分，扣完为止。</w:t>
            </w:r>
          </w:p>
        </w:tc>
        <w:tc>
          <w:tcPr>
            <w:tcW w:w="385" w:type="dxa"/>
            <w:tcBorders>
              <w:top w:val="nil"/>
              <w:left w:val="nil"/>
              <w:bottom w:val="single" w:color="auto" w:sz="4" w:space="0"/>
              <w:right w:val="single" w:color="auto" w:sz="4" w:space="0"/>
            </w:tcBorders>
            <w:noWrap/>
            <w:vAlign w:val="center"/>
          </w:tcPr>
          <w:p w14:paraId="46CFBA2A">
            <w:pPr>
              <w:widowControl/>
              <w:spacing w:line="240" w:lineRule="atLeast"/>
              <w:jc w:val="center"/>
              <w:rPr>
                <w:rFonts w:ascii="宋体" w:hAnsi="宋体" w:cs="宋体"/>
                <w:b/>
                <w:bCs/>
                <w:kern w:val="0"/>
                <w:sz w:val="18"/>
                <w:szCs w:val="18"/>
              </w:rPr>
            </w:pPr>
          </w:p>
        </w:tc>
        <w:tc>
          <w:tcPr>
            <w:tcW w:w="386" w:type="dxa"/>
            <w:tcBorders>
              <w:top w:val="nil"/>
              <w:left w:val="nil"/>
              <w:bottom w:val="single" w:color="auto" w:sz="4" w:space="0"/>
              <w:right w:val="single" w:color="auto" w:sz="4" w:space="0"/>
            </w:tcBorders>
            <w:noWrap/>
            <w:vAlign w:val="center"/>
          </w:tcPr>
          <w:p w14:paraId="2AF7AB2D">
            <w:pPr>
              <w:widowControl/>
              <w:spacing w:line="240" w:lineRule="atLeast"/>
              <w:jc w:val="center"/>
              <w:rPr>
                <w:rFonts w:ascii="宋体" w:hAnsi="宋体" w:cs="宋体"/>
                <w:b/>
                <w:bCs/>
                <w:kern w:val="0"/>
                <w:sz w:val="18"/>
                <w:szCs w:val="18"/>
              </w:rPr>
            </w:pPr>
          </w:p>
        </w:tc>
      </w:tr>
      <w:tr w14:paraId="718DC920">
        <w:tblPrEx>
          <w:tblCellMar>
            <w:top w:w="0" w:type="dxa"/>
            <w:left w:w="108" w:type="dxa"/>
            <w:bottom w:w="0" w:type="dxa"/>
            <w:right w:w="108" w:type="dxa"/>
          </w:tblCellMar>
        </w:tblPrEx>
        <w:trPr>
          <w:trHeight w:val="285" w:hRule="atLeast"/>
          <w:jc w:val="center"/>
        </w:trPr>
        <w:tc>
          <w:tcPr>
            <w:tcW w:w="474" w:type="dxa"/>
            <w:vMerge w:val="continue"/>
            <w:tcBorders>
              <w:left w:val="single" w:color="auto" w:sz="4" w:space="0"/>
              <w:right w:val="single" w:color="auto" w:sz="4" w:space="0"/>
            </w:tcBorders>
            <w:noWrap/>
            <w:vAlign w:val="center"/>
          </w:tcPr>
          <w:p w14:paraId="62F1E2A9">
            <w:pPr>
              <w:widowControl/>
              <w:spacing w:line="240" w:lineRule="atLeast"/>
              <w:jc w:val="center"/>
              <w:rPr>
                <w:rFonts w:ascii="宋体" w:hAnsi="宋体" w:cs="宋体"/>
                <w:b/>
                <w:bCs/>
                <w:kern w:val="0"/>
                <w:sz w:val="18"/>
                <w:szCs w:val="18"/>
              </w:rPr>
            </w:pPr>
          </w:p>
        </w:tc>
        <w:tc>
          <w:tcPr>
            <w:tcW w:w="317" w:type="dxa"/>
            <w:tcBorders>
              <w:top w:val="nil"/>
              <w:left w:val="nil"/>
              <w:bottom w:val="single" w:color="auto" w:sz="4" w:space="0"/>
              <w:right w:val="single" w:color="auto" w:sz="4" w:space="0"/>
            </w:tcBorders>
            <w:noWrap/>
            <w:vAlign w:val="center"/>
          </w:tcPr>
          <w:p w14:paraId="75270967">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岗位要求</w:t>
            </w:r>
          </w:p>
        </w:tc>
        <w:tc>
          <w:tcPr>
            <w:tcW w:w="4124" w:type="dxa"/>
            <w:gridSpan w:val="2"/>
            <w:tcBorders>
              <w:top w:val="single" w:color="auto" w:sz="4" w:space="0"/>
              <w:left w:val="nil"/>
              <w:bottom w:val="single" w:color="auto" w:sz="4" w:space="0"/>
              <w:right w:val="single" w:color="auto" w:sz="4" w:space="0"/>
            </w:tcBorders>
            <w:noWrap/>
            <w:vAlign w:val="center"/>
          </w:tcPr>
          <w:p w14:paraId="7DF071C5">
            <w:pPr>
              <w:widowControl/>
              <w:spacing w:line="240" w:lineRule="atLeast"/>
              <w:rPr>
                <w:rFonts w:ascii="宋体" w:hAnsi="宋体" w:cs="宋体"/>
                <w:kern w:val="0"/>
                <w:sz w:val="18"/>
                <w:szCs w:val="18"/>
              </w:rPr>
            </w:pPr>
            <w:r>
              <w:rPr>
                <w:rFonts w:hint="eastAsia" w:ascii="宋体" w:hAnsi="宋体" w:eastAsia="宋体" w:cs="宋体"/>
                <w:kern w:val="0"/>
                <w:sz w:val="18"/>
                <w:szCs w:val="18"/>
              </w:rPr>
              <w:t>（1）各岗位操作人员应经过专业培训，了解处理工艺，熟悉本岗位设施、设备的运行要求和技术指标；（2）熟练掌握本岗位工作技能，能熟练说出处理工艺、操作的每个环节，并按有关规定持证上岗；（3）遵守污水处理站的管理制度，严格执行操作规程；（4）发生异常时，能指出产生原因，并采取相对应措施，确保污水处理设施和设备正常运行。</w:t>
            </w:r>
          </w:p>
        </w:tc>
        <w:tc>
          <w:tcPr>
            <w:tcW w:w="584" w:type="dxa"/>
            <w:tcBorders>
              <w:top w:val="nil"/>
              <w:left w:val="nil"/>
              <w:bottom w:val="single" w:color="auto" w:sz="4" w:space="0"/>
              <w:right w:val="single" w:color="auto" w:sz="4" w:space="0"/>
            </w:tcBorders>
            <w:noWrap/>
            <w:vAlign w:val="center"/>
          </w:tcPr>
          <w:p w14:paraId="6E88797A">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8</w:t>
            </w:r>
          </w:p>
        </w:tc>
        <w:tc>
          <w:tcPr>
            <w:tcW w:w="2252" w:type="dxa"/>
            <w:tcBorders>
              <w:top w:val="single" w:color="auto" w:sz="4" w:space="0"/>
              <w:left w:val="nil"/>
              <w:bottom w:val="single" w:color="auto" w:sz="4" w:space="0"/>
              <w:right w:val="single" w:color="auto" w:sz="4" w:space="0"/>
            </w:tcBorders>
            <w:noWrap/>
            <w:vAlign w:val="center"/>
          </w:tcPr>
          <w:p w14:paraId="2B62F4DB">
            <w:pPr>
              <w:widowControl/>
              <w:spacing w:line="240" w:lineRule="atLeast"/>
              <w:rPr>
                <w:rFonts w:ascii="宋体" w:hAnsi="宋体" w:cs="宋体"/>
                <w:kern w:val="0"/>
                <w:sz w:val="18"/>
                <w:szCs w:val="18"/>
              </w:rPr>
            </w:pPr>
            <w:r>
              <w:rPr>
                <w:rFonts w:hint="eastAsia" w:ascii="宋体" w:hAnsi="宋体" w:eastAsia="宋体" w:cs="宋体"/>
                <w:kern w:val="0"/>
                <w:sz w:val="18"/>
                <w:szCs w:val="18"/>
              </w:rPr>
              <w:t>随机进行考核，一人不达要求扣2分，不执行管理制度、操作规程，每出现一次扣2分。</w:t>
            </w:r>
          </w:p>
        </w:tc>
        <w:tc>
          <w:tcPr>
            <w:tcW w:w="385" w:type="dxa"/>
            <w:tcBorders>
              <w:top w:val="nil"/>
              <w:left w:val="nil"/>
              <w:bottom w:val="single" w:color="auto" w:sz="4" w:space="0"/>
              <w:right w:val="single" w:color="auto" w:sz="4" w:space="0"/>
            </w:tcBorders>
            <w:noWrap/>
            <w:vAlign w:val="center"/>
          </w:tcPr>
          <w:p w14:paraId="02187535">
            <w:pPr>
              <w:widowControl/>
              <w:spacing w:line="240" w:lineRule="atLeast"/>
              <w:jc w:val="center"/>
              <w:rPr>
                <w:rFonts w:ascii="宋体" w:hAnsi="宋体" w:cs="宋体"/>
                <w:b/>
                <w:bCs/>
                <w:kern w:val="0"/>
                <w:sz w:val="18"/>
                <w:szCs w:val="18"/>
              </w:rPr>
            </w:pPr>
          </w:p>
        </w:tc>
        <w:tc>
          <w:tcPr>
            <w:tcW w:w="386" w:type="dxa"/>
            <w:tcBorders>
              <w:top w:val="nil"/>
              <w:left w:val="nil"/>
              <w:bottom w:val="single" w:color="auto" w:sz="4" w:space="0"/>
              <w:right w:val="single" w:color="auto" w:sz="4" w:space="0"/>
            </w:tcBorders>
            <w:noWrap/>
            <w:vAlign w:val="center"/>
          </w:tcPr>
          <w:p w14:paraId="33CDBDF4">
            <w:pPr>
              <w:widowControl/>
              <w:spacing w:line="240" w:lineRule="atLeast"/>
              <w:jc w:val="center"/>
              <w:rPr>
                <w:rFonts w:ascii="宋体" w:hAnsi="宋体" w:cs="宋体"/>
                <w:b/>
                <w:bCs/>
                <w:kern w:val="0"/>
                <w:sz w:val="18"/>
                <w:szCs w:val="18"/>
              </w:rPr>
            </w:pPr>
          </w:p>
        </w:tc>
      </w:tr>
      <w:tr w14:paraId="1E449346">
        <w:tblPrEx>
          <w:tblCellMar>
            <w:top w:w="0" w:type="dxa"/>
            <w:left w:w="108" w:type="dxa"/>
            <w:bottom w:w="0" w:type="dxa"/>
            <w:right w:w="108" w:type="dxa"/>
          </w:tblCellMar>
        </w:tblPrEx>
        <w:trPr>
          <w:trHeight w:val="285" w:hRule="atLeast"/>
          <w:jc w:val="center"/>
        </w:trPr>
        <w:tc>
          <w:tcPr>
            <w:tcW w:w="474" w:type="dxa"/>
            <w:vMerge w:val="continue"/>
            <w:tcBorders>
              <w:left w:val="single" w:color="auto" w:sz="4" w:space="0"/>
              <w:right w:val="single" w:color="auto" w:sz="4" w:space="0"/>
            </w:tcBorders>
            <w:noWrap/>
            <w:vAlign w:val="center"/>
          </w:tcPr>
          <w:p w14:paraId="21DF62E6">
            <w:pPr>
              <w:widowControl/>
              <w:spacing w:line="240" w:lineRule="atLeast"/>
              <w:jc w:val="center"/>
              <w:rPr>
                <w:rFonts w:ascii="宋体" w:hAnsi="宋体" w:cs="宋体"/>
                <w:b/>
                <w:bCs/>
                <w:kern w:val="0"/>
                <w:sz w:val="18"/>
                <w:szCs w:val="18"/>
              </w:rPr>
            </w:pPr>
          </w:p>
        </w:tc>
        <w:tc>
          <w:tcPr>
            <w:tcW w:w="317" w:type="dxa"/>
            <w:tcBorders>
              <w:top w:val="nil"/>
              <w:left w:val="nil"/>
              <w:bottom w:val="single" w:color="auto" w:sz="4" w:space="0"/>
              <w:right w:val="single" w:color="auto" w:sz="4" w:space="0"/>
            </w:tcBorders>
            <w:noWrap/>
            <w:vAlign w:val="center"/>
          </w:tcPr>
          <w:p w14:paraId="614C3A5C">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人员配备</w:t>
            </w:r>
          </w:p>
        </w:tc>
        <w:tc>
          <w:tcPr>
            <w:tcW w:w="4124" w:type="dxa"/>
            <w:gridSpan w:val="2"/>
            <w:tcBorders>
              <w:top w:val="single" w:color="auto" w:sz="4" w:space="0"/>
              <w:left w:val="nil"/>
              <w:bottom w:val="single" w:color="auto" w:sz="4" w:space="0"/>
              <w:right w:val="single" w:color="auto" w:sz="4" w:space="0"/>
            </w:tcBorders>
            <w:noWrap/>
            <w:vAlign w:val="center"/>
          </w:tcPr>
          <w:p w14:paraId="001340D4">
            <w:pPr>
              <w:widowControl/>
              <w:spacing w:line="240" w:lineRule="atLeast"/>
              <w:rPr>
                <w:rFonts w:ascii="宋体" w:hAnsi="宋体" w:cs="宋体"/>
                <w:kern w:val="0"/>
                <w:sz w:val="18"/>
                <w:szCs w:val="18"/>
              </w:rPr>
            </w:pPr>
            <w:r>
              <w:rPr>
                <w:rFonts w:hint="eastAsia" w:ascii="宋体" w:hAnsi="宋体" w:eastAsia="宋体" w:cs="宋体"/>
                <w:kern w:val="0"/>
                <w:sz w:val="18"/>
                <w:szCs w:val="18"/>
              </w:rPr>
              <w:t>值班人员在岗在位，人员配置齐全。</w:t>
            </w:r>
          </w:p>
        </w:tc>
        <w:tc>
          <w:tcPr>
            <w:tcW w:w="584" w:type="dxa"/>
            <w:tcBorders>
              <w:top w:val="nil"/>
              <w:left w:val="nil"/>
              <w:bottom w:val="single" w:color="auto" w:sz="4" w:space="0"/>
              <w:right w:val="single" w:color="auto" w:sz="4" w:space="0"/>
            </w:tcBorders>
            <w:noWrap/>
            <w:vAlign w:val="center"/>
          </w:tcPr>
          <w:p w14:paraId="12A40A77">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4</w:t>
            </w:r>
          </w:p>
        </w:tc>
        <w:tc>
          <w:tcPr>
            <w:tcW w:w="2252" w:type="dxa"/>
            <w:tcBorders>
              <w:top w:val="single" w:color="auto" w:sz="4" w:space="0"/>
              <w:left w:val="nil"/>
              <w:bottom w:val="single" w:color="auto" w:sz="4" w:space="0"/>
              <w:right w:val="single" w:color="auto" w:sz="4" w:space="0"/>
            </w:tcBorders>
            <w:noWrap/>
            <w:vAlign w:val="center"/>
          </w:tcPr>
          <w:p w14:paraId="018069FB">
            <w:pPr>
              <w:widowControl/>
              <w:spacing w:line="240" w:lineRule="atLeast"/>
              <w:rPr>
                <w:rFonts w:ascii="宋体" w:hAnsi="宋体" w:cs="宋体"/>
                <w:kern w:val="0"/>
                <w:sz w:val="18"/>
                <w:szCs w:val="18"/>
              </w:rPr>
            </w:pPr>
            <w:r>
              <w:rPr>
                <w:rFonts w:hint="eastAsia" w:ascii="宋体" w:hAnsi="宋体" w:eastAsia="宋体" w:cs="宋体"/>
                <w:kern w:val="0"/>
                <w:sz w:val="18"/>
                <w:szCs w:val="18"/>
              </w:rPr>
              <w:t>人员配备不符合要求，每处扣1分。</w:t>
            </w:r>
          </w:p>
        </w:tc>
        <w:tc>
          <w:tcPr>
            <w:tcW w:w="385" w:type="dxa"/>
            <w:tcBorders>
              <w:top w:val="nil"/>
              <w:left w:val="nil"/>
              <w:bottom w:val="single" w:color="auto" w:sz="4" w:space="0"/>
              <w:right w:val="single" w:color="auto" w:sz="4" w:space="0"/>
            </w:tcBorders>
            <w:noWrap/>
            <w:vAlign w:val="center"/>
          </w:tcPr>
          <w:p w14:paraId="34E42843">
            <w:pPr>
              <w:widowControl/>
              <w:spacing w:line="240" w:lineRule="atLeast"/>
              <w:jc w:val="center"/>
              <w:rPr>
                <w:rFonts w:ascii="宋体" w:hAnsi="宋体" w:cs="宋体"/>
                <w:b/>
                <w:bCs/>
                <w:kern w:val="0"/>
                <w:sz w:val="18"/>
                <w:szCs w:val="18"/>
              </w:rPr>
            </w:pPr>
          </w:p>
        </w:tc>
        <w:tc>
          <w:tcPr>
            <w:tcW w:w="386" w:type="dxa"/>
            <w:tcBorders>
              <w:top w:val="nil"/>
              <w:left w:val="nil"/>
              <w:bottom w:val="single" w:color="auto" w:sz="4" w:space="0"/>
              <w:right w:val="single" w:color="auto" w:sz="4" w:space="0"/>
            </w:tcBorders>
            <w:noWrap/>
            <w:vAlign w:val="center"/>
          </w:tcPr>
          <w:p w14:paraId="21E1B0F0">
            <w:pPr>
              <w:widowControl/>
              <w:spacing w:line="240" w:lineRule="atLeast"/>
              <w:jc w:val="center"/>
              <w:rPr>
                <w:rFonts w:ascii="宋体" w:hAnsi="宋体" w:cs="宋体"/>
                <w:b/>
                <w:bCs/>
                <w:kern w:val="0"/>
                <w:sz w:val="18"/>
                <w:szCs w:val="18"/>
              </w:rPr>
            </w:pPr>
          </w:p>
        </w:tc>
      </w:tr>
      <w:tr w14:paraId="18561049">
        <w:tblPrEx>
          <w:tblCellMar>
            <w:top w:w="0" w:type="dxa"/>
            <w:left w:w="108" w:type="dxa"/>
            <w:bottom w:w="0" w:type="dxa"/>
            <w:right w:w="108" w:type="dxa"/>
          </w:tblCellMar>
        </w:tblPrEx>
        <w:trPr>
          <w:trHeight w:val="285" w:hRule="atLeast"/>
          <w:jc w:val="center"/>
        </w:trPr>
        <w:tc>
          <w:tcPr>
            <w:tcW w:w="474" w:type="dxa"/>
            <w:vMerge w:val="continue"/>
            <w:tcBorders>
              <w:left w:val="single" w:color="auto" w:sz="4" w:space="0"/>
              <w:right w:val="single" w:color="auto" w:sz="4" w:space="0"/>
            </w:tcBorders>
            <w:noWrap/>
            <w:vAlign w:val="center"/>
          </w:tcPr>
          <w:p w14:paraId="76433541">
            <w:pPr>
              <w:widowControl/>
              <w:spacing w:line="240" w:lineRule="atLeast"/>
              <w:jc w:val="center"/>
              <w:rPr>
                <w:rFonts w:ascii="宋体" w:hAnsi="宋体" w:cs="宋体"/>
                <w:b/>
                <w:bCs/>
                <w:kern w:val="0"/>
                <w:sz w:val="18"/>
                <w:szCs w:val="18"/>
              </w:rPr>
            </w:pPr>
          </w:p>
        </w:tc>
        <w:tc>
          <w:tcPr>
            <w:tcW w:w="317" w:type="dxa"/>
            <w:tcBorders>
              <w:top w:val="nil"/>
              <w:left w:val="nil"/>
              <w:bottom w:val="single" w:color="auto" w:sz="4" w:space="0"/>
              <w:right w:val="single" w:color="auto" w:sz="4" w:space="0"/>
            </w:tcBorders>
            <w:noWrap/>
            <w:vAlign w:val="center"/>
          </w:tcPr>
          <w:p w14:paraId="5622547C">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运行台账</w:t>
            </w:r>
          </w:p>
        </w:tc>
        <w:tc>
          <w:tcPr>
            <w:tcW w:w="4124" w:type="dxa"/>
            <w:gridSpan w:val="2"/>
            <w:tcBorders>
              <w:top w:val="single" w:color="auto" w:sz="4" w:space="0"/>
              <w:left w:val="nil"/>
              <w:bottom w:val="single" w:color="auto" w:sz="4" w:space="0"/>
              <w:right w:val="single" w:color="auto" w:sz="4" w:space="0"/>
            </w:tcBorders>
            <w:noWrap/>
            <w:vAlign w:val="center"/>
          </w:tcPr>
          <w:p w14:paraId="2149883E">
            <w:pPr>
              <w:widowControl/>
              <w:spacing w:line="240" w:lineRule="atLeast"/>
              <w:rPr>
                <w:rFonts w:ascii="宋体" w:hAnsi="宋体" w:cs="宋体"/>
                <w:kern w:val="0"/>
                <w:sz w:val="18"/>
                <w:szCs w:val="18"/>
              </w:rPr>
            </w:pPr>
            <w:r>
              <w:rPr>
                <w:rFonts w:hint="eastAsia" w:ascii="宋体" w:hAnsi="宋体" w:eastAsia="宋体" w:cs="宋体"/>
                <w:kern w:val="0"/>
                <w:sz w:val="18"/>
                <w:szCs w:val="18"/>
              </w:rPr>
              <w:t>认真做好运行记录和各项数据统计。主要包括：设施设备及自控仪表运行记录和台账；主要工艺参数控制记录；值班过程中、交接班等记录；记录、报表按时填写、准确无误、字迹清晰，并妥善保管。</w:t>
            </w:r>
          </w:p>
        </w:tc>
        <w:tc>
          <w:tcPr>
            <w:tcW w:w="584" w:type="dxa"/>
            <w:tcBorders>
              <w:top w:val="nil"/>
              <w:left w:val="nil"/>
              <w:bottom w:val="single" w:color="auto" w:sz="4" w:space="0"/>
              <w:right w:val="single" w:color="auto" w:sz="4" w:space="0"/>
            </w:tcBorders>
            <w:noWrap/>
            <w:vAlign w:val="center"/>
          </w:tcPr>
          <w:p w14:paraId="5C46D109">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10</w:t>
            </w:r>
          </w:p>
        </w:tc>
        <w:tc>
          <w:tcPr>
            <w:tcW w:w="2252" w:type="dxa"/>
            <w:tcBorders>
              <w:top w:val="single" w:color="auto" w:sz="4" w:space="0"/>
              <w:left w:val="nil"/>
              <w:bottom w:val="single" w:color="auto" w:sz="4" w:space="0"/>
              <w:right w:val="single" w:color="auto" w:sz="4" w:space="0"/>
            </w:tcBorders>
            <w:noWrap/>
            <w:vAlign w:val="center"/>
          </w:tcPr>
          <w:p w14:paraId="309C6DC9">
            <w:pPr>
              <w:widowControl/>
              <w:spacing w:line="240" w:lineRule="atLeast"/>
              <w:rPr>
                <w:rFonts w:ascii="宋体" w:hAnsi="宋体" w:cs="宋体"/>
                <w:kern w:val="0"/>
                <w:sz w:val="18"/>
                <w:szCs w:val="18"/>
              </w:rPr>
            </w:pPr>
            <w:r>
              <w:rPr>
                <w:rFonts w:hint="eastAsia" w:ascii="宋体" w:hAnsi="宋体" w:eastAsia="宋体" w:cs="宋体"/>
                <w:kern w:val="0"/>
                <w:sz w:val="18"/>
                <w:szCs w:val="18"/>
              </w:rPr>
              <w:t>台账不及时填写，扣2分；报表有缺失，每发现一处扣1分；报表统计有误、不真实，每发现一处2分。</w:t>
            </w:r>
          </w:p>
        </w:tc>
        <w:tc>
          <w:tcPr>
            <w:tcW w:w="385" w:type="dxa"/>
            <w:tcBorders>
              <w:top w:val="nil"/>
              <w:left w:val="nil"/>
              <w:bottom w:val="single" w:color="auto" w:sz="4" w:space="0"/>
              <w:right w:val="single" w:color="auto" w:sz="4" w:space="0"/>
            </w:tcBorders>
            <w:noWrap/>
            <w:vAlign w:val="center"/>
          </w:tcPr>
          <w:p w14:paraId="7CE09792">
            <w:pPr>
              <w:widowControl/>
              <w:spacing w:line="240" w:lineRule="atLeast"/>
              <w:jc w:val="center"/>
              <w:rPr>
                <w:rFonts w:ascii="宋体" w:hAnsi="宋体" w:cs="宋体"/>
                <w:b/>
                <w:bCs/>
                <w:kern w:val="0"/>
                <w:sz w:val="18"/>
                <w:szCs w:val="18"/>
              </w:rPr>
            </w:pPr>
          </w:p>
        </w:tc>
        <w:tc>
          <w:tcPr>
            <w:tcW w:w="386" w:type="dxa"/>
            <w:tcBorders>
              <w:top w:val="nil"/>
              <w:left w:val="nil"/>
              <w:bottom w:val="single" w:color="auto" w:sz="4" w:space="0"/>
              <w:right w:val="single" w:color="auto" w:sz="4" w:space="0"/>
            </w:tcBorders>
            <w:noWrap/>
            <w:vAlign w:val="center"/>
          </w:tcPr>
          <w:p w14:paraId="5921BCCD">
            <w:pPr>
              <w:widowControl/>
              <w:spacing w:line="240" w:lineRule="atLeast"/>
              <w:jc w:val="center"/>
              <w:rPr>
                <w:rFonts w:ascii="宋体" w:hAnsi="宋体" w:cs="宋体"/>
                <w:b/>
                <w:bCs/>
                <w:kern w:val="0"/>
                <w:sz w:val="18"/>
                <w:szCs w:val="18"/>
              </w:rPr>
            </w:pPr>
          </w:p>
        </w:tc>
      </w:tr>
      <w:tr w14:paraId="570E7F67">
        <w:tblPrEx>
          <w:tblCellMar>
            <w:top w:w="0" w:type="dxa"/>
            <w:left w:w="108" w:type="dxa"/>
            <w:bottom w:w="0" w:type="dxa"/>
            <w:right w:w="108" w:type="dxa"/>
          </w:tblCellMar>
        </w:tblPrEx>
        <w:trPr>
          <w:trHeight w:val="285" w:hRule="atLeast"/>
          <w:jc w:val="center"/>
        </w:trPr>
        <w:tc>
          <w:tcPr>
            <w:tcW w:w="474" w:type="dxa"/>
            <w:vMerge w:val="continue"/>
            <w:tcBorders>
              <w:left w:val="single" w:color="auto" w:sz="4" w:space="0"/>
              <w:bottom w:val="single" w:color="auto" w:sz="4" w:space="0"/>
              <w:right w:val="single" w:color="auto" w:sz="4" w:space="0"/>
            </w:tcBorders>
            <w:noWrap/>
            <w:vAlign w:val="center"/>
          </w:tcPr>
          <w:p w14:paraId="4731EB08">
            <w:pPr>
              <w:widowControl/>
              <w:spacing w:line="240" w:lineRule="atLeast"/>
              <w:jc w:val="center"/>
              <w:rPr>
                <w:rFonts w:ascii="宋体" w:hAnsi="宋体" w:cs="宋体"/>
                <w:b/>
                <w:bCs/>
                <w:kern w:val="0"/>
                <w:sz w:val="18"/>
                <w:szCs w:val="18"/>
              </w:rPr>
            </w:pPr>
          </w:p>
        </w:tc>
        <w:tc>
          <w:tcPr>
            <w:tcW w:w="317" w:type="dxa"/>
            <w:tcBorders>
              <w:top w:val="nil"/>
              <w:left w:val="nil"/>
              <w:bottom w:val="single" w:color="auto" w:sz="4" w:space="0"/>
              <w:right w:val="single" w:color="auto" w:sz="4" w:space="0"/>
            </w:tcBorders>
            <w:noWrap/>
            <w:vAlign w:val="center"/>
          </w:tcPr>
          <w:p w14:paraId="7ECCE7AE">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人员培训</w:t>
            </w:r>
          </w:p>
        </w:tc>
        <w:tc>
          <w:tcPr>
            <w:tcW w:w="4124" w:type="dxa"/>
            <w:gridSpan w:val="2"/>
            <w:tcBorders>
              <w:top w:val="single" w:color="auto" w:sz="4" w:space="0"/>
              <w:left w:val="nil"/>
              <w:bottom w:val="single" w:color="auto" w:sz="4" w:space="0"/>
              <w:right w:val="single" w:color="auto" w:sz="4" w:space="0"/>
            </w:tcBorders>
            <w:noWrap/>
            <w:vAlign w:val="center"/>
          </w:tcPr>
          <w:p w14:paraId="74C66629">
            <w:pPr>
              <w:widowControl/>
              <w:spacing w:line="240" w:lineRule="atLeast"/>
              <w:rPr>
                <w:rFonts w:ascii="宋体" w:hAnsi="宋体" w:cs="宋体"/>
                <w:kern w:val="0"/>
                <w:sz w:val="18"/>
                <w:szCs w:val="18"/>
              </w:rPr>
            </w:pPr>
            <w:r>
              <w:rPr>
                <w:rFonts w:hint="eastAsia" w:ascii="宋体" w:hAnsi="宋体" w:eastAsia="宋体" w:cs="宋体"/>
                <w:kern w:val="0"/>
                <w:sz w:val="18"/>
                <w:szCs w:val="18"/>
              </w:rPr>
              <w:t>定期对污水处理站人员进行培训，提高现场管理和操作水平。</w:t>
            </w:r>
          </w:p>
        </w:tc>
        <w:tc>
          <w:tcPr>
            <w:tcW w:w="584" w:type="dxa"/>
            <w:tcBorders>
              <w:top w:val="nil"/>
              <w:left w:val="nil"/>
              <w:bottom w:val="single" w:color="auto" w:sz="4" w:space="0"/>
              <w:right w:val="single" w:color="auto" w:sz="4" w:space="0"/>
            </w:tcBorders>
            <w:noWrap/>
            <w:vAlign w:val="center"/>
          </w:tcPr>
          <w:p w14:paraId="0186A972">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4</w:t>
            </w:r>
          </w:p>
        </w:tc>
        <w:tc>
          <w:tcPr>
            <w:tcW w:w="2252" w:type="dxa"/>
            <w:tcBorders>
              <w:top w:val="single" w:color="auto" w:sz="4" w:space="0"/>
              <w:left w:val="nil"/>
              <w:bottom w:val="single" w:color="auto" w:sz="4" w:space="0"/>
              <w:right w:val="single" w:color="auto" w:sz="4" w:space="0"/>
            </w:tcBorders>
            <w:noWrap/>
            <w:vAlign w:val="center"/>
          </w:tcPr>
          <w:p w14:paraId="63CE2E2C">
            <w:pPr>
              <w:widowControl/>
              <w:spacing w:line="240" w:lineRule="atLeast"/>
              <w:rPr>
                <w:rFonts w:ascii="宋体" w:hAnsi="宋体" w:cs="宋体"/>
                <w:kern w:val="0"/>
                <w:sz w:val="18"/>
                <w:szCs w:val="18"/>
              </w:rPr>
            </w:pPr>
            <w:r>
              <w:rPr>
                <w:rFonts w:hint="eastAsia" w:ascii="宋体" w:hAnsi="宋体" w:eastAsia="宋体" w:cs="宋体"/>
                <w:kern w:val="0"/>
                <w:sz w:val="18"/>
                <w:szCs w:val="18"/>
              </w:rPr>
              <w:t>现场检查培训记录，无记录此项不得分；记录不完善，每处扣1分。</w:t>
            </w:r>
          </w:p>
        </w:tc>
        <w:tc>
          <w:tcPr>
            <w:tcW w:w="385" w:type="dxa"/>
            <w:tcBorders>
              <w:top w:val="nil"/>
              <w:left w:val="nil"/>
              <w:bottom w:val="single" w:color="auto" w:sz="4" w:space="0"/>
              <w:right w:val="single" w:color="auto" w:sz="4" w:space="0"/>
            </w:tcBorders>
            <w:noWrap/>
            <w:vAlign w:val="center"/>
          </w:tcPr>
          <w:p w14:paraId="5470F06A">
            <w:pPr>
              <w:widowControl/>
              <w:spacing w:line="240" w:lineRule="atLeast"/>
              <w:jc w:val="center"/>
              <w:rPr>
                <w:rFonts w:ascii="宋体" w:hAnsi="宋体" w:cs="宋体"/>
                <w:b/>
                <w:bCs/>
                <w:kern w:val="0"/>
                <w:sz w:val="18"/>
                <w:szCs w:val="18"/>
              </w:rPr>
            </w:pPr>
          </w:p>
        </w:tc>
        <w:tc>
          <w:tcPr>
            <w:tcW w:w="386" w:type="dxa"/>
            <w:tcBorders>
              <w:top w:val="nil"/>
              <w:left w:val="nil"/>
              <w:bottom w:val="single" w:color="auto" w:sz="4" w:space="0"/>
              <w:right w:val="single" w:color="auto" w:sz="4" w:space="0"/>
            </w:tcBorders>
            <w:noWrap/>
            <w:vAlign w:val="center"/>
          </w:tcPr>
          <w:p w14:paraId="0A080250">
            <w:pPr>
              <w:widowControl/>
              <w:spacing w:line="240" w:lineRule="atLeast"/>
              <w:jc w:val="center"/>
              <w:rPr>
                <w:rFonts w:ascii="宋体" w:hAnsi="宋体" w:cs="宋体"/>
                <w:b/>
                <w:bCs/>
                <w:kern w:val="0"/>
                <w:sz w:val="18"/>
                <w:szCs w:val="18"/>
              </w:rPr>
            </w:pPr>
          </w:p>
        </w:tc>
      </w:tr>
      <w:tr w14:paraId="751CDC3A">
        <w:tblPrEx>
          <w:tblCellMar>
            <w:top w:w="0" w:type="dxa"/>
            <w:left w:w="108" w:type="dxa"/>
            <w:bottom w:w="0" w:type="dxa"/>
            <w:right w:w="108" w:type="dxa"/>
          </w:tblCellMar>
        </w:tblPrEx>
        <w:trPr>
          <w:trHeight w:val="285" w:hRule="atLeast"/>
          <w:jc w:val="center"/>
        </w:trPr>
        <w:tc>
          <w:tcPr>
            <w:tcW w:w="474" w:type="dxa"/>
            <w:vMerge w:val="restart"/>
            <w:tcBorders>
              <w:left w:val="single" w:color="auto" w:sz="4" w:space="0"/>
              <w:right w:val="single" w:color="auto" w:sz="4" w:space="0"/>
            </w:tcBorders>
            <w:noWrap/>
            <w:vAlign w:val="center"/>
          </w:tcPr>
          <w:p w14:paraId="6061A728">
            <w:pPr>
              <w:widowControl/>
              <w:spacing w:line="240" w:lineRule="atLeast"/>
              <w:jc w:val="center"/>
              <w:rPr>
                <w:rFonts w:ascii="宋体" w:hAnsi="宋体" w:cs="宋体"/>
                <w:b/>
                <w:bCs/>
                <w:kern w:val="0"/>
                <w:sz w:val="18"/>
                <w:szCs w:val="18"/>
              </w:rPr>
            </w:pPr>
            <w:r>
              <w:rPr>
                <w:rFonts w:hint="eastAsia" w:ascii="宋体" w:hAnsi="宋体" w:eastAsia="宋体" w:cs="宋体"/>
                <w:kern w:val="0"/>
                <w:sz w:val="18"/>
                <w:szCs w:val="18"/>
              </w:rPr>
              <w:t>二、运行管理（18分）</w:t>
            </w:r>
          </w:p>
        </w:tc>
        <w:tc>
          <w:tcPr>
            <w:tcW w:w="317" w:type="dxa"/>
            <w:tcBorders>
              <w:top w:val="nil"/>
              <w:left w:val="nil"/>
              <w:bottom w:val="single" w:color="auto" w:sz="4" w:space="0"/>
              <w:right w:val="single" w:color="auto" w:sz="4" w:space="0"/>
            </w:tcBorders>
            <w:noWrap/>
            <w:vAlign w:val="center"/>
          </w:tcPr>
          <w:p w14:paraId="64488828">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规程上墙</w:t>
            </w:r>
          </w:p>
        </w:tc>
        <w:tc>
          <w:tcPr>
            <w:tcW w:w="4124" w:type="dxa"/>
            <w:gridSpan w:val="2"/>
            <w:tcBorders>
              <w:top w:val="single" w:color="auto" w:sz="4" w:space="0"/>
              <w:left w:val="nil"/>
              <w:bottom w:val="single" w:color="auto" w:sz="4" w:space="0"/>
              <w:right w:val="single" w:color="auto" w:sz="4" w:space="0"/>
            </w:tcBorders>
            <w:noWrap/>
            <w:vAlign w:val="center"/>
          </w:tcPr>
          <w:p w14:paraId="1642F4D7">
            <w:pPr>
              <w:widowControl/>
              <w:spacing w:line="240" w:lineRule="atLeast"/>
              <w:rPr>
                <w:rFonts w:ascii="宋体" w:hAnsi="宋体" w:cs="宋体"/>
                <w:kern w:val="0"/>
                <w:sz w:val="18"/>
                <w:szCs w:val="18"/>
              </w:rPr>
            </w:pPr>
            <w:r>
              <w:rPr>
                <w:rFonts w:hint="eastAsia" w:ascii="宋体" w:hAnsi="宋体" w:eastAsia="宋体" w:cs="宋体"/>
                <w:kern w:val="0"/>
                <w:sz w:val="18"/>
                <w:szCs w:val="18"/>
              </w:rPr>
              <w:t>（1）各工艺段操作规程，工艺参数和工艺调整的范围和程序均应上墙；（2）运行管理制度和操作规程执行到位、各岗位工作人员职责明确。</w:t>
            </w:r>
          </w:p>
        </w:tc>
        <w:tc>
          <w:tcPr>
            <w:tcW w:w="584" w:type="dxa"/>
            <w:tcBorders>
              <w:top w:val="nil"/>
              <w:left w:val="nil"/>
              <w:bottom w:val="single" w:color="auto" w:sz="4" w:space="0"/>
              <w:right w:val="single" w:color="auto" w:sz="4" w:space="0"/>
            </w:tcBorders>
            <w:noWrap/>
            <w:vAlign w:val="center"/>
          </w:tcPr>
          <w:p w14:paraId="19979909">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4</w:t>
            </w:r>
          </w:p>
        </w:tc>
        <w:tc>
          <w:tcPr>
            <w:tcW w:w="2252" w:type="dxa"/>
            <w:tcBorders>
              <w:top w:val="single" w:color="auto" w:sz="4" w:space="0"/>
              <w:left w:val="nil"/>
              <w:bottom w:val="single" w:color="auto" w:sz="4" w:space="0"/>
              <w:right w:val="single" w:color="auto" w:sz="4" w:space="0"/>
            </w:tcBorders>
            <w:noWrap/>
            <w:vAlign w:val="center"/>
          </w:tcPr>
          <w:p w14:paraId="3E42BB64">
            <w:pPr>
              <w:widowControl/>
              <w:spacing w:line="240" w:lineRule="atLeast"/>
              <w:rPr>
                <w:rFonts w:ascii="宋体" w:hAnsi="宋体" w:cs="宋体"/>
                <w:kern w:val="0"/>
                <w:sz w:val="18"/>
                <w:szCs w:val="18"/>
              </w:rPr>
            </w:pPr>
            <w:r>
              <w:rPr>
                <w:rFonts w:hint="eastAsia" w:ascii="宋体" w:hAnsi="宋体" w:eastAsia="宋体" w:cs="宋体"/>
                <w:kern w:val="0"/>
                <w:sz w:val="18"/>
                <w:szCs w:val="18"/>
              </w:rPr>
              <w:t>现场进行检查，每缺一项扣1分，直至扣完为止；执行不到位，每发现一处扣1分，扣完为止。</w:t>
            </w:r>
          </w:p>
        </w:tc>
        <w:tc>
          <w:tcPr>
            <w:tcW w:w="385" w:type="dxa"/>
            <w:tcBorders>
              <w:top w:val="nil"/>
              <w:left w:val="nil"/>
              <w:bottom w:val="single" w:color="auto" w:sz="4" w:space="0"/>
              <w:right w:val="single" w:color="auto" w:sz="4" w:space="0"/>
            </w:tcBorders>
            <w:noWrap/>
            <w:vAlign w:val="center"/>
          </w:tcPr>
          <w:p w14:paraId="2B1345B1">
            <w:pPr>
              <w:widowControl/>
              <w:spacing w:line="240" w:lineRule="atLeast"/>
              <w:jc w:val="center"/>
              <w:rPr>
                <w:rFonts w:ascii="宋体" w:hAnsi="宋体" w:cs="宋体"/>
                <w:b/>
                <w:bCs/>
                <w:kern w:val="0"/>
                <w:sz w:val="18"/>
                <w:szCs w:val="18"/>
              </w:rPr>
            </w:pPr>
          </w:p>
        </w:tc>
        <w:tc>
          <w:tcPr>
            <w:tcW w:w="386" w:type="dxa"/>
            <w:tcBorders>
              <w:top w:val="nil"/>
              <w:left w:val="nil"/>
              <w:bottom w:val="single" w:color="auto" w:sz="4" w:space="0"/>
              <w:right w:val="single" w:color="auto" w:sz="4" w:space="0"/>
            </w:tcBorders>
            <w:noWrap/>
            <w:vAlign w:val="center"/>
          </w:tcPr>
          <w:p w14:paraId="56DD2C94">
            <w:pPr>
              <w:widowControl/>
              <w:spacing w:line="240" w:lineRule="atLeast"/>
              <w:jc w:val="center"/>
              <w:rPr>
                <w:rFonts w:ascii="宋体" w:hAnsi="宋体" w:cs="宋体"/>
                <w:b/>
                <w:bCs/>
                <w:kern w:val="0"/>
                <w:sz w:val="18"/>
                <w:szCs w:val="18"/>
              </w:rPr>
            </w:pPr>
          </w:p>
        </w:tc>
      </w:tr>
      <w:tr w14:paraId="4FB97482">
        <w:tblPrEx>
          <w:tblCellMar>
            <w:top w:w="0" w:type="dxa"/>
            <w:left w:w="108" w:type="dxa"/>
            <w:bottom w:w="0" w:type="dxa"/>
            <w:right w:w="108" w:type="dxa"/>
          </w:tblCellMar>
        </w:tblPrEx>
        <w:trPr>
          <w:trHeight w:val="285" w:hRule="atLeast"/>
          <w:jc w:val="center"/>
        </w:trPr>
        <w:tc>
          <w:tcPr>
            <w:tcW w:w="474" w:type="dxa"/>
            <w:vMerge w:val="continue"/>
            <w:tcBorders>
              <w:left w:val="single" w:color="auto" w:sz="4" w:space="0"/>
              <w:right w:val="single" w:color="auto" w:sz="4" w:space="0"/>
            </w:tcBorders>
            <w:noWrap/>
            <w:vAlign w:val="center"/>
          </w:tcPr>
          <w:p w14:paraId="53230560">
            <w:pPr>
              <w:widowControl/>
              <w:spacing w:line="240" w:lineRule="atLeast"/>
              <w:jc w:val="center"/>
              <w:rPr>
                <w:rFonts w:ascii="宋体" w:hAnsi="宋体" w:cs="宋体"/>
                <w:b/>
                <w:bCs/>
                <w:kern w:val="0"/>
                <w:sz w:val="18"/>
                <w:szCs w:val="18"/>
              </w:rPr>
            </w:pPr>
          </w:p>
        </w:tc>
        <w:tc>
          <w:tcPr>
            <w:tcW w:w="317" w:type="dxa"/>
            <w:tcBorders>
              <w:top w:val="nil"/>
              <w:left w:val="nil"/>
              <w:bottom w:val="single" w:color="auto" w:sz="4" w:space="0"/>
              <w:right w:val="single" w:color="auto" w:sz="4" w:space="0"/>
            </w:tcBorders>
            <w:noWrap/>
            <w:vAlign w:val="center"/>
          </w:tcPr>
          <w:p w14:paraId="34C87BCE">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运行要求</w:t>
            </w:r>
          </w:p>
        </w:tc>
        <w:tc>
          <w:tcPr>
            <w:tcW w:w="4124" w:type="dxa"/>
            <w:gridSpan w:val="2"/>
            <w:tcBorders>
              <w:top w:val="single" w:color="auto" w:sz="4" w:space="0"/>
              <w:left w:val="nil"/>
              <w:bottom w:val="single" w:color="auto" w:sz="4" w:space="0"/>
              <w:right w:val="single" w:color="auto" w:sz="4" w:space="0"/>
            </w:tcBorders>
            <w:noWrap/>
            <w:vAlign w:val="center"/>
          </w:tcPr>
          <w:p w14:paraId="67C03215">
            <w:pPr>
              <w:widowControl/>
              <w:spacing w:line="240" w:lineRule="atLeast"/>
              <w:rPr>
                <w:rFonts w:ascii="宋体" w:hAnsi="宋体" w:cs="宋体"/>
                <w:kern w:val="0"/>
                <w:sz w:val="18"/>
                <w:szCs w:val="18"/>
              </w:rPr>
            </w:pPr>
            <w:r>
              <w:rPr>
                <w:rFonts w:hint="eastAsia" w:ascii="宋体" w:hAnsi="宋体" w:eastAsia="宋体" w:cs="宋体"/>
                <w:kern w:val="0"/>
                <w:sz w:val="18"/>
                <w:szCs w:val="18"/>
              </w:rPr>
              <w:t>污水处理各工艺段运转正常，维持在最佳的运行参数。</w:t>
            </w:r>
          </w:p>
        </w:tc>
        <w:tc>
          <w:tcPr>
            <w:tcW w:w="584" w:type="dxa"/>
            <w:tcBorders>
              <w:top w:val="nil"/>
              <w:left w:val="nil"/>
              <w:bottom w:val="single" w:color="auto" w:sz="4" w:space="0"/>
              <w:right w:val="single" w:color="auto" w:sz="4" w:space="0"/>
            </w:tcBorders>
            <w:noWrap/>
            <w:vAlign w:val="center"/>
          </w:tcPr>
          <w:p w14:paraId="2DDA9072">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2</w:t>
            </w:r>
          </w:p>
        </w:tc>
        <w:tc>
          <w:tcPr>
            <w:tcW w:w="2252" w:type="dxa"/>
            <w:tcBorders>
              <w:top w:val="single" w:color="auto" w:sz="4" w:space="0"/>
              <w:left w:val="nil"/>
              <w:bottom w:val="single" w:color="auto" w:sz="4" w:space="0"/>
              <w:right w:val="single" w:color="auto" w:sz="4" w:space="0"/>
            </w:tcBorders>
            <w:noWrap/>
            <w:vAlign w:val="center"/>
          </w:tcPr>
          <w:p w14:paraId="0F0CD454">
            <w:pPr>
              <w:widowControl/>
              <w:spacing w:line="240" w:lineRule="atLeast"/>
              <w:rPr>
                <w:rFonts w:ascii="宋体" w:hAnsi="宋体" w:cs="宋体"/>
                <w:kern w:val="0"/>
                <w:sz w:val="18"/>
                <w:szCs w:val="18"/>
              </w:rPr>
            </w:pPr>
            <w:r>
              <w:rPr>
                <w:rFonts w:hint="eastAsia" w:ascii="宋体" w:hAnsi="宋体" w:eastAsia="宋体" w:cs="宋体"/>
                <w:kern w:val="0"/>
                <w:sz w:val="18"/>
                <w:szCs w:val="18"/>
              </w:rPr>
              <w:t>污水处理工艺段运转不正常，每发现一处扣1分。</w:t>
            </w:r>
          </w:p>
        </w:tc>
        <w:tc>
          <w:tcPr>
            <w:tcW w:w="385" w:type="dxa"/>
            <w:tcBorders>
              <w:top w:val="nil"/>
              <w:left w:val="nil"/>
              <w:bottom w:val="single" w:color="auto" w:sz="4" w:space="0"/>
              <w:right w:val="single" w:color="auto" w:sz="4" w:space="0"/>
            </w:tcBorders>
            <w:noWrap/>
            <w:vAlign w:val="center"/>
          </w:tcPr>
          <w:p w14:paraId="13960690">
            <w:pPr>
              <w:widowControl/>
              <w:spacing w:line="240" w:lineRule="atLeast"/>
              <w:jc w:val="center"/>
              <w:rPr>
                <w:rFonts w:ascii="宋体" w:hAnsi="宋体" w:cs="宋体"/>
                <w:b/>
                <w:bCs/>
                <w:kern w:val="0"/>
                <w:sz w:val="18"/>
                <w:szCs w:val="18"/>
              </w:rPr>
            </w:pPr>
          </w:p>
        </w:tc>
        <w:tc>
          <w:tcPr>
            <w:tcW w:w="386" w:type="dxa"/>
            <w:tcBorders>
              <w:top w:val="nil"/>
              <w:left w:val="nil"/>
              <w:bottom w:val="single" w:color="auto" w:sz="4" w:space="0"/>
              <w:right w:val="single" w:color="auto" w:sz="4" w:space="0"/>
            </w:tcBorders>
            <w:noWrap/>
            <w:vAlign w:val="center"/>
          </w:tcPr>
          <w:p w14:paraId="45D4D08E">
            <w:pPr>
              <w:widowControl/>
              <w:spacing w:line="240" w:lineRule="atLeast"/>
              <w:jc w:val="center"/>
              <w:rPr>
                <w:rFonts w:ascii="宋体" w:hAnsi="宋体" w:cs="宋体"/>
                <w:b/>
                <w:bCs/>
                <w:kern w:val="0"/>
                <w:sz w:val="18"/>
                <w:szCs w:val="18"/>
              </w:rPr>
            </w:pPr>
          </w:p>
        </w:tc>
      </w:tr>
      <w:tr w14:paraId="71394289">
        <w:tblPrEx>
          <w:tblCellMar>
            <w:top w:w="0" w:type="dxa"/>
            <w:left w:w="108" w:type="dxa"/>
            <w:bottom w:w="0" w:type="dxa"/>
            <w:right w:w="108" w:type="dxa"/>
          </w:tblCellMar>
        </w:tblPrEx>
        <w:trPr>
          <w:trHeight w:val="285" w:hRule="atLeast"/>
          <w:jc w:val="center"/>
        </w:trPr>
        <w:tc>
          <w:tcPr>
            <w:tcW w:w="474" w:type="dxa"/>
            <w:vMerge w:val="continue"/>
            <w:tcBorders>
              <w:left w:val="single" w:color="auto" w:sz="4" w:space="0"/>
              <w:right w:val="single" w:color="auto" w:sz="4" w:space="0"/>
            </w:tcBorders>
            <w:noWrap/>
            <w:vAlign w:val="center"/>
          </w:tcPr>
          <w:p w14:paraId="139A2FDA">
            <w:pPr>
              <w:widowControl/>
              <w:spacing w:line="240" w:lineRule="atLeast"/>
              <w:jc w:val="center"/>
              <w:rPr>
                <w:rFonts w:ascii="宋体" w:hAnsi="宋体" w:cs="宋体"/>
                <w:b/>
                <w:bCs/>
                <w:kern w:val="0"/>
                <w:sz w:val="18"/>
                <w:szCs w:val="18"/>
              </w:rPr>
            </w:pPr>
          </w:p>
        </w:tc>
        <w:tc>
          <w:tcPr>
            <w:tcW w:w="317" w:type="dxa"/>
            <w:tcBorders>
              <w:top w:val="nil"/>
              <w:left w:val="nil"/>
              <w:bottom w:val="single" w:color="auto" w:sz="4" w:space="0"/>
              <w:right w:val="single" w:color="auto" w:sz="4" w:space="0"/>
            </w:tcBorders>
            <w:noWrap/>
            <w:vAlign w:val="center"/>
          </w:tcPr>
          <w:p w14:paraId="0D0E09BE">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工艺要求</w:t>
            </w:r>
          </w:p>
        </w:tc>
        <w:tc>
          <w:tcPr>
            <w:tcW w:w="4124" w:type="dxa"/>
            <w:gridSpan w:val="2"/>
            <w:tcBorders>
              <w:top w:val="single" w:color="auto" w:sz="4" w:space="0"/>
              <w:left w:val="nil"/>
              <w:bottom w:val="single" w:color="auto" w:sz="4" w:space="0"/>
              <w:right w:val="single" w:color="auto" w:sz="4" w:space="0"/>
            </w:tcBorders>
            <w:noWrap/>
            <w:vAlign w:val="center"/>
          </w:tcPr>
          <w:p w14:paraId="00EA32BB">
            <w:pPr>
              <w:widowControl/>
              <w:spacing w:line="240" w:lineRule="atLeast"/>
              <w:rPr>
                <w:rFonts w:ascii="宋体" w:hAnsi="宋体" w:cs="宋体"/>
                <w:kern w:val="0"/>
                <w:sz w:val="18"/>
                <w:szCs w:val="18"/>
              </w:rPr>
            </w:pPr>
            <w:r>
              <w:rPr>
                <w:rFonts w:hint="eastAsia" w:ascii="宋体" w:hAnsi="宋体" w:eastAsia="宋体" w:cs="宋体"/>
                <w:kern w:val="0"/>
                <w:sz w:val="18"/>
                <w:szCs w:val="18"/>
              </w:rPr>
              <w:t>（1）在生产运行中使污水处理设施和设备经常处于最佳运行状态，做到达标排放；（2）确保污水100%经过处理，不得对周边居民生活及环境造成严重影响。</w:t>
            </w:r>
          </w:p>
        </w:tc>
        <w:tc>
          <w:tcPr>
            <w:tcW w:w="584" w:type="dxa"/>
            <w:tcBorders>
              <w:top w:val="nil"/>
              <w:left w:val="nil"/>
              <w:bottom w:val="single" w:color="auto" w:sz="4" w:space="0"/>
              <w:right w:val="single" w:color="auto" w:sz="4" w:space="0"/>
            </w:tcBorders>
            <w:noWrap/>
            <w:vAlign w:val="center"/>
          </w:tcPr>
          <w:p w14:paraId="365F3C4D">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4</w:t>
            </w:r>
          </w:p>
        </w:tc>
        <w:tc>
          <w:tcPr>
            <w:tcW w:w="2252" w:type="dxa"/>
            <w:tcBorders>
              <w:top w:val="single" w:color="auto" w:sz="4" w:space="0"/>
              <w:left w:val="nil"/>
              <w:bottom w:val="single" w:color="auto" w:sz="4" w:space="0"/>
              <w:right w:val="single" w:color="auto" w:sz="4" w:space="0"/>
            </w:tcBorders>
            <w:noWrap/>
            <w:vAlign w:val="center"/>
          </w:tcPr>
          <w:p w14:paraId="5EDEE090">
            <w:pPr>
              <w:widowControl/>
              <w:spacing w:line="240" w:lineRule="atLeast"/>
              <w:rPr>
                <w:rFonts w:ascii="宋体" w:hAnsi="宋体" w:cs="宋体"/>
                <w:kern w:val="0"/>
                <w:sz w:val="18"/>
                <w:szCs w:val="18"/>
              </w:rPr>
            </w:pPr>
            <w:r>
              <w:rPr>
                <w:rFonts w:hint="eastAsia" w:ascii="宋体" w:hAnsi="宋体" w:eastAsia="宋体" w:cs="宋体"/>
                <w:kern w:val="0"/>
                <w:sz w:val="18"/>
                <w:szCs w:val="18"/>
              </w:rPr>
              <w:t>污水处理设施和设备每出现一次故障扣1分；对环境造成污染此项不得分。</w:t>
            </w:r>
          </w:p>
        </w:tc>
        <w:tc>
          <w:tcPr>
            <w:tcW w:w="385" w:type="dxa"/>
            <w:tcBorders>
              <w:top w:val="nil"/>
              <w:left w:val="nil"/>
              <w:bottom w:val="single" w:color="auto" w:sz="4" w:space="0"/>
              <w:right w:val="single" w:color="auto" w:sz="4" w:space="0"/>
            </w:tcBorders>
            <w:noWrap/>
            <w:vAlign w:val="center"/>
          </w:tcPr>
          <w:p w14:paraId="573377FC">
            <w:pPr>
              <w:widowControl/>
              <w:spacing w:line="240" w:lineRule="atLeast"/>
              <w:jc w:val="center"/>
              <w:rPr>
                <w:rFonts w:ascii="宋体" w:hAnsi="宋体" w:cs="宋体"/>
                <w:b/>
                <w:bCs/>
                <w:kern w:val="0"/>
                <w:sz w:val="18"/>
                <w:szCs w:val="18"/>
              </w:rPr>
            </w:pPr>
          </w:p>
        </w:tc>
        <w:tc>
          <w:tcPr>
            <w:tcW w:w="386" w:type="dxa"/>
            <w:tcBorders>
              <w:top w:val="nil"/>
              <w:left w:val="nil"/>
              <w:bottom w:val="single" w:color="auto" w:sz="4" w:space="0"/>
              <w:right w:val="single" w:color="auto" w:sz="4" w:space="0"/>
            </w:tcBorders>
            <w:noWrap/>
            <w:vAlign w:val="center"/>
          </w:tcPr>
          <w:p w14:paraId="2F9F8529">
            <w:pPr>
              <w:widowControl/>
              <w:spacing w:line="240" w:lineRule="atLeast"/>
              <w:jc w:val="center"/>
              <w:rPr>
                <w:rFonts w:ascii="宋体" w:hAnsi="宋体" w:cs="宋体"/>
                <w:b/>
                <w:bCs/>
                <w:kern w:val="0"/>
                <w:sz w:val="18"/>
                <w:szCs w:val="18"/>
              </w:rPr>
            </w:pPr>
          </w:p>
        </w:tc>
      </w:tr>
      <w:tr w14:paraId="068D72DF">
        <w:tblPrEx>
          <w:tblCellMar>
            <w:top w:w="0" w:type="dxa"/>
            <w:left w:w="108" w:type="dxa"/>
            <w:bottom w:w="0" w:type="dxa"/>
            <w:right w:w="108" w:type="dxa"/>
          </w:tblCellMar>
        </w:tblPrEx>
        <w:trPr>
          <w:trHeight w:val="285" w:hRule="atLeast"/>
          <w:jc w:val="center"/>
        </w:trPr>
        <w:tc>
          <w:tcPr>
            <w:tcW w:w="474" w:type="dxa"/>
            <w:vMerge w:val="continue"/>
            <w:tcBorders>
              <w:left w:val="single" w:color="auto" w:sz="4" w:space="0"/>
              <w:bottom w:val="single" w:color="auto" w:sz="4" w:space="0"/>
              <w:right w:val="single" w:color="auto" w:sz="4" w:space="0"/>
            </w:tcBorders>
            <w:noWrap/>
            <w:vAlign w:val="center"/>
          </w:tcPr>
          <w:p w14:paraId="7B52B63D">
            <w:pPr>
              <w:widowControl/>
              <w:spacing w:line="240" w:lineRule="atLeast"/>
              <w:jc w:val="center"/>
              <w:rPr>
                <w:rFonts w:ascii="宋体" w:hAnsi="宋体" w:cs="宋体"/>
                <w:b/>
                <w:bCs/>
                <w:kern w:val="0"/>
                <w:sz w:val="18"/>
                <w:szCs w:val="18"/>
              </w:rPr>
            </w:pPr>
          </w:p>
        </w:tc>
        <w:tc>
          <w:tcPr>
            <w:tcW w:w="317" w:type="dxa"/>
            <w:tcBorders>
              <w:top w:val="nil"/>
              <w:left w:val="nil"/>
              <w:bottom w:val="single" w:color="auto" w:sz="4" w:space="0"/>
              <w:right w:val="single" w:color="auto" w:sz="4" w:space="0"/>
            </w:tcBorders>
            <w:noWrap/>
            <w:vAlign w:val="center"/>
          </w:tcPr>
          <w:p w14:paraId="3BA3FB85">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事故上报</w:t>
            </w:r>
          </w:p>
        </w:tc>
        <w:tc>
          <w:tcPr>
            <w:tcW w:w="4124" w:type="dxa"/>
            <w:gridSpan w:val="2"/>
            <w:tcBorders>
              <w:top w:val="single" w:color="auto" w:sz="4" w:space="0"/>
              <w:left w:val="nil"/>
              <w:bottom w:val="single" w:color="auto" w:sz="4" w:space="0"/>
              <w:right w:val="single" w:color="auto" w:sz="4" w:space="0"/>
            </w:tcBorders>
            <w:noWrap/>
            <w:vAlign w:val="center"/>
          </w:tcPr>
          <w:p w14:paraId="63D66254">
            <w:pPr>
              <w:widowControl/>
              <w:spacing w:line="240" w:lineRule="atLeast"/>
              <w:rPr>
                <w:rFonts w:ascii="宋体" w:hAnsi="宋体" w:cs="宋体"/>
                <w:kern w:val="0"/>
                <w:sz w:val="18"/>
                <w:szCs w:val="18"/>
              </w:rPr>
            </w:pPr>
            <w:r>
              <w:rPr>
                <w:rFonts w:hint="eastAsia" w:ascii="宋体" w:hAnsi="宋体" w:eastAsia="宋体" w:cs="宋体"/>
                <w:kern w:val="0"/>
                <w:sz w:val="18"/>
                <w:szCs w:val="18"/>
              </w:rPr>
              <w:t>污水处理设施有下列情况之一者，必须上报环保主管部门：（1）需暂停运转的；（2）需拆除或闲置的；（3）需更新改造的；（4）污水处理设施运行不正常。</w:t>
            </w:r>
          </w:p>
        </w:tc>
        <w:tc>
          <w:tcPr>
            <w:tcW w:w="584" w:type="dxa"/>
            <w:tcBorders>
              <w:top w:val="nil"/>
              <w:left w:val="nil"/>
              <w:bottom w:val="single" w:color="auto" w:sz="4" w:space="0"/>
              <w:right w:val="single" w:color="auto" w:sz="4" w:space="0"/>
            </w:tcBorders>
            <w:noWrap/>
            <w:vAlign w:val="center"/>
          </w:tcPr>
          <w:p w14:paraId="5A414DC6">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8</w:t>
            </w:r>
          </w:p>
        </w:tc>
        <w:tc>
          <w:tcPr>
            <w:tcW w:w="2252" w:type="dxa"/>
            <w:tcBorders>
              <w:top w:val="single" w:color="auto" w:sz="4" w:space="0"/>
              <w:left w:val="nil"/>
              <w:bottom w:val="single" w:color="auto" w:sz="4" w:space="0"/>
              <w:right w:val="single" w:color="auto" w:sz="4" w:space="0"/>
            </w:tcBorders>
            <w:noWrap/>
            <w:vAlign w:val="center"/>
          </w:tcPr>
          <w:p w14:paraId="6984C04E">
            <w:pPr>
              <w:widowControl/>
              <w:spacing w:line="240" w:lineRule="atLeast"/>
              <w:rPr>
                <w:rFonts w:ascii="宋体" w:hAnsi="宋体" w:cs="宋体"/>
                <w:kern w:val="0"/>
                <w:sz w:val="18"/>
                <w:szCs w:val="18"/>
              </w:rPr>
            </w:pPr>
            <w:r>
              <w:rPr>
                <w:rFonts w:hint="eastAsia" w:ascii="宋体" w:hAnsi="宋体" w:eastAsia="宋体" w:cs="宋体"/>
                <w:kern w:val="0"/>
                <w:sz w:val="18"/>
                <w:szCs w:val="18"/>
              </w:rPr>
              <w:t>未报环保主管部门审查和批准，擅自停运、拆除、闲置处理设施，每发现一次扣1分，造成环境污染此项不得分；处理设施出现故障，未处理的不得分；处理不及时每次扣2分。</w:t>
            </w:r>
          </w:p>
        </w:tc>
        <w:tc>
          <w:tcPr>
            <w:tcW w:w="385" w:type="dxa"/>
            <w:tcBorders>
              <w:top w:val="nil"/>
              <w:left w:val="nil"/>
              <w:bottom w:val="single" w:color="auto" w:sz="4" w:space="0"/>
              <w:right w:val="single" w:color="auto" w:sz="4" w:space="0"/>
            </w:tcBorders>
            <w:noWrap/>
            <w:vAlign w:val="center"/>
          </w:tcPr>
          <w:p w14:paraId="316F4AFA">
            <w:pPr>
              <w:widowControl/>
              <w:spacing w:line="240" w:lineRule="atLeast"/>
              <w:jc w:val="center"/>
              <w:rPr>
                <w:rFonts w:ascii="宋体" w:hAnsi="宋体" w:cs="宋体"/>
                <w:b/>
                <w:bCs/>
                <w:kern w:val="0"/>
                <w:sz w:val="18"/>
                <w:szCs w:val="18"/>
              </w:rPr>
            </w:pPr>
          </w:p>
        </w:tc>
        <w:tc>
          <w:tcPr>
            <w:tcW w:w="386" w:type="dxa"/>
            <w:tcBorders>
              <w:top w:val="nil"/>
              <w:left w:val="nil"/>
              <w:bottom w:val="single" w:color="auto" w:sz="4" w:space="0"/>
              <w:right w:val="single" w:color="auto" w:sz="4" w:space="0"/>
            </w:tcBorders>
            <w:noWrap/>
            <w:vAlign w:val="center"/>
          </w:tcPr>
          <w:p w14:paraId="03025A93">
            <w:pPr>
              <w:widowControl/>
              <w:spacing w:line="240" w:lineRule="atLeast"/>
              <w:jc w:val="center"/>
              <w:rPr>
                <w:rFonts w:ascii="宋体" w:hAnsi="宋体" w:cs="宋体"/>
                <w:b/>
                <w:bCs/>
                <w:kern w:val="0"/>
                <w:sz w:val="18"/>
                <w:szCs w:val="18"/>
              </w:rPr>
            </w:pPr>
          </w:p>
        </w:tc>
      </w:tr>
      <w:tr w14:paraId="5185A876">
        <w:tblPrEx>
          <w:tblCellMar>
            <w:top w:w="0" w:type="dxa"/>
            <w:left w:w="108" w:type="dxa"/>
            <w:bottom w:w="0" w:type="dxa"/>
            <w:right w:w="108" w:type="dxa"/>
          </w:tblCellMar>
        </w:tblPrEx>
        <w:trPr>
          <w:trHeight w:val="285" w:hRule="atLeast"/>
          <w:jc w:val="center"/>
        </w:trPr>
        <w:tc>
          <w:tcPr>
            <w:tcW w:w="474" w:type="dxa"/>
            <w:vMerge w:val="restart"/>
            <w:tcBorders>
              <w:left w:val="single" w:color="auto" w:sz="4" w:space="0"/>
              <w:right w:val="single" w:color="auto" w:sz="4" w:space="0"/>
            </w:tcBorders>
            <w:noWrap/>
            <w:vAlign w:val="center"/>
          </w:tcPr>
          <w:p w14:paraId="1768A307">
            <w:pPr>
              <w:widowControl/>
              <w:spacing w:line="240" w:lineRule="atLeast"/>
              <w:jc w:val="center"/>
              <w:rPr>
                <w:rFonts w:ascii="宋体" w:hAnsi="宋体" w:cs="宋体"/>
                <w:b/>
                <w:bCs/>
                <w:kern w:val="0"/>
                <w:sz w:val="18"/>
                <w:szCs w:val="18"/>
              </w:rPr>
            </w:pPr>
            <w:r>
              <w:rPr>
                <w:rFonts w:hint="eastAsia" w:ascii="宋体" w:hAnsi="宋体" w:eastAsia="宋体" w:cs="宋体"/>
                <w:kern w:val="0"/>
                <w:sz w:val="18"/>
                <w:szCs w:val="18"/>
              </w:rPr>
              <w:t>三、水质管理（8分）</w:t>
            </w:r>
          </w:p>
        </w:tc>
        <w:tc>
          <w:tcPr>
            <w:tcW w:w="317" w:type="dxa"/>
            <w:tcBorders>
              <w:top w:val="nil"/>
              <w:left w:val="nil"/>
              <w:bottom w:val="single" w:color="auto" w:sz="4" w:space="0"/>
              <w:right w:val="single" w:color="auto" w:sz="4" w:space="0"/>
            </w:tcBorders>
            <w:noWrap/>
            <w:vAlign w:val="center"/>
          </w:tcPr>
          <w:p w14:paraId="6A7D1DDF">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水质化验</w:t>
            </w:r>
          </w:p>
        </w:tc>
        <w:tc>
          <w:tcPr>
            <w:tcW w:w="4124" w:type="dxa"/>
            <w:gridSpan w:val="2"/>
            <w:tcBorders>
              <w:top w:val="single" w:color="auto" w:sz="4" w:space="0"/>
              <w:left w:val="nil"/>
              <w:bottom w:val="single" w:color="auto" w:sz="4" w:space="0"/>
              <w:right w:val="single" w:color="auto" w:sz="4" w:space="0"/>
            </w:tcBorders>
            <w:noWrap/>
            <w:vAlign w:val="center"/>
          </w:tcPr>
          <w:p w14:paraId="7F6EBF2C">
            <w:pPr>
              <w:widowControl/>
              <w:spacing w:line="240" w:lineRule="atLeast"/>
              <w:rPr>
                <w:rFonts w:ascii="宋体" w:hAnsi="宋体" w:cs="宋体"/>
                <w:kern w:val="0"/>
                <w:sz w:val="18"/>
                <w:szCs w:val="18"/>
              </w:rPr>
            </w:pPr>
            <w:r>
              <w:rPr>
                <w:rFonts w:hint="eastAsia" w:ascii="宋体" w:hAnsi="宋体" w:eastAsia="宋体" w:cs="宋体"/>
                <w:kern w:val="0"/>
                <w:sz w:val="18"/>
                <w:szCs w:val="18"/>
              </w:rPr>
              <w:t>（1）按要求配置检测仪器；（2）制定严格的管理制度（上墙）；（3）按相关要求对水样进行采样和化验；（4）检测仪器、化学试剂使用规范；（5）化学试剂危险化学品管理规范、储存规范。</w:t>
            </w:r>
          </w:p>
        </w:tc>
        <w:tc>
          <w:tcPr>
            <w:tcW w:w="584" w:type="dxa"/>
            <w:tcBorders>
              <w:top w:val="nil"/>
              <w:left w:val="nil"/>
              <w:bottom w:val="single" w:color="auto" w:sz="4" w:space="0"/>
              <w:right w:val="single" w:color="auto" w:sz="4" w:space="0"/>
            </w:tcBorders>
            <w:noWrap/>
            <w:vAlign w:val="center"/>
          </w:tcPr>
          <w:p w14:paraId="7458B45B">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6</w:t>
            </w:r>
          </w:p>
        </w:tc>
        <w:tc>
          <w:tcPr>
            <w:tcW w:w="2252" w:type="dxa"/>
            <w:tcBorders>
              <w:top w:val="single" w:color="auto" w:sz="4" w:space="0"/>
              <w:left w:val="nil"/>
              <w:bottom w:val="single" w:color="auto" w:sz="4" w:space="0"/>
              <w:right w:val="single" w:color="auto" w:sz="4" w:space="0"/>
            </w:tcBorders>
            <w:noWrap/>
            <w:vAlign w:val="center"/>
          </w:tcPr>
          <w:p w14:paraId="543E38BD">
            <w:pPr>
              <w:widowControl/>
              <w:spacing w:line="240" w:lineRule="atLeast"/>
              <w:rPr>
                <w:rFonts w:ascii="宋体" w:hAnsi="宋体" w:cs="宋体"/>
                <w:kern w:val="0"/>
                <w:sz w:val="18"/>
                <w:szCs w:val="18"/>
              </w:rPr>
            </w:pPr>
            <w:r>
              <w:rPr>
                <w:rFonts w:hint="eastAsia" w:ascii="宋体" w:hAnsi="宋体" w:eastAsia="宋体" w:cs="宋体"/>
                <w:kern w:val="0"/>
                <w:sz w:val="18"/>
                <w:szCs w:val="18"/>
              </w:rPr>
              <w:t>检测仪器配置不能满足检测要求的，扣1分；管理制度不齐全，每项扣1分；水样采取不规范扣1分；水质化验不规范扣1分；化学试剂（危险化学品）管理、储存不规范，每处扣1。</w:t>
            </w:r>
          </w:p>
        </w:tc>
        <w:tc>
          <w:tcPr>
            <w:tcW w:w="385" w:type="dxa"/>
            <w:tcBorders>
              <w:top w:val="nil"/>
              <w:left w:val="nil"/>
              <w:bottom w:val="single" w:color="auto" w:sz="4" w:space="0"/>
              <w:right w:val="single" w:color="auto" w:sz="4" w:space="0"/>
            </w:tcBorders>
            <w:noWrap/>
            <w:vAlign w:val="center"/>
          </w:tcPr>
          <w:p w14:paraId="7ACE7B09">
            <w:pPr>
              <w:widowControl/>
              <w:spacing w:line="240" w:lineRule="atLeast"/>
              <w:jc w:val="center"/>
              <w:rPr>
                <w:rFonts w:ascii="宋体" w:hAnsi="宋体" w:cs="宋体"/>
                <w:b/>
                <w:bCs/>
                <w:kern w:val="0"/>
                <w:sz w:val="18"/>
                <w:szCs w:val="18"/>
              </w:rPr>
            </w:pPr>
          </w:p>
        </w:tc>
        <w:tc>
          <w:tcPr>
            <w:tcW w:w="386" w:type="dxa"/>
            <w:tcBorders>
              <w:top w:val="nil"/>
              <w:left w:val="nil"/>
              <w:bottom w:val="single" w:color="auto" w:sz="4" w:space="0"/>
              <w:right w:val="single" w:color="auto" w:sz="4" w:space="0"/>
            </w:tcBorders>
            <w:noWrap/>
            <w:vAlign w:val="center"/>
          </w:tcPr>
          <w:p w14:paraId="1F5B886D">
            <w:pPr>
              <w:widowControl/>
              <w:spacing w:line="240" w:lineRule="atLeast"/>
              <w:jc w:val="center"/>
              <w:rPr>
                <w:rFonts w:ascii="宋体" w:hAnsi="宋体" w:cs="宋体"/>
                <w:b/>
                <w:bCs/>
                <w:kern w:val="0"/>
                <w:sz w:val="18"/>
                <w:szCs w:val="18"/>
              </w:rPr>
            </w:pPr>
          </w:p>
        </w:tc>
      </w:tr>
      <w:tr w14:paraId="6DB68976">
        <w:tblPrEx>
          <w:tblCellMar>
            <w:top w:w="0" w:type="dxa"/>
            <w:left w:w="108" w:type="dxa"/>
            <w:bottom w:w="0" w:type="dxa"/>
            <w:right w:w="108" w:type="dxa"/>
          </w:tblCellMar>
        </w:tblPrEx>
        <w:trPr>
          <w:trHeight w:val="285" w:hRule="atLeast"/>
          <w:jc w:val="center"/>
        </w:trPr>
        <w:tc>
          <w:tcPr>
            <w:tcW w:w="474" w:type="dxa"/>
            <w:vMerge w:val="continue"/>
            <w:tcBorders>
              <w:left w:val="single" w:color="auto" w:sz="4" w:space="0"/>
              <w:bottom w:val="single" w:color="auto" w:sz="4" w:space="0"/>
              <w:right w:val="single" w:color="auto" w:sz="4" w:space="0"/>
            </w:tcBorders>
            <w:noWrap/>
            <w:vAlign w:val="center"/>
          </w:tcPr>
          <w:p w14:paraId="0F758563">
            <w:pPr>
              <w:widowControl/>
              <w:spacing w:line="240" w:lineRule="atLeast"/>
              <w:jc w:val="center"/>
              <w:rPr>
                <w:rFonts w:ascii="宋体" w:hAnsi="宋体" w:cs="宋体"/>
                <w:b/>
                <w:bCs/>
                <w:kern w:val="0"/>
                <w:sz w:val="18"/>
                <w:szCs w:val="18"/>
              </w:rPr>
            </w:pPr>
          </w:p>
        </w:tc>
        <w:tc>
          <w:tcPr>
            <w:tcW w:w="317" w:type="dxa"/>
            <w:tcBorders>
              <w:top w:val="nil"/>
              <w:left w:val="nil"/>
              <w:bottom w:val="single" w:color="auto" w:sz="4" w:space="0"/>
              <w:right w:val="single" w:color="auto" w:sz="4" w:space="0"/>
            </w:tcBorders>
            <w:noWrap/>
            <w:vAlign w:val="center"/>
          </w:tcPr>
          <w:p w14:paraId="657C36F4">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水质报表</w:t>
            </w:r>
          </w:p>
        </w:tc>
        <w:tc>
          <w:tcPr>
            <w:tcW w:w="4124" w:type="dxa"/>
            <w:gridSpan w:val="2"/>
            <w:tcBorders>
              <w:top w:val="single" w:color="auto" w:sz="4" w:space="0"/>
              <w:left w:val="nil"/>
              <w:bottom w:val="single" w:color="auto" w:sz="4" w:space="0"/>
              <w:right w:val="single" w:color="auto" w:sz="4" w:space="0"/>
            </w:tcBorders>
            <w:noWrap/>
            <w:vAlign w:val="center"/>
          </w:tcPr>
          <w:p w14:paraId="72282F0B">
            <w:pPr>
              <w:widowControl/>
              <w:spacing w:line="240" w:lineRule="atLeast"/>
              <w:rPr>
                <w:rFonts w:ascii="宋体" w:hAnsi="宋体" w:cs="宋体"/>
                <w:kern w:val="0"/>
                <w:sz w:val="18"/>
                <w:szCs w:val="18"/>
              </w:rPr>
            </w:pPr>
            <w:r>
              <w:rPr>
                <w:rFonts w:hint="eastAsia" w:ascii="宋体" w:hAnsi="宋体" w:eastAsia="宋体" w:cs="宋体"/>
                <w:kern w:val="0"/>
                <w:sz w:val="18"/>
                <w:szCs w:val="18"/>
              </w:rPr>
              <w:t>按周期进行日、月、季水样送检并出具完整的检测报告，做到规范、完整、真实。</w:t>
            </w:r>
          </w:p>
        </w:tc>
        <w:tc>
          <w:tcPr>
            <w:tcW w:w="584" w:type="dxa"/>
            <w:tcBorders>
              <w:top w:val="nil"/>
              <w:left w:val="nil"/>
              <w:bottom w:val="single" w:color="auto" w:sz="4" w:space="0"/>
              <w:right w:val="single" w:color="auto" w:sz="4" w:space="0"/>
            </w:tcBorders>
            <w:noWrap/>
            <w:vAlign w:val="center"/>
          </w:tcPr>
          <w:p w14:paraId="6C3E9F28">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2</w:t>
            </w:r>
          </w:p>
        </w:tc>
        <w:tc>
          <w:tcPr>
            <w:tcW w:w="2252" w:type="dxa"/>
            <w:tcBorders>
              <w:top w:val="single" w:color="auto" w:sz="4" w:space="0"/>
              <w:left w:val="nil"/>
              <w:bottom w:val="single" w:color="auto" w:sz="4" w:space="0"/>
              <w:right w:val="single" w:color="auto" w:sz="4" w:space="0"/>
            </w:tcBorders>
            <w:noWrap/>
            <w:vAlign w:val="center"/>
          </w:tcPr>
          <w:p w14:paraId="78CC5B5C">
            <w:pPr>
              <w:widowControl/>
              <w:spacing w:line="240" w:lineRule="atLeast"/>
              <w:rPr>
                <w:rFonts w:ascii="宋体" w:hAnsi="宋体" w:cs="宋体"/>
                <w:kern w:val="0"/>
                <w:sz w:val="18"/>
                <w:szCs w:val="18"/>
              </w:rPr>
            </w:pPr>
            <w:r>
              <w:rPr>
                <w:rFonts w:hint="eastAsia" w:ascii="宋体" w:hAnsi="宋体" w:eastAsia="宋体" w:cs="宋体"/>
                <w:kern w:val="0"/>
                <w:sz w:val="18"/>
                <w:szCs w:val="18"/>
              </w:rPr>
              <w:t>水质检测项目未按周期进行检测的，每项次扣1分，检测报表不真实此项不得分。</w:t>
            </w:r>
          </w:p>
        </w:tc>
        <w:tc>
          <w:tcPr>
            <w:tcW w:w="385" w:type="dxa"/>
            <w:tcBorders>
              <w:top w:val="nil"/>
              <w:left w:val="nil"/>
              <w:bottom w:val="single" w:color="auto" w:sz="4" w:space="0"/>
              <w:right w:val="single" w:color="auto" w:sz="4" w:space="0"/>
            </w:tcBorders>
            <w:noWrap/>
            <w:vAlign w:val="center"/>
          </w:tcPr>
          <w:p w14:paraId="2968DA4D">
            <w:pPr>
              <w:widowControl/>
              <w:spacing w:line="240" w:lineRule="atLeast"/>
              <w:jc w:val="center"/>
              <w:rPr>
                <w:rFonts w:ascii="宋体" w:hAnsi="宋体" w:cs="宋体"/>
                <w:b/>
                <w:bCs/>
                <w:kern w:val="0"/>
                <w:sz w:val="18"/>
                <w:szCs w:val="18"/>
              </w:rPr>
            </w:pPr>
          </w:p>
        </w:tc>
        <w:tc>
          <w:tcPr>
            <w:tcW w:w="386" w:type="dxa"/>
            <w:tcBorders>
              <w:top w:val="nil"/>
              <w:left w:val="nil"/>
              <w:bottom w:val="single" w:color="auto" w:sz="4" w:space="0"/>
              <w:right w:val="single" w:color="auto" w:sz="4" w:space="0"/>
            </w:tcBorders>
            <w:noWrap/>
            <w:vAlign w:val="center"/>
          </w:tcPr>
          <w:p w14:paraId="56851837">
            <w:pPr>
              <w:widowControl/>
              <w:spacing w:line="240" w:lineRule="atLeast"/>
              <w:jc w:val="center"/>
              <w:rPr>
                <w:rFonts w:ascii="宋体" w:hAnsi="宋体" w:cs="宋体"/>
                <w:b/>
                <w:bCs/>
                <w:kern w:val="0"/>
                <w:sz w:val="18"/>
                <w:szCs w:val="18"/>
              </w:rPr>
            </w:pPr>
          </w:p>
        </w:tc>
      </w:tr>
      <w:tr w14:paraId="1D2CEB91">
        <w:tblPrEx>
          <w:tblCellMar>
            <w:top w:w="0" w:type="dxa"/>
            <w:left w:w="108" w:type="dxa"/>
            <w:bottom w:w="0" w:type="dxa"/>
            <w:right w:w="108" w:type="dxa"/>
          </w:tblCellMar>
        </w:tblPrEx>
        <w:trPr>
          <w:trHeight w:val="285" w:hRule="atLeast"/>
          <w:jc w:val="center"/>
        </w:trPr>
        <w:tc>
          <w:tcPr>
            <w:tcW w:w="474" w:type="dxa"/>
            <w:vMerge w:val="restart"/>
            <w:tcBorders>
              <w:left w:val="single" w:color="auto" w:sz="4" w:space="0"/>
              <w:right w:val="single" w:color="auto" w:sz="4" w:space="0"/>
            </w:tcBorders>
            <w:noWrap/>
            <w:vAlign w:val="center"/>
          </w:tcPr>
          <w:p w14:paraId="76E948B5">
            <w:pPr>
              <w:widowControl/>
              <w:spacing w:line="240" w:lineRule="atLeast"/>
              <w:jc w:val="center"/>
              <w:rPr>
                <w:rFonts w:ascii="宋体" w:hAnsi="宋体" w:cs="宋体"/>
                <w:b/>
                <w:bCs/>
                <w:kern w:val="0"/>
                <w:sz w:val="18"/>
                <w:szCs w:val="18"/>
              </w:rPr>
            </w:pPr>
            <w:r>
              <w:rPr>
                <w:rFonts w:hint="eastAsia" w:ascii="宋体" w:hAnsi="宋体" w:eastAsia="宋体" w:cs="宋体"/>
                <w:kern w:val="0"/>
                <w:sz w:val="18"/>
                <w:szCs w:val="18"/>
              </w:rPr>
              <w:t>四、设备管理（18分）</w:t>
            </w:r>
          </w:p>
        </w:tc>
        <w:tc>
          <w:tcPr>
            <w:tcW w:w="317" w:type="dxa"/>
            <w:vMerge w:val="restart"/>
            <w:tcBorders>
              <w:top w:val="nil"/>
              <w:left w:val="nil"/>
              <w:right w:val="single" w:color="auto" w:sz="4" w:space="0"/>
            </w:tcBorders>
            <w:noWrap/>
            <w:vAlign w:val="center"/>
          </w:tcPr>
          <w:p w14:paraId="6D83E1AA">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设备完好</w:t>
            </w:r>
          </w:p>
        </w:tc>
        <w:tc>
          <w:tcPr>
            <w:tcW w:w="4124" w:type="dxa"/>
            <w:gridSpan w:val="2"/>
            <w:tcBorders>
              <w:top w:val="single" w:color="auto" w:sz="4" w:space="0"/>
              <w:left w:val="nil"/>
              <w:bottom w:val="single" w:color="auto" w:sz="4" w:space="0"/>
              <w:right w:val="single" w:color="auto" w:sz="4" w:space="0"/>
            </w:tcBorders>
            <w:noWrap/>
            <w:vAlign w:val="center"/>
          </w:tcPr>
          <w:p w14:paraId="2D906007">
            <w:pPr>
              <w:widowControl/>
              <w:spacing w:line="240" w:lineRule="atLeast"/>
              <w:rPr>
                <w:rFonts w:ascii="宋体" w:hAnsi="宋体" w:cs="宋体"/>
                <w:kern w:val="0"/>
                <w:sz w:val="18"/>
                <w:szCs w:val="18"/>
              </w:rPr>
            </w:pPr>
            <w:r>
              <w:rPr>
                <w:rFonts w:hint="eastAsia" w:ascii="宋体" w:hAnsi="宋体" w:eastAsia="宋体" w:cs="宋体"/>
                <w:kern w:val="0"/>
                <w:sz w:val="18"/>
                <w:szCs w:val="18"/>
              </w:rPr>
              <w:t>（1）设备整洁，基础稳固，结构完整无缺件、润滑良好、计量仪表灵敏可靠、安全防护装置齐全有效、无明显锈蚀、无脱漆，设备效能稳定正常。</w:t>
            </w:r>
          </w:p>
        </w:tc>
        <w:tc>
          <w:tcPr>
            <w:tcW w:w="584" w:type="dxa"/>
            <w:tcBorders>
              <w:top w:val="nil"/>
              <w:left w:val="nil"/>
              <w:bottom w:val="single" w:color="auto" w:sz="4" w:space="0"/>
              <w:right w:val="single" w:color="auto" w:sz="4" w:space="0"/>
            </w:tcBorders>
            <w:noWrap/>
            <w:vAlign w:val="center"/>
          </w:tcPr>
          <w:p w14:paraId="21DD376C">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4</w:t>
            </w:r>
          </w:p>
        </w:tc>
        <w:tc>
          <w:tcPr>
            <w:tcW w:w="2252" w:type="dxa"/>
            <w:tcBorders>
              <w:top w:val="single" w:color="auto" w:sz="4" w:space="0"/>
              <w:left w:val="nil"/>
              <w:bottom w:val="single" w:color="auto" w:sz="4" w:space="0"/>
              <w:right w:val="single" w:color="auto" w:sz="4" w:space="0"/>
            </w:tcBorders>
            <w:noWrap/>
            <w:vAlign w:val="center"/>
          </w:tcPr>
          <w:p w14:paraId="02D777B5">
            <w:pPr>
              <w:widowControl/>
              <w:spacing w:line="240" w:lineRule="atLeast"/>
              <w:rPr>
                <w:rFonts w:ascii="宋体" w:hAnsi="宋体" w:cs="宋体"/>
                <w:kern w:val="0"/>
                <w:sz w:val="18"/>
                <w:szCs w:val="18"/>
              </w:rPr>
            </w:pPr>
            <w:r>
              <w:rPr>
                <w:rFonts w:hint="eastAsia" w:ascii="宋体" w:hAnsi="宋体" w:eastAsia="宋体" w:cs="宋体"/>
                <w:kern w:val="0"/>
                <w:sz w:val="18"/>
                <w:szCs w:val="18"/>
              </w:rPr>
              <w:t>现场进行检查，每发现一处扣1分，直到扣完为止。</w:t>
            </w:r>
          </w:p>
        </w:tc>
        <w:tc>
          <w:tcPr>
            <w:tcW w:w="385" w:type="dxa"/>
            <w:tcBorders>
              <w:top w:val="nil"/>
              <w:left w:val="nil"/>
              <w:bottom w:val="single" w:color="auto" w:sz="4" w:space="0"/>
              <w:right w:val="single" w:color="auto" w:sz="4" w:space="0"/>
            </w:tcBorders>
            <w:noWrap/>
            <w:vAlign w:val="center"/>
          </w:tcPr>
          <w:p w14:paraId="09CDCBE4">
            <w:pPr>
              <w:widowControl/>
              <w:spacing w:line="240" w:lineRule="atLeast"/>
              <w:jc w:val="center"/>
              <w:rPr>
                <w:rFonts w:ascii="宋体" w:hAnsi="宋体" w:cs="宋体"/>
                <w:b/>
                <w:bCs/>
                <w:kern w:val="0"/>
                <w:sz w:val="18"/>
                <w:szCs w:val="18"/>
              </w:rPr>
            </w:pPr>
          </w:p>
        </w:tc>
        <w:tc>
          <w:tcPr>
            <w:tcW w:w="386" w:type="dxa"/>
            <w:tcBorders>
              <w:top w:val="nil"/>
              <w:left w:val="nil"/>
              <w:bottom w:val="single" w:color="auto" w:sz="4" w:space="0"/>
              <w:right w:val="single" w:color="auto" w:sz="4" w:space="0"/>
            </w:tcBorders>
            <w:noWrap/>
            <w:vAlign w:val="center"/>
          </w:tcPr>
          <w:p w14:paraId="25CAECDB">
            <w:pPr>
              <w:widowControl/>
              <w:spacing w:line="240" w:lineRule="atLeast"/>
              <w:jc w:val="center"/>
              <w:rPr>
                <w:rFonts w:ascii="宋体" w:hAnsi="宋体" w:cs="宋体"/>
                <w:b/>
                <w:bCs/>
                <w:kern w:val="0"/>
                <w:sz w:val="18"/>
                <w:szCs w:val="18"/>
              </w:rPr>
            </w:pPr>
          </w:p>
        </w:tc>
      </w:tr>
      <w:tr w14:paraId="38581CAA">
        <w:tblPrEx>
          <w:tblCellMar>
            <w:top w:w="0" w:type="dxa"/>
            <w:left w:w="108" w:type="dxa"/>
            <w:bottom w:w="0" w:type="dxa"/>
            <w:right w:w="108" w:type="dxa"/>
          </w:tblCellMar>
        </w:tblPrEx>
        <w:trPr>
          <w:trHeight w:val="285" w:hRule="atLeast"/>
          <w:jc w:val="center"/>
        </w:trPr>
        <w:tc>
          <w:tcPr>
            <w:tcW w:w="474" w:type="dxa"/>
            <w:vMerge w:val="continue"/>
            <w:tcBorders>
              <w:left w:val="single" w:color="auto" w:sz="4" w:space="0"/>
              <w:right w:val="single" w:color="auto" w:sz="4" w:space="0"/>
            </w:tcBorders>
            <w:noWrap/>
            <w:vAlign w:val="center"/>
          </w:tcPr>
          <w:p w14:paraId="50EE3318">
            <w:pPr>
              <w:widowControl/>
              <w:spacing w:line="240" w:lineRule="atLeast"/>
              <w:jc w:val="center"/>
              <w:rPr>
                <w:rFonts w:ascii="宋体" w:hAnsi="宋体" w:cs="宋体"/>
                <w:b/>
                <w:bCs/>
                <w:kern w:val="0"/>
                <w:sz w:val="18"/>
                <w:szCs w:val="18"/>
              </w:rPr>
            </w:pPr>
          </w:p>
        </w:tc>
        <w:tc>
          <w:tcPr>
            <w:tcW w:w="317" w:type="dxa"/>
            <w:vMerge w:val="continue"/>
            <w:tcBorders>
              <w:left w:val="nil"/>
              <w:bottom w:val="single" w:color="auto" w:sz="4" w:space="0"/>
              <w:right w:val="single" w:color="auto" w:sz="4" w:space="0"/>
            </w:tcBorders>
            <w:noWrap/>
            <w:vAlign w:val="center"/>
          </w:tcPr>
          <w:p w14:paraId="31C6666F">
            <w:pPr>
              <w:widowControl/>
              <w:spacing w:line="240" w:lineRule="atLeast"/>
              <w:jc w:val="center"/>
              <w:rPr>
                <w:rFonts w:ascii="宋体" w:hAnsi="宋体" w:cs="宋体"/>
                <w:kern w:val="0"/>
                <w:sz w:val="18"/>
                <w:szCs w:val="18"/>
              </w:rPr>
            </w:pPr>
          </w:p>
        </w:tc>
        <w:tc>
          <w:tcPr>
            <w:tcW w:w="4124" w:type="dxa"/>
            <w:gridSpan w:val="2"/>
            <w:tcBorders>
              <w:top w:val="single" w:color="auto" w:sz="4" w:space="0"/>
              <w:left w:val="nil"/>
              <w:bottom w:val="single" w:color="auto" w:sz="4" w:space="0"/>
              <w:right w:val="single" w:color="auto" w:sz="4" w:space="0"/>
            </w:tcBorders>
            <w:noWrap/>
            <w:vAlign w:val="center"/>
          </w:tcPr>
          <w:p w14:paraId="3B93CA8A">
            <w:pPr>
              <w:widowControl/>
              <w:spacing w:line="240" w:lineRule="atLeast"/>
              <w:rPr>
                <w:rFonts w:ascii="宋体" w:hAnsi="宋体" w:cs="宋体"/>
                <w:kern w:val="0"/>
                <w:sz w:val="18"/>
                <w:szCs w:val="18"/>
              </w:rPr>
            </w:pPr>
            <w:r>
              <w:rPr>
                <w:rFonts w:hint="eastAsia" w:ascii="宋体" w:hAnsi="宋体" w:eastAsia="宋体" w:cs="宋体"/>
                <w:kern w:val="0"/>
                <w:sz w:val="18"/>
                <w:szCs w:val="18"/>
              </w:rPr>
              <w:t>（2）机械设备润滑良好，启动、运转、散热正常，无异响</w:t>
            </w:r>
          </w:p>
        </w:tc>
        <w:tc>
          <w:tcPr>
            <w:tcW w:w="584" w:type="dxa"/>
            <w:tcBorders>
              <w:top w:val="nil"/>
              <w:left w:val="nil"/>
              <w:bottom w:val="single" w:color="auto" w:sz="4" w:space="0"/>
              <w:right w:val="single" w:color="auto" w:sz="4" w:space="0"/>
            </w:tcBorders>
            <w:noWrap/>
            <w:vAlign w:val="center"/>
          </w:tcPr>
          <w:p w14:paraId="59BFBF1E">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4</w:t>
            </w:r>
          </w:p>
        </w:tc>
        <w:tc>
          <w:tcPr>
            <w:tcW w:w="2252" w:type="dxa"/>
            <w:tcBorders>
              <w:top w:val="single" w:color="auto" w:sz="4" w:space="0"/>
              <w:left w:val="nil"/>
              <w:bottom w:val="single" w:color="auto" w:sz="4" w:space="0"/>
              <w:right w:val="single" w:color="auto" w:sz="4" w:space="0"/>
            </w:tcBorders>
            <w:noWrap/>
            <w:vAlign w:val="center"/>
          </w:tcPr>
          <w:p w14:paraId="52D3DDDB">
            <w:pPr>
              <w:widowControl/>
              <w:spacing w:line="240" w:lineRule="atLeast"/>
              <w:rPr>
                <w:rFonts w:ascii="宋体" w:hAnsi="宋体" w:cs="宋体"/>
                <w:kern w:val="0"/>
                <w:sz w:val="18"/>
                <w:szCs w:val="18"/>
              </w:rPr>
            </w:pPr>
            <w:r>
              <w:rPr>
                <w:rFonts w:hint="eastAsia" w:ascii="宋体" w:hAnsi="宋体" w:eastAsia="宋体" w:cs="宋体"/>
                <w:kern w:val="0"/>
                <w:sz w:val="18"/>
                <w:szCs w:val="18"/>
              </w:rPr>
              <w:t>现场检查，出现运行故障的每处扣1分，直到扣完为止。</w:t>
            </w:r>
          </w:p>
        </w:tc>
        <w:tc>
          <w:tcPr>
            <w:tcW w:w="385" w:type="dxa"/>
            <w:tcBorders>
              <w:top w:val="nil"/>
              <w:left w:val="nil"/>
              <w:bottom w:val="single" w:color="auto" w:sz="4" w:space="0"/>
              <w:right w:val="single" w:color="auto" w:sz="4" w:space="0"/>
            </w:tcBorders>
            <w:noWrap/>
            <w:vAlign w:val="center"/>
          </w:tcPr>
          <w:p w14:paraId="0CCF117B">
            <w:pPr>
              <w:widowControl/>
              <w:spacing w:line="240" w:lineRule="atLeast"/>
              <w:jc w:val="center"/>
              <w:rPr>
                <w:rFonts w:ascii="宋体" w:hAnsi="宋体" w:cs="宋体"/>
                <w:b/>
                <w:bCs/>
                <w:kern w:val="0"/>
                <w:sz w:val="18"/>
                <w:szCs w:val="18"/>
              </w:rPr>
            </w:pPr>
          </w:p>
        </w:tc>
        <w:tc>
          <w:tcPr>
            <w:tcW w:w="386" w:type="dxa"/>
            <w:tcBorders>
              <w:top w:val="nil"/>
              <w:left w:val="nil"/>
              <w:bottom w:val="single" w:color="auto" w:sz="4" w:space="0"/>
              <w:right w:val="single" w:color="auto" w:sz="4" w:space="0"/>
            </w:tcBorders>
            <w:noWrap/>
            <w:vAlign w:val="center"/>
          </w:tcPr>
          <w:p w14:paraId="36121B66">
            <w:pPr>
              <w:widowControl/>
              <w:spacing w:line="240" w:lineRule="atLeast"/>
              <w:jc w:val="center"/>
              <w:rPr>
                <w:rFonts w:ascii="宋体" w:hAnsi="宋体" w:cs="宋体"/>
                <w:b/>
                <w:bCs/>
                <w:kern w:val="0"/>
                <w:sz w:val="18"/>
                <w:szCs w:val="18"/>
              </w:rPr>
            </w:pPr>
          </w:p>
        </w:tc>
      </w:tr>
      <w:tr w14:paraId="472E448B">
        <w:tblPrEx>
          <w:tblCellMar>
            <w:top w:w="0" w:type="dxa"/>
            <w:left w:w="108" w:type="dxa"/>
            <w:bottom w:w="0" w:type="dxa"/>
            <w:right w:w="108" w:type="dxa"/>
          </w:tblCellMar>
        </w:tblPrEx>
        <w:trPr>
          <w:trHeight w:val="468" w:hRule="atLeast"/>
          <w:jc w:val="center"/>
        </w:trPr>
        <w:tc>
          <w:tcPr>
            <w:tcW w:w="474" w:type="dxa"/>
            <w:vMerge w:val="continue"/>
            <w:tcBorders>
              <w:left w:val="single" w:color="auto" w:sz="4" w:space="0"/>
              <w:right w:val="single" w:color="auto" w:sz="4" w:space="0"/>
            </w:tcBorders>
            <w:noWrap/>
            <w:vAlign w:val="center"/>
          </w:tcPr>
          <w:p w14:paraId="0F7E3082">
            <w:pPr>
              <w:widowControl/>
              <w:spacing w:line="240" w:lineRule="atLeast"/>
              <w:jc w:val="center"/>
              <w:rPr>
                <w:rFonts w:ascii="宋体" w:hAnsi="宋体" w:cs="宋体"/>
                <w:kern w:val="0"/>
                <w:sz w:val="18"/>
                <w:szCs w:val="18"/>
              </w:rPr>
            </w:pPr>
          </w:p>
        </w:tc>
        <w:tc>
          <w:tcPr>
            <w:tcW w:w="317" w:type="dxa"/>
            <w:vMerge w:val="restart"/>
            <w:tcBorders>
              <w:top w:val="nil"/>
              <w:left w:val="single" w:color="auto" w:sz="4" w:space="0"/>
              <w:right w:val="single" w:color="auto" w:sz="4" w:space="0"/>
            </w:tcBorders>
            <w:noWrap/>
            <w:vAlign w:val="center"/>
          </w:tcPr>
          <w:p w14:paraId="4058DB35">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设备保养</w:t>
            </w:r>
          </w:p>
        </w:tc>
        <w:tc>
          <w:tcPr>
            <w:tcW w:w="4124" w:type="dxa"/>
            <w:gridSpan w:val="2"/>
            <w:tcBorders>
              <w:top w:val="single" w:color="auto" w:sz="4" w:space="0"/>
              <w:left w:val="single" w:color="auto" w:sz="4" w:space="0"/>
              <w:bottom w:val="single" w:color="auto" w:sz="4" w:space="0"/>
              <w:right w:val="single" w:color="auto" w:sz="4" w:space="0"/>
            </w:tcBorders>
            <w:noWrap/>
            <w:vAlign w:val="center"/>
          </w:tcPr>
          <w:p w14:paraId="3D16E5B6">
            <w:pPr>
              <w:widowControl/>
              <w:spacing w:line="240" w:lineRule="atLeast"/>
              <w:rPr>
                <w:rFonts w:ascii="宋体" w:hAnsi="宋体" w:cs="宋体"/>
                <w:kern w:val="0"/>
                <w:sz w:val="18"/>
                <w:szCs w:val="18"/>
              </w:rPr>
            </w:pPr>
            <w:r>
              <w:rPr>
                <w:rFonts w:hint="eastAsia" w:ascii="宋体" w:hAnsi="宋体" w:eastAsia="宋体" w:cs="宋体"/>
                <w:kern w:val="0"/>
                <w:sz w:val="18"/>
                <w:szCs w:val="18"/>
              </w:rPr>
              <w:t>（1）必须建立完整的设备单机档案资料。设备单机档案应包括出厂资料，检定（标定）、运行、保养、维修、故障、更新和报废等记录。</w:t>
            </w:r>
          </w:p>
        </w:tc>
        <w:tc>
          <w:tcPr>
            <w:tcW w:w="584" w:type="dxa"/>
            <w:tcBorders>
              <w:top w:val="nil"/>
              <w:left w:val="single" w:color="auto" w:sz="4" w:space="0"/>
              <w:bottom w:val="single" w:color="auto" w:sz="4" w:space="0"/>
              <w:right w:val="single" w:color="auto" w:sz="4" w:space="0"/>
            </w:tcBorders>
            <w:noWrap/>
            <w:vAlign w:val="center"/>
          </w:tcPr>
          <w:p w14:paraId="58F6E5D3">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4</w:t>
            </w:r>
          </w:p>
        </w:tc>
        <w:tc>
          <w:tcPr>
            <w:tcW w:w="2252" w:type="dxa"/>
            <w:tcBorders>
              <w:top w:val="single" w:color="auto" w:sz="4" w:space="0"/>
              <w:left w:val="single" w:color="auto" w:sz="4" w:space="0"/>
              <w:bottom w:val="single" w:color="auto" w:sz="4" w:space="0"/>
              <w:right w:val="single" w:color="auto" w:sz="4" w:space="0"/>
            </w:tcBorders>
            <w:noWrap/>
            <w:vAlign w:val="center"/>
          </w:tcPr>
          <w:p w14:paraId="5746C890">
            <w:pPr>
              <w:widowControl/>
              <w:spacing w:line="240" w:lineRule="atLeast"/>
              <w:rPr>
                <w:rFonts w:ascii="宋体" w:hAnsi="宋体" w:cs="宋体"/>
                <w:kern w:val="0"/>
                <w:sz w:val="18"/>
                <w:szCs w:val="18"/>
              </w:rPr>
            </w:pPr>
            <w:r>
              <w:rPr>
                <w:rFonts w:hint="eastAsia" w:ascii="宋体" w:hAnsi="宋体" w:eastAsia="宋体" w:cs="宋体"/>
                <w:kern w:val="0"/>
                <w:sz w:val="18"/>
                <w:szCs w:val="18"/>
              </w:rPr>
              <w:t>无设备管理制度此项不得分；设备单机档案不齐全、不清晰每发现一处扣1分；</w:t>
            </w:r>
          </w:p>
        </w:tc>
        <w:tc>
          <w:tcPr>
            <w:tcW w:w="385" w:type="dxa"/>
            <w:tcBorders>
              <w:top w:val="nil"/>
              <w:left w:val="single" w:color="auto" w:sz="4" w:space="0"/>
              <w:bottom w:val="single" w:color="auto" w:sz="4" w:space="0"/>
              <w:right w:val="single" w:color="auto" w:sz="4" w:space="0"/>
            </w:tcBorders>
            <w:noWrap/>
            <w:vAlign w:val="center"/>
          </w:tcPr>
          <w:p w14:paraId="57F48C8B">
            <w:pPr>
              <w:widowControl/>
              <w:spacing w:line="240" w:lineRule="atLeast"/>
              <w:jc w:val="center"/>
              <w:rPr>
                <w:rFonts w:ascii="宋体" w:hAnsi="宋体" w:cs="宋体"/>
                <w:kern w:val="0"/>
                <w:sz w:val="18"/>
                <w:szCs w:val="18"/>
              </w:rPr>
            </w:pPr>
          </w:p>
        </w:tc>
        <w:tc>
          <w:tcPr>
            <w:tcW w:w="386" w:type="dxa"/>
            <w:tcBorders>
              <w:top w:val="nil"/>
              <w:left w:val="single" w:color="auto" w:sz="4" w:space="0"/>
              <w:bottom w:val="single" w:color="auto" w:sz="4" w:space="0"/>
              <w:right w:val="single" w:color="auto" w:sz="4" w:space="0"/>
            </w:tcBorders>
            <w:noWrap/>
            <w:vAlign w:val="center"/>
          </w:tcPr>
          <w:p w14:paraId="13348903">
            <w:pPr>
              <w:widowControl/>
              <w:spacing w:line="240" w:lineRule="atLeast"/>
              <w:jc w:val="center"/>
              <w:rPr>
                <w:rFonts w:ascii="宋体" w:hAnsi="宋体" w:cs="宋体"/>
                <w:kern w:val="0"/>
                <w:sz w:val="18"/>
                <w:szCs w:val="18"/>
              </w:rPr>
            </w:pPr>
          </w:p>
        </w:tc>
      </w:tr>
      <w:tr w14:paraId="758A8924">
        <w:tblPrEx>
          <w:tblCellMar>
            <w:top w:w="0" w:type="dxa"/>
            <w:left w:w="108" w:type="dxa"/>
            <w:bottom w:w="0" w:type="dxa"/>
            <w:right w:w="108" w:type="dxa"/>
          </w:tblCellMar>
        </w:tblPrEx>
        <w:trPr>
          <w:trHeight w:val="468" w:hRule="atLeast"/>
          <w:jc w:val="center"/>
        </w:trPr>
        <w:tc>
          <w:tcPr>
            <w:tcW w:w="474" w:type="dxa"/>
            <w:vMerge w:val="continue"/>
            <w:tcBorders>
              <w:left w:val="single" w:color="auto" w:sz="4" w:space="0"/>
              <w:right w:val="single" w:color="auto" w:sz="4" w:space="0"/>
            </w:tcBorders>
            <w:noWrap/>
            <w:vAlign w:val="center"/>
          </w:tcPr>
          <w:p w14:paraId="57469D82">
            <w:pPr>
              <w:widowControl/>
              <w:spacing w:line="240" w:lineRule="atLeast"/>
              <w:jc w:val="center"/>
              <w:rPr>
                <w:rFonts w:ascii="宋体" w:hAnsi="宋体" w:cs="宋体"/>
                <w:kern w:val="0"/>
                <w:sz w:val="18"/>
                <w:szCs w:val="18"/>
              </w:rPr>
            </w:pPr>
          </w:p>
        </w:tc>
        <w:tc>
          <w:tcPr>
            <w:tcW w:w="317" w:type="dxa"/>
            <w:vMerge w:val="continue"/>
            <w:tcBorders>
              <w:left w:val="single" w:color="auto" w:sz="4" w:space="0"/>
              <w:right w:val="single" w:color="auto" w:sz="4" w:space="0"/>
            </w:tcBorders>
            <w:noWrap/>
            <w:vAlign w:val="center"/>
          </w:tcPr>
          <w:p w14:paraId="6E38DAFB">
            <w:pPr>
              <w:widowControl/>
              <w:spacing w:line="240" w:lineRule="atLeast"/>
              <w:jc w:val="center"/>
              <w:rPr>
                <w:rFonts w:ascii="宋体" w:hAnsi="宋体" w:cs="宋体"/>
                <w:kern w:val="0"/>
                <w:sz w:val="18"/>
                <w:szCs w:val="18"/>
              </w:rPr>
            </w:pPr>
          </w:p>
        </w:tc>
        <w:tc>
          <w:tcPr>
            <w:tcW w:w="4124" w:type="dxa"/>
            <w:gridSpan w:val="2"/>
            <w:tcBorders>
              <w:top w:val="single" w:color="auto" w:sz="4" w:space="0"/>
              <w:left w:val="single" w:color="auto" w:sz="4" w:space="0"/>
              <w:bottom w:val="single" w:color="auto" w:sz="4" w:space="0"/>
              <w:right w:val="single" w:color="auto" w:sz="4" w:space="0"/>
            </w:tcBorders>
            <w:noWrap/>
            <w:vAlign w:val="center"/>
          </w:tcPr>
          <w:p w14:paraId="1DC004A4">
            <w:pPr>
              <w:widowControl/>
              <w:spacing w:line="240" w:lineRule="atLeast"/>
              <w:rPr>
                <w:rFonts w:ascii="宋体" w:hAnsi="宋体" w:cs="宋体"/>
                <w:kern w:val="0"/>
                <w:sz w:val="18"/>
                <w:szCs w:val="18"/>
              </w:rPr>
            </w:pPr>
            <w:r>
              <w:rPr>
                <w:rFonts w:hint="eastAsia" w:ascii="宋体" w:hAnsi="宋体" w:eastAsia="宋体" w:cs="宋体"/>
                <w:kern w:val="0"/>
                <w:sz w:val="18"/>
                <w:szCs w:val="18"/>
              </w:rPr>
              <w:t>（2）有设备备品、备件及建立设备备品备件管理制度。</w:t>
            </w:r>
          </w:p>
        </w:tc>
        <w:tc>
          <w:tcPr>
            <w:tcW w:w="584" w:type="dxa"/>
            <w:tcBorders>
              <w:top w:val="nil"/>
              <w:left w:val="single" w:color="auto" w:sz="4" w:space="0"/>
              <w:bottom w:val="single" w:color="auto" w:sz="4" w:space="0"/>
              <w:right w:val="single" w:color="auto" w:sz="4" w:space="0"/>
            </w:tcBorders>
            <w:noWrap/>
            <w:vAlign w:val="center"/>
          </w:tcPr>
          <w:p w14:paraId="15C3363F">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4</w:t>
            </w:r>
          </w:p>
        </w:tc>
        <w:tc>
          <w:tcPr>
            <w:tcW w:w="2252" w:type="dxa"/>
            <w:tcBorders>
              <w:top w:val="single" w:color="auto" w:sz="4" w:space="0"/>
              <w:left w:val="single" w:color="auto" w:sz="4" w:space="0"/>
              <w:bottom w:val="single" w:color="auto" w:sz="4" w:space="0"/>
              <w:right w:val="single" w:color="auto" w:sz="4" w:space="0"/>
            </w:tcBorders>
            <w:noWrap/>
            <w:vAlign w:val="center"/>
          </w:tcPr>
          <w:p w14:paraId="6CC735F3">
            <w:pPr>
              <w:widowControl/>
              <w:spacing w:line="240" w:lineRule="atLeast"/>
              <w:rPr>
                <w:rFonts w:ascii="宋体" w:hAnsi="宋体" w:cs="宋体"/>
                <w:kern w:val="0"/>
                <w:sz w:val="18"/>
                <w:szCs w:val="18"/>
              </w:rPr>
            </w:pPr>
            <w:r>
              <w:rPr>
                <w:rFonts w:hint="eastAsia" w:ascii="宋体" w:hAnsi="宋体" w:eastAsia="宋体" w:cs="宋体"/>
                <w:kern w:val="0"/>
                <w:sz w:val="18"/>
                <w:szCs w:val="18"/>
              </w:rPr>
              <w:t>无设备备件及未建立备品管理制度此项不得分，备品不齐全，缺一项扣一分，扣完为止。</w:t>
            </w:r>
          </w:p>
        </w:tc>
        <w:tc>
          <w:tcPr>
            <w:tcW w:w="385" w:type="dxa"/>
            <w:tcBorders>
              <w:top w:val="nil"/>
              <w:left w:val="single" w:color="auto" w:sz="4" w:space="0"/>
              <w:bottom w:val="single" w:color="auto" w:sz="4" w:space="0"/>
              <w:right w:val="single" w:color="auto" w:sz="4" w:space="0"/>
            </w:tcBorders>
            <w:noWrap/>
            <w:vAlign w:val="center"/>
          </w:tcPr>
          <w:p w14:paraId="0267E6A6">
            <w:pPr>
              <w:widowControl/>
              <w:spacing w:line="240" w:lineRule="atLeast"/>
              <w:jc w:val="center"/>
              <w:rPr>
                <w:rFonts w:ascii="宋体" w:hAnsi="宋体" w:cs="宋体"/>
                <w:kern w:val="0"/>
                <w:sz w:val="18"/>
                <w:szCs w:val="18"/>
              </w:rPr>
            </w:pPr>
          </w:p>
        </w:tc>
        <w:tc>
          <w:tcPr>
            <w:tcW w:w="386" w:type="dxa"/>
            <w:tcBorders>
              <w:top w:val="nil"/>
              <w:left w:val="single" w:color="auto" w:sz="4" w:space="0"/>
              <w:bottom w:val="single" w:color="auto" w:sz="4" w:space="0"/>
              <w:right w:val="single" w:color="auto" w:sz="4" w:space="0"/>
            </w:tcBorders>
            <w:noWrap/>
            <w:vAlign w:val="center"/>
          </w:tcPr>
          <w:p w14:paraId="594EC212">
            <w:pPr>
              <w:widowControl/>
              <w:spacing w:line="240" w:lineRule="atLeast"/>
              <w:jc w:val="center"/>
              <w:rPr>
                <w:rFonts w:ascii="宋体" w:hAnsi="宋体" w:cs="宋体"/>
                <w:kern w:val="0"/>
                <w:sz w:val="18"/>
                <w:szCs w:val="18"/>
              </w:rPr>
            </w:pPr>
          </w:p>
        </w:tc>
      </w:tr>
      <w:tr w14:paraId="088A3274">
        <w:tblPrEx>
          <w:tblCellMar>
            <w:top w:w="0" w:type="dxa"/>
            <w:left w:w="108" w:type="dxa"/>
            <w:bottom w:w="0" w:type="dxa"/>
            <w:right w:w="108" w:type="dxa"/>
          </w:tblCellMar>
        </w:tblPrEx>
        <w:trPr>
          <w:trHeight w:val="468" w:hRule="atLeast"/>
          <w:jc w:val="center"/>
        </w:trPr>
        <w:tc>
          <w:tcPr>
            <w:tcW w:w="474" w:type="dxa"/>
            <w:vMerge w:val="continue"/>
            <w:tcBorders>
              <w:left w:val="single" w:color="auto" w:sz="4" w:space="0"/>
              <w:right w:val="single" w:color="auto" w:sz="4" w:space="0"/>
            </w:tcBorders>
            <w:noWrap/>
            <w:vAlign w:val="center"/>
          </w:tcPr>
          <w:p w14:paraId="72F4153B">
            <w:pPr>
              <w:widowControl/>
              <w:spacing w:line="240" w:lineRule="atLeast"/>
              <w:jc w:val="center"/>
              <w:rPr>
                <w:rFonts w:ascii="宋体" w:hAnsi="宋体" w:cs="宋体"/>
                <w:kern w:val="0"/>
                <w:sz w:val="18"/>
                <w:szCs w:val="18"/>
              </w:rPr>
            </w:pPr>
          </w:p>
        </w:tc>
        <w:tc>
          <w:tcPr>
            <w:tcW w:w="317" w:type="dxa"/>
            <w:vMerge w:val="continue"/>
            <w:tcBorders>
              <w:left w:val="single" w:color="auto" w:sz="4" w:space="0"/>
              <w:bottom w:val="single" w:color="auto" w:sz="4" w:space="0"/>
              <w:right w:val="single" w:color="auto" w:sz="4" w:space="0"/>
            </w:tcBorders>
            <w:noWrap/>
            <w:vAlign w:val="center"/>
          </w:tcPr>
          <w:p w14:paraId="2D0D6A7A">
            <w:pPr>
              <w:widowControl/>
              <w:spacing w:line="240" w:lineRule="atLeast"/>
              <w:jc w:val="center"/>
              <w:rPr>
                <w:rFonts w:ascii="宋体" w:hAnsi="宋体" w:cs="宋体"/>
                <w:kern w:val="0"/>
                <w:sz w:val="18"/>
                <w:szCs w:val="18"/>
              </w:rPr>
            </w:pPr>
          </w:p>
        </w:tc>
        <w:tc>
          <w:tcPr>
            <w:tcW w:w="4124" w:type="dxa"/>
            <w:gridSpan w:val="2"/>
            <w:tcBorders>
              <w:top w:val="single" w:color="auto" w:sz="4" w:space="0"/>
              <w:left w:val="single" w:color="auto" w:sz="4" w:space="0"/>
              <w:bottom w:val="single" w:color="auto" w:sz="4" w:space="0"/>
              <w:right w:val="single" w:color="auto" w:sz="4" w:space="0"/>
            </w:tcBorders>
            <w:noWrap/>
            <w:vAlign w:val="center"/>
          </w:tcPr>
          <w:p w14:paraId="178898F2">
            <w:pPr>
              <w:widowControl/>
              <w:spacing w:line="240" w:lineRule="atLeast"/>
              <w:rPr>
                <w:rFonts w:ascii="宋体" w:hAnsi="宋体" w:cs="宋体"/>
                <w:kern w:val="0"/>
                <w:sz w:val="18"/>
                <w:szCs w:val="18"/>
              </w:rPr>
            </w:pPr>
            <w:r>
              <w:rPr>
                <w:rFonts w:hint="eastAsia" w:ascii="宋体" w:hAnsi="宋体" w:eastAsia="宋体" w:cs="宋体"/>
                <w:kern w:val="0"/>
                <w:sz w:val="18"/>
                <w:szCs w:val="18"/>
              </w:rPr>
              <w:t>（3）制定合理的设备月度和年度检修计划。</w:t>
            </w:r>
          </w:p>
        </w:tc>
        <w:tc>
          <w:tcPr>
            <w:tcW w:w="584" w:type="dxa"/>
            <w:tcBorders>
              <w:top w:val="nil"/>
              <w:left w:val="single" w:color="auto" w:sz="4" w:space="0"/>
              <w:bottom w:val="single" w:color="auto" w:sz="4" w:space="0"/>
              <w:right w:val="single" w:color="auto" w:sz="4" w:space="0"/>
            </w:tcBorders>
            <w:noWrap/>
            <w:vAlign w:val="center"/>
          </w:tcPr>
          <w:p w14:paraId="2903F6F2">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2</w:t>
            </w:r>
          </w:p>
        </w:tc>
        <w:tc>
          <w:tcPr>
            <w:tcW w:w="2252" w:type="dxa"/>
            <w:tcBorders>
              <w:top w:val="single" w:color="auto" w:sz="4" w:space="0"/>
              <w:left w:val="single" w:color="auto" w:sz="4" w:space="0"/>
              <w:bottom w:val="single" w:color="auto" w:sz="4" w:space="0"/>
              <w:right w:val="single" w:color="auto" w:sz="4" w:space="0"/>
            </w:tcBorders>
            <w:noWrap/>
            <w:vAlign w:val="center"/>
          </w:tcPr>
          <w:p w14:paraId="5516DCBA">
            <w:pPr>
              <w:widowControl/>
              <w:spacing w:line="240" w:lineRule="atLeast"/>
              <w:rPr>
                <w:rFonts w:ascii="宋体" w:hAnsi="宋体" w:cs="宋体"/>
                <w:kern w:val="0"/>
                <w:sz w:val="18"/>
                <w:szCs w:val="18"/>
              </w:rPr>
            </w:pPr>
            <w:r>
              <w:rPr>
                <w:rFonts w:hint="eastAsia" w:ascii="宋体" w:hAnsi="宋体" w:eastAsia="宋体" w:cs="宋体"/>
                <w:kern w:val="0"/>
                <w:sz w:val="18"/>
                <w:szCs w:val="18"/>
              </w:rPr>
              <w:t>无检修计划此项不得分，检修不及时每发现一次扣1分。</w:t>
            </w:r>
          </w:p>
        </w:tc>
        <w:tc>
          <w:tcPr>
            <w:tcW w:w="385" w:type="dxa"/>
            <w:tcBorders>
              <w:top w:val="nil"/>
              <w:left w:val="single" w:color="auto" w:sz="4" w:space="0"/>
              <w:bottom w:val="single" w:color="auto" w:sz="4" w:space="0"/>
              <w:right w:val="single" w:color="auto" w:sz="4" w:space="0"/>
            </w:tcBorders>
            <w:noWrap/>
            <w:vAlign w:val="center"/>
          </w:tcPr>
          <w:p w14:paraId="56A8A353">
            <w:pPr>
              <w:widowControl/>
              <w:spacing w:line="240" w:lineRule="atLeast"/>
              <w:jc w:val="center"/>
              <w:rPr>
                <w:rFonts w:ascii="宋体" w:hAnsi="宋体" w:cs="宋体"/>
                <w:kern w:val="0"/>
                <w:sz w:val="18"/>
                <w:szCs w:val="18"/>
              </w:rPr>
            </w:pPr>
          </w:p>
        </w:tc>
        <w:tc>
          <w:tcPr>
            <w:tcW w:w="386" w:type="dxa"/>
            <w:tcBorders>
              <w:top w:val="nil"/>
              <w:left w:val="single" w:color="auto" w:sz="4" w:space="0"/>
              <w:bottom w:val="single" w:color="auto" w:sz="4" w:space="0"/>
              <w:right w:val="single" w:color="auto" w:sz="4" w:space="0"/>
            </w:tcBorders>
            <w:noWrap/>
            <w:vAlign w:val="center"/>
          </w:tcPr>
          <w:p w14:paraId="5597BD7A">
            <w:pPr>
              <w:widowControl/>
              <w:spacing w:line="240" w:lineRule="atLeast"/>
              <w:jc w:val="center"/>
              <w:rPr>
                <w:rFonts w:ascii="宋体" w:hAnsi="宋体" w:cs="宋体"/>
                <w:kern w:val="0"/>
                <w:sz w:val="18"/>
                <w:szCs w:val="18"/>
              </w:rPr>
            </w:pPr>
          </w:p>
        </w:tc>
      </w:tr>
      <w:tr w14:paraId="569FE7B2">
        <w:tblPrEx>
          <w:tblCellMar>
            <w:top w:w="0" w:type="dxa"/>
            <w:left w:w="108" w:type="dxa"/>
            <w:bottom w:w="0" w:type="dxa"/>
            <w:right w:w="108" w:type="dxa"/>
          </w:tblCellMar>
        </w:tblPrEx>
        <w:trPr>
          <w:trHeight w:val="468" w:hRule="atLeast"/>
          <w:jc w:val="center"/>
        </w:trPr>
        <w:tc>
          <w:tcPr>
            <w:tcW w:w="474" w:type="dxa"/>
            <w:vMerge w:val="restart"/>
            <w:tcBorders>
              <w:top w:val="single" w:color="auto" w:sz="4" w:space="0"/>
              <w:left w:val="single" w:color="auto" w:sz="4" w:space="0"/>
              <w:right w:val="single" w:color="auto" w:sz="4" w:space="0"/>
            </w:tcBorders>
            <w:noWrap/>
            <w:vAlign w:val="center"/>
          </w:tcPr>
          <w:p w14:paraId="693F1EE2">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五、安全管理（14分）</w:t>
            </w:r>
          </w:p>
        </w:tc>
        <w:tc>
          <w:tcPr>
            <w:tcW w:w="317" w:type="dxa"/>
            <w:tcBorders>
              <w:left w:val="single" w:color="auto" w:sz="4" w:space="0"/>
              <w:bottom w:val="single" w:color="auto" w:sz="4" w:space="0"/>
              <w:right w:val="single" w:color="auto" w:sz="4" w:space="0"/>
            </w:tcBorders>
            <w:noWrap/>
            <w:vAlign w:val="center"/>
          </w:tcPr>
          <w:p w14:paraId="15C8BE9A">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安全培训</w:t>
            </w:r>
          </w:p>
        </w:tc>
        <w:tc>
          <w:tcPr>
            <w:tcW w:w="4124" w:type="dxa"/>
            <w:gridSpan w:val="2"/>
            <w:tcBorders>
              <w:top w:val="single" w:color="auto" w:sz="4" w:space="0"/>
              <w:left w:val="single" w:color="auto" w:sz="4" w:space="0"/>
              <w:bottom w:val="single" w:color="auto" w:sz="4" w:space="0"/>
              <w:right w:val="single" w:color="auto" w:sz="4" w:space="0"/>
            </w:tcBorders>
            <w:noWrap/>
            <w:vAlign w:val="center"/>
          </w:tcPr>
          <w:p w14:paraId="6FDFC383">
            <w:pPr>
              <w:widowControl/>
              <w:spacing w:line="240" w:lineRule="atLeast"/>
              <w:rPr>
                <w:rFonts w:ascii="宋体" w:hAnsi="宋体" w:cs="宋体"/>
                <w:kern w:val="0"/>
                <w:sz w:val="18"/>
                <w:szCs w:val="18"/>
              </w:rPr>
            </w:pPr>
            <w:r>
              <w:rPr>
                <w:rFonts w:hint="eastAsia" w:ascii="宋体" w:hAnsi="宋体" w:eastAsia="宋体" w:cs="宋体"/>
                <w:kern w:val="0"/>
                <w:sz w:val="18"/>
                <w:szCs w:val="18"/>
              </w:rPr>
              <w:t>（1）培训资料齐全（培训大纲、培训内容、学习记录、员工答卷）。（2）岗位责任制学习。（3）作业规程、操作规程学习记录。</w:t>
            </w:r>
          </w:p>
        </w:tc>
        <w:tc>
          <w:tcPr>
            <w:tcW w:w="584" w:type="dxa"/>
            <w:tcBorders>
              <w:top w:val="nil"/>
              <w:left w:val="single" w:color="auto" w:sz="4" w:space="0"/>
              <w:bottom w:val="single" w:color="auto" w:sz="4" w:space="0"/>
              <w:right w:val="single" w:color="auto" w:sz="4" w:space="0"/>
            </w:tcBorders>
            <w:noWrap/>
            <w:vAlign w:val="center"/>
          </w:tcPr>
          <w:p w14:paraId="2376AE1E">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6</w:t>
            </w:r>
          </w:p>
        </w:tc>
        <w:tc>
          <w:tcPr>
            <w:tcW w:w="2252" w:type="dxa"/>
            <w:tcBorders>
              <w:top w:val="single" w:color="auto" w:sz="4" w:space="0"/>
              <w:left w:val="single" w:color="auto" w:sz="4" w:space="0"/>
              <w:bottom w:val="single" w:color="auto" w:sz="4" w:space="0"/>
              <w:right w:val="single" w:color="auto" w:sz="4" w:space="0"/>
            </w:tcBorders>
            <w:noWrap/>
            <w:vAlign w:val="center"/>
          </w:tcPr>
          <w:p w14:paraId="08D3762D">
            <w:pPr>
              <w:widowControl/>
              <w:spacing w:line="240" w:lineRule="atLeast"/>
              <w:rPr>
                <w:rFonts w:ascii="宋体" w:hAnsi="宋体" w:cs="宋体"/>
                <w:kern w:val="0"/>
                <w:sz w:val="18"/>
                <w:szCs w:val="18"/>
              </w:rPr>
            </w:pPr>
            <w:r>
              <w:rPr>
                <w:rFonts w:hint="eastAsia" w:ascii="宋体" w:hAnsi="宋体" w:eastAsia="宋体" w:cs="宋体"/>
                <w:kern w:val="0"/>
                <w:sz w:val="18"/>
                <w:szCs w:val="18"/>
              </w:rPr>
              <w:t>现场进行检查，一项不符合要求扣1分</w:t>
            </w:r>
          </w:p>
        </w:tc>
        <w:tc>
          <w:tcPr>
            <w:tcW w:w="385" w:type="dxa"/>
            <w:tcBorders>
              <w:top w:val="nil"/>
              <w:left w:val="single" w:color="auto" w:sz="4" w:space="0"/>
              <w:bottom w:val="single" w:color="auto" w:sz="4" w:space="0"/>
              <w:right w:val="single" w:color="auto" w:sz="4" w:space="0"/>
            </w:tcBorders>
            <w:noWrap/>
            <w:vAlign w:val="center"/>
          </w:tcPr>
          <w:p w14:paraId="0759E768">
            <w:pPr>
              <w:widowControl/>
              <w:spacing w:line="240" w:lineRule="atLeast"/>
              <w:jc w:val="center"/>
              <w:rPr>
                <w:rFonts w:ascii="宋体" w:hAnsi="宋体" w:cs="宋体"/>
                <w:kern w:val="0"/>
                <w:sz w:val="18"/>
                <w:szCs w:val="18"/>
              </w:rPr>
            </w:pPr>
          </w:p>
        </w:tc>
        <w:tc>
          <w:tcPr>
            <w:tcW w:w="386" w:type="dxa"/>
            <w:tcBorders>
              <w:top w:val="nil"/>
              <w:left w:val="single" w:color="auto" w:sz="4" w:space="0"/>
              <w:bottom w:val="single" w:color="auto" w:sz="4" w:space="0"/>
              <w:right w:val="single" w:color="auto" w:sz="4" w:space="0"/>
            </w:tcBorders>
            <w:noWrap/>
            <w:vAlign w:val="center"/>
          </w:tcPr>
          <w:p w14:paraId="166CEA79">
            <w:pPr>
              <w:widowControl/>
              <w:spacing w:line="240" w:lineRule="atLeast"/>
              <w:jc w:val="center"/>
              <w:rPr>
                <w:rFonts w:ascii="宋体" w:hAnsi="宋体" w:cs="宋体"/>
                <w:kern w:val="0"/>
                <w:sz w:val="18"/>
                <w:szCs w:val="18"/>
              </w:rPr>
            </w:pPr>
          </w:p>
        </w:tc>
      </w:tr>
      <w:tr w14:paraId="5CA09DD5">
        <w:tblPrEx>
          <w:tblCellMar>
            <w:top w:w="0" w:type="dxa"/>
            <w:left w:w="108" w:type="dxa"/>
            <w:bottom w:w="0" w:type="dxa"/>
            <w:right w:w="108" w:type="dxa"/>
          </w:tblCellMar>
        </w:tblPrEx>
        <w:trPr>
          <w:trHeight w:val="468" w:hRule="atLeast"/>
          <w:jc w:val="center"/>
        </w:trPr>
        <w:tc>
          <w:tcPr>
            <w:tcW w:w="474" w:type="dxa"/>
            <w:vMerge w:val="continue"/>
            <w:tcBorders>
              <w:left w:val="single" w:color="auto" w:sz="4" w:space="0"/>
              <w:right w:val="single" w:color="auto" w:sz="4" w:space="0"/>
            </w:tcBorders>
            <w:noWrap/>
            <w:vAlign w:val="center"/>
          </w:tcPr>
          <w:p w14:paraId="3261A6F1">
            <w:pPr>
              <w:widowControl/>
              <w:spacing w:line="240" w:lineRule="atLeast"/>
              <w:jc w:val="center"/>
              <w:rPr>
                <w:rFonts w:ascii="宋体" w:hAnsi="宋体" w:cs="宋体"/>
                <w:kern w:val="0"/>
                <w:sz w:val="18"/>
                <w:szCs w:val="18"/>
              </w:rPr>
            </w:pPr>
          </w:p>
        </w:tc>
        <w:tc>
          <w:tcPr>
            <w:tcW w:w="317" w:type="dxa"/>
            <w:tcBorders>
              <w:left w:val="single" w:color="auto" w:sz="4" w:space="0"/>
              <w:bottom w:val="single" w:color="auto" w:sz="4" w:space="0"/>
              <w:right w:val="single" w:color="auto" w:sz="4" w:space="0"/>
            </w:tcBorders>
            <w:noWrap/>
            <w:vAlign w:val="center"/>
          </w:tcPr>
          <w:p w14:paraId="152944AF">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安全标识</w:t>
            </w:r>
          </w:p>
        </w:tc>
        <w:tc>
          <w:tcPr>
            <w:tcW w:w="4124" w:type="dxa"/>
            <w:gridSpan w:val="2"/>
            <w:tcBorders>
              <w:top w:val="single" w:color="auto" w:sz="4" w:space="0"/>
              <w:left w:val="single" w:color="auto" w:sz="4" w:space="0"/>
              <w:bottom w:val="single" w:color="auto" w:sz="4" w:space="0"/>
              <w:right w:val="single" w:color="auto" w:sz="4" w:space="0"/>
            </w:tcBorders>
            <w:noWrap/>
            <w:vAlign w:val="center"/>
          </w:tcPr>
          <w:p w14:paraId="0483E4CB">
            <w:pPr>
              <w:widowControl/>
              <w:spacing w:line="240" w:lineRule="atLeast"/>
              <w:rPr>
                <w:rFonts w:ascii="宋体" w:hAnsi="宋体" w:cs="宋体"/>
                <w:kern w:val="0"/>
                <w:sz w:val="18"/>
                <w:szCs w:val="18"/>
              </w:rPr>
            </w:pPr>
            <w:r>
              <w:rPr>
                <w:rFonts w:hint="eastAsia" w:ascii="宋体" w:hAnsi="宋体" w:eastAsia="宋体" w:cs="宋体"/>
                <w:kern w:val="0"/>
                <w:sz w:val="18"/>
                <w:szCs w:val="18"/>
              </w:rPr>
              <w:t>危险化学品存放设施必须设有明显的警示标志且采取有效隔离措施。</w:t>
            </w:r>
          </w:p>
        </w:tc>
        <w:tc>
          <w:tcPr>
            <w:tcW w:w="584" w:type="dxa"/>
            <w:tcBorders>
              <w:top w:val="nil"/>
              <w:left w:val="single" w:color="auto" w:sz="4" w:space="0"/>
              <w:bottom w:val="single" w:color="auto" w:sz="4" w:space="0"/>
              <w:right w:val="single" w:color="auto" w:sz="4" w:space="0"/>
            </w:tcBorders>
            <w:noWrap/>
            <w:vAlign w:val="center"/>
          </w:tcPr>
          <w:p w14:paraId="2EED69CA">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2</w:t>
            </w:r>
          </w:p>
        </w:tc>
        <w:tc>
          <w:tcPr>
            <w:tcW w:w="2252" w:type="dxa"/>
            <w:tcBorders>
              <w:top w:val="single" w:color="auto" w:sz="4" w:space="0"/>
              <w:left w:val="single" w:color="auto" w:sz="4" w:space="0"/>
              <w:bottom w:val="single" w:color="auto" w:sz="4" w:space="0"/>
              <w:right w:val="single" w:color="auto" w:sz="4" w:space="0"/>
            </w:tcBorders>
            <w:noWrap/>
            <w:vAlign w:val="center"/>
          </w:tcPr>
          <w:p w14:paraId="6ADF20A6">
            <w:pPr>
              <w:widowControl/>
              <w:spacing w:line="240" w:lineRule="atLeast"/>
              <w:rPr>
                <w:rFonts w:ascii="宋体" w:hAnsi="宋体" w:cs="宋体"/>
                <w:kern w:val="0"/>
                <w:sz w:val="18"/>
                <w:szCs w:val="18"/>
              </w:rPr>
            </w:pPr>
            <w:r>
              <w:rPr>
                <w:rFonts w:hint="eastAsia" w:ascii="宋体" w:hAnsi="宋体" w:eastAsia="宋体" w:cs="宋体"/>
                <w:kern w:val="0"/>
                <w:sz w:val="18"/>
                <w:szCs w:val="18"/>
              </w:rPr>
              <w:t>安全标志或防护设施不齐全，不合理不得分</w:t>
            </w:r>
          </w:p>
        </w:tc>
        <w:tc>
          <w:tcPr>
            <w:tcW w:w="385" w:type="dxa"/>
            <w:tcBorders>
              <w:top w:val="nil"/>
              <w:left w:val="single" w:color="auto" w:sz="4" w:space="0"/>
              <w:bottom w:val="single" w:color="auto" w:sz="4" w:space="0"/>
              <w:right w:val="single" w:color="auto" w:sz="4" w:space="0"/>
            </w:tcBorders>
            <w:noWrap/>
            <w:vAlign w:val="center"/>
          </w:tcPr>
          <w:p w14:paraId="2202BA22">
            <w:pPr>
              <w:widowControl/>
              <w:spacing w:line="240" w:lineRule="atLeast"/>
              <w:jc w:val="center"/>
              <w:rPr>
                <w:rFonts w:ascii="宋体" w:hAnsi="宋体" w:cs="宋体"/>
                <w:kern w:val="0"/>
                <w:sz w:val="18"/>
                <w:szCs w:val="18"/>
              </w:rPr>
            </w:pPr>
          </w:p>
        </w:tc>
        <w:tc>
          <w:tcPr>
            <w:tcW w:w="386" w:type="dxa"/>
            <w:tcBorders>
              <w:top w:val="nil"/>
              <w:left w:val="single" w:color="auto" w:sz="4" w:space="0"/>
              <w:bottom w:val="single" w:color="auto" w:sz="4" w:space="0"/>
              <w:right w:val="single" w:color="auto" w:sz="4" w:space="0"/>
            </w:tcBorders>
            <w:noWrap/>
            <w:vAlign w:val="center"/>
          </w:tcPr>
          <w:p w14:paraId="0A94A861">
            <w:pPr>
              <w:widowControl/>
              <w:spacing w:line="240" w:lineRule="atLeast"/>
              <w:jc w:val="center"/>
              <w:rPr>
                <w:rFonts w:ascii="宋体" w:hAnsi="宋体" w:cs="宋体"/>
                <w:kern w:val="0"/>
                <w:sz w:val="18"/>
                <w:szCs w:val="18"/>
              </w:rPr>
            </w:pPr>
          </w:p>
        </w:tc>
      </w:tr>
      <w:tr w14:paraId="17C1A9E2">
        <w:tblPrEx>
          <w:tblCellMar>
            <w:top w:w="0" w:type="dxa"/>
            <w:left w:w="108" w:type="dxa"/>
            <w:bottom w:w="0" w:type="dxa"/>
            <w:right w:w="108" w:type="dxa"/>
          </w:tblCellMar>
        </w:tblPrEx>
        <w:trPr>
          <w:trHeight w:val="468" w:hRule="atLeast"/>
          <w:jc w:val="center"/>
        </w:trPr>
        <w:tc>
          <w:tcPr>
            <w:tcW w:w="474" w:type="dxa"/>
            <w:vMerge w:val="continue"/>
            <w:tcBorders>
              <w:left w:val="single" w:color="auto" w:sz="4" w:space="0"/>
              <w:right w:val="single" w:color="auto" w:sz="4" w:space="0"/>
            </w:tcBorders>
            <w:noWrap/>
            <w:vAlign w:val="center"/>
          </w:tcPr>
          <w:p w14:paraId="29EEC1D8">
            <w:pPr>
              <w:widowControl/>
              <w:spacing w:line="240" w:lineRule="atLeast"/>
              <w:jc w:val="center"/>
              <w:rPr>
                <w:rFonts w:ascii="宋体" w:hAnsi="宋体" w:cs="宋体"/>
                <w:kern w:val="0"/>
                <w:sz w:val="18"/>
                <w:szCs w:val="18"/>
              </w:rPr>
            </w:pPr>
          </w:p>
        </w:tc>
        <w:tc>
          <w:tcPr>
            <w:tcW w:w="317" w:type="dxa"/>
            <w:tcBorders>
              <w:left w:val="single" w:color="auto" w:sz="4" w:space="0"/>
              <w:bottom w:val="single" w:color="auto" w:sz="4" w:space="0"/>
              <w:right w:val="single" w:color="auto" w:sz="4" w:space="0"/>
            </w:tcBorders>
            <w:noWrap/>
            <w:vAlign w:val="center"/>
          </w:tcPr>
          <w:p w14:paraId="6E5CDD73">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危险品</w:t>
            </w:r>
          </w:p>
        </w:tc>
        <w:tc>
          <w:tcPr>
            <w:tcW w:w="4124" w:type="dxa"/>
            <w:gridSpan w:val="2"/>
            <w:tcBorders>
              <w:top w:val="single" w:color="auto" w:sz="4" w:space="0"/>
              <w:left w:val="single" w:color="auto" w:sz="4" w:space="0"/>
              <w:bottom w:val="single" w:color="auto" w:sz="4" w:space="0"/>
              <w:right w:val="single" w:color="auto" w:sz="4" w:space="0"/>
            </w:tcBorders>
            <w:noWrap/>
            <w:vAlign w:val="center"/>
          </w:tcPr>
          <w:p w14:paraId="185B12C7">
            <w:pPr>
              <w:widowControl/>
              <w:spacing w:line="240" w:lineRule="atLeast"/>
              <w:rPr>
                <w:rFonts w:ascii="宋体" w:hAnsi="宋体" w:cs="宋体"/>
                <w:kern w:val="0"/>
                <w:sz w:val="18"/>
                <w:szCs w:val="18"/>
              </w:rPr>
            </w:pPr>
            <w:r>
              <w:rPr>
                <w:rFonts w:hint="eastAsia" w:ascii="宋体" w:hAnsi="宋体" w:eastAsia="宋体" w:cs="宋体"/>
                <w:kern w:val="0"/>
                <w:sz w:val="18"/>
                <w:szCs w:val="18"/>
              </w:rPr>
              <w:t>（1）危险化学品（片碱、次氯酸钠）储存必须符合相关标准（温度、湿度、通风等）；（2）有危化品使用台账、台账清晰且无漏填。</w:t>
            </w:r>
          </w:p>
        </w:tc>
        <w:tc>
          <w:tcPr>
            <w:tcW w:w="584" w:type="dxa"/>
            <w:tcBorders>
              <w:top w:val="nil"/>
              <w:left w:val="single" w:color="auto" w:sz="4" w:space="0"/>
              <w:bottom w:val="single" w:color="auto" w:sz="4" w:space="0"/>
              <w:right w:val="single" w:color="auto" w:sz="4" w:space="0"/>
            </w:tcBorders>
            <w:noWrap/>
            <w:vAlign w:val="center"/>
          </w:tcPr>
          <w:p w14:paraId="7691499B">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4</w:t>
            </w:r>
          </w:p>
        </w:tc>
        <w:tc>
          <w:tcPr>
            <w:tcW w:w="2252" w:type="dxa"/>
            <w:tcBorders>
              <w:top w:val="single" w:color="auto" w:sz="4" w:space="0"/>
              <w:left w:val="single" w:color="auto" w:sz="4" w:space="0"/>
              <w:bottom w:val="single" w:color="auto" w:sz="4" w:space="0"/>
              <w:right w:val="single" w:color="auto" w:sz="4" w:space="0"/>
            </w:tcBorders>
            <w:noWrap/>
            <w:vAlign w:val="center"/>
          </w:tcPr>
          <w:p w14:paraId="238D19B4">
            <w:pPr>
              <w:widowControl/>
              <w:spacing w:line="240" w:lineRule="atLeast"/>
              <w:rPr>
                <w:rFonts w:ascii="宋体" w:hAnsi="宋体" w:cs="宋体"/>
                <w:kern w:val="0"/>
                <w:sz w:val="18"/>
                <w:szCs w:val="18"/>
              </w:rPr>
            </w:pPr>
            <w:r>
              <w:rPr>
                <w:rFonts w:hint="eastAsia" w:ascii="宋体" w:hAnsi="宋体" w:eastAsia="宋体" w:cs="宋体"/>
                <w:kern w:val="0"/>
                <w:sz w:val="18"/>
                <w:szCs w:val="18"/>
              </w:rPr>
              <w:t>危险品的存储不符合国家标准、无台账不得分，台账不清晰每处扣1分</w:t>
            </w:r>
          </w:p>
        </w:tc>
        <w:tc>
          <w:tcPr>
            <w:tcW w:w="385" w:type="dxa"/>
            <w:tcBorders>
              <w:top w:val="nil"/>
              <w:left w:val="single" w:color="auto" w:sz="4" w:space="0"/>
              <w:bottom w:val="single" w:color="auto" w:sz="4" w:space="0"/>
              <w:right w:val="single" w:color="auto" w:sz="4" w:space="0"/>
            </w:tcBorders>
            <w:noWrap/>
            <w:vAlign w:val="center"/>
          </w:tcPr>
          <w:p w14:paraId="749BE1AC">
            <w:pPr>
              <w:widowControl/>
              <w:spacing w:line="240" w:lineRule="atLeast"/>
              <w:jc w:val="center"/>
              <w:rPr>
                <w:rFonts w:ascii="宋体" w:hAnsi="宋体" w:cs="宋体"/>
                <w:kern w:val="0"/>
                <w:sz w:val="18"/>
                <w:szCs w:val="18"/>
              </w:rPr>
            </w:pPr>
          </w:p>
        </w:tc>
        <w:tc>
          <w:tcPr>
            <w:tcW w:w="386" w:type="dxa"/>
            <w:tcBorders>
              <w:top w:val="nil"/>
              <w:left w:val="single" w:color="auto" w:sz="4" w:space="0"/>
              <w:bottom w:val="single" w:color="auto" w:sz="4" w:space="0"/>
              <w:right w:val="single" w:color="auto" w:sz="4" w:space="0"/>
            </w:tcBorders>
            <w:noWrap/>
            <w:vAlign w:val="center"/>
          </w:tcPr>
          <w:p w14:paraId="022E9B51">
            <w:pPr>
              <w:widowControl/>
              <w:spacing w:line="240" w:lineRule="atLeast"/>
              <w:jc w:val="center"/>
              <w:rPr>
                <w:rFonts w:ascii="宋体" w:hAnsi="宋体" w:cs="宋体"/>
                <w:kern w:val="0"/>
                <w:sz w:val="18"/>
                <w:szCs w:val="18"/>
              </w:rPr>
            </w:pPr>
          </w:p>
        </w:tc>
      </w:tr>
      <w:tr w14:paraId="6656613A">
        <w:tblPrEx>
          <w:tblCellMar>
            <w:top w:w="0" w:type="dxa"/>
            <w:left w:w="108" w:type="dxa"/>
            <w:bottom w:w="0" w:type="dxa"/>
            <w:right w:w="108" w:type="dxa"/>
          </w:tblCellMar>
        </w:tblPrEx>
        <w:trPr>
          <w:trHeight w:val="468" w:hRule="atLeast"/>
          <w:jc w:val="center"/>
        </w:trPr>
        <w:tc>
          <w:tcPr>
            <w:tcW w:w="474" w:type="dxa"/>
            <w:vMerge w:val="continue"/>
            <w:tcBorders>
              <w:left w:val="single" w:color="auto" w:sz="4" w:space="0"/>
              <w:bottom w:val="single" w:color="auto" w:sz="4" w:space="0"/>
              <w:right w:val="single" w:color="auto" w:sz="4" w:space="0"/>
            </w:tcBorders>
            <w:noWrap/>
            <w:vAlign w:val="center"/>
          </w:tcPr>
          <w:p w14:paraId="2E9A2314">
            <w:pPr>
              <w:widowControl/>
              <w:spacing w:line="240" w:lineRule="atLeast"/>
              <w:jc w:val="center"/>
              <w:rPr>
                <w:rFonts w:ascii="宋体" w:hAnsi="宋体" w:cs="宋体"/>
                <w:kern w:val="0"/>
                <w:sz w:val="18"/>
                <w:szCs w:val="18"/>
              </w:rPr>
            </w:pPr>
          </w:p>
        </w:tc>
        <w:tc>
          <w:tcPr>
            <w:tcW w:w="317" w:type="dxa"/>
            <w:tcBorders>
              <w:left w:val="single" w:color="auto" w:sz="4" w:space="0"/>
              <w:bottom w:val="single" w:color="auto" w:sz="4" w:space="0"/>
              <w:right w:val="single" w:color="auto" w:sz="4" w:space="0"/>
            </w:tcBorders>
            <w:noWrap/>
            <w:vAlign w:val="center"/>
          </w:tcPr>
          <w:p w14:paraId="74D93D60">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应急物品</w:t>
            </w:r>
          </w:p>
        </w:tc>
        <w:tc>
          <w:tcPr>
            <w:tcW w:w="4124" w:type="dxa"/>
            <w:gridSpan w:val="2"/>
            <w:tcBorders>
              <w:top w:val="single" w:color="auto" w:sz="4" w:space="0"/>
              <w:left w:val="single" w:color="auto" w:sz="4" w:space="0"/>
              <w:bottom w:val="single" w:color="auto" w:sz="4" w:space="0"/>
              <w:right w:val="single" w:color="auto" w:sz="4" w:space="0"/>
            </w:tcBorders>
            <w:noWrap/>
            <w:vAlign w:val="center"/>
          </w:tcPr>
          <w:p w14:paraId="204A9E7C">
            <w:pPr>
              <w:widowControl/>
              <w:spacing w:line="240" w:lineRule="atLeast"/>
              <w:rPr>
                <w:rFonts w:ascii="宋体" w:hAnsi="宋体" w:cs="宋体"/>
                <w:kern w:val="0"/>
                <w:sz w:val="18"/>
                <w:szCs w:val="18"/>
              </w:rPr>
            </w:pPr>
            <w:r>
              <w:rPr>
                <w:rFonts w:hint="eastAsia" w:ascii="宋体" w:hAnsi="宋体" w:eastAsia="宋体" w:cs="宋体"/>
                <w:kern w:val="0"/>
                <w:sz w:val="18"/>
                <w:szCs w:val="18"/>
              </w:rPr>
              <w:t>应配备必要的应急物品，且有对应的台账。</w:t>
            </w:r>
          </w:p>
        </w:tc>
        <w:tc>
          <w:tcPr>
            <w:tcW w:w="584" w:type="dxa"/>
            <w:tcBorders>
              <w:top w:val="nil"/>
              <w:left w:val="single" w:color="auto" w:sz="4" w:space="0"/>
              <w:bottom w:val="single" w:color="auto" w:sz="4" w:space="0"/>
              <w:right w:val="single" w:color="auto" w:sz="4" w:space="0"/>
            </w:tcBorders>
            <w:noWrap/>
            <w:vAlign w:val="center"/>
          </w:tcPr>
          <w:p w14:paraId="661B8826">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2</w:t>
            </w:r>
          </w:p>
        </w:tc>
        <w:tc>
          <w:tcPr>
            <w:tcW w:w="2252" w:type="dxa"/>
            <w:tcBorders>
              <w:top w:val="single" w:color="auto" w:sz="4" w:space="0"/>
              <w:left w:val="single" w:color="auto" w:sz="4" w:space="0"/>
              <w:bottom w:val="single" w:color="auto" w:sz="4" w:space="0"/>
              <w:right w:val="single" w:color="auto" w:sz="4" w:space="0"/>
            </w:tcBorders>
            <w:noWrap/>
            <w:vAlign w:val="center"/>
          </w:tcPr>
          <w:p w14:paraId="78E5085B">
            <w:pPr>
              <w:widowControl/>
              <w:spacing w:line="240" w:lineRule="atLeast"/>
              <w:rPr>
                <w:rFonts w:ascii="宋体" w:hAnsi="宋体" w:cs="宋体"/>
                <w:kern w:val="0"/>
                <w:sz w:val="18"/>
                <w:szCs w:val="18"/>
              </w:rPr>
            </w:pPr>
            <w:r>
              <w:rPr>
                <w:rFonts w:hint="eastAsia" w:ascii="宋体" w:hAnsi="宋体" w:eastAsia="宋体" w:cs="宋体"/>
                <w:kern w:val="0"/>
                <w:sz w:val="18"/>
                <w:szCs w:val="18"/>
              </w:rPr>
              <w:t>现场检查，无或缺应急物品、台账欠缺不得分</w:t>
            </w:r>
          </w:p>
        </w:tc>
        <w:tc>
          <w:tcPr>
            <w:tcW w:w="385" w:type="dxa"/>
            <w:tcBorders>
              <w:top w:val="nil"/>
              <w:left w:val="single" w:color="auto" w:sz="4" w:space="0"/>
              <w:bottom w:val="single" w:color="auto" w:sz="4" w:space="0"/>
              <w:right w:val="single" w:color="auto" w:sz="4" w:space="0"/>
            </w:tcBorders>
            <w:noWrap/>
            <w:vAlign w:val="center"/>
          </w:tcPr>
          <w:p w14:paraId="39C538F6">
            <w:pPr>
              <w:widowControl/>
              <w:spacing w:line="240" w:lineRule="atLeast"/>
              <w:jc w:val="center"/>
              <w:rPr>
                <w:rFonts w:ascii="宋体" w:hAnsi="宋体" w:cs="宋体"/>
                <w:kern w:val="0"/>
                <w:sz w:val="18"/>
                <w:szCs w:val="18"/>
              </w:rPr>
            </w:pPr>
          </w:p>
        </w:tc>
        <w:tc>
          <w:tcPr>
            <w:tcW w:w="386" w:type="dxa"/>
            <w:tcBorders>
              <w:top w:val="nil"/>
              <w:left w:val="single" w:color="auto" w:sz="4" w:space="0"/>
              <w:bottom w:val="single" w:color="auto" w:sz="4" w:space="0"/>
              <w:right w:val="single" w:color="auto" w:sz="4" w:space="0"/>
            </w:tcBorders>
            <w:noWrap/>
            <w:vAlign w:val="center"/>
          </w:tcPr>
          <w:p w14:paraId="4532D206">
            <w:pPr>
              <w:widowControl/>
              <w:spacing w:line="240" w:lineRule="atLeast"/>
              <w:jc w:val="center"/>
              <w:rPr>
                <w:rFonts w:ascii="宋体" w:hAnsi="宋体" w:cs="宋体"/>
                <w:kern w:val="0"/>
                <w:sz w:val="18"/>
                <w:szCs w:val="18"/>
              </w:rPr>
            </w:pPr>
          </w:p>
        </w:tc>
      </w:tr>
      <w:tr w14:paraId="1F1B5081">
        <w:tblPrEx>
          <w:tblCellMar>
            <w:top w:w="0" w:type="dxa"/>
            <w:left w:w="108" w:type="dxa"/>
            <w:bottom w:w="0" w:type="dxa"/>
            <w:right w:w="108" w:type="dxa"/>
          </w:tblCellMar>
        </w:tblPrEx>
        <w:trPr>
          <w:trHeight w:val="468" w:hRule="atLeast"/>
          <w:jc w:val="center"/>
        </w:trPr>
        <w:tc>
          <w:tcPr>
            <w:tcW w:w="474" w:type="dxa"/>
            <w:vMerge w:val="restart"/>
            <w:tcBorders>
              <w:left w:val="single" w:color="auto" w:sz="4" w:space="0"/>
              <w:right w:val="single" w:color="auto" w:sz="4" w:space="0"/>
            </w:tcBorders>
            <w:noWrap/>
            <w:vAlign w:val="center"/>
          </w:tcPr>
          <w:p w14:paraId="4718716C">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六、现场管理（10分）</w:t>
            </w:r>
          </w:p>
        </w:tc>
        <w:tc>
          <w:tcPr>
            <w:tcW w:w="317" w:type="dxa"/>
            <w:tcBorders>
              <w:left w:val="single" w:color="auto" w:sz="4" w:space="0"/>
              <w:bottom w:val="single" w:color="auto" w:sz="4" w:space="0"/>
              <w:right w:val="single" w:color="auto" w:sz="4" w:space="0"/>
            </w:tcBorders>
            <w:noWrap/>
            <w:vAlign w:val="center"/>
          </w:tcPr>
          <w:p w14:paraId="1557A0FE">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办公场所</w:t>
            </w:r>
          </w:p>
        </w:tc>
        <w:tc>
          <w:tcPr>
            <w:tcW w:w="4124" w:type="dxa"/>
            <w:gridSpan w:val="2"/>
            <w:tcBorders>
              <w:top w:val="single" w:color="auto" w:sz="4" w:space="0"/>
              <w:left w:val="single" w:color="auto" w:sz="4" w:space="0"/>
              <w:bottom w:val="single" w:color="auto" w:sz="4" w:space="0"/>
              <w:right w:val="single" w:color="auto" w:sz="4" w:space="0"/>
            </w:tcBorders>
            <w:noWrap/>
            <w:vAlign w:val="center"/>
          </w:tcPr>
          <w:p w14:paraId="216D3328">
            <w:pPr>
              <w:widowControl/>
              <w:spacing w:line="240" w:lineRule="atLeast"/>
              <w:rPr>
                <w:rFonts w:ascii="宋体" w:hAnsi="宋体" w:cs="宋体"/>
                <w:kern w:val="0"/>
                <w:sz w:val="18"/>
                <w:szCs w:val="18"/>
              </w:rPr>
            </w:pPr>
            <w:r>
              <w:rPr>
                <w:rFonts w:hint="eastAsia" w:ascii="宋体" w:hAnsi="宋体" w:eastAsia="宋体" w:cs="宋体"/>
                <w:kern w:val="0"/>
                <w:sz w:val="18"/>
                <w:szCs w:val="18"/>
              </w:rPr>
              <w:t>（1）办公区域、化验区域、操作区域、机房内无垃圾堆放、无烟头、无痰迹、照明设施分布整齐、完好；（2）门、窗、玻璃明亮、无破损；（3）墙壁无乱涂画、整洁；（4）办公桌椅及用品、操作工具，摆放整齐有序；（5）操作人员着装整齐统一，文明礼貌。</w:t>
            </w:r>
          </w:p>
        </w:tc>
        <w:tc>
          <w:tcPr>
            <w:tcW w:w="584" w:type="dxa"/>
            <w:tcBorders>
              <w:top w:val="nil"/>
              <w:left w:val="single" w:color="auto" w:sz="4" w:space="0"/>
              <w:bottom w:val="single" w:color="auto" w:sz="4" w:space="0"/>
              <w:right w:val="single" w:color="auto" w:sz="4" w:space="0"/>
            </w:tcBorders>
            <w:noWrap/>
            <w:vAlign w:val="center"/>
          </w:tcPr>
          <w:p w14:paraId="79BF4DAD">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6</w:t>
            </w:r>
          </w:p>
        </w:tc>
        <w:tc>
          <w:tcPr>
            <w:tcW w:w="2252" w:type="dxa"/>
            <w:tcBorders>
              <w:top w:val="single" w:color="auto" w:sz="4" w:space="0"/>
              <w:left w:val="single" w:color="auto" w:sz="4" w:space="0"/>
              <w:bottom w:val="single" w:color="auto" w:sz="4" w:space="0"/>
              <w:right w:val="single" w:color="auto" w:sz="4" w:space="0"/>
            </w:tcBorders>
            <w:noWrap/>
            <w:vAlign w:val="center"/>
          </w:tcPr>
          <w:p w14:paraId="42FE4D12">
            <w:pPr>
              <w:widowControl/>
              <w:spacing w:line="240" w:lineRule="atLeast"/>
              <w:rPr>
                <w:rFonts w:ascii="宋体" w:hAnsi="宋体" w:cs="宋体"/>
                <w:kern w:val="0"/>
                <w:sz w:val="18"/>
                <w:szCs w:val="18"/>
              </w:rPr>
            </w:pPr>
            <w:r>
              <w:rPr>
                <w:rFonts w:hint="eastAsia" w:ascii="宋体" w:hAnsi="宋体" w:eastAsia="宋体" w:cs="宋体"/>
                <w:kern w:val="0"/>
                <w:sz w:val="18"/>
                <w:szCs w:val="18"/>
              </w:rPr>
              <w:t>现场检查，每一项不满足扣1分。</w:t>
            </w:r>
          </w:p>
        </w:tc>
        <w:tc>
          <w:tcPr>
            <w:tcW w:w="385" w:type="dxa"/>
            <w:tcBorders>
              <w:top w:val="nil"/>
              <w:left w:val="single" w:color="auto" w:sz="4" w:space="0"/>
              <w:bottom w:val="single" w:color="auto" w:sz="4" w:space="0"/>
              <w:right w:val="single" w:color="auto" w:sz="4" w:space="0"/>
            </w:tcBorders>
            <w:noWrap/>
            <w:vAlign w:val="center"/>
          </w:tcPr>
          <w:p w14:paraId="05CCA9C9">
            <w:pPr>
              <w:widowControl/>
              <w:spacing w:line="240" w:lineRule="atLeast"/>
              <w:jc w:val="center"/>
              <w:rPr>
                <w:rFonts w:ascii="宋体" w:hAnsi="宋体" w:cs="宋体"/>
                <w:kern w:val="0"/>
                <w:sz w:val="18"/>
                <w:szCs w:val="18"/>
              </w:rPr>
            </w:pPr>
          </w:p>
        </w:tc>
        <w:tc>
          <w:tcPr>
            <w:tcW w:w="386" w:type="dxa"/>
            <w:tcBorders>
              <w:top w:val="nil"/>
              <w:left w:val="single" w:color="auto" w:sz="4" w:space="0"/>
              <w:bottom w:val="single" w:color="auto" w:sz="4" w:space="0"/>
              <w:right w:val="single" w:color="auto" w:sz="4" w:space="0"/>
            </w:tcBorders>
            <w:noWrap/>
            <w:vAlign w:val="center"/>
          </w:tcPr>
          <w:p w14:paraId="06D45F98">
            <w:pPr>
              <w:widowControl/>
              <w:spacing w:line="240" w:lineRule="atLeast"/>
              <w:jc w:val="center"/>
              <w:rPr>
                <w:rFonts w:ascii="宋体" w:hAnsi="宋体" w:cs="宋体"/>
                <w:kern w:val="0"/>
                <w:sz w:val="18"/>
                <w:szCs w:val="18"/>
              </w:rPr>
            </w:pPr>
          </w:p>
        </w:tc>
      </w:tr>
      <w:tr w14:paraId="6E842318">
        <w:tblPrEx>
          <w:tblCellMar>
            <w:top w:w="0" w:type="dxa"/>
            <w:left w:w="108" w:type="dxa"/>
            <w:bottom w:w="0" w:type="dxa"/>
            <w:right w:w="108" w:type="dxa"/>
          </w:tblCellMar>
        </w:tblPrEx>
        <w:trPr>
          <w:trHeight w:val="468" w:hRule="atLeast"/>
          <w:jc w:val="center"/>
        </w:trPr>
        <w:tc>
          <w:tcPr>
            <w:tcW w:w="474" w:type="dxa"/>
            <w:vMerge w:val="continue"/>
            <w:tcBorders>
              <w:left w:val="single" w:color="auto" w:sz="4" w:space="0"/>
              <w:bottom w:val="single" w:color="auto" w:sz="4" w:space="0"/>
              <w:right w:val="single" w:color="auto" w:sz="4" w:space="0"/>
            </w:tcBorders>
            <w:noWrap/>
            <w:vAlign w:val="center"/>
          </w:tcPr>
          <w:p w14:paraId="30DED29C">
            <w:pPr>
              <w:widowControl/>
              <w:spacing w:line="240" w:lineRule="atLeast"/>
              <w:jc w:val="center"/>
              <w:rPr>
                <w:rFonts w:ascii="宋体" w:hAnsi="宋体" w:cs="宋体"/>
                <w:kern w:val="0"/>
                <w:sz w:val="18"/>
                <w:szCs w:val="18"/>
              </w:rPr>
            </w:pPr>
          </w:p>
        </w:tc>
        <w:tc>
          <w:tcPr>
            <w:tcW w:w="317" w:type="dxa"/>
            <w:tcBorders>
              <w:left w:val="single" w:color="auto" w:sz="4" w:space="0"/>
              <w:bottom w:val="single" w:color="auto" w:sz="4" w:space="0"/>
              <w:right w:val="single" w:color="auto" w:sz="4" w:space="0"/>
            </w:tcBorders>
            <w:noWrap/>
            <w:vAlign w:val="center"/>
          </w:tcPr>
          <w:p w14:paraId="75BA59B0">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设备要求</w:t>
            </w:r>
          </w:p>
        </w:tc>
        <w:tc>
          <w:tcPr>
            <w:tcW w:w="4124" w:type="dxa"/>
            <w:gridSpan w:val="2"/>
            <w:tcBorders>
              <w:top w:val="single" w:color="auto" w:sz="4" w:space="0"/>
              <w:left w:val="single" w:color="auto" w:sz="4" w:space="0"/>
              <w:bottom w:val="single" w:color="auto" w:sz="4" w:space="0"/>
              <w:right w:val="single" w:color="auto" w:sz="4" w:space="0"/>
            </w:tcBorders>
            <w:noWrap/>
            <w:vAlign w:val="center"/>
          </w:tcPr>
          <w:p w14:paraId="67D1412E">
            <w:pPr>
              <w:widowControl/>
              <w:spacing w:line="240" w:lineRule="atLeast"/>
              <w:rPr>
                <w:rFonts w:ascii="宋体" w:hAnsi="宋体" w:cs="宋体"/>
                <w:kern w:val="0"/>
                <w:sz w:val="18"/>
                <w:szCs w:val="18"/>
              </w:rPr>
            </w:pPr>
            <w:r>
              <w:rPr>
                <w:rFonts w:hint="eastAsia" w:ascii="宋体" w:hAnsi="宋体" w:eastAsia="宋体" w:cs="宋体"/>
                <w:kern w:val="0"/>
                <w:sz w:val="18"/>
                <w:szCs w:val="18"/>
              </w:rPr>
              <w:t>设施、设备应保持清洁，及时处理跑、冒、滴、漏、堵等问题。</w:t>
            </w:r>
          </w:p>
        </w:tc>
        <w:tc>
          <w:tcPr>
            <w:tcW w:w="584" w:type="dxa"/>
            <w:tcBorders>
              <w:top w:val="nil"/>
              <w:left w:val="single" w:color="auto" w:sz="4" w:space="0"/>
              <w:bottom w:val="single" w:color="auto" w:sz="4" w:space="0"/>
              <w:right w:val="single" w:color="auto" w:sz="4" w:space="0"/>
            </w:tcBorders>
            <w:noWrap/>
            <w:vAlign w:val="center"/>
          </w:tcPr>
          <w:p w14:paraId="773398D6">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4</w:t>
            </w:r>
          </w:p>
        </w:tc>
        <w:tc>
          <w:tcPr>
            <w:tcW w:w="2252" w:type="dxa"/>
            <w:tcBorders>
              <w:top w:val="single" w:color="auto" w:sz="4" w:space="0"/>
              <w:left w:val="single" w:color="auto" w:sz="4" w:space="0"/>
              <w:bottom w:val="single" w:color="auto" w:sz="4" w:space="0"/>
              <w:right w:val="single" w:color="auto" w:sz="4" w:space="0"/>
            </w:tcBorders>
            <w:noWrap/>
            <w:vAlign w:val="center"/>
          </w:tcPr>
          <w:p w14:paraId="327EF400">
            <w:pPr>
              <w:widowControl/>
              <w:spacing w:line="240" w:lineRule="atLeast"/>
              <w:rPr>
                <w:rFonts w:ascii="宋体" w:hAnsi="宋体" w:cs="宋体"/>
                <w:kern w:val="0"/>
                <w:sz w:val="18"/>
                <w:szCs w:val="18"/>
              </w:rPr>
            </w:pPr>
            <w:r>
              <w:rPr>
                <w:rFonts w:hint="eastAsia" w:ascii="宋体" w:hAnsi="宋体" w:eastAsia="宋体" w:cs="宋体"/>
                <w:kern w:val="0"/>
                <w:sz w:val="18"/>
                <w:szCs w:val="18"/>
              </w:rPr>
              <w:t>现场进行检查，设备不清洁每处扣1分，出现跑、冒、滴、漏、堵每处扣1分。</w:t>
            </w:r>
          </w:p>
        </w:tc>
        <w:tc>
          <w:tcPr>
            <w:tcW w:w="385" w:type="dxa"/>
            <w:tcBorders>
              <w:top w:val="nil"/>
              <w:left w:val="single" w:color="auto" w:sz="4" w:space="0"/>
              <w:bottom w:val="single" w:color="auto" w:sz="4" w:space="0"/>
              <w:right w:val="single" w:color="auto" w:sz="4" w:space="0"/>
            </w:tcBorders>
            <w:noWrap/>
            <w:vAlign w:val="center"/>
          </w:tcPr>
          <w:p w14:paraId="17898B2D">
            <w:pPr>
              <w:widowControl/>
              <w:spacing w:line="240" w:lineRule="atLeast"/>
              <w:jc w:val="center"/>
              <w:rPr>
                <w:rFonts w:ascii="宋体" w:hAnsi="宋体" w:cs="宋体"/>
                <w:kern w:val="0"/>
                <w:sz w:val="18"/>
                <w:szCs w:val="18"/>
              </w:rPr>
            </w:pPr>
          </w:p>
        </w:tc>
        <w:tc>
          <w:tcPr>
            <w:tcW w:w="386" w:type="dxa"/>
            <w:tcBorders>
              <w:top w:val="nil"/>
              <w:left w:val="single" w:color="auto" w:sz="4" w:space="0"/>
              <w:bottom w:val="single" w:color="auto" w:sz="4" w:space="0"/>
              <w:right w:val="single" w:color="auto" w:sz="4" w:space="0"/>
            </w:tcBorders>
            <w:noWrap/>
            <w:vAlign w:val="center"/>
          </w:tcPr>
          <w:p w14:paraId="5C5912F5">
            <w:pPr>
              <w:widowControl/>
              <w:spacing w:line="240" w:lineRule="atLeast"/>
              <w:jc w:val="center"/>
              <w:rPr>
                <w:rFonts w:ascii="宋体" w:hAnsi="宋体" w:cs="宋体"/>
                <w:kern w:val="0"/>
                <w:sz w:val="18"/>
                <w:szCs w:val="18"/>
              </w:rPr>
            </w:pPr>
          </w:p>
        </w:tc>
      </w:tr>
      <w:tr w14:paraId="1ED1AAC1">
        <w:tblPrEx>
          <w:tblCellMar>
            <w:top w:w="0" w:type="dxa"/>
            <w:left w:w="108" w:type="dxa"/>
            <w:bottom w:w="0" w:type="dxa"/>
            <w:right w:w="108" w:type="dxa"/>
          </w:tblCellMar>
        </w:tblPrEx>
        <w:trPr>
          <w:trHeight w:val="468" w:hRule="atLeast"/>
          <w:jc w:val="center"/>
        </w:trPr>
        <w:tc>
          <w:tcPr>
            <w:tcW w:w="791" w:type="dxa"/>
            <w:gridSpan w:val="2"/>
            <w:tcBorders>
              <w:left w:val="single" w:color="auto" w:sz="4" w:space="0"/>
              <w:bottom w:val="single" w:color="auto" w:sz="4" w:space="0"/>
              <w:right w:val="single" w:color="auto" w:sz="4" w:space="0"/>
            </w:tcBorders>
            <w:noWrap/>
            <w:vAlign w:val="center"/>
          </w:tcPr>
          <w:p w14:paraId="79B3320C">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一票否决</w:t>
            </w:r>
          </w:p>
        </w:tc>
        <w:tc>
          <w:tcPr>
            <w:tcW w:w="4124" w:type="dxa"/>
            <w:gridSpan w:val="2"/>
            <w:tcBorders>
              <w:top w:val="single" w:color="auto" w:sz="4" w:space="0"/>
              <w:left w:val="single" w:color="auto" w:sz="4" w:space="0"/>
              <w:bottom w:val="single" w:color="auto" w:sz="4" w:space="0"/>
              <w:right w:val="single" w:color="auto" w:sz="4" w:space="0"/>
            </w:tcBorders>
            <w:noWrap/>
            <w:vAlign w:val="center"/>
          </w:tcPr>
          <w:p w14:paraId="1AD3A279">
            <w:pPr>
              <w:widowControl/>
              <w:spacing w:line="240" w:lineRule="atLeast"/>
              <w:rPr>
                <w:rFonts w:ascii="宋体" w:hAnsi="宋体" w:cs="宋体"/>
                <w:kern w:val="0"/>
                <w:sz w:val="18"/>
                <w:szCs w:val="18"/>
              </w:rPr>
            </w:pPr>
            <w:r>
              <w:rPr>
                <w:rFonts w:hint="eastAsia" w:ascii="宋体" w:hAnsi="宋体" w:eastAsia="宋体" w:cs="宋体"/>
                <w:kern w:val="0"/>
                <w:sz w:val="18"/>
                <w:szCs w:val="18"/>
              </w:rPr>
              <w:t>如对甲方产生重大社会影响或较严重的不良后果的；对合同规定的任务或工作未及时完成，给甲方工作造成重大影响的</w:t>
            </w:r>
          </w:p>
        </w:tc>
        <w:tc>
          <w:tcPr>
            <w:tcW w:w="584" w:type="dxa"/>
            <w:tcBorders>
              <w:top w:val="nil"/>
              <w:left w:val="single" w:color="auto" w:sz="4" w:space="0"/>
              <w:bottom w:val="single" w:color="auto" w:sz="4" w:space="0"/>
              <w:right w:val="single" w:color="auto" w:sz="4" w:space="0"/>
            </w:tcBorders>
            <w:noWrap/>
            <w:vAlign w:val="center"/>
          </w:tcPr>
          <w:p w14:paraId="3588E007">
            <w:pPr>
              <w:widowControl/>
              <w:spacing w:line="240" w:lineRule="atLeast"/>
              <w:jc w:val="center"/>
              <w:rPr>
                <w:rFonts w:ascii="宋体" w:hAnsi="宋体" w:cs="宋体"/>
                <w:kern w:val="0"/>
                <w:sz w:val="18"/>
                <w:szCs w:val="18"/>
              </w:rPr>
            </w:pPr>
            <w:r>
              <w:rPr>
                <w:rFonts w:hint="eastAsia" w:ascii="宋体" w:hAnsi="宋体" w:eastAsia="宋体" w:cs="宋体"/>
                <w:kern w:val="0"/>
                <w:sz w:val="18"/>
                <w:szCs w:val="18"/>
              </w:rPr>
              <w:t>31</w:t>
            </w:r>
          </w:p>
        </w:tc>
        <w:tc>
          <w:tcPr>
            <w:tcW w:w="2252" w:type="dxa"/>
            <w:tcBorders>
              <w:top w:val="single" w:color="auto" w:sz="4" w:space="0"/>
              <w:left w:val="single" w:color="auto" w:sz="4" w:space="0"/>
              <w:bottom w:val="single" w:color="auto" w:sz="4" w:space="0"/>
              <w:right w:val="single" w:color="auto" w:sz="4" w:space="0"/>
            </w:tcBorders>
            <w:noWrap/>
            <w:vAlign w:val="center"/>
          </w:tcPr>
          <w:p w14:paraId="521DF9A8">
            <w:pPr>
              <w:widowControl/>
              <w:spacing w:line="240" w:lineRule="atLeast"/>
              <w:rPr>
                <w:rFonts w:ascii="宋体" w:hAnsi="宋体" w:cs="宋体"/>
                <w:kern w:val="0"/>
                <w:sz w:val="18"/>
                <w:szCs w:val="18"/>
              </w:rPr>
            </w:pPr>
            <w:r>
              <w:rPr>
                <w:rFonts w:hint="eastAsia" w:ascii="宋体" w:hAnsi="宋体" w:eastAsia="宋体" w:cs="宋体"/>
                <w:kern w:val="0"/>
                <w:sz w:val="18"/>
                <w:szCs w:val="18"/>
              </w:rPr>
              <w:t>出现则扣31分，季度考核不合格</w:t>
            </w:r>
          </w:p>
        </w:tc>
        <w:tc>
          <w:tcPr>
            <w:tcW w:w="385" w:type="dxa"/>
            <w:tcBorders>
              <w:top w:val="nil"/>
              <w:left w:val="single" w:color="auto" w:sz="4" w:space="0"/>
              <w:bottom w:val="single" w:color="auto" w:sz="4" w:space="0"/>
              <w:right w:val="single" w:color="auto" w:sz="4" w:space="0"/>
            </w:tcBorders>
            <w:noWrap/>
            <w:vAlign w:val="center"/>
          </w:tcPr>
          <w:p w14:paraId="78FE28FA">
            <w:pPr>
              <w:widowControl/>
              <w:spacing w:line="240" w:lineRule="atLeast"/>
              <w:jc w:val="center"/>
              <w:rPr>
                <w:rFonts w:ascii="宋体" w:hAnsi="宋体" w:cs="宋体"/>
                <w:kern w:val="0"/>
                <w:sz w:val="18"/>
                <w:szCs w:val="18"/>
              </w:rPr>
            </w:pPr>
          </w:p>
        </w:tc>
        <w:tc>
          <w:tcPr>
            <w:tcW w:w="386" w:type="dxa"/>
            <w:tcBorders>
              <w:top w:val="nil"/>
              <w:left w:val="single" w:color="auto" w:sz="4" w:space="0"/>
              <w:bottom w:val="single" w:color="auto" w:sz="4" w:space="0"/>
              <w:right w:val="single" w:color="auto" w:sz="4" w:space="0"/>
            </w:tcBorders>
            <w:noWrap/>
            <w:vAlign w:val="center"/>
          </w:tcPr>
          <w:p w14:paraId="7E0E2F81">
            <w:pPr>
              <w:widowControl/>
              <w:spacing w:line="240" w:lineRule="atLeast"/>
              <w:jc w:val="center"/>
              <w:rPr>
                <w:rFonts w:ascii="宋体" w:hAnsi="宋体" w:cs="宋体"/>
                <w:kern w:val="0"/>
                <w:sz w:val="18"/>
                <w:szCs w:val="18"/>
              </w:rPr>
            </w:pPr>
          </w:p>
        </w:tc>
      </w:tr>
      <w:tr w14:paraId="4787ECD3">
        <w:tblPrEx>
          <w:tblCellMar>
            <w:top w:w="0" w:type="dxa"/>
            <w:left w:w="108" w:type="dxa"/>
            <w:bottom w:w="0" w:type="dxa"/>
            <w:right w:w="108" w:type="dxa"/>
          </w:tblCellMar>
        </w:tblPrEx>
        <w:trPr>
          <w:trHeight w:val="468" w:hRule="atLeast"/>
          <w:jc w:val="center"/>
        </w:trPr>
        <w:tc>
          <w:tcPr>
            <w:tcW w:w="791" w:type="dxa"/>
            <w:gridSpan w:val="2"/>
            <w:tcBorders>
              <w:left w:val="single" w:color="auto" w:sz="4" w:space="0"/>
              <w:bottom w:val="single" w:color="auto" w:sz="4" w:space="0"/>
              <w:right w:val="single" w:color="auto" w:sz="4" w:space="0"/>
            </w:tcBorders>
            <w:noWrap/>
            <w:vAlign w:val="center"/>
          </w:tcPr>
          <w:p w14:paraId="697DAF12">
            <w:pPr>
              <w:widowControl/>
              <w:spacing w:line="240" w:lineRule="atLeast"/>
              <w:jc w:val="center"/>
              <w:rPr>
                <w:rFonts w:ascii="宋体" w:hAnsi="宋体" w:cs="宋体"/>
                <w:b/>
                <w:bCs/>
                <w:kern w:val="0"/>
                <w:sz w:val="18"/>
                <w:szCs w:val="18"/>
              </w:rPr>
            </w:pPr>
            <w:r>
              <w:rPr>
                <w:rFonts w:hint="eastAsia" w:ascii="宋体" w:hAnsi="宋体" w:eastAsia="宋体" w:cs="宋体"/>
                <w:b/>
                <w:bCs/>
                <w:kern w:val="0"/>
                <w:sz w:val="18"/>
                <w:szCs w:val="18"/>
              </w:rPr>
              <w:t>得分情况</w:t>
            </w:r>
          </w:p>
        </w:tc>
        <w:tc>
          <w:tcPr>
            <w:tcW w:w="4124" w:type="dxa"/>
            <w:gridSpan w:val="2"/>
            <w:tcBorders>
              <w:left w:val="single" w:color="auto" w:sz="4" w:space="0"/>
              <w:bottom w:val="single" w:color="auto" w:sz="4" w:space="0"/>
              <w:right w:val="single" w:color="auto" w:sz="4" w:space="0"/>
            </w:tcBorders>
            <w:noWrap/>
            <w:vAlign w:val="center"/>
          </w:tcPr>
          <w:p w14:paraId="5AC09379">
            <w:pPr>
              <w:widowControl/>
              <w:spacing w:line="240" w:lineRule="atLeast"/>
              <w:jc w:val="center"/>
              <w:rPr>
                <w:rFonts w:ascii="宋体" w:hAnsi="宋体" w:cs="宋体"/>
                <w:b/>
                <w:bCs/>
                <w:kern w:val="0"/>
                <w:sz w:val="18"/>
                <w:szCs w:val="18"/>
              </w:rPr>
            </w:pPr>
            <w:r>
              <w:rPr>
                <w:rFonts w:hint="eastAsia" w:ascii="宋体" w:hAnsi="宋体" w:eastAsia="宋体" w:cs="宋体"/>
                <w:b/>
                <w:bCs/>
                <w:kern w:val="0"/>
                <w:sz w:val="18"/>
                <w:szCs w:val="18"/>
              </w:rPr>
              <w:t>设计总分</w:t>
            </w:r>
          </w:p>
        </w:tc>
        <w:tc>
          <w:tcPr>
            <w:tcW w:w="584" w:type="dxa"/>
            <w:tcBorders>
              <w:top w:val="single" w:color="auto" w:sz="4" w:space="0"/>
              <w:left w:val="single" w:color="auto" w:sz="4" w:space="0"/>
              <w:bottom w:val="single" w:color="auto" w:sz="4" w:space="0"/>
              <w:right w:val="single" w:color="auto" w:sz="4" w:space="0"/>
            </w:tcBorders>
            <w:noWrap/>
            <w:vAlign w:val="center"/>
          </w:tcPr>
          <w:p w14:paraId="452D9CD3">
            <w:pPr>
              <w:widowControl/>
              <w:spacing w:line="240" w:lineRule="atLeast"/>
              <w:jc w:val="center"/>
              <w:rPr>
                <w:rFonts w:ascii="宋体" w:hAnsi="宋体" w:cs="宋体"/>
                <w:b/>
                <w:bCs/>
                <w:kern w:val="0"/>
                <w:sz w:val="18"/>
                <w:szCs w:val="18"/>
              </w:rPr>
            </w:pPr>
            <w:r>
              <w:rPr>
                <w:rFonts w:hint="eastAsia" w:ascii="宋体" w:hAnsi="宋体" w:eastAsia="宋体" w:cs="宋体"/>
                <w:b/>
                <w:bCs/>
                <w:kern w:val="0"/>
                <w:sz w:val="18"/>
                <w:szCs w:val="18"/>
              </w:rPr>
              <w:t>100</w:t>
            </w:r>
          </w:p>
        </w:tc>
        <w:tc>
          <w:tcPr>
            <w:tcW w:w="2252" w:type="dxa"/>
            <w:tcBorders>
              <w:top w:val="nil"/>
              <w:left w:val="single" w:color="auto" w:sz="4" w:space="0"/>
              <w:bottom w:val="single" w:color="auto" w:sz="4" w:space="0"/>
              <w:right w:val="single" w:color="auto" w:sz="4" w:space="0"/>
            </w:tcBorders>
            <w:noWrap/>
            <w:vAlign w:val="center"/>
          </w:tcPr>
          <w:p w14:paraId="4B6546F6">
            <w:pPr>
              <w:widowControl/>
              <w:spacing w:line="240" w:lineRule="atLeast"/>
              <w:jc w:val="center"/>
              <w:rPr>
                <w:rFonts w:ascii="宋体" w:hAnsi="宋体" w:cs="宋体"/>
                <w:b/>
                <w:bCs/>
                <w:kern w:val="0"/>
                <w:sz w:val="18"/>
                <w:szCs w:val="18"/>
              </w:rPr>
            </w:pPr>
            <w:r>
              <w:rPr>
                <w:rFonts w:hint="eastAsia" w:ascii="宋体" w:hAnsi="宋体" w:eastAsia="宋体" w:cs="宋体"/>
                <w:b/>
                <w:bCs/>
                <w:kern w:val="0"/>
                <w:sz w:val="18"/>
                <w:szCs w:val="18"/>
              </w:rPr>
              <w:t>实际得分</w:t>
            </w:r>
          </w:p>
        </w:tc>
        <w:tc>
          <w:tcPr>
            <w:tcW w:w="771" w:type="dxa"/>
            <w:gridSpan w:val="2"/>
            <w:tcBorders>
              <w:top w:val="single" w:color="auto" w:sz="4" w:space="0"/>
              <w:left w:val="single" w:color="auto" w:sz="4" w:space="0"/>
              <w:bottom w:val="single" w:color="auto" w:sz="4" w:space="0"/>
              <w:right w:val="single" w:color="auto" w:sz="4" w:space="0"/>
            </w:tcBorders>
            <w:noWrap/>
            <w:vAlign w:val="center"/>
          </w:tcPr>
          <w:p w14:paraId="4E2BE922">
            <w:pPr>
              <w:widowControl/>
              <w:spacing w:line="240" w:lineRule="atLeast"/>
              <w:jc w:val="center"/>
              <w:rPr>
                <w:rFonts w:ascii="宋体" w:hAnsi="宋体" w:cs="宋体"/>
                <w:kern w:val="0"/>
                <w:sz w:val="18"/>
                <w:szCs w:val="18"/>
              </w:rPr>
            </w:pPr>
          </w:p>
        </w:tc>
      </w:tr>
    </w:tbl>
    <w:p w14:paraId="056B8009">
      <w:pPr>
        <w:widowControl/>
        <w:jc w:val="left"/>
        <w:rPr>
          <w:rFonts w:cs="宋体" w:asciiTheme="majorEastAsia" w:hAnsiTheme="majorEastAsia" w:eastAsiaTheme="majorEastAsia"/>
          <w:b/>
          <w:color w:val="000000"/>
          <w:sz w:val="24"/>
          <w:szCs w:val="24"/>
        </w:rPr>
      </w:pPr>
    </w:p>
    <w:p w14:paraId="5E884A60">
      <w:pPr>
        <w:widowControl/>
        <w:jc w:val="left"/>
        <w:rPr>
          <w:rFonts w:cs="宋体" w:asciiTheme="majorEastAsia" w:hAnsiTheme="majorEastAsia" w:eastAsiaTheme="majorEastAsia"/>
          <w:b/>
          <w:color w:val="000000"/>
          <w:sz w:val="24"/>
          <w:szCs w:val="24"/>
        </w:rPr>
      </w:pPr>
      <w:r>
        <w:rPr>
          <w:rFonts w:hint="eastAsia" w:cs="宋体" w:asciiTheme="majorEastAsia" w:hAnsiTheme="majorEastAsia" w:eastAsiaTheme="majorEastAsia"/>
          <w:b/>
          <w:color w:val="000000"/>
          <w:sz w:val="24"/>
          <w:szCs w:val="24"/>
        </w:rPr>
        <w:t>商务要求：</w:t>
      </w:r>
    </w:p>
    <w:p w14:paraId="4FE2DE1D">
      <w:pPr>
        <w:pStyle w:val="8"/>
        <w:adjustRightInd w:val="0"/>
        <w:snapToGrid w:val="0"/>
        <w:ind w:firstLine="405"/>
        <w:rPr>
          <w:rFonts w:hAnsi="宋体" w:cs="宋体"/>
        </w:rPr>
      </w:pPr>
      <w:r>
        <w:rPr>
          <w:rFonts w:hint="eastAsia" w:hAnsi="宋体" w:cs="宋体"/>
        </w:rPr>
        <w:t>（一）服务期限：</w:t>
      </w:r>
    </w:p>
    <w:p w14:paraId="3A06B740">
      <w:pPr>
        <w:pStyle w:val="10"/>
        <w:adjustRightInd w:val="0"/>
        <w:snapToGrid w:val="0"/>
        <w:spacing w:line="440" w:lineRule="atLeast"/>
        <w:ind w:firstLine="480" w:firstLineChars="200"/>
        <w:rPr>
          <w:rFonts w:hAnsi="宋体"/>
          <w:sz w:val="24"/>
          <w:szCs w:val="24"/>
        </w:rPr>
      </w:pPr>
      <w:r>
        <w:rPr>
          <w:rFonts w:hint="eastAsia" w:hAnsi="宋体"/>
          <w:sz w:val="24"/>
          <w:szCs w:val="24"/>
        </w:rPr>
        <w:t>合同签订后一年。在合同期满前三个月，经双方同意，合同可续签一年，最多续签2次。</w:t>
      </w:r>
    </w:p>
    <w:p w14:paraId="5BA64D0C">
      <w:pPr>
        <w:pStyle w:val="8"/>
        <w:adjustRightInd w:val="0"/>
        <w:snapToGrid w:val="0"/>
        <w:ind w:firstLine="405"/>
        <w:rPr>
          <w:rFonts w:ascii="宋体" w:hAnsi="宋体" w:cs="宋体"/>
        </w:rPr>
      </w:pPr>
      <w:r>
        <w:rPr>
          <w:rFonts w:hint="eastAsia" w:hAnsi="宋体" w:cs="宋体"/>
        </w:rPr>
        <w:t>（二）</w:t>
      </w:r>
      <w:r>
        <w:rPr>
          <w:rFonts w:hint="eastAsia" w:ascii="宋体" w:hAnsi="宋体" w:cs="宋体"/>
        </w:rPr>
        <w:t>付款方式：</w:t>
      </w:r>
    </w:p>
    <w:p w14:paraId="1ACE4030">
      <w:pPr>
        <w:spacing w:line="420" w:lineRule="exact"/>
        <w:ind w:firstLine="405"/>
        <w:rPr>
          <w:rFonts w:ascii="宋体" w:hAnsi="宋体"/>
          <w:sz w:val="24"/>
        </w:rPr>
      </w:pPr>
      <w:r>
        <w:rPr>
          <w:rFonts w:hint="eastAsia" w:ascii="宋体" w:hAnsi="宋体" w:eastAsia="宋体" w:cs="Times New Roman"/>
          <w:sz w:val="24"/>
          <w:szCs w:val="24"/>
        </w:rPr>
        <w:t>招标方按季度对中标方进行考核及付款，下一个季度的首月中标方根据考核结果并提供运维记录、发票等支付材料后支付相应费用。</w:t>
      </w:r>
    </w:p>
    <w:p w14:paraId="45BC8C6D">
      <w:pPr>
        <w:pStyle w:val="8"/>
        <w:adjustRightInd w:val="0"/>
        <w:snapToGrid w:val="0"/>
        <w:ind w:firstLine="405"/>
        <w:rPr>
          <w:rFonts w:hAnsi="宋体" w:cs="宋体"/>
        </w:rPr>
      </w:pPr>
      <w:r>
        <w:rPr>
          <w:rFonts w:hint="eastAsia" w:hAnsi="宋体" w:cs="宋体"/>
        </w:rPr>
        <w:t>（三）违约责任：</w:t>
      </w:r>
    </w:p>
    <w:p w14:paraId="19F6F179">
      <w:pPr>
        <w:spacing w:line="420" w:lineRule="exact"/>
        <w:ind w:firstLine="405"/>
        <w:rPr>
          <w:rFonts w:ascii="宋体" w:hAnsi="宋体"/>
          <w:sz w:val="24"/>
        </w:rPr>
      </w:pPr>
      <w:r>
        <w:rPr>
          <w:rFonts w:hint="eastAsia" w:ascii="宋体" w:hAnsi="宋体" w:eastAsia="宋体" w:cs="Times New Roman"/>
          <w:sz w:val="24"/>
          <w:szCs w:val="24"/>
        </w:rPr>
        <w:t>中标方必须接受招标方的监督、考核及管理，连续2季度考核分70分以下或累计3个季度考核分70分以下的，采购方有权终止合同。</w:t>
      </w:r>
    </w:p>
    <w:p w14:paraId="6B1EFACF">
      <w:pPr>
        <w:pStyle w:val="8"/>
        <w:autoSpaceDE w:val="0"/>
        <w:autoSpaceDN w:val="0"/>
        <w:adjustRightInd w:val="0"/>
        <w:snapToGrid w:val="0"/>
        <w:ind w:firstLine="480" w:firstLineChars="200"/>
        <w:rPr>
          <w:rFonts w:ascii="宋体" w:hAnsi="宋体" w:cs="宋体"/>
          <w:b w:val="0"/>
          <w:color w:val="000000"/>
          <w:kern w:val="0"/>
        </w:rPr>
      </w:pPr>
    </w:p>
    <w:p w14:paraId="5924EA3B">
      <w:pPr>
        <w:widowControl/>
        <w:jc w:val="left"/>
        <w:rPr>
          <w:rFonts w:cs="宋体" w:asciiTheme="minorEastAsia" w:hAnsiTheme="minorEastAsia"/>
          <w:b/>
          <w:kern w:val="0"/>
          <w:sz w:val="24"/>
          <w:szCs w:val="24"/>
        </w:rPr>
      </w:pPr>
      <w:r>
        <w:rPr>
          <w:rFonts w:cs="宋体" w:asciiTheme="minorEastAsia" w:hAnsiTheme="minorEastAsia"/>
          <w:b/>
          <w:kern w:val="0"/>
          <w:sz w:val="24"/>
          <w:szCs w:val="24"/>
        </w:rPr>
        <w:br w:type="page"/>
      </w:r>
    </w:p>
    <w:p w14:paraId="26D31B62">
      <w:pPr>
        <w:pStyle w:val="6"/>
        <w:spacing w:line="400" w:lineRule="exact"/>
        <w:ind w:firstLine="480"/>
        <w:jc w:val="left"/>
        <w:rPr>
          <w:rFonts w:asciiTheme="minorEastAsia" w:hAnsiTheme="minorEastAsia" w:eastAsiaTheme="minorEastAsia"/>
          <w:sz w:val="24"/>
        </w:rPr>
      </w:pPr>
    </w:p>
    <w:p w14:paraId="6DC53813">
      <w:pPr>
        <w:pStyle w:val="6"/>
        <w:spacing w:line="400" w:lineRule="exact"/>
        <w:ind w:firstLine="200" w:firstLineChars="0"/>
        <w:jc w:val="left"/>
        <w:rPr>
          <w:rFonts w:asciiTheme="minorEastAsia" w:hAnsiTheme="minorEastAsia" w:eastAsiaTheme="minorEastAsia"/>
          <w:b/>
          <w:sz w:val="24"/>
        </w:rPr>
      </w:pPr>
      <w:r>
        <w:rPr>
          <w:rFonts w:hint="eastAsia" w:asciiTheme="minorEastAsia" w:hAnsiTheme="minorEastAsia" w:eastAsiaTheme="minorEastAsia"/>
          <w:b/>
          <w:sz w:val="24"/>
        </w:rPr>
        <w:t>第四部分  合同条款及格式（仅供参考）</w:t>
      </w:r>
    </w:p>
    <w:p w14:paraId="6BEFC765">
      <w:pPr>
        <w:spacing w:line="400" w:lineRule="exact"/>
        <w:ind w:firstLine="480" w:firstLineChars="200"/>
        <w:jc w:val="left"/>
        <w:rPr>
          <w:rFonts w:asciiTheme="minorEastAsia" w:hAnsiTheme="minorEastAsia"/>
          <w:sz w:val="24"/>
          <w:szCs w:val="24"/>
        </w:rPr>
      </w:pPr>
      <w:bookmarkStart w:id="3" w:name="合同协议书"/>
      <w:r>
        <w:rPr>
          <w:rFonts w:hint="eastAsia" w:asciiTheme="minorEastAsia" w:hAnsiTheme="minorEastAsia"/>
          <w:sz w:val="24"/>
          <w:szCs w:val="24"/>
        </w:rPr>
        <w:t>采购人（全称）：（甲方）</w:t>
      </w:r>
    </w:p>
    <w:p w14:paraId="5CC8FA42">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承包人（全称）：（乙方）</w:t>
      </w:r>
    </w:p>
    <w:p w14:paraId="7CA4FD73">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本项目于年月日公开招标采购确定由乙方提供服务。 </w:t>
      </w:r>
    </w:p>
    <w:p w14:paraId="33C08721">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依照《中华人民共和国</w:t>
      </w:r>
      <w:r>
        <w:rPr>
          <w:rFonts w:hint="eastAsia" w:asciiTheme="minorEastAsia" w:hAnsiTheme="minorEastAsia"/>
          <w:sz w:val="24"/>
          <w:szCs w:val="24"/>
          <w:lang w:eastAsia="zh-CN"/>
        </w:rPr>
        <w:t>民法典</w:t>
      </w:r>
      <w:r>
        <w:rPr>
          <w:rFonts w:hint="eastAsia" w:asciiTheme="minorEastAsia" w:hAnsiTheme="minorEastAsia"/>
          <w:sz w:val="24"/>
          <w:szCs w:val="24"/>
        </w:rPr>
        <w:t>》、《深圳经济特区政府采购条例》及其他有关法律、法规、规章和合同格式范本，并结合深圳市有关规定及本项目的具体情况，遵循平等、自愿、公平和诚实信用的原则，双方就本项目协商一致，订立本协议。</w:t>
      </w:r>
    </w:p>
    <w:p w14:paraId="34CFC6CC">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一、项目概况</w:t>
      </w:r>
    </w:p>
    <w:p w14:paraId="0BCA5184">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项目名称：    项目地点：</w:t>
      </w:r>
    </w:p>
    <w:p w14:paraId="77AD4063">
      <w:pPr>
        <w:spacing w:line="400" w:lineRule="exact"/>
        <w:ind w:firstLine="480" w:firstLineChars="200"/>
        <w:jc w:val="left"/>
        <w:rPr>
          <w:rFonts w:asciiTheme="minorEastAsia" w:hAnsiTheme="minorEastAsia"/>
          <w:sz w:val="24"/>
          <w:szCs w:val="24"/>
          <w:u w:val="single"/>
        </w:rPr>
      </w:pPr>
      <w:r>
        <w:rPr>
          <w:rFonts w:hint="eastAsia" w:asciiTheme="minorEastAsia" w:hAnsiTheme="minorEastAsia"/>
          <w:sz w:val="24"/>
          <w:szCs w:val="24"/>
        </w:rPr>
        <w:t xml:space="preserve">    项目规模及特征：</w:t>
      </w:r>
    </w:p>
    <w:p w14:paraId="5E022BF7">
      <w:pPr>
        <w:spacing w:line="400" w:lineRule="exact"/>
        <w:ind w:firstLine="480" w:firstLineChars="200"/>
        <w:jc w:val="left"/>
        <w:rPr>
          <w:rFonts w:asciiTheme="minorEastAsia" w:hAnsiTheme="minorEastAsia"/>
          <w:sz w:val="24"/>
          <w:szCs w:val="24"/>
        </w:rPr>
      </w:pPr>
    </w:p>
    <w:p w14:paraId="08DB8122">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二、项目范围</w:t>
      </w:r>
    </w:p>
    <w:p w14:paraId="5C31A7D8">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服务范围：</w:t>
      </w:r>
    </w:p>
    <w:p w14:paraId="2CDAA14D">
      <w:pPr>
        <w:spacing w:line="400" w:lineRule="exact"/>
        <w:ind w:firstLine="960" w:firstLineChars="400"/>
        <w:jc w:val="left"/>
        <w:rPr>
          <w:rFonts w:asciiTheme="minorEastAsia" w:hAnsiTheme="minorEastAsia"/>
          <w:sz w:val="24"/>
          <w:szCs w:val="24"/>
        </w:rPr>
      </w:pPr>
      <w:r>
        <w:rPr>
          <w:rFonts w:hint="eastAsia" w:asciiTheme="minorEastAsia" w:hAnsiTheme="minorEastAsia"/>
          <w:sz w:val="24"/>
          <w:szCs w:val="24"/>
        </w:rPr>
        <w:t>服务方式：</w:t>
      </w:r>
    </w:p>
    <w:p w14:paraId="5EDA4240">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三、合同期限</w:t>
      </w:r>
    </w:p>
    <w:p w14:paraId="60DD8F74">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合同期限总日历天数天</w:t>
      </w:r>
    </w:p>
    <w:p w14:paraId="31DA59E3">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四、质量标准</w:t>
      </w:r>
    </w:p>
    <w:p w14:paraId="15C08F18">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质量标准：按照国家验收标准达到。</w:t>
      </w:r>
    </w:p>
    <w:p w14:paraId="27CFCD66">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五、合同价款</w:t>
      </w:r>
    </w:p>
    <w:p w14:paraId="4BCDE71A">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币种：</w:t>
      </w:r>
    </w:p>
    <w:p w14:paraId="253DB835">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合同总价（大写）：</w:t>
      </w:r>
    </w:p>
    <w:p w14:paraId="3C02F9C2">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（小写）：</w:t>
      </w:r>
    </w:p>
    <w:p w14:paraId="5E1BD1A1">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合同价的构成方式：</w:t>
      </w:r>
    </w:p>
    <w:p w14:paraId="7FED610A">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六、组成合同的文件</w:t>
      </w:r>
    </w:p>
    <w:p w14:paraId="20DC1A5B">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组成本合同的文件包括：</w:t>
      </w:r>
    </w:p>
    <w:p w14:paraId="590C89BD">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1、本合同格式书</w:t>
      </w:r>
    </w:p>
    <w:p w14:paraId="7871F548">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2、中标通知书</w:t>
      </w:r>
    </w:p>
    <w:p w14:paraId="06F728C1">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3、投标文件及其附件</w:t>
      </w:r>
    </w:p>
    <w:p w14:paraId="18159180">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4、招标文件</w:t>
      </w:r>
    </w:p>
    <w:p w14:paraId="442EF147">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5、本合同条款</w:t>
      </w:r>
    </w:p>
    <w:p w14:paraId="71F5A492">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6、标准、规范及有关技术文件</w:t>
      </w:r>
    </w:p>
    <w:p w14:paraId="1F8EC73D">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7、图纸</w:t>
      </w:r>
    </w:p>
    <w:p w14:paraId="6207021D">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8、工程量和设备材料清单</w:t>
      </w:r>
    </w:p>
    <w:p w14:paraId="2BC4C975">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9、双方有关项目的洽商、补充等方面协议或文件</w:t>
      </w:r>
    </w:p>
    <w:p w14:paraId="13E662B9">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10、其他</w:t>
      </w:r>
    </w:p>
    <w:p w14:paraId="0DBA917C">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七、本协议书中有关词语含义与《合同条款范本》中分别赋予它们的定义相同。</w:t>
      </w:r>
    </w:p>
    <w:p w14:paraId="442F0D70">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八、承包人须按照合同约定进行服务，并在服务期内承担项目质量责任。</w:t>
      </w:r>
    </w:p>
    <w:p w14:paraId="3003223B">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九、采购人须按照合同约定的期限和方式支付合同价款及其他应当支付的款项。</w:t>
      </w:r>
    </w:p>
    <w:p w14:paraId="13999B5A">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十、合同生效</w:t>
      </w:r>
    </w:p>
    <w:p w14:paraId="010C925D">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合同订立时间：年月日</w:t>
      </w:r>
    </w:p>
    <w:p w14:paraId="71582249">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合同订立地点：</w:t>
      </w:r>
    </w:p>
    <w:p w14:paraId="57B2F7D3">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发  包  人：（公章）                       承  包  人：（公章）</w:t>
      </w:r>
    </w:p>
    <w:p w14:paraId="6DC20F49">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住      所：                              住      所：</w:t>
      </w:r>
    </w:p>
    <w:p w14:paraId="14B36865">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法定代表人：                              法定代表人：</w:t>
      </w:r>
    </w:p>
    <w:p w14:paraId="2195C914">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委托代理人：                              委托代理人：</w:t>
      </w:r>
    </w:p>
    <w:p w14:paraId="1DF7186B">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电      话：                              电      话：</w:t>
      </w:r>
    </w:p>
    <w:p w14:paraId="1E7869D8">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传      真：                              传      真：</w:t>
      </w:r>
    </w:p>
    <w:p w14:paraId="12F1F925">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开 户 银 行：                             开 户 银 行：</w:t>
      </w:r>
    </w:p>
    <w:p w14:paraId="3980EF51">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账       号：                             账       号：</w:t>
      </w:r>
    </w:p>
    <w:p w14:paraId="12533162">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    邮 政 编 码：                             邮 政 编 码：</w:t>
      </w:r>
    </w:p>
    <w:p w14:paraId="0B4CF387">
      <w:pPr>
        <w:spacing w:line="400" w:lineRule="exact"/>
        <w:ind w:firstLine="480" w:firstLineChars="200"/>
        <w:jc w:val="left"/>
        <w:rPr>
          <w:rFonts w:asciiTheme="minorEastAsia" w:hAnsiTheme="minorEastAsia"/>
          <w:sz w:val="24"/>
          <w:szCs w:val="24"/>
        </w:rPr>
      </w:pPr>
    </w:p>
    <w:p w14:paraId="7F01F523">
      <w:pPr>
        <w:spacing w:line="400" w:lineRule="exact"/>
        <w:ind w:firstLine="480" w:firstLineChars="200"/>
        <w:jc w:val="left"/>
        <w:rPr>
          <w:rFonts w:asciiTheme="minorEastAsia" w:hAnsiTheme="minorEastAsia"/>
          <w:sz w:val="24"/>
          <w:szCs w:val="24"/>
        </w:rPr>
      </w:pPr>
    </w:p>
    <w:p w14:paraId="50B7CA9D">
      <w:pPr>
        <w:spacing w:line="400" w:lineRule="exact"/>
        <w:ind w:firstLine="6120" w:firstLineChars="2550"/>
        <w:jc w:val="left"/>
        <w:rPr>
          <w:rFonts w:asciiTheme="minorEastAsia" w:hAnsiTheme="minorEastAsia"/>
          <w:sz w:val="24"/>
          <w:szCs w:val="24"/>
        </w:rPr>
      </w:pPr>
      <w:r>
        <w:rPr>
          <w:rFonts w:hint="eastAsia" w:asciiTheme="minorEastAsia" w:hAnsiTheme="minorEastAsia"/>
          <w:sz w:val="24"/>
          <w:szCs w:val="24"/>
        </w:rPr>
        <w:t xml:space="preserve">  年   月   日</w:t>
      </w:r>
      <w:bookmarkEnd w:id="3"/>
      <w:bookmarkStart w:id="5" w:name="_GoBack"/>
      <w:bookmarkEnd w:id="5"/>
    </w:p>
    <w:p w14:paraId="4B0782E2">
      <w:pPr>
        <w:spacing w:line="400" w:lineRule="exact"/>
        <w:ind w:firstLine="480" w:firstLineChars="200"/>
        <w:jc w:val="left"/>
        <w:rPr>
          <w:rFonts w:asciiTheme="minorEastAsia" w:hAnsiTheme="minorEastAsia"/>
          <w:sz w:val="24"/>
          <w:szCs w:val="24"/>
        </w:rPr>
      </w:pPr>
    </w:p>
    <w:p w14:paraId="3F76288D">
      <w:pPr>
        <w:spacing w:line="400" w:lineRule="exact"/>
        <w:ind w:firstLine="482" w:firstLineChars="200"/>
        <w:jc w:val="left"/>
        <w:rPr>
          <w:rFonts w:asciiTheme="minorEastAsia" w:hAnsiTheme="minorEastAsia"/>
          <w:b/>
          <w:sz w:val="24"/>
          <w:szCs w:val="24"/>
        </w:rPr>
      </w:pPr>
    </w:p>
    <w:p w14:paraId="6A7EED45">
      <w:pPr>
        <w:widowControl/>
        <w:jc w:val="left"/>
        <w:rPr>
          <w:rFonts w:asciiTheme="minorEastAsia" w:hAnsiTheme="minorEastAsia"/>
          <w:b/>
          <w:sz w:val="24"/>
          <w:szCs w:val="24"/>
        </w:rPr>
      </w:pPr>
      <w:r>
        <w:rPr>
          <w:rFonts w:asciiTheme="minorEastAsia" w:hAnsiTheme="minorEastAsia"/>
          <w:b/>
          <w:sz w:val="24"/>
          <w:szCs w:val="24"/>
        </w:rPr>
        <w:br w:type="page"/>
      </w:r>
    </w:p>
    <w:p w14:paraId="709F669D">
      <w:pPr>
        <w:spacing w:line="400" w:lineRule="exact"/>
        <w:ind w:firstLine="361" w:firstLineChars="150"/>
        <w:jc w:val="left"/>
        <w:rPr>
          <w:rFonts w:asciiTheme="minorEastAsia" w:hAnsiTheme="minorEastAsia"/>
          <w:b/>
          <w:sz w:val="24"/>
          <w:szCs w:val="24"/>
        </w:rPr>
      </w:pPr>
      <w:r>
        <w:rPr>
          <w:rFonts w:hint="eastAsia" w:asciiTheme="minorEastAsia" w:hAnsiTheme="minorEastAsia"/>
          <w:b/>
          <w:sz w:val="24"/>
          <w:szCs w:val="24"/>
        </w:rPr>
        <w:t>第五部分  投标文件格式、附件</w:t>
      </w:r>
    </w:p>
    <w:p w14:paraId="19F93A27">
      <w:pPr>
        <w:spacing w:line="400" w:lineRule="exact"/>
        <w:ind w:firstLine="360" w:firstLineChars="150"/>
        <w:jc w:val="left"/>
        <w:rPr>
          <w:rFonts w:asciiTheme="minorEastAsia" w:hAnsiTheme="minorEastAsia"/>
          <w:b/>
          <w:sz w:val="24"/>
          <w:szCs w:val="24"/>
        </w:rPr>
      </w:pPr>
      <w:r>
        <w:rPr>
          <w:rFonts w:hint="eastAsia" w:cs="宋体" w:asciiTheme="minorEastAsia" w:hAnsiTheme="minorEastAsia"/>
          <w:sz w:val="24"/>
          <w:szCs w:val="24"/>
        </w:rPr>
        <w:t>1、所提交的投标文件至少应包含如下内容：</w:t>
      </w:r>
    </w:p>
    <w:p w14:paraId="663732FB">
      <w:pPr>
        <w:spacing w:line="400" w:lineRule="exact"/>
        <w:ind w:firstLine="200"/>
        <w:jc w:val="left"/>
        <w:rPr>
          <w:rFonts w:cs="宋体" w:asciiTheme="minorEastAsia" w:hAnsiTheme="minorEastAsia"/>
          <w:color w:val="000000"/>
          <w:sz w:val="24"/>
          <w:szCs w:val="24"/>
        </w:rPr>
      </w:pPr>
      <w:r>
        <w:rPr>
          <w:rFonts w:hint="eastAsia" w:cs="宋体" w:asciiTheme="minorEastAsia" w:hAnsiTheme="minorEastAsia"/>
          <w:color w:val="000000"/>
          <w:sz w:val="24"/>
          <w:szCs w:val="24"/>
        </w:rPr>
        <w:t>（1）法定代表人证明书；</w:t>
      </w:r>
    </w:p>
    <w:p w14:paraId="69781EAA">
      <w:pPr>
        <w:spacing w:line="400" w:lineRule="exact"/>
        <w:ind w:firstLine="200"/>
        <w:jc w:val="left"/>
        <w:rPr>
          <w:rFonts w:cs="宋体" w:asciiTheme="minorEastAsia" w:hAnsiTheme="minorEastAsia"/>
          <w:color w:val="000000"/>
          <w:sz w:val="24"/>
          <w:szCs w:val="24"/>
        </w:rPr>
      </w:pPr>
      <w:r>
        <w:rPr>
          <w:rFonts w:hint="eastAsia" w:cs="宋体" w:asciiTheme="minorEastAsia" w:hAnsiTheme="minorEastAsia"/>
          <w:color w:val="000000"/>
          <w:sz w:val="24"/>
          <w:szCs w:val="24"/>
        </w:rPr>
        <w:t>（2）投标文件签署授权委托书；</w:t>
      </w:r>
    </w:p>
    <w:p w14:paraId="2C084351">
      <w:pPr>
        <w:spacing w:line="400" w:lineRule="exact"/>
        <w:ind w:firstLine="200"/>
        <w:jc w:val="left"/>
        <w:rPr>
          <w:rFonts w:cs="宋体" w:asciiTheme="minorEastAsia" w:hAnsiTheme="minorEastAsia"/>
          <w:color w:val="000000"/>
          <w:sz w:val="24"/>
          <w:szCs w:val="24"/>
        </w:rPr>
      </w:pPr>
      <w:r>
        <w:rPr>
          <w:rFonts w:hint="eastAsia" w:cs="宋体" w:asciiTheme="minorEastAsia" w:hAnsiTheme="minorEastAsia"/>
          <w:color w:val="000000"/>
          <w:sz w:val="24"/>
          <w:szCs w:val="24"/>
        </w:rPr>
        <w:t>（3）投标函；</w:t>
      </w:r>
    </w:p>
    <w:p w14:paraId="5F3D1804">
      <w:pPr>
        <w:spacing w:line="400" w:lineRule="exact"/>
        <w:ind w:firstLine="200"/>
        <w:jc w:val="left"/>
        <w:rPr>
          <w:rFonts w:cs="宋体" w:asciiTheme="minorEastAsia" w:hAnsiTheme="minorEastAsia"/>
          <w:color w:val="000000"/>
          <w:sz w:val="24"/>
          <w:szCs w:val="24"/>
        </w:rPr>
      </w:pPr>
      <w:r>
        <w:rPr>
          <w:rFonts w:hint="eastAsia" w:cs="宋体" w:asciiTheme="minorEastAsia" w:hAnsiTheme="minorEastAsia"/>
          <w:color w:val="000000"/>
          <w:sz w:val="24"/>
          <w:szCs w:val="24"/>
        </w:rPr>
        <w:t>（4）投标单位诚信承诺函；</w:t>
      </w:r>
    </w:p>
    <w:p w14:paraId="4B9B164E">
      <w:pPr>
        <w:spacing w:line="400" w:lineRule="exact"/>
        <w:ind w:firstLine="200"/>
        <w:jc w:val="left"/>
        <w:rPr>
          <w:rFonts w:cs="宋体" w:asciiTheme="minorEastAsia" w:hAnsiTheme="minorEastAsia"/>
          <w:color w:val="000000"/>
          <w:sz w:val="24"/>
          <w:szCs w:val="24"/>
        </w:rPr>
      </w:pPr>
      <w:r>
        <w:rPr>
          <w:rFonts w:hint="eastAsia" w:cs="宋体" w:asciiTheme="minorEastAsia" w:hAnsiTheme="minorEastAsia"/>
          <w:color w:val="000000"/>
          <w:sz w:val="24"/>
          <w:szCs w:val="24"/>
        </w:rPr>
        <w:t>（5）投标单位情况介绍及项目资料；</w:t>
      </w:r>
    </w:p>
    <w:p w14:paraId="2A77AD2F">
      <w:pPr>
        <w:spacing w:line="400" w:lineRule="exact"/>
        <w:ind w:firstLine="200"/>
        <w:jc w:val="left"/>
        <w:rPr>
          <w:rFonts w:cs="宋体" w:asciiTheme="minorEastAsia" w:hAnsiTheme="minorEastAsia"/>
          <w:color w:val="000000"/>
          <w:sz w:val="24"/>
          <w:szCs w:val="24"/>
        </w:rPr>
      </w:pPr>
      <w:r>
        <w:rPr>
          <w:rFonts w:hint="eastAsia" w:cs="宋体" w:asciiTheme="minorEastAsia" w:hAnsiTheme="minorEastAsia"/>
          <w:color w:val="000000"/>
          <w:sz w:val="24"/>
          <w:szCs w:val="24"/>
        </w:rPr>
        <w:t>（6）开标一览表；</w:t>
      </w:r>
    </w:p>
    <w:p w14:paraId="5318D51E">
      <w:pPr>
        <w:spacing w:line="400" w:lineRule="exact"/>
        <w:ind w:firstLine="200"/>
        <w:jc w:val="left"/>
        <w:rPr>
          <w:rFonts w:cs="宋体" w:asciiTheme="minorEastAsia" w:hAnsiTheme="minorEastAsia"/>
          <w:color w:val="000000"/>
          <w:sz w:val="24"/>
          <w:szCs w:val="24"/>
        </w:rPr>
      </w:pPr>
      <w:r>
        <w:rPr>
          <w:rFonts w:hint="eastAsia" w:cs="宋体" w:asciiTheme="minorEastAsia" w:hAnsiTheme="minorEastAsia"/>
          <w:color w:val="000000"/>
          <w:sz w:val="24"/>
          <w:szCs w:val="24"/>
        </w:rPr>
        <w:t>（7）</w:t>
      </w:r>
      <w:r>
        <w:rPr>
          <w:rFonts w:hint="eastAsia" w:asciiTheme="minorEastAsia" w:hAnsiTheme="minorEastAsia"/>
          <w:color w:val="000000"/>
          <w:sz w:val="24"/>
          <w:szCs w:val="24"/>
        </w:rPr>
        <w:t>分项报价表；</w:t>
      </w:r>
    </w:p>
    <w:p w14:paraId="4AF4DBE9">
      <w:pPr>
        <w:spacing w:line="400" w:lineRule="exact"/>
        <w:ind w:firstLine="200"/>
        <w:jc w:val="left"/>
        <w:rPr>
          <w:rFonts w:cs="宋体" w:asciiTheme="minorEastAsia" w:hAnsiTheme="minorEastAsia"/>
          <w:color w:val="000000"/>
          <w:sz w:val="24"/>
          <w:szCs w:val="24"/>
        </w:rPr>
      </w:pPr>
      <w:r>
        <w:rPr>
          <w:rFonts w:hint="eastAsia" w:cs="宋体" w:asciiTheme="minorEastAsia" w:hAnsiTheme="minorEastAsia"/>
          <w:color w:val="000000"/>
          <w:sz w:val="24"/>
          <w:szCs w:val="24"/>
        </w:rPr>
        <w:t>（8）报价详细构成；</w:t>
      </w:r>
    </w:p>
    <w:p w14:paraId="3A94B90B">
      <w:pPr>
        <w:spacing w:line="400" w:lineRule="exact"/>
        <w:ind w:firstLine="200"/>
        <w:jc w:val="left"/>
        <w:rPr>
          <w:rFonts w:cs="宋体" w:asciiTheme="minorEastAsia" w:hAnsiTheme="minorEastAsia"/>
          <w:color w:val="000000"/>
          <w:sz w:val="24"/>
          <w:szCs w:val="24"/>
        </w:rPr>
      </w:pPr>
      <w:r>
        <w:rPr>
          <w:rFonts w:hint="eastAsia" w:cs="宋体" w:asciiTheme="minorEastAsia" w:hAnsiTheme="minorEastAsia"/>
          <w:color w:val="000000"/>
          <w:sz w:val="24"/>
          <w:szCs w:val="24"/>
        </w:rPr>
        <w:t>（9）综合实力响应材料</w:t>
      </w:r>
    </w:p>
    <w:p w14:paraId="7BDA771F">
      <w:pPr>
        <w:spacing w:line="400" w:lineRule="exact"/>
        <w:ind w:firstLine="200"/>
        <w:jc w:val="left"/>
        <w:rPr>
          <w:rFonts w:cs="宋体" w:asciiTheme="minorEastAsia" w:hAnsiTheme="minorEastAsia"/>
          <w:color w:val="000000"/>
          <w:sz w:val="24"/>
          <w:szCs w:val="24"/>
        </w:rPr>
      </w:pPr>
      <w:r>
        <w:rPr>
          <w:rFonts w:hint="eastAsia" w:cs="宋体" w:asciiTheme="minorEastAsia" w:hAnsiTheme="minorEastAsia"/>
          <w:color w:val="000000"/>
          <w:sz w:val="24"/>
          <w:szCs w:val="24"/>
        </w:rPr>
        <w:t>（10）其他招标文件要求的资料或投标单位认为需要补充的资料；</w:t>
      </w:r>
    </w:p>
    <w:p w14:paraId="6758B3F1">
      <w:pPr>
        <w:spacing w:line="400" w:lineRule="exact"/>
        <w:ind w:firstLine="200"/>
        <w:jc w:val="left"/>
        <w:rPr>
          <w:rFonts w:cs="宋体" w:asciiTheme="minorEastAsia" w:hAnsiTheme="minorEastAsia"/>
          <w:color w:val="000000"/>
          <w:sz w:val="24"/>
          <w:szCs w:val="24"/>
        </w:rPr>
      </w:pPr>
      <w:r>
        <w:rPr>
          <w:rFonts w:hint="eastAsia" w:cs="宋体" w:asciiTheme="minorEastAsia" w:hAnsiTheme="minorEastAsia"/>
          <w:color w:val="000000"/>
          <w:sz w:val="24"/>
          <w:szCs w:val="24"/>
        </w:rPr>
        <w:t>2、技术部分主要包括下列内容：</w:t>
      </w:r>
    </w:p>
    <w:p w14:paraId="7A740D2A">
      <w:pPr>
        <w:spacing w:line="400" w:lineRule="exact"/>
        <w:ind w:firstLine="200"/>
        <w:jc w:val="left"/>
        <w:rPr>
          <w:rFonts w:cs="宋体" w:asciiTheme="minorEastAsia" w:hAnsiTheme="minorEastAsia"/>
          <w:color w:val="000000"/>
          <w:sz w:val="24"/>
          <w:szCs w:val="24"/>
        </w:rPr>
      </w:pPr>
      <w:r>
        <w:rPr>
          <w:rFonts w:hint="eastAsia" w:asciiTheme="minorEastAsia" w:hAnsiTheme="minorEastAsia"/>
          <w:sz w:val="24"/>
          <w:szCs w:val="24"/>
        </w:rPr>
        <w:t>（1）质量体系建设</w:t>
      </w:r>
    </w:p>
    <w:p w14:paraId="1B8BD4A8">
      <w:pPr>
        <w:spacing w:line="400" w:lineRule="exact"/>
        <w:ind w:firstLine="200"/>
        <w:jc w:val="left"/>
        <w:rPr>
          <w:rFonts w:cs="宋体" w:asciiTheme="minorEastAsia" w:hAnsiTheme="minorEastAsia"/>
          <w:color w:val="000000"/>
          <w:sz w:val="24"/>
          <w:szCs w:val="24"/>
        </w:rPr>
      </w:pPr>
      <w:r>
        <w:rPr>
          <w:rFonts w:hint="eastAsia" w:asciiTheme="minorEastAsia" w:hAnsiTheme="minorEastAsia"/>
          <w:sz w:val="24"/>
          <w:szCs w:val="24"/>
        </w:rPr>
        <w:t>（2）维保人员的配备、培训与管理合理</w:t>
      </w:r>
    </w:p>
    <w:p w14:paraId="6F1F7BEC">
      <w:pPr>
        <w:spacing w:line="400" w:lineRule="exact"/>
        <w:ind w:firstLine="200"/>
        <w:jc w:val="left"/>
        <w:rPr>
          <w:rFonts w:cs="宋体" w:asciiTheme="minorEastAsia" w:hAnsiTheme="minorEastAsia"/>
          <w:color w:val="000000"/>
          <w:sz w:val="24"/>
          <w:szCs w:val="24"/>
        </w:rPr>
      </w:pPr>
      <w:r>
        <w:rPr>
          <w:rFonts w:hint="eastAsia" w:asciiTheme="minorEastAsia" w:hAnsiTheme="minorEastAsia"/>
          <w:sz w:val="24"/>
          <w:szCs w:val="24"/>
        </w:rPr>
        <w:t>（3）解决保修、急修时间保障有力及特设服务响应措施</w:t>
      </w:r>
    </w:p>
    <w:p w14:paraId="7A0CB338">
      <w:pPr>
        <w:spacing w:line="400" w:lineRule="exact"/>
        <w:ind w:firstLine="200"/>
        <w:jc w:val="left"/>
        <w:rPr>
          <w:rFonts w:cs="宋体" w:asciiTheme="minorEastAsia" w:hAnsiTheme="minorEastAsia"/>
          <w:color w:val="000000"/>
          <w:sz w:val="24"/>
          <w:szCs w:val="24"/>
        </w:rPr>
      </w:pPr>
      <w:r>
        <w:rPr>
          <w:rFonts w:hint="eastAsia" w:asciiTheme="minorEastAsia" w:hAnsiTheme="minorEastAsia"/>
          <w:sz w:val="24"/>
          <w:szCs w:val="24"/>
        </w:rPr>
        <w:t>（4）有健全有效的应急预案</w:t>
      </w:r>
    </w:p>
    <w:p w14:paraId="3CE7CBDC">
      <w:pPr>
        <w:spacing w:line="400" w:lineRule="exact"/>
        <w:ind w:firstLine="200"/>
        <w:jc w:val="left"/>
        <w:rPr>
          <w:rFonts w:cs="宋体" w:asciiTheme="minorEastAsia" w:hAnsiTheme="minorEastAsia"/>
          <w:color w:val="000000"/>
          <w:sz w:val="24"/>
          <w:szCs w:val="24"/>
        </w:rPr>
      </w:pPr>
      <w:r>
        <w:rPr>
          <w:rFonts w:hint="eastAsia" w:asciiTheme="minorEastAsia" w:hAnsiTheme="minorEastAsia"/>
          <w:sz w:val="24"/>
          <w:szCs w:val="24"/>
        </w:rPr>
        <w:t>（5）维修保养技术方案全面、计划时间安排合理</w:t>
      </w:r>
    </w:p>
    <w:p w14:paraId="2E743528">
      <w:pPr>
        <w:spacing w:line="400" w:lineRule="exact"/>
        <w:ind w:firstLine="200"/>
        <w:jc w:val="left"/>
        <w:rPr>
          <w:rFonts w:cs="宋体" w:asciiTheme="minorEastAsia" w:hAnsiTheme="minorEastAsia"/>
          <w:color w:val="000000"/>
          <w:sz w:val="24"/>
          <w:szCs w:val="24"/>
        </w:rPr>
      </w:pPr>
      <w:r>
        <w:rPr>
          <w:rFonts w:hint="eastAsia" w:asciiTheme="minorEastAsia" w:hAnsiTheme="minorEastAsia"/>
          <w:sz w:val="24"/>
          <w:szCs w:val="24"/>
        </w:rPr>
        <w:t>（6）其他</w:t>
      </w:r>
    </w:p>
    <w:p w14:paraId="51EAEFFC">
      <w:pPr>
        <w:pStyle w:val="6"/>
        <w:spacing w:line="400" w:lineRule="exact"/>
        <w:ind w:firstLine="200" w:firstLineChars="0"/>
        <w:jc w:val="left"/>
        <w:rPr>
          <w:rStyle w:val="19"/>
          <w:rFonts w:asciiTheme="minorEastAsia" w:hAnsiTheme="minorEastAsia" w:eastAsiaTheme="minorEastAsia"/>
          <w:b w:val="0"/>
          <w:color w:val="000000" w:themeColor="text1"/>
          <w:sz w:val="24"/>
        </w:rPr>
      </w:pPr>
      <w:r>
        <w:rPr>
          <w:rStyle w:val="19"/>
          <w:rFonts w:asciiTheme="minorEastAsia" w:hAnsiTheme="minorEastAsia" w:eastAsiaTheme="minorEastAsia"/>
          <w:b w:val="0"/>
          <w:color w:val="000000" w:themeColor="text1"/>
          <w:sz w:val="24"/>
        </w:rPr>
        <w:t>特别说明：</w:t>
      </w:r>
    </w:p>
    <w:p w14:paraId="27075257">
      <w:pPr>
        <w:pStyle w:val="6"/>
        <w:spacing w:line="400" w:lineRule="exact"/>
        <w:ind w:firstLine="448" w:firstLineChars="187"/>
        <w:jc w:val="left"/>
        <w:rPr>
          <w:rFonts w:asciiTheme="minorEastAsia" w:hAnsiTheme="minorEastAsia" w:eastAsiaTheme="minorEastAsia"/>
          <w:color w:val="000000" w:themeColor="text1"/>
          <w:sz w:val="24"/>
        </w:rPr>
      </w:pPr>
      <w:r>
        <w:rPr>
          <w:rStyle w:val="19"/>
          <w:rFonts w:hint="eastAsia" w:asciiTheme="minorEastAsia" w:hAnsiTheme="minorEastAsia" w:eastAsiaTheme="minorEastAsia"/>
          <w:b w:val="0"/>
          <w:color w:val="000000" w:themeColor="text1"/>
          <w:sz w:val="24"/>
        </w:rPr>
        <w:t>1、</w:t>
      </w:r>
      <w:r>
        <w:rPr>
          <w:rFonts w:hint="eastAsia" w:asciiTheme="minorEastAsia" w:hAnsiTheme="minorEastAsia" w:eastAsiaTheme="minorEastAsia"/>
          <w:color w:val="000000" w:themeColor="text1"/>
          <w:sz w:val="24"/>
        </w:rPr>
        <w:t>投标单位要按以上要求编制投标文件，提供的内容要详细、真实、可靠。</w:t>
      </w:r>
    </w:p>
    <w:p w14:paraId="0B4D1B7E">
      <w:pPr>
        <w:spacing w:line="400" w:lineRule="exact"/>
        <w:ind w:firstLine="470" w:firstLineChars="196"/>
        <w:jc w:val="left"/>
        <w:rPr>
          <w:rFonts w:asciiTheme="minorEastAsia" w:hAnsiTheme="minorEastAsia"/>
          <w:b/>
          <w:color w:val="000000" w:themeColor="text1"/>
          <w:sz w:val="24"/>
          <w:szCs w:val="24"/>
        </w:rPr>
      </w:pPr>
      <w:r>
        <w:rPr>
          <w:rStyle w:val="19"/>
          <w:rFonts w:hint="eastAsia" w:asciiTheme="minorEastAsia" w:hAnsiTheme="minorEastAsia"/>
          <w:b w:val="0"/>
          <w:color w:val="000000" w:themeColor="text1"/>
          <w:sz w:val="24"/>
          <w:szCs w:val="24"/>
        </w:rPr>
        <w:t>2、</w:t>
      </w:r>
      <w:r>
        <w:rPr>
          <w:rStyle w:val="19"/>
          <w:rFonts w:asciiTheme="minorEastAsia" w:hAnsiTheme="minorEastAsia"/>
          <w:b w:val="0"/>
          <w:color w:val="000000" w:themeColor="text1"/>
          <w:sz w:val="24"/>
          <w:szCs w:val="24"/>
        </w:rPr>
        <w:t>在开、评标当日，投标供应商应做好提供实物与原件给评标委员会核查的准备</w:t>
      </w:r>
      <w:r>
        <w:rPr>
          <w:rFonts w:hint="eastAsia" w:asciiTheme="minorEastAsia" w:hAnsiTheme="minorEastAsia"/>
          <w:b/>
          <w:color w:val="000000" w:themeColor="text1"/>
          <w:sz w:val="24"/>
          <w:szCs w:val="24"/>
        </w:rPr>
        <w:t>。</w:t>
      </w:r>
      <w:bookmarkStart w:id="4" w:name="bt建筑工程质量保修书"/>
      <w:bookmarkEnd w:id="4"/>
    </w:p>
    <w:p w14:paraId="1F5B8B35">
      <w:pPr>
        <w:widowControl/>
        <w:jc w:val="left"/>
        <w:rPr>
          <w:rFonts w:asciiTheme="minorEastAsia" w:hAnsiTheme="minorEastAsia"/>
          <w:b/>
          <w:sz w:val="24"/>
          <w:szCs w:val="24"/>
        </w:rPr>
      </w:pPr>
      <w:r>
        <w:rPr>
          <w:rFonts w:asciiTheme="minorEastAsia" w:hAnsiTheme="minorEastAsia"/>
          <w:b/>
          <w:sz w:val="24"/>
          <w:szCs w:val="24"/>
        </w:rPr>
        <w:br w:type="page"/>
      </w:r>
    </w:p>
    <w:p w14:paraId="3B1A2AF4">
      <w:pPr>
        <w:spacing w:line="400" w:lineRule="exact"/>
        <w:ind w:firstLine="200"/>
        <w:jc w:val="left"/>
        <w:rPr>
          <w:rFonts w:asciiTheme="minorEastAsia" w:hAnsiTheme="minorEastAsia"/>
          <w:b/>
          <w:sz w:val="24"/>
          <w:szCs w:val="24"/>
        </w:rPr>
      </w:pPr>
    </w:p>
    <w:p w14:paraId="23D7DD1B">
      <w:pPr>
        <w:spacing w:line="400" w:lineRule="exact"/>
        <w:ind w:firstLine="200"/>
        <w:jc w:val="left"/>
        <w:rPr>
          <w:rFonts w:cs="Times New Roman" w:asciiTheme="minorEastAsia" w:hAnsiTheme="minorEastAsia"/>
          <w:b/>
          <w:sz w:val="24"/>
          <w:szCs w:val="24"/>
        </w:rPr>
      </w:pPr>
      <w:r>
        <w:rPr>
          <w:rFonts w:hint="eastAsia" w:asciiTheme="minorEastAsia" w:hAnsiTheme="minorEastAsia"/>
          <w:b/>
          <w:sz w:val="24"/>
          <w:szCs w:val="24"/>
        </w:rPr>
        <w:t>第六部分</w:t>
      </w:r>
      <w:r>
        <w:rPr>
          <w:rFonts w:hint="eastAsia" w:cs="Times New Roman" w:asciiTheme="minorEastAsia" w:hAnsiTheme="minorEastAsia"/>
          <w:b/>
          <w:sz w:val="24"/>
          <w:szCs w:val="24"/>
        </w:rPr>
        <w:t xml:space="preserve">  商务部分投标文件格式</w:t>
      </w:r>
    </w:p>
    <w:p w14:paraId="457E26F9">
      <w:pPr>
        <w:spacing w:line="400" w:lineRule="exact"/>
        <w:ind w:firstLine="472" w:firstLineChars="196"/>
        <w:jc w:val="left"/>
        <w:rPr>
          <w:rFonts w:asciiTheme="minorEastAsia" w:hAnsiTheme="minorEastAsia"/>
          <w:b/>
          <w:color w:val="000000" w:themeColor="text1"/>
          <w:sz w:val="24"/>
          <w:szCs w:val="24"/>
        </w:rPr>
      </w:pPr>
      <w:r>
        <w:rPr>
          <w:rFonts w:hint="eastAsia" w:asciiTheme="minorEastAsia" w:hAnsiTheme="minorEastAsia"/>
          <w:b/>
          <w:sz w:val="24"/>
          <w:szCs w:val="24"/>
        </w:rPr>
        <w:t>一、法定代表人资格证明书</w:t>
      </w:r>
    </w:p>
    <w:p w14:paraId="251A1DAB">
      <w:pPr>
        <w:spacing w:line="400" w:lineRule="exact"/>
        <w:ind w:firstLine="200"/>
        <w:jc w:val="left"/>
        <w:rPr>
          <w:rFonts w:asciiTheme="minorEastAsia" w:hAnsiTheme="minorEastAsia"/>
          <w:sz w:val="24"/>
          <w:szCs w:val="24"/>
          <w:u w:val="single"/>
        </w:rPr>
      </w:pPr>
      <w:r>
        <w:rPr>
          <w:rFonts w:hint="eastAsia" w:asciiTheme="minorEastAsia" w:hAnsiTheme="minorEastAsia"/>
          <w:sz w:val="24"/>
          <w:szCs w:val="24"/>
        </w:rPr>
        <w:t>单位名称：</w:t>
      </w:r>
    </w:p>
    <w:p w14:paraId="51B20487">
      <w:pPr>
        <w:spacing w:line="400" w:lineRule="exact"/>
        <w:ind w:firstLine="200"/>
        <w:jc w:val="left"/>
        <w:rPr>
          <w:rFonts w:asciiTheme="minorEastAsia" w:hAnsiTheme="minorEastAsia"/>
          <w:sz w:val="24"/>
          <w:szCs w:val="24"/>
          <w:u w:val="single"/>
        </w:rPr>
      </w:pPr>
      <w:r>
        <w:rPr>
          <w:rFonts w:hint="eastAsia" w:asciiTheme="minorEastAsia" w:hAnsiTheme="minorEastAsia"/>
          <w:sz w:val="24"/>
          <w:szCs w:val="24"/>
        </w:rPr>
        <w:t>地    址：</w:t>
      </w:r>
    </w:p>
    <w:p w14:paraId="0D8CB1C1">
      <w:pPr>
        <w:spacing w:line="400" w:lineRule="exact"/>
        <w:ind w:firstLine="200"/>
        <w:jc w:val="left"/>
        <w:rPr>
          <w:rFonts w:asciiTheme="minorEastAsia" w:hAnsiTheme="minorEastAsia"/>
          <w:sz w:val="24"/>
          <w:szCs w:val="24"/>
          <w:u w:val="single"/>
        </w:rPr>
      </w:pPr>
      <w:r>
        <w:rPr>
          <w:rFonts w:hint="eastAsia" w:asciiTheme="minorEastAsia" w:hAnsiTheme="minorEastAsia"/>
          <w:sz w:val="24"/>
          <w:szCs w:val="24"/>
        </w:rPr>
        <w:t>姓    名：         性别：     年龄：      职务：</w:t>
      </w:r>
    </w:p>
    <w:p w14:paraId="5FB8B2B7">
      <w:pPr>
        <w:spacing w:line="400" w:lineRule="exact"/>
        <w:ind w:firstLine="200"/>
        <w:jc w:val="left"/>
        <w:rPr>
          <w:rFonts w:asciiTheme="minorEastAsia" w:hAnsiTheme="minorEastAsia"/>
          <w:sz w:val="24"/>
          <w:szCs w:val="24"/>
        </w:rPr>
      </w:pPr>
      <w:r>
        <w:rPr>
          <w:rFonts w:hint="eastAsia" w:asciiTheme="minorEastAsia" w:hAnsiTheme="minorEastAsia"/>
          <w:sz w:val="24"/>
          <w:szCs w:val="24"/>
        </w:rPr>
        <w:t>系的法定代表人。为维护本项目，法定代表人具有签署本项目的投标文件、提交投标文件进行投标、签署合同和处理与之有关的一切事务的权利。</w:t>
      </w:r>
    </w:p>
    <w:p w14:paraId="44B6DC67">
      <w:pPr>
        <w:spacing w:line="400" w:lineRule="exact"/>
        <w:ind w:firstLine="200"/>
        <w:jc w:val="left"/>
        <w:rPr>
          <w:rFonts w:asciiTheme="minorEastAsia" w:hAnsiTheme="minorEastAsia"/>
          <w:sz w:val="24"/>
          <w:szCs w:val="24"/>
        </w:rPr>
      </w:pPr>
      <w:r>
        <w:rPr>
          <w:rFonts w:hint="eastAsia" w:asciiTheme="minorEastAsia" w:hAnsiTheme="minorEastAsia"/>
          <w:sz w:val="24"/>
          <w:szCs w:val="24"/>
        </w:rPr>
        <w:t>特此证明</w:t>
      </w:r>
    </w:p>
    <w:p w14:paraId="77A7595A">
      <w:pPr>
        <w:spacing w:line="400" w:lineRule="exact"/>
        <w:ind w:firstLine="200"/>
        <w:jc w:val="left"/>
        <w:rPr>
          <w:rFonts w:asciiTheme="minorEastAsia" w:hAnsiTheme="minorEastAsia"/>
          <w:sz w:val="24"/>
          <w:szCs w:val="24"/>
        </w:rPr>
      </w:pPr>
      <w:r>
        <w:rPr>
          <w:rFonts w:hint="eastAsia" w:asciiTheme="minorEastAsia" w:hAnsiTheme="minorEastAsia"/>
          <w:sz w:val="24"/>
          <w:szCs w:val="24"/>
        </w:rPr>
        <w:t>供应商：</w:t>
      </w:r>
    </w:p>
    <w:p w14:paraId="595841FE">
      <w:pPr>
        <w:spacing w:line="400" w:lineRule="exact"/>
        <w:ind w:firstLine="200"/>
        <w:jc w:val="left"/>
        <w:rPr>
          <w:rFonts w:asciiTheme="minorEastAsia" w:hAnsiTheme="minorEastAsia"/>
          <w:sz w:val="24"/>
          <w:szCs w:val="24"/>
        </w:rPr>
      </w:pPr>
      <w:r>
        <w:rPr>
          <w:rFonts w:hint="eastAsia" w:asciiTheme="minorEastAsia" w:hAnsiTheme="minorEastAsia"/>
          <w:sz w:val="24"/>
          <w:szCs w:val="24"/>
        </w:rPr>
        <w:t>日  期：      年   月   日</w:t>
      </w:r>
    </w:p>
    <w:p w14:paraId="20CF827F">
      <w:pPr>
        <w:spacing w:line="400" w:lineRule="exact"/>
        <w:ind w:firstLine="200"/>
        <w:jc w:val="left"/>
        <w:rPr>
          <w:rFonts w:asciiTheme="minorEastAsia" w:hAnsiTheme="minorEastAsia"/>
          <w:b/>
          <w:sz w:val="24"/>
          <w:szCs w:val="24"/>
        </w:rPr>
      </w:pPr>
      <w:r>
        <w:rPr>
          <w:rFonts w:hint="eastAsia" w:asciiTheme="minorEastAsia" w:hAnsiTheme="minorEastAsia"/>
          <w:b/>
          <w:sz w:val="24"/>
          <w:szCs w:val="24"/>
        </w:rPr>
        <w:t>二、投标文件签署授权委托书</w:t>
      </w:r>
    </w:p>
    <w:p w14:paraId="4D32E372">
      <w:pPr>
        <w:spacing w:line="400" w:lineRule="exact"/>
        <w:ind w:firstLine="200"/>
        <w:jc w:val="left"/>
        <w:rPr>
          <w:rFonts w:asciiTheme="minorEastAsia" w:hAnsiTheme="minorEastAsia"/>
          <w:b/>
          <w:sz w:val="24"/>
          <w:szCs w:val="24"/>
        </w:rPr>
      </w:pPr>
      <w:r>
        <w:rPr>
          <w:rFonts w:hint="eastAsia" w:asciiTheme="minorEastAsia" w:hAnsiTheme="minorEastAsia"/>
          <w:b/>
          <w:sz w:val="24"/>
          <w:szCs w:val="24"/>
        </w:rPr>
        <w:t>格式一：（非法定代表人亲自签署投标文件的）</w:t>
      </w:r>
    </w:p>
    <w:p w14:paraId="051932A6">
      <w:pPr>
        <w:spacing w:line="400" w:lineRule="exact"/>
        <w:ind w:firstLine="480" w:firstLineChars="200"/>
        <w:jc w:val="left"/>
        <w:rPr>
          <w:rFonts w:asciiTheme="minorEastAsia" w:hAnsiTheme="minorEastAsia"/>
          <w:sz w:val="24"/>
          <w:szCs w:val="24"/>
          <w:u w:val="single"/>
        </w:rPr>
      </w:pPr>
      <w:r>
        <w:rPr>
          <w:rFonts w:hint="eastAsia" w:asciiTheme="minorEastAsia" w:hAnsiTheme="minorEastAsia"/>
          <w:sz w:val="24"/>
          <w:szCs w:val="24"/>
        </w:rPr>
        <w:t>本授权委托书声明：我（姓名）系（</w:t>
      </w:r>
      <w:r>
        <w:rPr>
          <w:rFonts w:hint="eastAsia" w:asciiTheme="minorEastAsia" w:hAnsiTheme="minorEastAsia"/>
          <w:color w:val="000000" w:themeColor="text1"/>
          <w:sz w:val="24"/>
          <w:szCs w:val="24"/>
        </w:rPr>
        <w:t>投标人名称）</w:t>
      </w:r>
      <w:r>
        <w:rPr>
          <w:rFonts w:hint="eastAsia" w:asciiTheme="minorEastAsia" w:hAnsiTheme="minorEastAsia"/>
          <w:sz w:val="24"/>
          <w:szCs w:val="24"/>
        </w:rPr>
        <w:t>的法定代表人，现授权委托（单位名称）的（姓名）为我单位签署本项目已提交的投标文件的法定代表人的授权委托代理人，代理人全权代表我所签署的本项目已提交的投标文件内容我均承认。</w:t>
      </w:r>
      <w:r>
        <w:rPr>
          <w:rFonts w:hint="eastAsia" w:asciiTheme="minorEastAsia" w:hAnsiTheme="minorEastAsia"/>
          <w:sz w:val="24"/>
        </w:rPr>
        <w:t>代理人无转委托权，特此委托。</w:t>
      </w:r>
    </w:p>
    <w:p w14:paraId="16254AA7">
      <w:pPr>
        <w:spacing w:line="400" w:lineRule="exact"/>
        <w:ind w:firstLine="200"/>
        <w:jc w:val="left"/>
        <w:rPr>
          <w:rFonts w:asciiTheme="minorEastAsia" w:hAnsiTheme="minorEastAsia"/>
          <w:sz w:val="24"/>
          <w:szCs w:val="24"/>
        </w:rPr>
      </w:pPr>
    </w:p>
    <w:p w14:paraId="072CC6D8">
      <w:pPr>
        <w:spacing w:line="400" w:lineRule="exact"/>
        <w:ind w:firstLine="200"/>
        <w:jc w:val="left"/>
        <w:rPr>
          <w:rFonts w:asciiTheme="minorEastAsia" w:hAnsiTheme="minorEastAsia"/>
          <w:sz w:val="24"/>
          <w:szCs w:val="24"/>
          <w:u w:val="single"/>
        </w:rPr>
      </w:pPr>
      <w:r>
        <w:rPr>
          <w:rFonts w:hint="eastAsia" w:asciiTheme="minorEastAsia" w:hAnsiTheme="minorEastAsia"/>
          <w:sz w:val="24"/>
          <w:szCs w:val="24"/>
        </w:rPr>
        <w:t>代理人：        性别：    年龄：</w:t>
      </w:r>
    </w:p>
    <w:p w14:paraId="2A3CBE32">
      <w:pPr>
        <w:spacing w:line="400" w:lineRule="exact"/>
        <w:ind w:firstLine="200"/>
        <w:jc w:val="left"/>
        <w:rPr>
          <w:rFonts w:asciiTheme="minorEastAsia" w:hAnsiTheme="minorEastAsia"/>
          <w:sz w:val="24"/>
          <w:szCs w:val="24"/>
        </w:rPr>
      </w:pPr>
      <w:r>
        <w:rPr>
          <w:rFonts w:hint="eastAsia" w:asciiTheme="minorEastAsia" w:hAnsiTheme="minorEastAsia"/>
          <w:sz w:val="24"/>
          <w:szCs w:val="24"/>
        </w:rPr>
        <w:t>联系电话：                手机：</w:t>
      </w:r>
    </w:p>
    <w:p w14:paraId="60DCCEEF">
      <w:pPr>
        <w:spacing w:line="400" w:lineRule="exact"/>
        <w:ind w:firstLine="200"/>
        <w:jc w:val="left"/>
        <w:rPr>
          <w:rFonts w:asciiTheme="minorEastAsia" w:hAnsiTheme="minorEastAsia"/>
          <w:sz w:val="24"/>
          <w:szCs w:val="24"/>
          <w:u w:val="single"/>
        </w:rPr>
      </w:pPr>
      <w:r>
        <w:rPr>
          <w:rFonts w:hint="eastAsia" w:asciiTheme="minorEastAsia" w:hAnsiTheme="minorEastAsia"/>
          <w:sz w:val="24"/>
          <w:szCs w:val="24"/>
        </w:rPr>
        <w:t>身份证号码：              职务：</w:t>
      </w:r>
    </w:p>
    <w:p w14:paraId="306F8B68">
      <w:pPr>
        <w:spacing w:line="400" w:lineRule="exact"/>
        <w:ind w:firstLine="200"/>
        <w:jc w:val="left"/>
        <w:rPr>
          <w:rFonts w:asciiTheme="minorEastAsia" w:hAnsiTheme="minorEastAsia"/>
          <w:sz w:val="24"/>
          <w:szCs w:val="24"/>
        </w:rPr>
      </w:pPr>
      <w:r>
        <w:rPr>
          <w:rFonts w:hint="eastAsia" w:asciiTheme="minorEastAsia" w:hAnsiTheme="minorEastAsia"/>
          <w:sz w:val="24"/>
          <w:szCs w:val="24"/>
        </w:rPr>
        <w:t>投标人：</w:t>
      </w:r>
    </w:p>
    <w:p w14:paraId="0AAB68CD">
      <w:pPr>
        <w:spacing w:line="400" w:lineRule="exact"/>
        <w:ind w:firstLine="200"/>
        <w:jc w:val="left"/>
        <w:rPr>
          <w:rFonts w:asciiTheme="minorEastAsia" w:hAnsiTheme="minorEastAsia"/>
          <w:sz w:val="24"/>
          <w:szCs w:val="24"/>
        </w:rPr>
      </w:pPr>
      <w:r>
        <w:rPr>
          <w:rFonts w:hint="eastAsia" w:asciiTheme="minorEastAsia" w:hAnsiTheme="minorEastAsia"/>
          <w:sz w:val="24"/>
          <w:szCs w:val="24"/>
        </w:rPr>
        <w:t>法定代表人：</w:t>
      </w:r>
    </w:p>
    <w:p w14:paraId="069B5B1A">
      <w:pPr>
        <w:spacing w:line="400" w:lineRule="exact"/>
        <w:ind w:firstLine="200"/>
        <w:jc w:val="left"/>
        <w:rPr>
          <w:rFonts w:asciiTheme="minorEastAsia" w:hAnsiTheme="minorEastAsia"/>
          <w:sz w:val="24"/>
          <w:szCs w:val="24"/>
        </w:rPr>
      </w:pPr>
      <w:r>
        <w:rPr>
          <w:rFonts w:hint="eastAsia" w:asciiTheme="minorEastAsia" w:hAnsiTheme="minorEastAsia"/>
          <w:sz w:val="24"/>
          <w:szCs w:val="24"/>
        </w:rPr>
        <w:t>授权委托日期：       年   月  日</w:t>
      </w:r>
    </w:p>
    <w:p w14:paraId="241B22A4">
      <w:pPr>
        <w:spacing w:line="400" w:lineRule="exact"/>
        <w:ind w:firstLine="200"/>
        <w:jc w:val="left"/>
        <w:rPr>
          <w:rFonts w:asciiTheme="minorEastAsia" w:hAnsiTheme="minorEastAsia"/>
          <w:b/>
          <w:sz w:val="24"/>
          <w:szCs w:val="24"/>
        </w:rPr>
      </w:pPr>
      <w:r>
        <w:rPr>
          <w:rFonts w:hint="eastAsia" w:asciiTheme="minorEastAsia" w:hAnsiTheme="minorEastAsia"/>
          <w:b/>
          <w:sz w:val="24"/>
          <w:szCs w:val="24"/>
        </w:rPr>
        <w:t>格式二：（法定代表人亲自签署投标文件的）</w:t>
      </w:r>
    </w:p>
    <w:p w14:paraId="33E716B3">
      <w:pPr>
        <w:spacing w:line="400" w:lineRule="exact"/>
        <w:ind w:firstLine="200"/>
        <w:jc w:val="left"/>
        <w:rPr>
          <w:rFonts w:asciiTheme="minorEastAsia" w:hAnsiTheme="minorEastAsia"/>
          <w:sz w:val="24"/>
          <w:szCs w:val="24"/>
        </w:rPr>
      </w:pPr>
      <w:r>
        <w:rPr>
          <w:rFonts w:hint="eastAsia" w:asciiTheme="minorEastAsia" w:hAnsiTheme="minorEastAsia"/>
          <w:sz w:val="24"/>
          <w:szCs w:val="24"/>
        </w:rPr>
        <w:t xml:space="preserve">    我公司提交的关于本项目的投标文件系由本单位法定代表人_________（姓名）亲自签署，对我单位具有法律效力，不再另行提供投标文件签署授权委托书。</w:t>
      </w:r>
    </w:p>
    <w:p w14:paraId="3BE616B4">
      <w:pPr>
        <w:spacing w:line="400" w:lineRule="exact"/>
        <w:ind w:firstLine="200"/>
        <w:jc w:val="left"/>
        <w:rPr>
          <w:rFonts w:asciiTheme="minorEastAsia" w:hAnsiTheme="minorEastAsia"/>
          <w:sz w:val="24"/>
          <w:szCs w:val="24"/>
        </w:rPr>
      </w:pPr>
      <w:r>
        <w:rPr>
          <w:rFonts w:hint="eastAsia" w:asciiTheme="minorEastAsia" w:hAnsiTheme="minorEastAsia"/>
          <w:sz w:val="24"/>
          <w:szCs w:val="24"/>
        </w:rPr>
        <w:t xml:space="preserve">                           供应商：</w:t>
      </w:r>
    </w:p>
    <w:p w14:paraId="52CE0A3D">
      <w:pPr>
        <w:spacing w:line="400" w:lineRule="exact"/>
        <w:ind w:firstLine="3480" w:firstLineChars="1450"/>
        <w:jc w:val="left"/>
        <w:rPr>
          <w:rFonts w:asciiTheme="minorEastAsia" w:hAnsiTheme="minorEastAsia"/>
          <w:sz w:val="24"/>
          <w:szCs w:val="24"/>
        </w:rPr>
      </w:pPr>
      <w:r>
        <w:rPr>
          <w:rFonts w:hint="eastAsia" w:asciiTheme="minorEastAsia" w:hAnsiTheme="minorEastAsia"/>
          <w:sz w:val="24"/>
          <w:szCs w:val="24"/>
        </w:rPr>
        <w:t>日  期：    年  月  日</w:t>
      </w:r>
    </w:p>
    <w:p w14:paraId="51B8B882">
      <w:pPr>
        <w:spacing w:line="400" w:lineRule="exact"/>
        <w:ind w:firstLine="200"/>
        <w:jc w:val="left"/>
        <w:rPr>
          <w:rFonts w:asciiTheme="minorEastAsia" w:hAnsiTheme="minorEastAsia"/>
          <w:sz w:val="24"/>
          <w:szCs w:val="24"/>
        </w:rPr>
      </w:pPr>
    </w:p>
    <w:p w14:paraId="4EC5CD93">
      <w:pPr>
        <w:spacing w:line="400" w:lineRule="exact"/>
        <w:ind w:firstLine="200"/>
        <w:jc w:val="left"/>
        <w:rPr>
          <w:rFonts w:asciiTheme="minorEastAsia" w:hAnsiTheme="minorEastAsia"/>
          <w:sz w:val="24"/>
          <w:szCs w:val="24"/>
        </w:rPr>
      </w:pPr>
      <w:r>
        <w:rPr>
          <w:rFonts w:hint="eastAsia" w:asciiTheme="minorEastAsia" w:hAnsiTheme="minorEastAsia"/>
          <w:sz w:val="24"/>
          <w:szCs w:val="24"/>
        </w:rPr>
        <w:t>备注：投标人应根据本单位的实际情况，选择采用上述两种格式之一，并删除剩余不用的格式。</w:t>
      </w:r>
    </w:p>
    <w:p w14:paraId="23D08839">
      <w:pPr>
        <w:spacing w:line="400" w:lineRule="exact"/>
        <w:ind w:firstLine="200"/>
        <w:jc w:val="left"/>
        <w:rPr>
          <w:rFonts w:asciiTheme="minorEastAsia" w:hAnsiTheme="minorEastAsia"/>
          <w:b/>
          <w:sz w:val="24"/>
          <w:szCs w:val="24"/>
        </w:rPr>
      </w:pPr>
    </w:p>
    <w:p w14:paraId="1BEF314C">
      <w:pPr>
        <w:spacing w:line="400" w:lineRule="exact"/>
        <w:ind w:firstLine="200"/>
        <w:jc w:val="left"/>
        <w:rPr>
          <w:rFonts w:asciiTheme="minorEastAsia" w:hAnsiTheme="minorEastAsia"/>
          <w:b/>
          <w:color w:val="FF0000"/>
          <w:sz w:val="24"/>
          <w:szCs w:val="24"/>
        </w:rPr>
      </w:pPr>
      <w:r>
        <w:rPr>
          <w:rFonts w:hint="eastAsia" w:asciiTheme="minorEastAsia" w:hAnsiTheme="minorEastAsia"/>
          <w:b/>
          <w:sz w:val="24"/>
          <w:szCs w:val="24"/>
        </w:rPr>
        <w:t>三、投标函</w:t>
      </w:r>
    </w:p>
    <w:p w14:paraId="3799ABD5">
      <w:pPr>
        <w:spacing w:line="400" w:lineRule="exact"/>
        <w:ind w:firstLine="120" w:firstLineChars="50"/>
        <w:jc w:val="left"/>
        <w:rPr>
          <w:rFonts w:asciiTheme="minorEastAsia" w:hAnsiTheme="minorEastAsia"/>
          <w:b/>
          <w:color w:val="FF0000"/>
          <w:sz w:val="24"/>
          <w:szCs w:val="24"/>
        </w:rPr>
      </w:pPr>
    </w:p>
    <w:p w14:paraId="66389B8F">
      <w:pPr>
        <w:spacing w:line="400" w:lineRule="exact"/>
        <w:ind w:firstLine="120" w:firstLineChars="50"/>
        <w:jc w:val="left"/>
        <w:rPr>
          <w:rFonts w:asciiTheme="minorEastAsia" w:hAnsiTheme="minorEastAsia"/>
          <w:b/>
          <w:sz w:val="24"/>
          <w:szCs w:val="24"/>
        </w:rPr>
      </w:pPr>
      <w:r>
        <w:rPr>
          <w:rFonts w:hint="eastAsia" w:asciiTheme="minorEastAsia" w:hAnsiTheme="minorEastAsia"/>
          <w:sz w:val="24"/>
          <w:szCs w:val="24"/>
        </w:rPr>
        <w:t>致：</w:t>
      </w:r>
      <w:r>
        <w:rPr>
          <w:rFonts w:hint="eastAsia" w:asciiTheme="majorEastAsia" w:hAnsiTheme="majorEastAsia" w:eastAsiaTheme="majorEastAsia"/>
          <w:snapToGrid w:val="0"/>
          <w:color w:val="000000" w:themeColor="text1"/>
          <w:kern w:val="0"/>
          <w:sz w:val="24"/>
        </w:rPr>
        <w:t>北京中医药大学深圳医院（龙岗）</w:t>
      </w:r>
    </w:p>
    <w:p w14:paraId="2EB24C23">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1、根据已收到贵方的招标编号为的项目的招标文件，遵照</w:t>
      </w:r>
      <w:r>
        <w:rPr>
          <w:rFonts w:asciiTheme="minorEastAsia" w:hAnsiTheme="minorEastAsia"/>
          <w:sz w:val="24"/>
          <w:szCs w:val="24"/>
        </w:rPr>
        <w:t>《</w:t>
      </w:r>
      <w:r>
        <w:rPr>
          <w:rFonts w:hint="eastAsia" w:asciiTheme="minorEastAsia" w:hAnsiTheme="minorEastAsia"/>
          <w:sz w:val="24"/>
          <w:szCs w:val="24"/>
        </w:rPr>
        <w:t>中华人民共和国政府采购法</w:t>
      </w:r>
      <w:r>
        <w:rPr>
          <w:rFonts w:asciiTheme="minorEastAsia" w:hAnsiTheme="minorEastAsia"/>
          <w:sz w:val="24"/>
          <w:szCs w:val="24"/>
        </w:rPr>
        <w:t>》</w:t>
      </w:r>
      <w:r>
        <w:rPr>
          <w:rFonts w:hint="eastAsia" w:asciiTheme="minorEastAsia" w:hAnsiTheme="minorEastAsia"/>
          <w:sz w:val="24"/>
          <w:szCs w:val="24"/>
        </w:rPr>
        <w:t>、《深圳经济特区政府采购条例》、</w:t>
      </w:r>
      <w:r>
        <w:rPr>
          <w:rFonts w:asciiTheme="minorEastAsia" w:hAnsiTheme="minorEastAsia"/>
          <w:sz w:val="24"/>
          <w:szCs w:val="24"/>
        </w:rPr>
        <w:t>《深圳</w:t>
      </w:r>
      <w:r>
        <w:rPr>
          <w:rFonts w:hint="eastAsia" w:asciiTheme="minorEastAsia" w:hAnsiTheme="minorEastAsia"/>
          <w:sz w:val="24"/>
          <w:szCs w:val="24"/>
        </w:rPr>
        <w:t>市</w:t>
      </w:r>
      <w:r>
        <w:rPr>
          <w:rFonts w:asciiTheme="minorEastAsia" w:hAnsiTheme="minorEastAsia"/>
          <w:sz w:val="24"/>
          <w:szCs w:val="24"/>
        </w:rPr>
        <w:t>网上政府采购管理暂行办法》</w:t>
      </w:r>
      <w:r>
        <w:rPr>
          <w:rFonts w:hint="eastAsia" w:asciiTheme="minorEastAsia" w:hAnsiTheme="minorEastAsia"/>
          <w:sz w:val="24"/>
          <w:szCs w:val="24"/>
        </w:rPr>
        <w:t>等法律法规</w:t>
      </w:r>
      <w:r>
        <w:rPr>
          <w:rFonts w:asciiTheme="minorEastAsia" w:hAnsiTheme="minorEastAsia"/>
          <w:sz w:val="24"/>
          <w:szCs w:val="24"/>
        </w:rPr>
        <w:t>的规定</w:t>
      </w:r>
      <w:r>
        <w:rPr>
          <w:rFonts w:hint="eastAsia" w:asciiTheme="minorEastAsia" w:hAnsiTheme="minorEastAsia"/>
          <w:sz w:val="24"/>
          <w:szCs w:val="24"/>
        </w:rPr>
        <w:t>，我方经研究上述招标文件的投标须知、合同条款、技术规范及其他有关文件后，我方愿按“招标文件”的规定履行责任和义务；</w:t>
      </w:r>
    </w:p>
    <w:p w14:paraId="640FA648">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2、我方已详细审查全部招标文件，包括招标文件、澄清（答疑）、补充公告（说明）等。我方对此完全理解并同意放弃因对招标文件不明及误解而提出质疑抗辩的权利；</w:t>
      </w:r>
    </w:p>
    <w:p w14:paraId="1F4F2A1E">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3、我方同意提供贵方可能要求的与投标有关的一切数据或资料，完全理解并接受贵方不承担我方的任何投标费用；</w:t>
      </w:r>
    </w:p>
    <w:p w14:paraId="7CDC464A">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4、我方申明在本次投标中提供的所有资料，无论原件、复印件还是扫描件均是真实的；</w:t>
      </w:r>
    </w:p>
    <w:p w14:paraId="07D1D811">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5、我方同意提供按照贵方可能要求的与投标有关的一切数据或资料；</w:t>
      </w:r>
    </w:p>
    <w:p w14:paraId="0336EA0F">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6、我方同意招标程序、评标办法以及评标委员会评标人员产生办法和组成，承认评标人员据此评标办法产生的中标供应商。</w:t>
      </w:r>
    </w:p>
    <w:p w14:paraId="6DFA05BA">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7、与本投标有关的一切正式往来信函请寄：</w:t>
      </w:r>
    </w:p>
    <w:p w14:paraId="75AE6D40">
      <w:pPr>
        <w:spacing w:line="400" w:lineRule="exact"/>
        <w:ind w:firstLine="480" w:firstLineChars="200"/>
        <w:jc w:val="left"/>
        <w:rPr>
          <w:rFonts w:asciiTheme="minorEastAsia" w:hAnsiTheme="minorEastAsia"/>
          <w:sz w:val="24"/>
          <w:szCs w:val="24"/>
        </w:rPr>
      </w:pPr>
    </w:p>
    <w:p w14:paraId="55DD3ADA">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地址：                        </w:t>
      </w:r>
    </w:p>
    <w:p w14:paraId="792EC8B0">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电话：                        </w:t>
      </w:r>
    </w:p>
    <w:p w14:paraId="3AEA14D2">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传真：                        </w:t>
      </w:r>
    </w:p>
    <w:p w14:paraId="4EE046A9">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电子函件：                     </w:t>
      </w:r>
    </w:p>
    <w:p w14:paraId="51A07635">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法定代表人或其委托代理人：                            </w:t>
      </w:r>
    </w:p>
    <w:p w14:paraId="4591D779">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投标人名称：                            </w:t>
      </w:r>
    </w:p>
    <w:p w14:paraId="5AA2BD3A">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 xml:space="preserve">日期：                          </w:t>
      </w:r>
    </w:p>
    <w:p w14:paraId="6CC449BC">
      <w:pPr>
        <w:spacing w:line="400" w:lineRule="exact"/>
        <w:ind w:firstLine="482" w:firstLineChars="200"/>
        <w:jc w:val="left"/>
        <w:rPr>
          <w:rFonts w:asciiTheme="minorEastAsia" w:hAnsiTheme="minorEastAsia"/>
          <w:b/>
          <w:sz w:val="24"/>
          <w:szCs w:val="24"/>
        </w:rPr>
      </w:pPr>
    </w:p>
    <w:p w14:paraId="5DC6F5D2">
      <w:pPr>
        <w:spacing w:line="4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四、投标人诚信承诺函</w:t>
      </w:r>
    </w:p>
    <w:p w14:paraId="283A6633">
      <w:pPr>
        <w:spacing w:line="400" w:lineRule="exact"/>
        <w:ind w:firstLine="480" w:firstLineChars="200"/>
        <w:jc w:val="left"/>
        <w:rPr>
          <w:rFonts w:asciiTheme="minorEastAsia" w:hAnsiTheme="minorEastAsia"/>
          <w:sz w:val="24"/>
          <w:szCs w:val="24"/>
        </w:rPr>
      </w:pPr>
    </w:p>
    <w:p w14:paraId="458B02F0">
      <w:pPr>
        <w:spacing w:line="400" w:lineRule="exact"/>
        <w:jc w:val="left"/>
        <w:rPr>
          <w:rFonts w:asciiTheme="minorEastAsia" w:hAnsiTheme="minorEastAsia"/>
          <w:sz w:val="24"/>
          <w:szCs w:val="24"/>
        </w:rPr>
      </w:pPr>
      <w:r>
        <w:rPr>
          <w:rFonts w:hint="eastAsia" w:asciiTheme="minorEastAsia" w:hAnsiTheme="minorEastAsia"/>
          <w:sz w:val="24"/>
          <w:szCs w:val="24"/>
        </w:rPr>
        <w:t>致：</w:t>
      </w:r>
      <w:r>
        <w:rPr>
          <w:rFonts w:hint="eastAsia" w:asciiTheme="majorEastAsia" w:hAnsiTheme="majorEastAsia" w:eastAsiaTheme="majorEastAsia"/>
          <w:snapToGrid w:val="0"/>
          <w:color w:val="000000" w:themeColor="text1"/>
          <w:kern w:val="0"/>
          <w:sz w:val="24"/>
        </w:rPr>
        <w:t>北京中医药大学深圳医院（龙岗）</w:t>
      </w:r>
    </w:p>
    <w:p w14:paraId="7D02A88E">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我公司已详细阅读并了解《深圳市龙岗区政府采购文件通用条款》第一章第3点“投标人诚信责任”中的全部内容，在此郑重承诺如下：</w:t>
      </w:r>
    </w:p>
    <w:p w14:paraId="65C700F7">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1、我公司在参加本项目采购活动中没有下列行为：</w:t>
      </w:r>
    </w:p>
    <w:p w14:paraId="0D531534">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（1）在开标前三年内的经营活动中有重大违法记录；</w:t>
      </w:r>
    </w:p>
    <w:p w14:paraId="61036524">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（2）在采购活动中应当回避而未回避；</w:t>
      </w:r>
    </w:p>
    <w:p w14:paraId="77E3C2C2">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（3）未按有关规定签订、履行采购合同，造成严重后果；</w:t>
      </w:r>
    </w:p>
    <w:p w14:paraId="54B340F3">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（4）隐瞒真实情况，提供虚假资料；</w:t>
      </w:r>
    </w:p>
    <w:p w14:paraId="39E8797D">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（5）以非法手段排斥其他供应商参与竞争；</w:t>
      </w:r>
    </w:p>
    <w:p w14:paraId="61E78187">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（6）与其他采购参加人串通投标；</w:t>
      </w:r>
    </w:p>
    <w:p w14:paraId="2C37CE10">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（7）恶意投诉；</w:t>
      </w:r>
    </w:p>
    <w:p w14:paraId="4AC54016">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（8）向采购项目相关人行贿或者提供其他不当利益；</w:t>
      </w:r>
    </w:p>
    <w:p w14:paraId="466D5EB0">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（9）阻碍、抗拒主管部门监督检查；</w:t>
      </w:r>
    </w:p>
    <w:p w14:paraId="75CE33AE">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（10）将中标项目转让给他人，或者在投标文件中未说明，且未经相关部门同意，将中标项目分包给他人；</w:t>
      </w:r>
    </w:p>
    <w:p w14:paraId="7839775C">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（11）对本招标项目所提供的货物、工程或服务侵犯知识产权；</w:t>
      </w:r>
    </w:p>
    <w:p w14:paraId="1DF3E59F">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（12）有其他违反法律、法规规定的行为。</w:t>
      </w:r>
    </w:p>
    <w:p w14:paraId="22B8D714">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2、我公司已清楚并愿接受，如有上述行为之一时，报政府采购主管部门，按有关规定一至三年内禁止我公司参与深圳市龙岗区政府采购，将我公司行为在深圳市龙岗区政府采购网站不诚信行为曝光台曝光，记入供应商诚信档案，并处以采购金额千分之十以上千分之二十以下的罚款；情节严重的，取消我公司参与深圳市龙岗区政府采购资格，处以采购金额千分之二十以上千分之三十以下的罚款，并由市场监管部门依法吊销我公司营业执照；给他人造成损失的，依法承担赔偿责任；涉嫌犯罪的，依法移送司法机关处理。</w:t>
      </w:r>
    </w:p>
    <w:p w14:paraId="668D9AFB">
      <w:pPr>
        <w:spacing w:line="400" w:lineRule="exact"/>
        <w:ind w:firstLine="480" w:firstLineChars="200"/>
        <w:jc w:val="left"/>
        <w:rPr>
          <w:rFonts w:asciiTheme="minorEastAsia" w:hAnsiTheme="minorEastAsia"/>
          <w:sz w:val="24"/>
          <w:szCs w:val="24"/>
        </w:rPr>
      </w:pPr>
    </w:p>
    <w:p w14:paraId="4DB1031D">
      <w:pPr>
        <w:spacing w:line="400" w:lineRule="exact"/>
        <w:ind w:firstLine="1080" w:firstLineChars="450"/>
        <w:jc w:val="left"/>
        <w:rPr>
          <w:rFonts w:asciiTheme="minorEastAsia" w:hAnsiTheme="minorEastAsia"/>
          <w:sz w:val="24"/>
          <w:szCs w:val="24"/>
        </w:rPr>
      </w:pPr>
      <w:r>
        <w:rPr>
          <w:rFonts w:hint="eastAsia" w:asciiTheme="minorEastAsia" w:hAnsiTheme="minorEastAsia"/>
          <w:sz w:val="24"/>
          <w:szCs w:val="24"/>
        </w:rPr>
        <w:t>供应商：                          日  期：      年   月  日</w:t>
      </w:r>
    </w:p>
    <w:p w14:paraId="191F7C69">
      <w:pPr>
        <w:spacing w:line="560" w:lineRule="exact"/>
        <w:jc w:val="left"/>
        <w:rPr>
          <w:b/>
          <w:kern w:val="0"/>
          <w:sz w:val="24"/>
        </w:rPr>
      </w:pPr>
    </w:p>
    <w:p w14:paraId="4DD33447">
      <w:pPr>
        <w:widowControl/>
        <w:jc w:val="left"/>
        <w:rPr>
          <w:rFonts w:ascii="宋体" w:hAnsi="宋体"/>
          <w:sz w:val="24"/>
          <w:szCs w:val="24"/>
        </w:rPr>
      </w:pPr>
      <w:r>
        <w:rPr>
          <w:rFonts w:ascii="宋体" w:hAnsi="宋体"/>
          <w:sz w:val="24"/>
          <w:szCs w:val="24"/>
        </w:rPr>
        <w:br w:type="page"/>
      </w:r>
    </w:p>
    <w:p w14:paraId="46AE0692">
      <w:pPr>
        <w:rPr>
          <w:rFonts w:ascii="宋体" w:hAnsi="宋体"/>
          <w:b/>
          <w:szCs w:val="21"/>
        </w:rPr>
      </w:pPr>
      <w:r>
        <w:rPr>
          <w:rFonts w:hint="eastAsia"/>
          <w:b/>
          <w:kern w:val="0"/>
          <w:sz w:val="24"/>
        </w:rPr>
        <w:t>五、开标一览表</w:t>
      </w:r>
    </w:p>
    <w:p w14:paraId="483996AB"/>
    <w:tbl>
      <w:tblPr>
        <w:tblStyle w:val="16"/>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800"/>
        <w:gridCol w:w="2520"/>
      </w:tblGrid>
      <w:tr w14:paraId="0681CF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88" w:type="dxa"/>
            <w:tcBorders>
              <w:top w:val="double" w:color="auto" w:sz="4" w:space="0"/>
              <w:bottom w:val="single" w:color="auto" w:sz="4" w:space="0"/>
            </w:tcBorders>
            <w:vAlign w:val="center"/>
          </w:tcPr>
          <w:p w14:paraId="56FC5863">
            <w:pPr>
              <w:jc w:val="center"/>
              <w:rPr>
                <w:snapToGrid w:val="0"/>
                <w:kern w:val="0"/>
              </w:rPr>
            </w:pPr>
            <w:r>
              <w:rPr>
                <w:rFonts w:hint="eastAsia"/>
                <w:snapToGrid w:val="0"/>
                <w:kern w:val="0"/>
              </w:rPr>
              <w:t>项目名称</w:t>
            </w:r>
          </w:p>
        </w:tc>
        <w:tc>
          <w:tcPr>
            <w:tcW w:w="1980" w:type="dxa"/>
            <w:tcBorders>
              <w:top w:val="double" w:color="auto" w:sz="4" w:space="0"/>
              <w:bottom w:val="single" w:color="auto" w:sz="4" w:space="0"/>
            </w:tcBorders>
            <w:vAlign w:val="center"/>
          </w:tcPr>
          <w:p w14:paraId="6B55821C">
            <w:pPr>
              <w:jc w:val="center"/>
              <w:rPr>
                <w:snapToGrid w:val="0"/>
                <w:kern w:val="0"/>
              </w:rPr>
            </w:pPr>
            <w:r>
              <w:rPr>
                <w:rFonts w:hint="eastAsia"/>
                <w:snapToGrid w:val="0"/>
                <w:kern w:val="0"/>
              </w:rPr>
              <w:t>投标总价</w:t>
            </w:r>
          </w:p>
        </w:tc>
        <w:tc>
          <w:tcPr>
            <w:tcW w:w="1800" w:type="dxa"/>
            <w:tcBorders>
              <w:top w:val="double" w:color="auto" w:sz="4" w:space="0"/>
              <w:bottom w:val="single" w:color="auto" w:sz="4" w:space="0"/>
            </w:tcBorders>
            <w:vAlign w:val="center"/>
          </w:tcPr>
          <w:p w14:paraId="6288A2A6">
            <w:pPr>
              <w:jc w:val="center"/>
              <w:rPr>
                <w:snapToGrid w:val="0"/>
                <w:kern w:val="0"/>
              </w:rPr>
            </w:pPr>
            <w:r>
              <w:rPr>
                <w:rFonts w:hint="eastAsia"/>
                <w:snapToGrid w:val="0"/>
                <w:kern w:val="0"/>
              </w:rPr>
              <w:t>服务期限</w:t>
            </w:r>
          </w:p>
        </w:tc>
        <w:tc>
          <w:tcPr>
            <w:tcW w:w="2520" w:type="dxa"/>
            <w:tcBorders>
              <w:top w:val="double" w:color="auto" w:sz="4" w:space="0"/>
              <w:bottom w:val="single" w:color="auto" w:sz="4" w:space="0"/>
            </w:tcBorders>
            <w:vAlign w:val="center"/>
          </w:tcPr>
          <w:p w14:paraId="69FDFE97">
            <w:pPr>
              <w:jc w:val="center"/>
              <w:rPr>
                <w:snapToGrid w:val="0"/>
                <w:kern w:val="0"/>
              </w:rPr>
            </w:pPr>
            <w:r>
              <w:rPr>
                <w:rFonts w:hint="eastAsia"/>
                <w:snapToGrid w:val="0"/>
                <w:kern w:val="0"/>
              </w:rPr>
              <w:t>备注</w:t>
            </w:r>
          </w:p>
        </w:tc>
      </w:tr>
      <w:tr w14:paraId="343FFA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988" w:type="dxa"/>
            <w:tcBorders>
              <w:top w:val="single" w:color="auto" w:sz="4" w:space="0"/>
            </w:tcBorders>
            <w:vAlign w:val="center"/>
          </w:tcPr>
          <w:p w14:paraId="56F9DAE4">
            <w:pPr>
              <w:rPr>
                <w:snapToGrid w:val="0"/>
                <w:kern w:val="0"/>
                <w:u w:val="single"/>
              </w:rPr>
            </w:pPr>
            <w:r>
              <w:rPr>
                <w:rFonts w:hint="eastAsia" w:ascii="Times New Roman" w:hAnsi="Times New Roman" w:eastAsia="宋体" w:cs="宋体"/>
                <w:color w:val="000000" w:themeColor="text1"/>
                <w:kern w:val="0"/>
                <w:sz w:val="24"/>
                <w:szCs w:val="24"/>
                <w:shd w:val="clear" w:color="auto" w:fill="FFFFFF"/>
              </w:rPr>
              <w:t>园山污水运维服务</w:t>
            </w:r>
          </w:p>
        </w:tc>
        <w:tc>
          <w:tcPr>
            <w:tcW w:w="1980" w:type="dxa"/>
            <w:tcBorders>
              <w:top w:val="single" w:color="auto" w:sz="4" w:space="0"/>
            </w:tcBorders>
            <w:vAlign w:val="center"/>
          </w:tcPr>
          <w:p w14:paraId="5BC68B7A">
            <w:pPr>
              <w:rPr>
                <w:snapToGrid w:val="0"/>
                <w:kern w:val="0"/>
              </w:rPr>
            </w:pPr>
            <w:r>
              <w:rPr>
                <w:rFonts w:hint="eastAsia"/>
                <w:snapToGrid w:val="0"/>
                <w:kern w:val="0"/>
              </w:rPr>
              <w:t>小写：万元（含税）</w:t>
            </w:r>
          </w:p>
        </w:tc>
        <w:tc>
          <w:tcPr>
            <w:tcW w:w="1800" w:type="dxa"/>
            <w:tcBorders>
              <w:top w:val="single" w:color="auto" w:sz="4" w:space="0"/>
            </w:tcBorders>
            <w:vAlign w:val="center"/>
          </w:tcPr>
          <w:p w14:paraId="150FFE55">
            <w:pPr>
              <w:jc w:val="center"/>
              <w:rPr>
                <w:snapToGrid w:val="0"/>
                <w:kern w:val="0"/>
              </w:rPr>
            </w:pPr>
            <w:r>
              <w:rPr>
                <w:rFonts w:hint="eastAsia"/>
                <w:snapToGrid w:val="0"/>
                <w:kern w:val="0"/>
                <w:u w:val="single"/>
              </w:rPr>
              <w:t>1年</w:t>
            </w:r>
          </w:p>
        </w:tc>
        <w:tc>
          <w:tcPr>
            <w:tcW w:w="2520" w:type="dxa"/>
            <w:tcBorders>
              <w:top w:val="single" w:color="auto" w:sz="4" w:space="0"/>
            </w:tcBorders>
            <w:vAlign w:val="center"/>
          </w:tcPr>
          <w:p w14:paraId="54C02DEA">
            <w:pPr>
              <w:rPr>
                <w:snapToGrid w:val="0"/>
                <w:kern w:val="0"/>
              </w:rPr>
            </w:pPr>
            <w:r>
              <w:rPr>
                <w:rFonts w:hint="eastAsia"/>
                <w:snapToGrid w:val="0"/>
                <w:kern w:val="0"/>
              </w:rPr>
              <w:t>本报价为</w:t>
            </w:r>
            <w:r>
              <w:rPr>
                <w:rFonts w:hint="eastAsia"/>
                <w:snapToGrid w:val="0"/>
                <w:kern w:val="0"/>
                <w:u w:val="single"/>
              </w:rPr>
              <w:t xml:space="preserve">  1 </w:t>
            </w:r>
            <w:r>
              <w:rPr>
                <w:rFonts w:hint="eastAsia"/>
                <w:snapToGrid w:val="0"/>
                <w:kern w:val="0"/>
              </w:rPr>
              <w:t>年的价格</w:t>
            </w:r>
          </w:p>
        </w:tc>
      </w:tr>
    </w:tbl>
    <w:p w14:paraId="132B5B2C">
      <w:pPr>
        <w:spacing w:line="560" w:lineRule="exact"/>
        <w:ind w:firstLine="482" w:firstLineChars="200"/>
        <w:rPr>
          <w:snapToGrid w:val="0"/>
          <w:kern w:val="0"/>
          <w:sz w:val="24"/>
          <w:szCs w:val="24"/>
        </w:rPr>
      </w:pPr>
      <w:r>
        <w:rPr>
          <w:rFonts w:hint="eastAsia"/>
          <w:b/>
          <w:snapToGrid w:val="0"/>
          <w:kern w:val="0"/>
          <w:sz w:val="24"/>
          <w:szCs w:val="24"/>
        </w:rPr>
        <w:t>注</w:t>
      </w:r>
      <w:r>
        <w:rPr>
          <w:rFonts w:hint="eastAsia"/>
          <w:snapToGrid w:val="0"/>
          <w:kern w:val="0"/>
          <w:sz w:val="24"/>
          <w:szCs w:val="24"/>
        </w:rPr>
        <w:t xml:space="preserve">：  </w:t>
      </w:r>
    </w:p>
    <w:p w14:paraId="1D0CFC62">
      <w:pPr>
        <w:spacing w:line="560" w:lineRule="exact"/>
        <w:ind w:firstLine="480" w:firstLineChars="200"/>
        <w:rPr>
          <w:rFonts w:ascii="宋体" w:hAnsi="宋体"/>
          <w:snapToGrid w:val="0"/>
          <w:kern w:val="0"/>
          <w:sz w:val="24"/>
          <w:szCs w:val="24"/>
        </w:rPr>
      </w:pPr>
      <w:r>
        <w:rPr>
          <w:rFonts w:hint="eastAsia" w:ascii="宋体" w:hAnsi="宋体"/>
          <w:snapToGrid w:val="0"/>
          <w:kern w:val="0"/>
          <w:sz w:val="24"/>
          <w:szCs w:val="24"/>
        </w:rPr>
        <w:t>1、价格应按“招标文件”中规定的货币单位填写。</w:t>
      </w:r>
    </w:p>
    <w:p w14:paraId="0DF199A9">
      <w:pPr>
        <w:spacing w:line="560" w:lineRule="exact"/>
        <w:ind w:firstLine="480" w:firstLineChars="200"/>
        <w:rPr>
          <w:rFonts w:ascii="宋体" w:hAnsi="宋体"/>
          <w:snapToGrid w:val="0"/>
          <w:kern w:val="0"/>
          <w:sz w:val="24"/>
          <w:szCs w:val="24"/>
        </w:rPr>
      </w:pPr>
      <w:r>
        <w:rPr>
          <w:rFonts w:hint="eastAsia" w:ascii="宋体" w:hAnsi="宋体"/>
          <w:snapToGrid w:val="0"/>
          <w:kern w:val="0"/>
          <w:sz w:val="24"/>
          <w:szCs w:val="24"/>
        </w:rPr>
        <w:t>2、投标单位如果需要对报价或其他内容加以说明，可在备注栏填写。</w:t>
      </w:r>
    </w:p>
    <w:p w14:paraId="6610D527">
      <w:pPr>
        <w:tabs>
          <w:tab w:val="left" w:pos="315"/>
          <w:tab w:val="left" w:pos="420"/>
          <w:tab w:val="left" w:pos="540"/>
          <w:tab w:val="left" w:pos="1440"/>
          <w:tab w:val="left" w:pos="1620"/>
        </w:tabs>
        <w:spacing w:line="560" w:lineRule="exact"/>
        <w:ind w:firstLine="480" w:firstLineChars="200"/>
        <w:rPr>
          <w:rFonts w:ascii="宋体" w:hAnsi="宋体" w:cs="Arial"/>
          <w:sz w:val="24"/>
          <w:szCs w:val="24"/>
        </w:rPr>
      </w:pPr>
      <w:r>
        <w:rPr>
          <w:rFonts w:hint="eastAsia" w:ascii="宋体" w:hAnsi="宋体"/>
          <w:bCs/>
          <w:sz w:val="24"/>
          <w:szCs w:val="24"/>
        </w:rPr>
        <w:t>3、</w:t>
      </w:r>
      <w:r>
        <w:rPr>
          <w:rFonts w:hint="eastAsia" w:ascii="宋体" w:hAnsi="宋体" w:cs="Arial"/>
          <w:sz w:val="24"/>
          <w:szCs w:val="24"/>
        </w:rPr>
        <w:t>投标报价以人民币报价。总价内包含相关的费用有：</w:t>
      </w:r>
      <w:r>
        <w:rPr>
          <w:rFonts w:hint="eastAsia" w:ascii="宋体" w:hAnsi="宋体"/>
          <w:sz w:val="24"/>
          <w:szCs w:val="24"/>
        </w:rPr>
        <w:t>人员费用、所需的设备和仪器费用、耗材费用、管理费用、利润以及项目管理过程中的所有由投标单位承担的费用和</w:t>
      </w:r>
      <w:r>
        <w:rPr>
          <w:rFonts w:hint="eastAsia" w:ascii="宋体" w:hAnsi="宋体" w:cs="Arial"/>
          <w:sz w:val="24"/>
          <w:szCs w:val="24"/>
        </w:rPr>
        <w:t>国家规定的各项税费以及投标费用。</w:t>
      </w:r>
    </w:p>
    <w:p w14:paraId="362C09BE">
      <w:pPr>
        <w:tabs>
          <w:tab w:val="left" w:pos="315"/>
          <w:tab w:val="left" w:pos="420"/>
          <w:tab w:val="left" w:pos="540"/>
          <w:tab w:val="left" w:pos="1440"/>
          <w:tab w:val="left" w:pos="1620"/>
        </w:tabs>
        <w:spacing w:line="560" w:lineRule="exact"/>
        <w:ind w:firstLine="480" w:firstLineChars="200"/>
        <w:rPr>
          <w:rFonts w:ascii="宋体" w:hAnsi="宋体" w:cs="Arial"/>
          <w:sz w:val="24"/>
          <w:szCs w:val="24"/>
        </w:rPr>
      </w:pPr>
      <w:r>
        <w:rPr>
          <w:rFonts w:hint="eastAsia" w:ascii="宋体" w:hAnsi="宋体" w:cs="宋体"/>
          <w:kern w:val="0"/>
          <w:sz w:val="24"/>
          <w:szCs w:val="24"/>
        </w:rPr>
        <w:t>4、</w:t>
      </w:r>
      <w:r>
        <w:rPr>
          <w:rFonts w:hint="eastAsia" w:ascii="宋体" w:hAnsi="宋体"/>
          <w:sz w:val="24"/>
          <w:szCs w:val="24"/>
        </w:rPr>
        <w:t>若投标书编制软件中要求填写的软件格式或内容，与本开标一</w:t>
      </w:r>
      <w:r>
        <w:rPr>
          <w:rFonts w:hint="eastAsia"/>
          <w:sz w:val="24"/>
          <w:szCs w:val="24"/>
        </w:rPr>
        <w:t>览表</w:t>
      </w:r>
      <w:r>
        <w:rPr>
          <w:rFonts w:hint="eastAsia" w:ascii="宋体" w:hAnsi="宋体"/>
          <w:sz w:val="24"/>
          <w:szCs w:val="24"/>
        </w:rPr>
        <w:t>提供的格式或内容表述不一致时，以本开标一</w:t>
      </w:r>
      <w:r>
        <w:rPr>
          <w:rFonts w:hint="eastAsia"/>
          <w:sz w:val="24"/>
          <w:szCs w:val="24"/>
        </w:rPr>
        <w:t>览表</w:t>
      </w:r>
      <w:r>
        <w:rPr>
          <w:rFonts w:hint="eastAsia" w:ascii="宋体" w:hAnsi="宋体"/>
          <w:sz w:val="24"/>
          <w:szCs w:val="24"/>
        </w:rPr>
        <w:t>中的表述为准，投标书编制软件中的软件格式或内容不作为评标依据（为保证系统生成TBS文件的完整性，软件中提示的带“*”号项，是用数字表述的可填写任何数字，是用文字表述的可填写任何文字）。</w:t>
      </w:r>
    </w:p>
    <w:p w14:paraId="49D199DD">
      <w:pPr>
        <w:adjustRightInd w:val="0"/>
        <w:snapToGrid w:val="0"/>
        <w:jc w:val="center"/>
        <w:rPr>
          <w:rFonts w:ascii="宋体" w:hAnsi="宋体"/>
          <w:sz w:val="24"/>
          <w:szCs w:val="24"/>
        </w:rPr>
      </w:pPr>
    </w:p>
    <w:p w14:paraId="3E212CA9">
      <w:pPr>
        <w:adjustRightInd w:val="0"/>
        <w:snapToGrid w:val="0"/>
        <w:jc w:val="center"/>
        <w:rPr>
          <w:b/>
          <w:color w:val="000000"/>
          <w:sz w:val="24"/>
          <w:szCs w:val="24"/>
        </w:rPr>
      </w:pPr>
      <w:r>
        <w:rPr>
          <w:rFonts w:hint="eastAsia"/>
          <w:b/>
          <w:kern w:val="0"/>
          <w:sz w:val="24"/>
          <w:szCs w:val="24"/>
        </w:rPr>
        <w:t>六、</w:t>
      </w:r>
      <w:r>
        <w:rPr>
          <w:rFonts w:hint="eastAsia"/>
          <w:b/>
          <w:color w:val="000000"/>
          <w:sz w:val="24"/>
          <w:szCs w:val="24"/>
        </w:rPr>
        <w:t>分项报价表（格式自定）</w:t>
      </w:r>
    </w:p>
    <w:p w14:paraId="1E6AB33D">
      <w:pPr>
        <w:adjustRightInd w:val="0"/>
        <w:snapToGrid w:val="0"/>
        <w:jc w:val="center"/>
        <w:rPr>
          <w:rFonts w:ascii="宋体" w:hAnsi="宋体" w:cs="宋体"/>
          <w:b/>
          <w:color w:val="000000"/>
          <w:kern w:val="0"/>
          <w:szCs w:val="21"/>
        </w:rPr>
      </w:pPr>
    </w:p>
    <w:p w14:paraId="1EFAF2B2"/>
    <w:sectPr>
      <w:footerReference r:id="rId6" w:type="default"/>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B435D">
    <w:pPr>
      <w:pStyle w:val="11"/>
      <w:framePr w:wrap="around" w:vAnchor="text" w:hAnchor="margin" w:xAlign="right" w:y="1"/>
      <w:rPr>
        <w:rStyle w:val="20"/>
      </w:rPr>
    </w:pPr>
    <w:r>
      <w:fldChar w:fldCharType="begin"/>
    </w:r>
    <w:r>
      <w:rPr>
        <w:rStyle w:val="20"/>
      </w:rPr>
      <w:instrText xml:space="preserve">PAGE  </w:instrText>
    </w:r>
    <w:r>
      <w:fldChar w:fldCharType="separate"/>
    </w:r>
    <w:r>
      <w:rPr>
        <w:rStyle w:val="20"/>
      </w:rPr>
      <w:t>4</w:t>
    </w:r>
    <w:r>
      <w:fldChar w:fldCharType="end"/>
    </w:r>
  </w:p>
  <w:p w14:paraId="0F787C06">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F2008">
    <w:pPr>
      <w:pStyle w:val="11"/>
      <w:framePr w:wrap="around" w:vAnchor="text" w:hAnchor="margin" w:xAlign="right" w:y="1"/>
      <w:rPr>
        <w:rStyle w:val="20"/>
      </w:rPr>
    </w:pPr>
    <w:r>
      <w:fldChar w:fldCharType="begin"/>
    </w:r>
    <w:r>
      <w:rPr>
        <w:rStyle w:val="20"/>
      </w:rPr>
      <w:instrText xml:space="preserve">PAGE  </w:instrText>
    </w:r>
    <w:r>
      <w:fldChar w:fldCharType="end"/>
    </w:r>
  </w:p>
  <w:p w14:paraId="5BE5716D">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B6CA1">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18</w:t>
    </w:r>
    <w:r>
      <w:fldChar w:fldCharType="end"/>
    </w:r>
  </w:p>
  <w:p w14:paraId="36F005B4">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5D6D">
    <w:pPr>
      <w:pStyle w:val="11"/>
      <w:framePr w:wrap="around" w:vAnchor="text" w:hAnchor="margin" w:xAlign="center" w:y="1"/>
      <w:rPr>
        <w:rStyle w:val="20"/>
      </w:rPr>
    </w:pPr>
    <w:r>
      <w:fldChar w:fldCharType="begin"/>
    </w:r>
    <w:r>
      <w:rPr>
        <w:rStyle w:val="20"/>
      </w:rPr>
      <w:instrText xml:space="preserve">PAGE  </w:instrText>
    </w:r>
    <w:r>
      <w:fldChar w:fldCharType="end"/>
    </w:r>
  </w:p>
  <w:p w14:paraId="06634DA8">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DDD1E">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C3731"/>
    <w:multiLevelType w:val="multilevel"/>
    <w:tmpl w:val="499C3731"/>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docVars>
    <w:docVar w:name="commondata" w:val="eyJoZGlkIjoiYTY4ZmFiZjU4OTczNTI5NmUwMzA4OWZmNGQyNWZmMDIifQ=="/>
  </w:docVars>
  <w:rsids>
    <w:rsidRoot w:val="00553DCE"/>
    <w:rsid w:val="0000186E"/>
    <w:rsid w:val="00007FD6"/>
    <w:rsid w:val="00030B4A"/>
    <w:rsid w:val="000854D5"/>
    <w:rsid w:val="000E6320"/>
    <w:rsid w:val="001102FB"/>
    <w:rsid w:val="00146FDF"/>
    <w:rsid w:val="00153546"/>
    <w:rsid w:val="001651B1"/>
    <w:rsid w:val="00166FE2"/>
    <w:rsid w:val="001703B9"/>
    <w:rsid w:val="00175605"/>
    <w:rsid w:val="001A73E2"/>
    <w:rsid w:val="001C226E"/>
    <w:rsid w:val="002108E7"/>
    <w:rsid w:val="00241D87"/>
    <w:rsid w:val="00250AB7"/>
    <w:rsid w:val="002B1A3D"/>
    <w:rsid w:val="002E737B"/>
    <w:rsid w:val="002F2333"/>
    <w:rsid w:val="003274C8"/>
    <w:rsid w:val="00330465"/>
    <w:rsid w:val="003715BB"/>
    <w:rsid w:val="00383948"/>
    <w:rsid w:val="003A6648"/>
    <w:rsid w:val="003F6B32"/>
    <w:rsid w:val="00414499"/>
    <w:rsid w:val="00424E69"/>
    <w:rsid w:val="0044470E"/>
    <w:rsid w:val="0044491B"/>
    <w:rsid w:val="00450A94"/>
    <w:rsid w:val="004C277F"/>
    <w:rsid w:val="004C4602"/>
    <w:rsid w:val="004E145B"/>
    <w:rsid w:val="004F5214"/>
    <w:rsid w:val="00504BD6"/>
    <w:rsid w:val="005059AA"/>
    <w:rsid w:val="00516110"/>
    <w:rsid w:val="00535F09"/>
    <w:rsid w:val="00553DCE"/>
    <w:rsid w:val="00557AD8"/>
    <w:rsid w:val="00560193"/>
    <w:rsid w:val="005777CB"/>
    <w:rsid w:val="005A4134"/>
    <w:rsid w:val="005F1DEA"/>
    <w:rsid w:val="005F5914"/>
    <w:rsid w:val="005F5EE4"/>
    <w:rsid w:val="0062312A"/>
    <w:rsid w:val="006725D3"/>
    <w:rsid w:val="0069166B"/>
    <w:rsid w:val="006938C3"/>
    <w:rsid w:val="006B7100"/>
    <w:rsid w:val="006C155A"/>
    <w:rsid w:val="006C1657"/>
    <w:rsid w:val="006C7BFC"/>
    <w:rsid w:val="006D0BB6"/>
    <w:rsid w:val="006E28C3"/>
    <w:rsid w:val="006F11CF"/>
    <w:rsid w:val="00770389"/>
    <w:rsid w:val="007A1B9B"/>
    <w:rsid w:val="007C4A9F"/>
    <w:rsid w:val="007E193E"/>
    <w:rsid w:val="007E605B"/>
    <w:rsid w:val="008231C4"/>
    <w:rsid w:val="008506C1"/>
    <w:rsid w:val="00875CA0"/>
    <w:rsid w:val="00892555"/>
    <w:rsid w:val="008A4869"/>
    <w:rsid w:val="008B4A5A"/>
    <w:rsid w:val="00966D39"/>
    <w:rsid w:val="00990022"/>
    <w:rsid w:val="00994064"/>
    <w:rsid w:val="009F5277"/>
    <w:rsid w:val="00A2355F"/>
    <w:rsid w:val="00A6428C"/>
    <w:rsid w:val="00AD46B3"/>
    <w:rsid w:val="00AE1381"/>
    <w:rsid w:val="00AE18F7"/>
    <w:rsid w:val="00AF0EA7"/>
    <w:rsid w:val="00AF4709"/>
    <w:rsid w:val="00B3526B"/>
    <w:rsid w:val="00B43FFD"/>
    <w:rsid w:val="00B6174A"/>
    <w:rsid w:val="00B70235"/>
    <w:rsid w:val="00B71F7E"/>
    <w:rsid w:val="00B831A6"/>
    <w:rsid w:val="00BC42E5"/>
    <w:rsid w:val="00BC56EC"/>
    <w:rsid w:val="00BD6E13"/>
    <w:rsid w:val="00C0164D"/>
    <w:rsid w:val="00CA208D"/>
    <w:rsid w:val="00CB6034"/>
    <w:rsid w:val="00D040CD"/>
    <w:rsid w:val="00D14283"/>
    <w:rsid w:val="00D151D1"/>
    <w:rsid w:val="00D34C25"/>
    <w:rsid w:val="00D34DFF"/>
    <w:rsid w:val="00D95B87"/>
    <w:rsid w:val="00DD782F"/>
    <w:rsid w:val="00E02473"/>
    <w:rsid w:val="00E11177"/>
    <w:rsid w:val="00E32CD8"/>
    <w:rsid w:val="00E509DB"/>
    <w:rsid w:val="00E66E26"/>
    <w:rsid w:val="00E815A4"/>
    <w:rsid w:val="00E85B7A"/>
    <w:rsid w:val="00EB6AC8"/>
    <w:rsid w:val="00EC4F8F"/>
    <w:rsid w:val="00ED18CC"/>
    <w:rsid w:val="00ED2ABA"/>
    <w:rsid w:val="00F03D1B"/>
    <w:rsid w:val="00F22E52"/>
    <w:rsid w:val="00F3178B"/>
    <w:rsid w:val="00F430EF"/>
    <w:rsid w:val="00F50198"/>
    <w:rsid w:val="00F70A11"/>
    <w:rsid w:val="00FB5DC3"/>
    <w:rsid w:val="00FC3206"/>
    <w:rsid w:val="00FD085C"/>
    <w:rsid w:val="00FF0B46"/>
    <w:rsid w:val="50A90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4"/>
    <w:next w:val="5"/>
    <w:link w:val="22"/>
    <w:qFormat/>
    <w:uiPriority w:val="0"/>
    <w:pPr>
      <w:adjustRightInd w:val="0"/>
      <w:jc w:val="center"/>
      <w:textAlignment w:val="baseline"/>
      <w:outlineLvl w:val="1"/>
    </w:pPr>
    <w:rPr>
      <w:bCs/>
      <w:kern w:val="0"/>
      <w:sz w:val="24"/>
      <w:szCs w:val="20"/>
    </w:rPr>
  </w:style>
  <w:style w:type="paragraph" w:styleId="4">
    <w:name w:val="heading 3"/>
    <w:basedOn w:val="5"/>
    <w:next w:val="1"/>
    <w:link w:val="24"/>
    <w:qFormat/>
    <w:uiPriority w:val="0"/>
    <w:pPr>
      <w:spacing w:before="260" w:after="260" w:line="240" w:lineRule="auto"/>
      <w:outlineLvl w:val="2"/>
    </w:pPr>
    <w:rPr>
      <w:rFonts w:ascii="宋体" w:hAnsi="宋体" w:eastAsia="宋体" w:cs="Times New Roman"/>
      <w:bCs w:val="0"/>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6"/>
    <w:qFormat/>
    <w:uiPriority w:val="0"/>
    <w:pPr>
      <w:ind w:firstLine="420" w:firstLineChars="200"/>
    </w:pPr>
    <w:rPr>
      <w:rFonts w:eastAsia="宋体"/>
      <w:szCs w:val="24"/>
    </w:rPr>
  </w:style>
  <w:style w:type="paragraph" w:styleId="7">
    <w:name w:val="annotation text"/>
    <w:basedOn w:val="1"/>
    <w:link w:val="41"/>
    <w:unhideWhenUsed/>
    <w:qFormat/>
    <w:uiPriority w:val="99"/>
    <w:pPr>
      <w:jc w:val="left"/>
    </w:pPr>
  </w:style>
  <w:style w:type="paragraph" w:styleId="8">
    <w:name w:val="Body Text"/>
    <w:basedOn w:val="1"/>
    <w:link w:val="34"/>
    <w:qFormat/>
    <w:uiPriority w:val="0"/>
    <w:pPr>
      <w:spacing w:line="360" w:lineRule="auto"/>
    </w:pPr>
    <w:rPr>
      <w:rFonts w:ascii="Times New Roman" w:hAnsi="Times New Roman" w:eastAsia="宋体" w:cs="Times New Roman"/>
      <w:b/>
      <w:bCs/>
      <w:sz w:val="24"/>
      <w:szCs w:val="24"/>
    </w:rPr>
  </w:style>
  <w:style w:type="paragraph" w:styleId="9">
    <w:name w:val="Body Text Indent"/>
    <w:basedOn w:val="1"/>
    <w:link w:val="39"/>
    <w:semiHidden/>
    <w:unhideWhenUsed/>
    <w:qFormat/>
    <w:uiPriority w:val="99"/>
    <w:pPr>
      <w:spacing w:after="120"/>
      <w:ind w:left="420" w:leftChars="200"/>
    </w:pPr>
  </w:style>
  <w:style w:type="paragraph" w:styleId="10">
    <w:name w:val="Plain Text"/>
    <w:basedOn w:val="1"/>
    <w:link w:val="32"/>
    <w:qFormat/>
    <w:uiPriority w:val="0"/>
    <w:rPr>
      <w:rFonts w:ascii="宋体" w:hAnsi="Courier New" w:eastAsia="宋体" w:cs="Times New Roman"/>
      <w:szCs w:val="20"/>
    </w:rPr>
  </w:style>
  <w:style w:type="paragraph" w:styleId="11">
    <w:name w:val="footer"/>
    <w:basedOn w:val="1"/>
    <w:link w:val="2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line="288" w:lineRule="auto"/>
      <w:jc w:val="left"/>
    </w:pPr>
    <w:rPr>
      <w:rFonts w:ascii="宋体" w:hAnsi="宋体" w:cs="宋体"/>
      <w:kern w:val="0"/>
      <w:sz w:val="18"/>
      <w:szCs w:val="18"/>
    </w:rPr>
  </w:style>
  <w:style w:type="paragraph" w:styleId="14">
    <w:name w:val="Title"/>
    <w:basedOn w:val="1"/>
    <w:link w:val="35"/>
    <w:qFormat/>
    <w:uiPriority w:val="0"/>
    <w:pPr>
      <w:spacing w:before="240" w:after="60"/>
      <w:jc w:val="center"/>
      <w:outlineLvl w:val="0"/>
    </w:pPr>
    <w:rPr>
      <w:rFonts w:ascii="Arial" w:hAnsi="Arial" w:eastAsia="隶书" w:cs="Arial"/>
      <w:b/>
      <w:bCs/>
      <w:sz w:val="32"/>
      <w:szCs w:val="32"/>
    </w:rPr>
  </w:style>
  <w:style w:type="paragraph" w:styleId="15">
    <w:name w:val="Body Text First Indent 2"/>
    <w:basedOn w:val="9"/>
    <w:link w:val="40"/>
    <w:semiHidden/>
    <w:unhideWhenUsed/>
    <w:qFormat/>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paragraph" w:customStyle="1" w:styleId="21">
    <w:name w:val="列出段落1"/>
    <w:basedOn w:val="1"/>
    <w:qFormat/>
    <w:uiPriority w:val="34"/>
    <w:pPr>
      <w:ind w:firstLine="420" w:firstLineChars="200"/>
    </w:pPr>
  </w:style>
  <w:style w:type="character" w:customStyle="1" w:styleId="22">
    <w:name w:val="标题 2 Char"/>
    <w:basedOn w:val="18"/>
    <w:link w:val="3"/>
    <w:qFormat/>
    <w:uiPriority w:val="0"/>
    <w:rPr>
      <w:rFonts w:ascii="宋体" w:hAnsi="宋体" w:eastAsia="宋体" w:cs="Times New Roman"/>
      <w:b/>
      <w:bCs/>
      <w:kern w:val="0"/>
      <w:sz w:val="24"/>
      <w:szCs w:val="20"/>
    </w:rPr>
  </w:style>
  <w:style w:type="character" w:customStyle="1" w:styleId="23">
    <w:name w:val="标题 3 Char"/>
    <w:basedOn w:val="18"/>
    <w:qFormat/>
    <w:uiPriority w:val="0"/>
    <w:rPr>
      <w:b/>
      <w:bCs/>
      <w:sz w:val="32"/>
      <w:szCs w:val="32"/>
    </w:rPr>
  </w:style>
  <w:style w:type="character" w:customStyle="1" w:styleId="24">
    <w:name w:val="标题 3 Char1"/>
    <w:basedOn w:val="25"/>
    <w:link w:val="4"/>
    <w:qFormat/>
    <w:uiPriority w:val="0"/>
    <w:rPr>
      <w:rFonts w:ascii="宋体" w:hAnsi="宋体" w:eastAsia="宋体" w:cs="Times New Roman"/>
      <w:sz w:val="28"/>
      <w:szCs w:val="32"/>
    </w:rPr>
  </w:style>
  <w:style w:type="character" w:customStyle="1" w:styleId="25">
    <w:name w:val="标题 4 Char"/>
    <w:basedOn w:val="18"/>
    <w:link w:val="5"/>
    <w:semiHidden/>
    <w:qFormat/>
    <w:uiPriority w:val="9"/>
    <w:rPr>
      <w:rFonts w:asciiTheme="majorHAnsi" w:hAnsiTheme="majorHAnsi" w:eastAsiaTheme="majorEastAsia" w:cstheme="majorBidi"/>
      <w:b/>
      <w:bCs/>
      <w:sz w:val="28"/>
      <w:szCs w:val="28"/>
    </w:rPr>
  </w:style>
  <w:style w:type="character" w:customStyle="1" w:styleId="26">
    <w:name w:val="正文缩进 Char"/>
    <w:basedOn w:val="18"/>
    <w:link w:val="6"/>
    <w:qFormat/>
    <w:uiPriority w:val="0"/>
    <w:rPr>
      <w:rFonts w:eastAsia="宋体"/>
      <w:szCs w:val="24"/>
    </w:rPr>
  </w:style>
  <w:style w:type="paragraph" w:customStyle="1" w:styleId="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
    <w:name w:val="页脚 Char"/>
    <w:basedOn w:val="18"/>
    <w:link w:val="11"/>
    <w:qFormat/>
    <w:uiPriority w:val="0"/>
    <w:rPr>
      <w:rFonts w:ascii="Times New Roman" w:hAnsi="Times New Roman" w:eastAsia="宋体" w:cs="Times New Roman"/>
      <w:sz w:val="18"/>
      <w:szCs w:val="18"/>
    </w:rPr>
  </w:style>
  <w:style w:type="character" w:customStyle="1" w:styleId="29">
    <w:name w:val="标题 1 Char"/>
    <w:basedOn w:val="18"/>
    <w:link w:val="2"/>
    <w:qFormat/>
    <w:uiPriority w:val="0"/>
    <w:rPr>
      <w:rFonts w:ascii="Times New Roman" w:hAnsi="Times New Roman" w:eastAsia="宋体" w:cs="Times New Roman"/>
      <w:b/>
      <w:bCs/>
      <w:kern w:val="44"/>
      <w:sz w:val="44"/>
      <w:szCs w:val="44"/>
    </w:rPr>
  </w:style>
  <w:style w:type="character" w:customStyle="1" w:styleId="30">
    <w:name w:val="页眉 Char"/>
    <w:qFormat/>
    <w:uiPriority w:val="0"/>
    <w:rPr>
      <w:sz w:val="18"/>
      <w:szCs w:val="18"/>
    </w:rPr>
  </w:style>
  <w:style w:type="character" w:customStyle="1" w:styleId="31">
    <w:name w:val="页眉 Char1"/>
    <w:basedOn w:val="18"/>
    <w:link w:val="12"/>
    <w:semiHidden/>
    <w:qFormat/>
    <w:uiPriority w:val="99"/>
    <w:rPr>
      <w:sz w:val="18"/>
      <w:szCs w:val="18"/>
    </w:rPr>
  </w:style>
  <w:style w:type="character" w:customStyle="1" w:styleId="32">
    <w:name w:val="纯文本 Char"/>
    <w:basedOn w:val="18"/>
    <w:link w:val="10"/>
    <w:qFormat/>
    <w:uiPriority w:val="0"/>
    <w:rPr>
      <w:rFonts w:ascii="宋体" w:hAnsi="Courier New" w:eastAsia="宋体" w:cs="Times New Roman"/>
      <w:szCs w:val="20"/>
    </w:rPr>
  </w:style>
  <w:style w:type="paragraph" w:customStyle="1" w:styleId="33">
    <w:name w:val="Char2"/>
    <w:basedOn w:val="1"/>
    <w:qFormat/>
    <w:uiPriority w:val="0"/>
    <w:pPr>
      <w:widowControl/>
      <w:spacing w:after="160" w:line="360" w:lineRule="exact"/>
      <w:jc w:val="left"/>
    </w:pPr>
    <w:rPr>
      <w:rFonts w:ascii="宋体" w:hAnsi="宋体" w:eastAsia="宋体" w:cs="Times New Roman"/>
      <w:b/>
      <w:kern w:val="0"/>
      <w:sz w:val="24"/>
      <w:szCs w:val="20"/>
      <w:lang w:eastAsia="en-US"/>
    </w:rPr>
  </w:style>
  <w:style w:type="character" w:customStyle="1" w:styleId="34">
    <w:name w:val="正文文本 Char"/>
    <w:basedOn w:val="18"/>
    <w:link w:val="8"/>
    <w:qFormat/>
    <w:uiPriority w:val="0"/>
    <w:rPr>
      <w:rFonts w:ascii="Times New Roman" w:hAnsi="Times New Roman" w:eastAsia="宋体" w:cs="Times New Roman"/>
      <w:b/>
      <w:bCs/>
      <w:sz w:val="24"/>
      <w:szCs w:val="24"/>
    </w:rPr>
  </w:style>
  <w:style w:type="character" w:customStyle="1" w:styleId="35">
    <w:name w:val="标题 Char"/>
    <w:basedOn w:val="18"/>
    <w:link w:val="14"/>
    <w:qFormat/>
    <w:uiPriority w:val="0"/>
    <w:rPr>
      <w:rFonts w:ascii="Arial" w:hAnsi="Arial" w:eastAsia="隶书" w:cs="Arial"/>
      <w:b/>
      <w:bCs/>
      <w:sz w:val="32"/>
      <w:szCs w:val="32"/>
    </w:rPr>
  </w:style>
  <w:style w:type="paragraph" w:customStyle="1" w:styleId="36">
    <w:name w:val="Other|1"/>
    <w:basedOn w:val="1"/>
    <w:qFormat/>
    <w:uiPriority w:val="0"/>
    <w:rPr>
      <w:rFonts w:ascii="宋体" w:hAnsi="宋体" w:eastAsia="宋体" w:cs="宋体"/>
      <w:szCs w:val="24"/>
      <w:lang w:val="zh-TW" w:eastAsia="zh-TW" w:bidi="zh-TW"/>
    </w:rPr>
  </w:style>
  <w:style w:type="paragraph" w:styleId="37">
    <w:name w:val="List Paragraph"/>
    <w:basedOn w:val="1"/>
    <w:qFormat/>
    <w:uiPriority w:val="99"/>
    <w:pPr>
      <w:ind w:firstLine="420" w:firstLineChars="200"/>
    </w:pPr>
  </w:style>
  <w:style w:type="paragraph" w:customStyle="1" w:styleId="38">
    <w:name w:val="Table caption|1"/>
    <w:basedOn w:val="1"/>
    <w:qFormat/>
    <w:uiPriority w:val="0"/>
    <w:rPr>
      <w:rFonts w:ascii="宋体" w:hAnsi="宋体" w:eastAsia="宋体" w:cs="宋体"/>
      <w:sz w:val="20"/>
      <w:szCs w:val="20"/>
      <w:lang w:val="zh-TW" w:eastAsia="zh-TW" w:bidi="zh-TW"/>
    </w:rPr>
  </w:style>
  <w:style w:type="character" w:customStyle="1" w:styleId="39">
    <w:name w:val="正文文本缩进 Char"/>
    <w:basedOn w:val="18"/>
    <w:link w:val="9"/>
    <w:semiHidden/>
    <w:qFormat/>
    <w:uiPriority w:val="99"/>
    <w:rPr>
      <w:rFonts w:asciiTheme="minorHAnsi" w:hAnsiTheme="minorHAnsi" w:eastAsiaTheme="minorEastAsia" w:cstheme="minorBidi"/>
      <w:kern w:val="2"/>
      <w:sz w:val="21"/>
      <w:szCs w:val="22"/>
    </w:rPr>
  </w:style>
  <w:style w:type="character" w:customStyle="1" w:styleId="40">
    <w:name w:val="正文首行缩进 2 Char"/>
    <w:basedOn w:val="39"/>
    <w:link w:val="15"/>
    <w:semiHidden/>
    <w:qFormat/>
    <w:uiPriority w:val="99"/>
    <w:rPr>
      <w:rFonts w:asciiTheme="minorHAnsi" w:hAnsiTheme="minorHAnsi" w:eastAsiaTheme="minorEastAsia" w:cstheme="minorBidi"/>
      <w:kern w:val="2"/>
      <w:sz w:val="21"/>
      <w:szCs w:val="22"/>
    </w:rPr>
  </w:style>
  <w:style w:type="character" w:customStyle="1" w:styleId="41">
    <w:name w:val="批注文字 Char"/>
    <w:link w:val="7"/>
    <w:qFormat/>
    <w:uiPriority w:val="99"/>
    <w:rPr>
      <w:rFonts w:asciiTheme="minorHAnsi" w:hAnsiTheme="minorHAnsi" w:eastAsiaTheme="minorEastAsia" w:cstheme="minorBidi"/>
      <w:kern w:val="2"/>
      <w:sz w:val="21"/>
      <w:szCs w:val="22"/>
    </w:rPr>
  </w:style>
  <w:style w:type="paragraph" w:customStyle="1" w:styleId="42">
    <w:name w:val="王越的表格"/>
    <w:basedOn w:val="1"/>
    <w:qFormat/>
    <w:uiPriority w:val="0"/>
    <w:pPr>
      <w:jc w:val="left"/>
    </w:pPr>
    <w:rPr>
      <w:rFonts w:ascii="宋体" w:hAnsi="宋体"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20</Pages>
  <Words>9044</Words>
  <Characters>9247</Characters>
  <Lines>76</Lines>
  <Paragraphs>21</Paragraphs>
  <TotalTime>1448</TotalTime>
  <ScaleCrop>false</ScaleCrop>
  <LinksUpToDate>false</LinksUpToDate>
  <CharactersWithSpaces>10114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2021-10-15T18:27:00Z</dcterms:created>
  <dc:creator>Chinese User</dc:creator>
  <cp:lastModifiedBy>admin</cp:lastModifiedBy>
  <cp:lastPrinted>2021-11-15T23:53:00Z</cp:lastPrinted>
  <dcterms:modified xsi:type="dcterms:W3CDTF">2024-09-23T05:42:18Z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4D8D5B29FAB0450799B48D0233A480E2</vt:lpwstr>
  </property>
</Properties>
</file>