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jc w:val="center"/>
        <w:rPr>
          <w:rFonts w:hint="eastAsia" w:ascii="仿宋" w:hAnsi="仿宋" w:eastAsia="仿宋" w:cs="仿宋"/>
          <w:b/>
          <w:bCs/>
          <w:color w:val="auto"/>
          <w:kern w:val="0"/>
          <w:sz w:val="44"/>
          <w:szCs w:val="44"/>
          <w:highlight w:val="none"/>
          <w:lang w:val="en-US" w:eastAsia="zh-CN"/>
        </w:rPr>
      </w:pPr>
      <w:r>
        <w:rPr>
          <w:rFonts w:hint="eastAsia" w:ascii="仿宋" w:hAnsi="仿宋" w:eastAsia="仿宋" w:cs="仿宋"/>
          <w:b/>
          <w:bCs/>
          <w:color w:val="auto"/>
          <w:kern w:val="0"/>
          <w:sz w:val="44"/>
          <w:szCs w:val="44"/>
          <w:highlight w:val="none"/>
          <w:lang w:val="en-US" w:eastAsia="zh-CN"/>
        </w:rPr>
        <w:t>深圳市龙岗中心医院医用气体采购招标文件信息</w:t>
      </w:r>
    </w:p>
    <w:tbl>
      <w:tblPr>
        <w:tblStyle w:val="21"/>
        <w:tblW w:w="7938"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5" w:type="dxa"/>
          <w:left w:w="45" w:type="dxa"/>
          <w:bottom w:w="45" w:type="dxa"/>
          <w:right w:w="45" w:type="dxa"/>
        </w:tblCellMar>
      </w:tblPr>
      <w:tblGrid>
        <w:gridCol w:w="2722"/>
        <w:gridCol w:w="5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814" w:hRule="atLeast"/>
          <w:tblCellSpacing w:w="0" w:type="dxa"/>
          <w:jc w:val="center"/>
        </w:trPr>
        <w:tc>
          <w:tcPr>
            <w:tcW w:w="2722" w:type="dxa"/>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项目编号：</w:t>
            </w:r>
          </w:p>
        </w:tc>
        <w:tc>
          <w:tcPr>
            <w:tcW w:w="5216" w:type="dxa"/>
            <w:vAlign w:val="center"/>
          </w:tcPr>
          <w:p>
            <w:pPr>
              <w:keepNext w:val="0"/>
              <w:keepLines w:val="0"/>
              <w:widowControl w:val="0"/>
              <w:suppressLineNumbers w:val="0"/>
              <w:shd w:val="clear"/>
              <w:spacing w:before="0" w:beforeAutospacing="0" w:after="0" w:afterAutospacing="0"/>
              <w:ind w:left="0" w:right="0"/>
              <w:jc w:val="left"/>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LGZXYYZBB20240912-1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7" w:hRule="atLeast"/>
          <w:tblCellSpacing w:w="0" w:type="dxa"/>
          <w:jc w:val="center"/>
        </w:trPr>
        <w:tc>
          <w:tcPr>
            <w:tcW w:w="2722" w:type="dxa"/>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项目名称：</w:t>
            </w:r>
          </w:p>
        </w:tc>
        <w:tc>
          <w:tcPr>
            <w:tcW w:w="5216" w:type="dxa"/>
            <w:vAlign w:val="center"/>
          </w:tcPr>
          <w:p>
            <w:pPr>
              <w:keepNext w:val="0"/>
              <w:keepLines w:val="0"/>
              <w:widowControl w:val="0"/>
              <w:suppressLineNumbers w:val="0"/>
              <w:shd w:val="clear"/>
              <w:spacing w:before="0" w:beforeAutospacing="0" w:after="0" w:afterAutospacing="0"/>
              <w:ind w:left="0" w:right="0"/>
              <w:jc w:val="left"/>
              <w:rPr>
                <w:rFonts w:hint="eastAsia" w:ascii="仿宋" w:hAnsi="仿宋" w:eastAsia="仿宋" w:cs="仿宋"/>
                <w:color w:val="auto"/>
                <w:kern w:val="2"/>
                <w:sz w:val="28"/>
                <w:szCs w:val="28"/>
                <w:highlight w:val="none"/>
                <w:lang w:val="en-US"/>
              </w:rPr>
            </w:pPr>
            <w:r>
              <w:rPr>
                <w:rFonts w:hint="eastAsia" w:ascii="仿宋" w:hAnsi="仿宋" w:eastAsia="仿宋" w:cs="仿宋"/>
                <w:color w:val="auto"/>
                <w:kern w:val="2"/>
                <w:sz w:val="28"/>
                <w:szCs w:val="28"/>
                <w:highlight w:val="none"/>
                <w:lang w:val="en-US" w:eastAsia="zh-CN"/>
              </w:rPr>
              <w:t>深圳市龙岗中心医院医用气体采购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7" w:hRule="atLeast"/>
          <w:tblCellSpacing w:w="0" w:type="dxa"/>
          <w:jc w:val="center"/>
        </w:trPr>
        <w:tc>
          <w:tcPr>
            <w:tcW w:w="2722" w:type="dxa"/>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包 号：</w:t>
            </w:r>
          </w:p>
        </w:tc>
        <w:tc>
          <w:tcPr>
            <w:tcW w:w="5216" w:type="dxa"/>
            <w:vAlign w:val="center"/>
          </w:tcPr>
          <w:p>
            <w:pPr>
              <w:keepNext w:val="0"/>
              <w:keepLines w:val="0"/>
              <w:widowControl w:val="0"/>
              <w:suppressLineNumbers w:val="0"/>
              <w:shd w:val="clear"/>
              <w:spacing w:before="0" w:beforeAutospacing="0" w:after="0" w:afterAutospacing="0"/>
              <w:ind w:left="0" w:right="0"/>
              <w:jc w:val="left"/>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7" w:hRule="atLeast"/>
          <w:tblCellSpacing w:w="0" w:type="dxa"/>
          <w:jc w:val="center"/>
        </w:trPr>
        <w:tc>
          <w:tcPr>
            <w:tcW w:w="2722" w:type="dxa"/>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项目类型：</w:t>
            </w:r>
          </w:p>
        </w:tc>
        <w:tc>
          <w:tcPr>
            <w:tcW w:w="5216" w:type="dxa"/>
            <w:vAlign w:val="center"/>
          </w:tcPr>
          <w:p>
            <w:pPr>
              <w:keepNext w:val="0"/>
              <w:keepLines w:val="0"/>
              <w:widowControl w:val="0"/>
              <w:suppressLineNumbers w:val="0"/>
              <w:shd w:val="clear"/>
              <w:spacing w:before="0" w:beforeAutospacing="0" w:after="0" w:afterAutospacing="0"/>
              <w:ind w:left="0" w:right="0"/>
              <w:jc w:val="left"/>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货物类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7" w:hRule="atLeast"/>
          <w:tblCellSpacing w:w="0" w:type="dxa"/>
          <w:jc w:val="center"/>
        </w:trPr>
        <w:tc>
          <w:tcPr>
            <w:tcW w:w="2722" w:type="dxa"/>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采购方式：</w:t>
            </w:r>
          </w:p>
        </w:tc>
        <w:tc>
          <w:tcPr>
            <w:tcW w:w="5216" w:type="dxa"/>
            <w:vAlign w:val="center"/>
          </w:tcPr>
          <w:p>
            <w:pPr>
              <w:keepNext w:val="0"/>
              <w:keepLines w:val="0"/>
              <w:widowControl w:val="0"/>
              <w:suppressLineNumbers w:val="0"/>
              <w:shd w:val="clear"/>
              <w:spacing w:before="0" w:beforeAutospacing="0" w:after="0" w:afterAutospacing="0"/>
              <w:ind w:left="0" w:right="0"/>
              <w:jc w:val="left"/>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7" w:hRule="atLeast"/>
          <w:tblCellSpacing w:w="0" w:type="dxa"/>
          <w:jc w:val="center"/>
        </w:trPr>
        <w:tc>
          <w:tcPr>
            <w:tcW w:w="2722" w:type="dxa"/>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货币类型：</w:t>
            </w:r>
          </w:p>
        </w:tc>
        <w:tc>
          <w:tcPr>
            <w:tcW w:w="5216" w:type="dxa"/>
            <w:vAlign w:val="center"/>
          </w:tcPr>
          <w:p>
            <w:pPr>
              <w:keepNext w:val="0"/>
              <w:keepLines w:val="0"/>
              <w:widowControl w:val="0"/>
              <w:suppressLineNumbers w:val="0"/>
              <w:shd w:val="clear"/>
              <w:spacing w:before="0" w:beforeAutospacing="0" w:after="0" w:afterAutospacing="0"/>
              <w:ind w:left="0" w:right="0"/>
              <w:jc w:val="left"/>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5" w:type="dxa"/>
            <w:left w:w="45" w:type="dxa"/>
            <w:bottom w:w="45" w:type="dxa"/>
            <w:right w:w="45" w:type="dxa"/>
          </w:tblCellMar>
        </w:tblPrEx>
        <w:trPr>
          <w:trHeight w:val="737" w:hRule="atLeast"/>
          <w:tblCellSpacing w:w="0" w:type="dxa"/>
          <w:jc w:val="center"/>
        </w:trPr>
        <w:tc>
          <w:tcPr>
            <w:tcW w:w="2722" w:type="dxa"/>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评标方法：</w:t>
            </w:r>
          </w:p>
        </w:tc>
        <w:tc>
          <w:tcPr>
            <w:tcW w:w="5216" w:type="dxa"/>
            <w:vAlign w:val="center"/>
          </w:tcPr>
          <w:p>
            <w:pPr>
              <w:keepNext w:val="0"/>
              <w:keepLines w:val="0"/>
              <w:widowControl w:val="0"/>
              <w:suppressLineNumbers w:val="0"/>
              <w:shd w:val="clear"/>
              <w:spacing w:before="0" w:beforeAutospacing="0" w:after="0" w:afterAutospacing="0"/>
              <w:ind w:left="0" w:right="0"/>
              <w:jc w:val="both"/>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综合评分法（新价格分算法）</w:t>
            </w:r>
          </w:p>
        </w:tc>
      </w:tr>
    </w:tbl>
    <w:p>
      <w:pPr>
        <w:pStyle w:val="17"/>
        <w:shd w:val="clear"/>
        <w:jc w:val="center"/>
        <w:outlineLvl w:val="1"/>
        <w:rPr>
          <w:rFonts w:hint="eastAsia" w:ascii="仿宋" w:hAnsi="仿宋" w:eastAsia="仿宋" w:cs="仿宋"/>
          <w:color w:val="auto"/>
          <w:sz w:val="40"/>
          <w:szCs w:val="40"/>
          <w:highlight w:val="none"/>
        </w:rPr>
      </w:pPr>
    </w:p>
    <w:p>
      <w:pPr>
        <w:pStyle w:val="17"/>
        <w:widowControl/>
        <w:shd w:val="clear"/>
        <w:jc w:val="center"/>
        <w:outlineLvl w:val="1"/>
        <w:rPr>
          <w:rFonts w:hint="eastAsia" w:ascii="仿宋" w:hAnsi="仿宋" w:eastAsia="仿宋" w:cs="仿宋"/>
          <w:color w:val="auto"/>
          <w:sz w:val="40"/>
          <w:szCs w:val="40"/>
          <w:highlight w:val="none"/>
        </w:rPr>
      </w:pPr>
    </w:p>
    <w:p>
      <w:pPr>
        <w:pStyle w:val="17"/>
        <w:widowControl/>
        <w:shd w:val="clear"/>
        <w:jc w:val="center"/>
        <w:outlineLvl w:val="1"/>
        <w:rPr>
          <w:rFonts w:hint="eastAsia" w:ascii="仿宋" w:hAnsi="仿宋" w:eastAsia="仿宋" w:cs="仿宋"/>
          <w:color w:val="auto"/>
          <w:sz w:val="40"/>
          <w:szCs w:val="40"/>
          <w:highlight w:val="none"/>
        </w:rPr>
      </w:pPr>
    </w:p>
    <w:p>
      <w:pPr>
        <w:pStyle w:val="17"/>
        <w:widowControl/>
        <w:shd w:val="clear"/>
        <w:jc w:val="center"/>
        <w:outlineLvl w:val="1"/>
        <w:rPr>
          <w:rFonts w:hint="eastAsia" w:ascii="仿宋" w:hAnsi="仿宋" w:eastAsia="仿宋" w:cs="仿宋"/>
          <w:color w:val="auto"/>
          <w:sz w:val="40"/>
          <w:szCs w:val="40"/>
          <w:highlight w:val="none"/>
        </w:rPr>
      </w:pPr>
    </w:p>
    <w:p>
      <w:pPr>
        <w:pStyle w:val="17"/>
        <w:widowControl/>
        <w:shd w:val="clear"/>
        <w:jc w:val="center"/>
        <w:outlineLvl w:val="1"/>
        <w:rPr>
          <w:rFonts w:hint="eastAsia" w:ascii="仿宋" w:hAnsi="仿宋" w:eastAsia="仿宋" w:cs="仿宋"/>
          <w:color w:val="auto"/>
          <w:sz w:val="40"/>
          <w:szCs w:val="40"/>
          <w:highlight w:val="none"/>
        </w:rPr>
      </w:pPr>
    </w:p>
    <w:p>
      <w:pPr>
        <w:pStyle w:val="17"/>
        <w:widowControl/>
        <w:shd w:val="clear"/>
        <w:jc w:val="center"/>
        <w:outlineLvl w:val="1"/>
        <w:rPr>
          <w:rFonts w:hint="eastAsia" w:ascii="仿宋" w:hAnsi="仿宋" w:eastAsia="仿宋" w:cs="仿宋"/>
          <w:color w:val="auto"/>
          <w:sz w:val="40"/>
          <w:szCs w:val="40"/>
          <w:highlight w:val="none"/>
        </w:rPr>
      </w:pPr>
    </w:p>
    <w:p>
      <w:pPr>
        <w:pStyle w:val="17"/>
        <w:widowControl/>
        <w:shd w:val="clear"/>
        <w:jc w:val="center"/>
        <w:outlineLvl w:val="1"/>
        <w:rPr>
          <w:rFonts w:hint="eastAsia" w:ascii="仿宋" w:hAnsi="仿宋" w:eastAsia="仿宋" w:cs="仿宋"/>
          <w:color w:val="auto"/>
          <w:sz w:val="40"/>
          <w:szCs w:val="40"/>
          <w:highlight w:val="none"/>
        </w:rPr>
      </w:pPr>
    </w:p>
    <w:p>
      <w:pPr>
        <w:pStyle w:val="17"/>
        <w:widowControl/>
        <w:shd w:val="clear"/>
        <w:jc w:val="center"/>
        <w:outlineLvl w:val="1"/>
        <w:rPr>
          <w:rFonts w:hint="eastAsia" w:ascii="仿宋" w:hAnsi="仿宋" w:eastAsia="仿宋" w:cs="仿宋"/>
          <w:color w:val="auto"/>
          <w:sz w:val="40"/>
          <w:szCs w:val="40"/>
          <w:highlight w:val="none"/>
        </w:rPr>
      </w:pPr>
    </w:p>
    <w:p>
      <w:pPr>
        <w:pStyle w:val="17"/>
        <w:widowControl/>
        <w:shd w:val="clear"/>
        <w:jc w:val="center"/>
        <w:outlineLvl w:val="1"/>
        <w:rPr>
          <w:rFonts w:hint="eastAsia" w:ascii="仿宋" w:hAnsi="仿宋" w:eastAsia="仿宋" w:cs="仿宋"/>
          <w:color w:val="auto"/>
          <w:sz w:val="40"/>
          <w:szCs w:val="40"/>
          <w:highlight w:val="none"/>
        </w:rPr>
      </w:pPr>
    </w:p>
    <w:p>
      <w:pPr>
        <w:pStyle w:val="17"/>
        <w:widowControl/>
        <w:shd w:val="clear"/>
        <w:jc w:val="center"/>
        <w:outlineLvl w:val="1"/>
        <w:rPr>
          <w:rFonts w:hint="eastAsia" w:ascii="仿宋" w:hAnsi="仿宋" w:eastAsia="仿宋" w:cs="仿宋"/>
          <w:color w:val="auto"/>
          <w:sz w:val="40"/>
          <w:szCs w:val="40"/>
          <w:highlight w:val="none"/>
        </w:rPr>
      </w:pPr>
    </w:p>
    <w:p>
      <w:pPr>
        <w:pStyle w:val="17"/>
        <w:widowControl/>
        <w:shd w:val="clear"/>
        <w:jc w:val="center"/>
        <w:outlineLvl w:val="1"/>
        <w:rPr>
          <w:rFonts w:hint="eastAsia" w:ascii="仿宋" w:hAnsi="仿宋" w:eastAsia="仿宋" w:cs="仿宋"/>
          <w:color w:val="auto"/>
          <w:sz w:val="40"/>
          <w:szCs w:val="40"/>
          <w:highlight w:val="none"/>
        </w:rPr>
      </w:pPr>
    </w:p>
    <w:p>
      <w:pPr>
        <w:pStyle w:val="17"/>
        <w:widowControl/>
        <w:shd w:val="clear"/>
        <w:jc w:val="center"/>
        <w:outlineLvl w:val="1"/>
        <w:rPr>
          <w:rFonts w:hint="eastAsia" w:ascii="仿宋" w:hAnsi="仿宋" w:eastAsia="仿宋" w:cs="仿宋"/>
          <w:color w:val="auto"/>
          <w:sz w:val="40"/>
          <w:szCs w:val="40"/>
          <w:highlight w:val="none"/>
        </w:rPr>
      </w:pPr>
    </w:p>
    <w:p>
      <w:pPr>
        <w:pStyle w:val="17"/>
        <w:widowControl/>
        <w:shd w:val="clear"/>
        <w:jc w:val="center"/>
        <w:outlineLvl w:val="1"/>
        <w:rPr>
          <w:rFonts w:hint="eastAsia" w:ascii="仿宋" w:hAnsi="仿宋" w:eastAsia="仿宋" w:cs="仿宋"/>
          <w:color w:val="auto"/>
          <w:sz w:val="40"/>
          <w:szCs w:val="40"/>
          <w:highlight w:val="none"/>
        </w:rPr>
      </w:pPr>
    </w:p>
    <w:p>
      <w:pPr>
        <w:pStyle w:val="17"/>
        <w:widowControl/>
        <w:shd w:val="clear"/>
        <w:jc w:val="center"/>
        <w:outlineLvl w:val="1"/>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t>资格性审查表</w:t>
      </w:r>
    </w:p>
    <w:tbl>
      <w:tblPr>
        <w:tblStyle w:val="21"/>
        <w:tblW w:w="4999"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45"/>
        <w:gridCol w:w="77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29" w:hRule="atLeast"/>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autoSpaceDE w:val="0"/>
              <w:autoSpaceDN w:val="0"/>
              <w:adjustRightInd w:val="0"/>
              <w:snapToGrid w:val="0"/>
              <w:spacing w:before="0" w:beforeAutospacing="0" w:after="0" w:afterAutospacing="0"/>
              <w:ind w:left="0" w:right="32"/>
              <w:jc w:val="center"/>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序号</w:t>
            </w:r>
          </w:p>
        </w:tc>
        <w:tc>
          <w:tcPr>
            <w:tcW w:w="456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autoSpaceDE w:val="0"/>
              <w:autoSpaceDN w:val="0"/>
              <w:adjustRightInd w:val="0"/>
              <w:snapToGrid w:val="0"/>
              <w:spacing w:before="0" w:beforeAutospacing="0" w:after="0" w:afterAutospacing="0"/>
              <w:ind w:left="0" w:right="32"/>
              <w:jc w:val="center"/>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autoSpaceDE w:val="0"/>
              <w:autoSpaceDN w:val="0"/>
              <w:adjustRightInd w:val="0"/>
              <w:snapToGrid w:val="0"/>
              <w:spacing w:before="0" w:beforeAutospacing="0" w:after="0" w:afterAutospacing="0"/>
              <w:ind w:left="0" w:right="32"/>
              <w:jc w:val="center"/>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w:t>
            </w:r>
          </w:p>
        </w:tc>
        <w:tc>
          <w:tcPr>
            <w:tcW w:w="4562" w:type="pct"/>
            <w:tcBorders>
              <w:top w:val="single" w:color="000000" w:sz="8" w:space="0"/>
              <w:left w:val="single" w:color="000000" w:sz="8" w:space="0"/>
              <w:bottom w:val="single" w:color="000000" w:sz="8" w:space="0"/>
              <w:right w:val="single" w:color="000000" w:sz="8" w:space="0"/>
            </w:tcBorders>
            <w:shd w:val="clear" w:color="auto" w:fill="auto"/>
          </w:tcPr>
          <w:p>
            <w:pPr>
              <w:keepNext w:val="0"/>
              <w:keepLines w:val="0"/>
              <w:widowControl/>
              <w:suppressLineNumbers w:val="0"/>
              <w:shd w:val="clear"/>
              <w:autoSpaceDE w:val="0"/>
              <w:autoSpaceDN w:val="0"/>
              <w:adjustRightInd w:val="0"/>
              <w:snapToGrid w:val="0"/>
              <w:spacing w:before="0" w:beforeAutospacing="0" w:after="0" w:afterAutospacing="0"/>
              <w:ind w:left="0" w:right="32"/>
              <w:jc w:val="left"/>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投标人不符合资格要求或未提交相应的资格证明资料（详见招标公告投标人资格要求，即申请人的资格要求）</w:t>
            </w:r>
          </w:p>
        </w:tc>
      </w:tr>
    </w:tbl>
    <w:p>
      <w:pPr>
        <w:pStyle w:val="17"/>
        <w:widowControl/>
        <w:shd w:val="clear"/>
        <w:spacing w:before="280" w:beforeAutospacing="0"/>
        <w:jc w:val="center"/>
        <w:outlineLvl w:val="1"/>
        <w:rPr>
          <w:rFonts w:hint="eastAsia" w:ascii="仿宋" w:hAnsi="仿宋" w:eastAsia="仿宋" w:cs="仿宋"/>
          <w:color w:val="auto"/>
          <w:sz w:val="40"/>
          <w:szCs w:val="40"/>
          <w:highlight w:val="none"/>
        </w:rPr>
      </w:pPr>
    </w:p>
    <w:p>
      <w:pPr>
        <w:pStyle w:val="17"/>
        <w:widowControl/>
        <w:shd w:val="clear"/>
        <w:spacing w:before="280" w:beforeAutospacing="0"/>
        <w:jc w:val="center"/>
        <w:outlineLvl w:val="1"/>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t>符合性审查表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7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autoSpaceDE w:val="0"/>
              <w:autoSpaceDN w:val="0"/>
              <w:adjustRightInd w:val="0"/>
              <w:snapToGrid w:val="0"/>
              <w:spacing w:before="0" w:beforeAutospacing="0" w:after="0" w:afterAutospacing="0"/>
              <w:ind w:left="0" w:right="32"/>
              <w:jc w:val="center"/>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序号</w:t>
            </w:r>
          </w:p>
        </w:tc>
        <w:tc>
          <w:tcPr>
            <w:tcW w:w="4570"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autoSpaceDE w:val="0"/>
              <w:autoSpaceDN w:val="0"/>
              <w:adjustRightInd w:val="0"/>
              <w:snapToGrid w:val="0"/>
              <w:spacing w:before="0" w:beforeAutospacing="0" w:after="0" w:afterAutospacing="0"/>
              <w:ind w:left="0" w:right="0"/>
              <w:jc w:val="center"/>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autoSpaceDE w:val="0"/>
              <w:autoSpaceDN w:val="0"/>
              <w:adjustRightInd w:val="0"/>
              <w:snapToGrid w:val="0"/>
              <w:spacing w:before="0" w:beforeAutospacing="0" w:after="0" w:afterAutospacing="0"/>
              <w:ind w:left="0" w:right="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4570"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autoSpaceDE w:val="0"/>
              <w:autoSpaceDN w:val="0"/>
              <w:adjustRightInd w:val="0"/>
              <w:snapToGrid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不得将一个包的内容拆开投标；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autoSpaceDE w:val="0"/>
              <w:autoSpaceDN w:val="0"/>
              <w:adjustRightInd w:val="0"/>
              <w:snapToGrid w:val="0"/>
              <w:spacing w:before="0" w:beforeAutospacing="0" w:after="0" w:afterAutospacing="0"/>
              <w:ind w:left="0" w:right="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4570"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autoSpaceDE w:val="0"/>
              <w:autoSpaceDN w:val="0"/>
              <w:adjustRightInd w:val="0"/>
              <w:snapToGrid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对同一项目投标时，不得提供两套以上的投标方案（招标文件另有规定的除外）；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autoSpaceDE w:val="0"/>
              <w:autoSpaceDN w:val="0"/>
              <w:adjustRightInd w:val="0"/>
              <w:snapToGrid w:val="0"/>
              <w:spacing w:before="0" w:beforeAutospacing="0" w:after="0" w:afterAutospacing="0"/>
              <w:ind w:left="0" w:right="3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4570"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autoSpaceDE w:val="0"/>
              <w:autoSpaceDN w:val="0"/>
              <w:adjustRightInd w:val="0"/>
              <w:snapToGrid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分项报价或投标总价不得高于相应预算金额（或设定的预算金额下的最高限价）；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autoSpaceDE w:val="0"/>
              <w:autoSpaceDN w:val="0"/>
              <w:adjustRightInd w:val="0"/>
              <w:snapToGrid w:val="0"/>
              <w:spacing w:before="0" w:beforeAutospacing="0" w:after="0" w:afterAutospacing="0"/>
              <w:ind w:left="0" w:right="3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4</w:t>
            </w:r>
          </w:p>
        </w:tc>
        <w:tc>
          <w:tcPr>
            <w:tcW w:w="4570"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autoSpaceDE w:val="0"/>
              <w:autoSpaceDN w:val="0"/>
              <w:adjustRightInd w:val="0"/>
              <w:snapToGrid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autoSpaceDE w:val="0"/>
              <w:autoSpaceDN w:val="0"/>
              <w:adjustRightInd w:val="0"/>
              <w:snapToGrid w:val="0"/>
              <w:spacing w:before="0" w:beforeAutospacing="0" w:after="0" w:afterAutospacing="0"/>
              <w:ind w:left="0" w:right="3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p>
        </w:tc>
        <w:tc>
          <w:tcPr>
            <w:tcW w:w="4570"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autoSpaceDE w:val="0"/>
              <w:autoSpaceDN w:val="0"/>
              <w:adjustRightInd w:val="0"/>
              <w:snapToGrid w:val="0"/>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所投货物、服务在技术、商务等方面没有实质性满足招标文件要求的（是否实质性满足招标文件要求，由评审委员会根据实质性条款响应情况做出评判）；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autoSpaceDE w:val="0"/>
              <w:autoSpaceDN w:val="0"/>
              <w:adjustRightInd w:val="0"/>
              <w:snapToGrid w:val="0"/>
              <w:spacing w:before="0" w:beforeAutospacing="0" w:after="0" w:afterAutospacing="0"/>
              <w:ind w:left="0" w:right="32"/>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6</w:t>
            </w:r>
          </w:p>
        </w:tc>
        <w:tc>
          <w:tcPr>
            <w:tcW w:w="4570"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未按招标文件所提供的样式填写《投标函》；未按招标文件所提供的《政府采购投标及履约承诺函》进行承诺；未按招标文件对投标文件组成的要求提供投标文件；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autoSpaceDE w:val="0"/>
              <w:autoSpaceDN w:val="0"/>
              <w:adjustRightInd w:val="0"/>
              <w:snapToGrid w:val="0"/>
              <w:spacing w:before="0" w:beforeAutospacing="0" w:after="0" w:afterAutospacing="0"/>
              <w:ind w:left="0" w:right="32"/>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4570"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投标报价有缺漏项目或者对招标文件规定的项目需求内容或者需求数量进行修改，评审委员会判定投标响应不满足采购需求；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autoSpaceDE w:val="0"/>
              <w:autoSpaceDN w:val="0"/>
              <w:adjustRightInd w:val="0"/>
              <w:snapToGrid w:val="0"/>
              <w:spacing w:before="0" w:beforeAutospacing="0" w:after="0" w:afterAutospacing="0"/>
              <w:ind w:left="0" w:right="32"/>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4570"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投标文件存在列放位置错误，导致属于信息公开情形的没有被公开；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autoSpaceDE w:val="0"/>
              <w:autoSpaceDN w:val="0"/>
              <w:adjustRightInd w:val="0"/>
              <w:snapToGrid w:val="0"/>
              <w:spacing w:before="0" w:beforeAutospacing="0" w:after="0" w:afterAutospacing="0"/>
              <w:ind w:left="0" w:right="32"/>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4570"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投标文件电子文档带病毒；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autoSpaceDE w:val="0"/>
              <w:autoSpaceDN w:val="0"/>
              <w:adjustRightInd w:val="0"/>
              <w:snapToGrid w:val="0"/>
              <w:spacing w:before="0" w:beforeAutospacing="0" w:after="0" w:afterAutospacing="0"/>
              <w:ind w:left="0" w:right="32"/>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4570"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投标文件用不属于本公司的电子密钥或电子营业执照进行加密的；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autoSpaceDE w:val="0"/>
              <w:autoSpaceDN w:val="0"/>
              <w:adjustRightInd w:val="0"/>
              <w:snapToGrid w:val="0"/>
              <w:spacing w:before="0" w:beforeAutospacing="0" w:after="0" w:afterAutospacing="0"/>
              <w:ind w:left="0" w:right="32"/>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4570" w:type="pct"/>
            <w:tcBorders>
              <w:top w:val="single" w:color="auto" w:sz="4" w:space="0"/>
              <w:left w:val="single" w:color="auto" w:sz="4" w:space="0"/>
              <w:bottom w:val="single" w:color="auto" w:sz="4" w:space="0"/>
              <w:right w:val="single" w:color="auto" w:sz="4" w:space="0"/>
            </w:tcBorders>
          </w:tcPr>
          <w:p>
            <w:pPr>
              <w:keepNext w:val="0"/>
              <w:keepLines w:val="0"/>
              <w:widowControl/>
              <w:suppressLineNumbers w:val="0"/>
              <w:shd w:val="clear"/>
              <w:spacing w:before="0" w:beforeAutospacing="0" w:after="0" w:afterAutospacing="0"/>
              <w:ind w:left="0" w:right="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法律、法规、规章、规范性文件规定的其他情形。</w:t>
            </w:r>
          </w:p>
        </w:tc>
      </w:tr>
    </w:tbl>
    <w:p>
      <w:pPr>
        <w:pStyle w:val="8"/>
        <w:keepNext w:val="0"/>
        <w:keepLines w:val="0"/>
        <w:pageBreakBefore w:val="0"/>
        <w:widowControl w:val="0"/>
        <w:shd w:val="clear"/>
        <w:tabs>
          <w:tab w:val="left" w:pos="562"/>
          <w:tab w:val="left" w:pos="3372"/>
          <w:tab w:val="left" w:pos="3653"/>
        </w:tabs>
        <w:kinsoku/>
        <w:wordWrap/>
        <w:overflowPunct/>
        <w:topLinePunct w:val="0"/>
        <w:autoSpaceDE/>
        <w:autoSpaceDN/>
        <w:bidi w:val="0"/>
        <w:adjustRightInd/>
        <w:snapToGrid/>
        <w:ind w:firstLine="48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t>注：如无特殊说明，投标人所提供的证明文件均需加盖投标人公章。</w:t>
      </w:r>
    </w:p>
    <w:p>
      <w:pPr>
        <w:pStyle w:val="17"/>
        <w:shd w:val="clear"/>
        <w:jc w:val="center"/>
        <w:outlineLvl w:val="1"/>
        <w:rPr>
          <w:rFonts w:hint="eastAsia" w:ascii="仿宋" w:hAnsi="仿宋" w:eastAsia="仿宋" w:cs="仿宋"/>
          <w:color w:val="auto"/>
          <w:sz w:val="40"/>
          <w:szCs w:val="40"/>
          <w:highlight w:val="none"/>
        </w:rPr>
      </w:pPr>
    </w:p>
    <w:p>
      <w:pPr>
        <w:pStyle w:val="17"/>
        <w:shd w:val="clear"/>
        <w:jc w:val="center"/>
        <w:outlineLvl w:val="1"/>
        <w:rPr>
          <w:rFonts w:hint="eastAsia" w:ascii="仿宋" w:hAnsi="仿宋" w:eastAsia="仿宋" w:cs="仿宋"/>
          <w:color w:val="auto"/>
          <w:sz w:val="40"/>
          <w:szCs w:val="40"/>
          <w:highlight w:val="none"/>
        </w:rPr>
      </w:pPr>
    </w:p>
    <w:p>
      <w:pPr>
        <w:pStyle w:val="17"/>
        <w:shd w:val="clear"/>
        <w:jc w:val="center"/>
        <w:outlineLvl w:val="1"/>
        <w:rPr>
          <w:rFonts w:hint="eastAsia" w:ascii="仿宋" w:hAnsi="仿宋" w:eastAsia="仿宋" w:cs="仿宋"/>
          <w:color w:val="auto"/>
          <w:sz w:val="40"/>
          <w:szCs w:val="40"/>
          <w:highlight w:val="none"/>
        </w:rPr>
      </w:pPr>
    </w:p>
    <w:p>
      <w:pPr>
        <w:pStyle w:val="17"/>
        <w:shd w:val="clear"/>
        <w:jc w:val="center"/>
        <w:outlineLvl w:val="1"/>
        <w:rPr>
          <w:rFonts w:hint="eastAsia" w:ascii="仿宋" w:hAnsi="仿宋" w:eastAsia="仿宋" w:cs="仿宋"/>
          <w:color w:val="auto"/>
          <w:sz w:val="40"/>
          <w:szCs w:val="40"/>
          <w:highlight w:val="none"/>
        </w:rPr>
      </w:pPr>
    </w:p>
    <w:p>
      <w:pPr>
        <w:pStyle w:val="17"/>
        <w:shd w:val="clear"/>
        <w:jc w:val="center"/>
        <w:outlineLvl w:val="1"/>
        <w:rPr>
          <w:rFonts w:hint="eastAsia" w:ascii="仿宋" w:hAnsi="仿宋" w:eastAsia="仿宋" w:cs="仿宋"/>
          <w:color w:val="auto"/>
          <w:sz w:val="40"/>
          <w:szCs w:val="40"/>
          <w:highlight w:val="none"/>
        </w:rPr>
      </w:pPr>
    </w:p>
    <w:p>
      <w:pPr>
        <w:pStyle w:val="17"/>
        <w:shd w:val="clear"/>
        <w:jc w:val="center"/>
        <w:outlineLvl w:val="1"/>
        <w:rPr>
          <w:rFonts w:hint="eastAsia" w:ascii="仿宋" w:hAnsi="仿宋" w:eastAsia="仿宋" w:cs="仿宋"/>
          <w:color w:val="auto"/>
          <w:sz w:val="40"/>
          <w:szCs w:val="40"/>
          <w:highlight w:val="none"/>
        </w:rPr>
      </w:pPr>
    </w:p>
    <w:p>
      <w:pPr>
        <w:pStyle w:val="17"/>
        <w:shd w:val="clear"/>
        <w:jc w:val="center"/>
        <w:outlineLvl w:val="1"/>
        <w:rPr>
          <w:rFonts w:hint="eastAsia" w:ascii="仿宋" w:hAnsi="仿宋" w:eastAsia="仿宋" w:cs="仿宋"/>
          <w:color w:val="auto"/>
          <w:sz w:val="40"/>
          <w:szCs w:val="40"/>
          <w:highlight w:val="none"/>
        </w:rPr>
      </w:pPr>
    </w:p>
    <w:p>
      <w:pPr>
        <w:pStyle w:val="17"/>
        <w:shd w:val="clear"/>
        <w:jc w:val="both"/>
        <w:outlineLvl w:val="1"/>
        <w:rPr>
          <w:rFonts w:hint="eastAsia" w:ascii="仿宋" w:hAnsi="仿宋" w:eastAsia="仿宋" w:cs="仿宋"/>
          <w:color w:val="auto"/>
          <w:sz w:val="40"/>
          <w:szCs w:val="40"/>
          <w:highlight w:val="none"/>
        </w:rPr>
      </w:pPr>
    </w:p>
    <w:p>
      <w:pPr>
        <w:pStyle w:val="17"/>
        <w:keepNext w:val="0"/>
        <w:keepLines w:val="0"/>
        <w:pageBreakBefore w:val="0"/>
        <w:widowControl/>
        <w:numPr>
          <w:ilvl w:val="0"/>
          <w:numId w:val="0"/>
        </w:numPr>
        <w:shd w:val="clear"/>
        <w:kinsoku/>
        <w:wordWrap/>
        <w:overflowPunct/>
        <w:topLinePunct w:val="0"/>
        <w:autoSpaceDE/>
        <w:autoSpaceDN/>
        <w:bidi w:val="0"/>
        <w:adjustRightInd/>
        <w:snapToGrid/>
        <w:ind w:firstLine="3855" w:firstLineChars="1200"/>
        <w:jc w:val="both"/>
        <w:textAlignment w:val="auto"/>
        <w:outlineLvl w:val="1"/>
        <w:rPr>
          <w:rFonts w:hint="eastAsia" w:ascii="仿宋" w:hAnsi="仿宋" w:eastAsia="仿宋" w:cs="仿宋"/>
          <w:b/>
          <w:bCs/>
          <w:color w:val="auto"/>
          <w:sz w:val="32"/>
          <w:szCs w:val="32"/>
          <w:highlight w:val="none"/>
          <w:lang w:val="en-US" w:eastAsia="zh-CN" w:bidi="ar-SA"/>
        </w:rPr>
      </w:pPr>
    </w:p>
    <w:p>
      <w:pPr>
        <w:pStyle w:val="17"/>
        <w:keepNext w:val="0"/>
        <w:keepLines w:val="0"/>
        <w:pageBreakBefore w:val="0"/>
        <w:widowControl/>
        <w:numPr>
          <w:ilvl w:val="0"/>
          <w:numId w:val="0"/>
        </w:numPr>
        <w:shd w:val="clear"/>
        <w:kinsoku/>
        <w:wordWrap/>
        <w:overflowPunct/>
        <w:topLinePunct w:val="0"/>
        <w:autoSpaceDE/>
        <w:autoSpaceDN/>
        <w:bidi w:val="0"/>
        <w:adjustRightInd/>
        <w:snapToGrid/>
        <w:ind w:firstLine="3855" w:firstLineChars="1200"/>
        <w:jc w:val="both"/>
        <w:textAlignment w:val="auto"/>
        <w:outlineLvl w:val="1"/>
        <w:rPr>
          <w:rFonts w:hint="eastAsia" w:ascii="仿宋" w:hAnsi="仿宋" w:eastAsia="仿宋" w:cs="仿宋"/>
          <w:b/>
          <w:bCs/>
          <w:color w:val="auto"/>
          <w:sz w:val="32"/>
          <w:szCs w:val="32"/>
          <w:highlight w:val="none"/>
          <w:lang w:val="en-US" w:eastAsia="zh-CN" w:bidi="ar-SA"/>
        </w:rPr>
      </w:pPr>
    </w:p>
    <w:p>
      <w:pPr>
        <w:pStyle w:val="17"/>
        <w:keepNext w:val="0"/>
        <w:keepLines w:val="0"/>
        <w:pageBreakBefore w:val="0"/>
        <w:widowControl/>
        <w:numPr>
          <w:ilvl w:val="0"/>
          <w:numId w:val="0"/>
        </w:numPr>
        <w:shd w:val="clear"/>
        <w:kinsoku/>
        <w:wordWrap/>
        <w:overflowPunct/>
        <w:topLinePunct w:val="0"/>
        <w:autoSpaceDE/>
        <w:autoSpaceDN/>
        <w:bidi w:val="0"/>
        <w:adjustRightInd/>
        <w:snapToGrid/>
        <w:ind w:firstLine="3855" w:firstLineChars="1200"/>
        <w:jc w:val="both"/>
        <w:textAlignment w:val="auto"/>
        <w:outlineLvl w:val="1"/>
        <w:rPr>
          <w:rFonts w:hint="eastAsia" w:ascii="仿宋" w:hAnsi="仿宋" w:eastAsia="仿宋" w:cs="仿宋"/>
          <w:b/>
          <w:bCs/>
          <w:color w:val="auto"/>
          <w:sz w:val="32"/>
          <w:szCs w:val="32"/>
          <w:highlight w:val="none"/>
          <w:lang w:val="en-US" w:eastAsia="zh-CN" w:bidi="ar-SA"/>
        </w:rPr>
      </w:pPr>
      <w:r>
        <w:rPr>
          <w:rFonts w:hint="eastAsia" w:ascii="仿宋" w:hAnsi="仿宋" w:eastAsia="仿宋" w:cs="仿宋"/>
          <w:b/>
          <w:bCs/>
          <w:color w:val="auto"/>
          <w:sz w:val="32"/>
          <w:szCs w:val="32"/>
          <w:highlight w:val="none"/>
          <w:lang w:val="en-US" w:eastAsia="zh-CN" w:bidi="ar-SA"/>
        </w:rPr>
        <w:t>评标信息</w:t>
      </w:r>
    </w:p>
    <w:p>
      <w:pPr>
        <w:pStyle w:val="17"/>
        <w:keepNext w:val="0"/>
        <w:keepLines w:val="0"/>
        <w:pageBreakBefore w:val="0"/>
        <w:widowControl/>
        <w:numPr>
          <w:ilvl w:val="0"/>
          <w:numId w:val="0"/>
        </w:numPr>
        <w:shd w:val="clear"/>
        <w:kinsoku/>
        <w:wordWrap/>
        <w:overflowPunct/>
        <w:topLinePunct w:val="0"/>
        <w:autoSpaceDE/>
        <w:autoSpaceDN/>
        <w:bidi w:val="0"/>
        <w:adjustRightInd/>
        <w:snapToGrid/>
        <w:ind w:firstLine="3855" w:firstLineChars="1200"/>
        <w:jc w:val="both"/>
        <w:textAlignment w:val="auto"/>
        <w:outlineLvl w:val="1"/>
        <w:rPr>
          <w:rFonts w:hint="eastAsia" w:ascii="仿宋" w:hAnsi="仿宋" w:eastAsia="仿宋" w:cs="仿宋"/>
          <w:b/>
          <w:bCs/>
          <w:color w:val="auto"/>
          <w:sz w:val="32"/>
          <w:szCs w:val="32"/>
          <w:highlight w:val="none"/>
          <w:lang w:val="en-US" w:eastAsia="zh-CN" w:bidi="ar-SA"/>
        </w:rPr>
      </w:pPr>
    </w:p>
    <w:tbl>
      <w:tblPr>
        <w:tblStyle w:val="21"/>
        <w:tblW w:w="9802" w:type="dxa"/>
        <w:jc w:val="center"/>
        <w:tblCellSpacing w:w="0" w:type="dxa"/>
        <w:tblLayout w:type="fixed"/>
        <w:tblCellMar>
          <w:top w:w="45" w:type="dxa"/>
          <w:left w:w="45" w:type="dxa"/>
          <w:bottom w:w="45" w:type="dxa"/>
          <w:right w:w="45" w:type="dxa"/>
        </w:tblCellMar>
      </w:tblPr>
      <w:tblGrid>
        <w:gridCol w:w="3"/>
        <w:gridCol w:w="8898"/>
        <w:gridCol w:w="174"/>
        <w:gridCol w:w="727"/>
      </w:tblGrid>
      <w:tr>
        <w:tblPrEx>
          <w:tblCellMar>
            <w:top w:w="45" w:type="dxa"/>
            <w:left w:w="45" w:type="dxa"/>
            <w:bottom w:w="45" w:type="dxa"/>
            <w:right w:w="45" w:type="dxa"/>
          </w:tblCellMar>
        </w:tblPrEx>
        <w:trPr>
          <w:gridBefore w:val="1"/>
          <w:gridAfter w:val="1"/>
          <w:wBefore w:w="3" w:type="dxa"/>
          <w:wAfter w:w="727" w:type="dxa"/>
          <w:tblCellSpacing w:w="0" w:type="dxa"/>
          <w:jc w:val="center"/>
        </w:trPr>
        <w:tc>
          <w:tcPr>
            <w:tcW w:w="8898" w:type="dxa"/>
            <w:tcBorders>
              <w:top w:val="nil"/>
              <w:left w:val="nil"/>
              <w:bottom w:val="nil"/>
              <w:right w:val="nil"/>
            </w:tcBorders>
            <w:shd w:val="clear" w:color="auto" w:fill="auto"/>
            <w:vAlign w:val="center"/>
          </w:tcPr>
          <w:p>
            <w:pPr>
              <w:keepNext w:val="0"/>
              <w:keepLines w:val="0"/>
              <w:widowControl/>
              <w:suppressLineNumbers w:val="0"/>
              <w:shd w:val="clear"/>
              <w:spacing w:before="0" w:beforeAutospacing="0" w:after="0" w:afterAutospacing="0"/>
              <w:ind w:left="0" w:right="0"/>
              <w:rPr>
                <w:rFonts w:hint="eastAsia" w:ascii="仿宋" w:hAnsi="仿宋" w:eastAsia="仿宋" w:cs="仿宋"/>
                <w:b/>
                <w:bCs/>
                <w:sz w:val="24"/>
                <w:szCs w:val="24"/>
                <w:highlight w:val="none"/>
                <w:lang w:val="en-US" w:eastAsia="zh-CN" w:bidi="ar-SA"/>
              </w:rPr>
            </w:pP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评标方法：综合评分法（新价格分算法）</w:t>
            </w:r>
          </w:p>
        </w:tc>
        <w:tc>
          <w:tcPr>
            <w:tcW w:w="174" w:type="dxa"/>
            <w:tcBorders>
              <w:top w:val="nil"/>
              <w:left w:val="nil"/>
              <w:bottom w:val="nil"/>
              <w:right w:val="nil"/>
            </w:tcBorders>
            <w:shd w:val="clear" w:color="auto" w:fill="auto"/>
            <w:vAlign w:val="center"/>
          </w:tcPr>
          <w:p>
            <w:pPr>
              <w:keepNext w:val="0"/>
              <w:keepLines w:val="0"/>
              <w:widowControl/>
              <w:suppressLineNumbers w:val="0"/>
              <w:shd w:val="clear"/>
              <w:spacing w:before="0" w:beforeAutospacing="0" w:after="0" w:afterAutospacing="0"/>
              <w:ind w:left="0" w:right="0"/>
              <w:rPr>
                <w:rFonts w:hint="eastAsia" w:ascii="仿宋" w:hAnsi="仿宋" w:eastAsia="仿宋" w:cs="仿宋"/>
                <w:b/>
                <w:bCs/>
                <w:sz w:val="24"/>
                <w:szCs w:val="24"/>
                <w:highlight w:val="none"/>
                <w:lang w:val="en-US" w:eastAsia="zh-CN" w:bidi="ar-SA"/>
              </w:rPr>
            </w:pPr>
          </w:p>
        </w:tc>
      </w:tr>
      <w:tr>
        <w:tblPrEx>
          <w:tblCellMar>
            <w:top w:w="45" w:type="dxa"/>
            <w:left w:w="45" w:type="dxa"/>
            <w:bottom w:w="45" w:type="dxa"/>
            <w:right w:w="45" w:type="dxa"/>
          </w:tblCellMar>
        </w:tblPrEx>
        <w:trPr>
          <w:gridBefore w:val="1"/>
          <w:gridAfter w:val="1"/>
          <w:wBefore w:w="3" w:type="dxa"/>
          <w:wAfter w:w="727" w:type="dxa"/>
          <w:tblCellSpacing w:w="0" w:type="dxa"/>
          <w:jc w:val="center"/>
        </w:trPr>
        <w:tc>
          <w:tcPr>
            <w:tcW w:w="8898" w:type="dxa"/>
            <w:shd w:val="clear" w:color="auto" w:fill="auto"/>
            <w:vAlign w:val="center"/>
          </w:tcPr>
          <w:tbl>
            <w:tblPr>
              <w:tblStyle w:val="21"/>
              <w:tblW w:w="5000" w:type="pct"/>
              <w:jc w:val="center"/>
              <w:tblCellSpacing w:w="0" w:type="dxa"/>
              <w:tblLayout w:type="fixed"/>
              <w:tblCellMar>
                <w:top w:w="45" w:type="dxa"/>
                <w:left w:w="45" w:type="dxa"/>
                <w:bottom w:w="45" w:type="dxa"/>
                <w:right w:w="45" w:type="dxa"/>
              </w:tblCellMar>
            </w:tblPr>
            <w:tblGrid>
              <w:gridCol w:w="8808"/>
            </w:tblGrid>
            <w:tr>
              <w:trPr>
                <w:tblCellSpacing w:w="0" w:type="dxa"/>
                <w:jc w:val="center"/>
              </w:trPr>
              <w:tc>
                <w:tcPr>
                  <w:tcW w:w="5000" w:type="pct"/>
                  <w:tcBorders>
                    <w:top w:val="nil"/>
                    <w:left w:val="nil"/>
                    <w:bottom w:val="nil"/>
                    <w:right w:val="nil"/>
                  </w:tcBorders>
                  <w:vAlign w:val="center"/>
                </w:tcPr>
                <w:p>
                  <w:pPr>
                    <w:pStyle w:val="1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综合评分法，是指投标文件满足招标文件全部实质性要求，且按照评审因素的量化指标评审得分最高的投标人为中标候选人的评标方法。 </w:t>
                  </w:r>
                </w:p>
                <w:p>
                  <w:pPr>
                    <w:pStyle w:val="1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价格分计算方法：</w:t>
                  </w:r>
                </w:p>
                <w:p>
                  <w:pPr>
                    <w:pStyle w:val="1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采用低价优先法计算，即满足招标文件要求且投标价格最低的投标报价为评标基准价，其价格分为满分。其他投标人的价格分统一按照下列公式计算： </w:t>
                  </w:r>
                </w:p>
                <w:p>
                  <w:pPr>
                    <w:pStyle w:val="1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投标报价得分=(评标基准价／投标报价)×100 </w:t>
                  </w:r>
                </w:p>
                <w:p>
                  <w:pPr>
                    <w:pStyle w:val="1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评标总得分＝F1×A1＋F2×A2＋……＋Fn×An </w:t>
                  </w:r>
                </w:p>
                <w:p>
                  <w:pPr>
                    <w:pStyle w:val="1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F1、F2……Fn分别为各项评审因素的得分； </w:t>
                  </w:r>
                </w:p>
                <w:p>
                  <w:pPr>
                    <w:pStyle w:val="1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A1、A2、……An 分别为各项评审因素所占的权重</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A1＋A2＋……＋An＝1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 xml:space="preserve">。 </w:t>
                  </w:r>
                </w:p>
                <w:p>
                  <w:pPr>
                    <w:pStyle w:val="1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 xml:space="preserve">评标过程中，不得去掉报价中的最高报价和最低报价。 </w:t>
                  </w:r>
                </w:p>
                <w:p>
                  <w:pPr>
                    <w:pStyle w:val="1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此方法适用于货物类、服务类、工程类项目。 </w:t>
                  </w:r>
                </w:p>
                <w:p>
                  <w:pPr>
                    <w:pStyle w:val="1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val="en-US" w:eastAsia="zh-CN"/>
                    </w:rPr>
                    <w:t>二、</w:t>
                  </w:r>
                  <w:r>
                    <w:rPr>
                      <w:rFonts w:hint="eastAsia" w:ascii="仿宋" w:hAnsi="仿宋" w:eastAsia="仿宋" w:cs="仿宋"/>
                      <w:b/>
                      <w:bCs/>
                      <w:color w:val="auto"/>
                      <w:kern w:val="0"/>
                      <w:sz w:val="24"/>
                      <w:szCs w:val="24"/>
                      <w:highlight w:val="none"/>
                    </w:rPr>
                    <w:t>关于享受优惠政策的主体及价格扣除比例</w:t>
                  </w:r>
                </w:p>
                <w:p>
                  <w:pPr>
                    <w:pStyle w:val="1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1）投标人提供的货物（以招标文件用户需求书“货物清单明细”的“货物名称”一栏为准）全部均由优惠主体制造，则对其投标总价给予10%的扣除，用扣除后的价格参与评审。满足多项优惠政策的企业，不重复享受多项价格扣除政策。</w:t>
                  </w:r>
                </w:p>
                <w:p>
                  <w:pPr>
                    <w:pStyle w:val="1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pPr>
                    <w:pStyle w:val="1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（2）根据《工业和信息化部、国家统计局、国家发展和改革委员会、财政部关于印发中小企业划型标准规定的通知》（工信部联企业〔2011〕300 号）、《统计上大中小微型企业划分办法（2017）》（国统字〔2017〕213 号）、《金融业企业划型标准规定》（银发〔2015〕309号）或国务院批准的其他中小企业划分标准文件，本项目采购标的（</w:t>
                  </w:r>
                  <w:r>
                    <w:rPr>
                      <w:rFonts w:hint="eastAsia" w:ascii="仿宋" w:hAnsi="仿宋" w:eastAsia="仿宋" w:cs="仿宋"/>
                      <w:color w:val="auto"/>
                      <w:kern w:val="0"/>
                      <w:sz w:val="24"/>
                      <w:szCs w:val="24"/>
                      <w:highlight w:val="none"/>
                      <w:lang w:val="en-US" w:eastAsia="zh-CN"/>
                    </w:rPr>
                    <w:t>货物</w:t>
                  </w:r>
                  <w:r>
                    <w:rPr>
                      <w:rFonts w:hint="eastAsia" w:ascii="仿宋" w:hAnsi="仿宋" w:eastAsia="仿宋" w:cs="仿宋"/>
                      <w:color w:val="auto"/>
                      <w:kern w:val="0"/>
                      <w:sz w:val="24"/>
                      <w:szCs w:val="24"/>
                      <w:highlight w:val="none"/>
                    </w:rPr>
                    <w:t>）对应的中小企业划分标准所属行业为</w:t>
                  </w:r>
                  <w:r>
                    <w:rPr>
                      <w:rFonts w:hint="eastAsia" w:ascii="仿宋" w:hAnsi="仿宋" w:eastAsia="仿宋" w:cs="仿宋"/>
                      <w:color w:val="auto"/>
                      <w:kern w:val="0"/>
                      <w:sz w:val="24"/>
                      <w:szCs w:val="24"/>
                      <w:highlight w:val="none"/>
                      <w:u w:val="single"/>
                      <w:lang w:val="en-US" w:eastAsia="zh-CN"/>
                    </w:rPr>
                    <w:t>工业。</w:t>
                  </w:r>
                </w:p>
                <w:p>
                  <w:pPr>
                    <w:pStyle w:val="1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三章“投标文件的组成及格式”中提供的格式。</w:t>
                  </w:r>
                </w:p>
                <w:p>
                  <w:pPr>
                    <w:pStyle w:val="17"/>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 w:hAnsi="仿宋" w:eastAsia="仿宋" w:cs="仿宋"/>
                      <w:sz w:val="21"/>
                      <w:szCs w:val="21"/>
                      <w:highlight w:val="none"/>
                    </w:rPr>
                  </w:pPr>
                  <w:r>
                    <w:rPr>
                      <w:rFonts w:hint="eastAsia" w:ascii="仿宋" w:hAnsi="仿宋" w:eastAsia="仿宋" w:cs="仿宋"/>
                      <w:color w:val="auto"/>
                      <w:kern w:val="0"/>
                      <w:sz w:val="24"/>
                      <w:szCs w:val="24"/>
                      <w:highlight w:val="none"/>
                      <w:lang w:val="en-US" w:eastAsia="zh-CN"/>
                    </w:rPr>
                    <w:t>（4）享受价格扣除获得政府采购合同的，小微企业不得将合同分包给大中型企业。</w:t>
                  </w:r>
                </w:p>
              </w:tc>
            </w:tr>
          </w:tbl>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lang w:val="en-US" w:eastAsia="zh-CN" w:bidi="ar-SA"/>
              </w:rPr>
            </w:pPr>
          </w:p>
        </w:tc>
        <w:tc>
          <w:tcPr>
            <w:tcW w:w="174" w:type="dxa"/>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b/>
                <w:bCs/>
                <w:color w:val="auto"/>
                <w:sz w:val="24"/>
                <w:szCs w:val="24"/>
                <w:highlight w:val="none"/>
              </w:rPr>
            </w:pPr>
          </w:p>
        </w:tc>
      </w:tr>
      <w:tr>
        <w:tblPrEx>
          <w:tblCellMar>
            <w:top w:w="45" w:type="dxa"/>
            <w:left w:w="45" w:type="dxa"/>
            <w:bottom w:w="45" w:type="dxa"/>
            <w:right w:w="45" w:type="dxa"/>
          </w:tblCellMar>
        </w:tblPrEx>
        <w:trPr>
          <w:trHeight w:val="5263" w:hRule="atLeast"/>
          <w:tblCellSpacing w:w="0" w:type="dxa"/>
          <w:jc w:val="center"/>
        </w:trPr>
        <w:tc>
          <w:tcPr>
            <w:tcW w:w="9802" w:type="dxa"/>
            <w:gridSpan w:val="4"/>
            <w:tcBorders>
              <w:top w:val="nil"/>
              <w:left w:val="nil"/>
              <w:bottom w:val="nil"/>
              <w:right w:val="nil"/>
            </w:tcBorders>
            <w:vAlign w:val="center"/>
          </w:tcPr>
          <w:p>
            <w:pPr>
              <w:pStyle w:val="17"/>
              <w:keepNext w:val="0"/>
              <w:keepLines w:val="0"/>
              <w:widowControl/>
              <w:numPr>
                <w:ilvl w:val="0"/>
                <w:numId w:val="0"/>
              </w:numPr>
              <w:suppressLineNumbers w:val="0"/>
              <w:shd w:val="clear"/>
              <w:spacing w:before="0" w:beforeAutospacing="0" w:after="0" w:afterAutospacing="0" w:line="324" w:lineRule="auto"/>
              <w:ind w:left="0" w:right="0"/>
              <w:jc w:val="left"/>
              <w:rPr>
                <w:rFonts w:hint="eastAsia" w:ascii="仿宋" w:hAnsi="仿宋" w:eastAsia="仿宋" w:cs="仿宋"/>
                <w:color w:val="auto"/>
                <w:kern w:val="0"/>
                <w:sz w:val="24"/>
                <w:szCs w:val="24"/>
                <w:highlight w:val="none"/>
                <w:lang w:val="en-US" w:eastAsia="zh-CN"/>
              </w:rPr>
            </w:pPr>
          </w:p>
          <w:tbl>
            <w:tblPr>
              <w:tblStyle w:val="21"/>
              <w:tblW w:w="49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70"/>
              <w:gridCol w:w="676"/>
              <w:gridCol w:w="2526"/>
              <w:gridCol w:w="899"/>
              <w:gridCol w:w="48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84" w:hRule="atLeast"/>
                <w:jc w:val="center"/>
              </w:trPr>
              <w:tc>
                <w:tcPr>
                  <w:tcW w:w="39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wordWrap w:val="0"/>
                    <w:spacing w:before="0" w:beforeAutospacing="0" w:after="0" w:afterAutospacing="0"/>
                    <w:ind w:left="0" w:right="0"/>
                    <w:jc w:val="center"/>
                    <w:rPr>
                      <w:rFonts w:hint="eastAsia" w:ascii="仿宋" w:hAnsi="仿宋" w:eastAsia="仿宋" w:cs="仿宋"/>
                      <w:b/>
                      <w:bCs/>
                      <w:szCs w:val="21"/>
                      <w:highlight w:val="none"/>
                    </w:rPr>
                  </w:pPr>
                  <w:r>
                    <w:rPr>
                      <w:rFonts w:hint="eastAsia" w:ascii="仿宋" w:hAnsi="仿宋" w:eastAsia="仿宋" w:cs="仿宋"/>
                      <w:b/>
                      <w:bCs/>
                      <w:szCs w:val="21"/>
                      <w:highlight w:val="none"/>
                    </w:rPr>
                    <w:t>序号</w:t>
                  </w:r>
                </w:p>
              </w:tc>
              <w:tc>
                <w:tcPr>
                  <w:tcW w:w="2119"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wordWrap w:val="0"/>
                    <w:spacing w:before="0" w:beforeAutospacing="0" w:after="0" w:afterAutospacing="0"/>
                    <w:ind w:left="0" w:right="0"/>
                    <w:jc w:val="center"/>
                    <w:rPr>
                      <w:rFonts w:hint="eastAsia" w:ascii="仿宋" w:hAnsi="仿宋" w:eastAsia="仿宋" w:cs="仿宋"/>
                      <w:b/>
                      <w:bCs/>
                      <w:szCs w:val="21"/>
                      <w:highlight w:val="none"/>
                    </w:rPr>
                  </w:pPr>
                  <w:r>
                    <w:rPr>
                      <w:rFonts w:hint="eastAsia" w:ascii="仿宋" w:hAnsi="仿宋" w:eastAsia="仿宋" w:cs="仿宋"/>
                      <w:b/>
                      <w:bCs/>
                      <w:szCs w:val="21"/>
                      <w:highlight w:val="none"/>
                    </w:rPr>
                    <w:t>评分项</w:t>
                  </w:r>
                </w:p>
              </w:tc>
              <w:tc>
                <w:tcPr>
                  <w:tcW w:w="248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hd w:val="clear"/>
                    <w:wordWrap w:val="0"/>
                    <w:spacing w:before="0" w:beforeAutospacing="0" w:after="0" w:afterAutospacing="0"/>
                    <w:ind w:left="0" w:right="0"/>
                    <w:jc w:val="center"/>
                    <w:rPr>
                      <w:rFonts w:hint="eastAsia" w:ascii="仿宋" w:hAnsi="仿宋" w:eastAsia="仿宋" w:cs="仿宋"/>
                      <w:b/>
                      <w:bCs/>
                      <w:szCs w:val="21"/>
                      <w:highlight w:val="none"/>
                    </w:rPr>
                  </w:pPr>
                  <w:r>
                    <w:rPr>
                      <w:rFonts w:hint="eastAsia" w:ascii="仿宋" w:hAnsi="仿宋" w:eastAsia="仿宋" w:cs="仿宋"/>
                      <w:b/>
                      <w:bCs/>
                      <w:szCs w:val="21"/>
                      <w:highlight w:val="none"/>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06" w:hRule="atLeast"/>
                <w:jc w:val="center"/>
              </w:trPr>
              <w:tc>
                <w:tcPr>
                  <w:tcW w:w="397"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hd w:val="clear"/>
                    <w:wordWrap w:val="0"/>
                    <w:spacing w:before="0" w:beforeAutospacing="0" w:after="0" w:afterAutospacing="0"/>
                    <w:ind w:left="0" w:right="0"/>
                    <w:jc w:val="center"/>
                    <w:rPr>
                      <w:rFonts w:hint="eastAsia" w:ascii="仿宋" w:hAnsi="仿宋" w:eastAsia="仿宋" w:cs="仿宋"/>
                      <w:b/>
                      <w:bCs/>
                      <w:color w:val="0000FF"/>
                      <w:szCs w:val="21"/>
                      <w:highlight w:val="none"/>
                    </w:rPr>
                  </w:pPr>
                  <w:r>
                    <w:rPr>
                      <w:rFonts w:hint="eastAsia" w:ascii="仿宋" w:hAnsi="仿宋" w:eastAsia="仿宋" w:cs="仿宋"/>
                      <w:b/>
                      <w:bCs/>
                      <w:color w:val="auto"/>
                      <w:szCs w:val="21"/>
                      <w:highlight w:val="none"/>
                    </w:rPr>
                    <w:t>1</w:t>
                  </w:r>
                </w:p>
              </w:tc>
              <w:tc>
                <w:tcPr>
                  <w:tcW w:w="2119"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hd w:val="clear"/>
                    <w:wordWrap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价格</w:t>
                  </w:r>
                </w:p>
              </w:tc>
              <w:tc>
                <w:tcPr>
                  <w:tcW w:w="248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hd w:val="clear"/>
                    <w:wordWrap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473" w:hRule="atLeast"/>
                <w:jc w:val="center"/>
              </w:trPr>
              <w:tc>
                <w:tcPr>
                  <w:tcW w:w="397" w:type="pct"/>
                  <w:vMerge w:val="restart"/>
                  <w:tcBorders>
                    <w:top w:val="single" w:color="000000" w:sz="8" w:space="0"/>
                    <w:left w:val="single" w:color="000000" w:sz="8" w:space="0"/>
                    <w:right w:val="single" w:color="000000" w:sz="8" w:space="0"/>
                  </w:tcBorders>
                  <w:vAlign w:val="center"/>
                </w:tcPr>
                <w:p>
                  <w:pPr>
                    <w:keepNext w:val="0"/>
                    <w:keepLines w:val="0"/>
                    <w:widowControl/>
                    <w:suppressLineNumbers w:val="0"/>
                    <w:shd w:val="clear"/>
                    <w:wordWrap w:val="0"/>
                    <w:spacing w:before="0" w:beforeAutospacing="0" w:after="0" w:afterAutospacing="0"/>
                    <w:ind w:left="0" w:right="0"/>
                    <w:jc w:val="center"/>
                    <w:rPr>
                      <w:rFonts w:hint="eastAsia" w:ascii="仿宋" w:hAnsi="仿宋" w:eastAsia="仿宋" w:cs="仿宋"/>
                      <w:b/>
                      <w:bCs/>
                      <w:color w:val="0000FF"/>
                      <w:szCs w:val="21"/>
                      <w:highlight w:val="none"/>
                    </w:rPr>
                  </w:pPr>
                  <w:r>
                    <w:rPr>
                      <w:rFonts w:hint="eastAsia" w:ascii="仿宋" w:hAnsi="仿宋" w:eastAsia="仿宋" w:cs="仿宋"/>
                      <w:b/>
                      <w:bCs/>
                      <w:color w:val="auto"/>
                      <w:szCs w:val="21"/>
                      <w:highlight w:val="none"/>
                    </w:rPr>
                    <w:t>2</w:t>
                  </w:r>
                </w:p>
              </w:tc>
              <w:tc>
                <w:tcPr>
                  <w:tcW w:w="2119"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hd w:val="clear"/>
                    <w:wordWrap w:val="0"/>
                    <w:spacing w:before="0" w:beforeAutospacing="0" w:after="0" w:afterAutospacing="0"/>
                    <w:ind w:left="0" w:right="0"/>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技术部分</w:t>
                  </w:r>
                </w:p>
              </w:tc>
              <w:tc>
                <w:tcPr>
                  <w:tcW w:w="248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hd w:val="clear"/>
                    <w:wordWrap w:val="0"/>
                    <w:spacing w:before="0" w:beforeAutospacing="0" w:after="0" w:afterAutospacing="0"/>
                    <w:ind w:left="0" w:right="0"/>
                    <w:jc w:val="center"/>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47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97" w:type="pct"/>
                  <w:vMerge w:val="continue"/>
                  <w:tcBorders>
                    <w:left w:val="single" w:color="000000" w:sz="8" w:space="0"/>
                    <w:right w:val="single" w:color="000000" w:sz="8" w:space="0"/>
                  </w:tcBorders>
                  <w:shd w:val="clear" w:color="auto" w:fill="E6EFFA"/>
                  <w:vAlign w:val="center"/>
                </w:tcPr>
                <w:p>
                  <w:pPr>
                    <w:keepNext w:val="0"/>
                    <w:keepLines w:val="0"/>
                    <w:widowControl/>
                    <w:suppressLineNumbers w:val="0"/>
                    <w:shd w:val="clear"/>
                    <w:spacing w:before="0" w:beforeAutospacing="0" w:after="0" w:afterAutospacing="0"/>
                    <w:ind w:left="0" w:right="0"/>
                    <w:rPr>
                      <w:rFonts w:hint="eastAsia" w:ascii="仿宋" w:hAnsi="仿宋" w:eastAsia="仿宋" w:cs="仿宋"/>
                      <w:b/>
                      <w:bCs/>
                      <w:color w:val="0000FF"/>
                      <w:szCs w:val="21"/>
                      <w:highlight w:val="none"/>
                    </w:rPr>
                  </w:pPr>
                </w:p>
              </w:tc>
              <w:tc>
                <w:tcPr>
                  <w:tcW w:w="349"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hd w:val="clear"/>
                    <w:wordWrap w:val="0"/>
                    <w:spacing w:before="0" w:beforeAutospacing="0" w:after="0" w:afterAutospacing="0"/>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1305"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hd w:val="clear"/>
                    <w:wordWrap w:val="0"/>
                    <w:spacing w:before="0" w:beforeAutospacing="0" w:after="0" w:afterAutospacing="0"/>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评分因素</w:t>
                  </w:r>
                </w:p>
              </w:tc>
              <w:tc>
                <w:tcPr>
                  <w:tcW w:w="464"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hd w:val="clear"/>
                    <w:wordWrap w:val="0"/>
                    <w:spacing w:before="0" w:beforeAutospacing="0" w:after="0" w:afterAutospacing="0"/>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权重(%)</w:t>
                  </w:r>
                </w:p>
              </w:tc>
              <w:tc>
                <w:tcPr>
                  <w:tcW w:w="2482" w:type="pct"/>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widowControl/>
                    <w:suppressLineNumbers w:val="0"/>
                    <w:shd w:val="clear"/>
                    <w:wordWrap w:val="0"/>
                    <w:spacing w:before="0" w:beforeAutospacing="0" w:after="0" w:afterAutospacing="0"/>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365" w:hRule="atLeast"/>
                <w:jc w:val="center"/>
              </w:trPr>
              <w:tc>
                <w:tcPr>
                  <w:tcW w:w="397" w:type="pct"/>
                  <w:vMerge w:val="continue"/>
                  <w:tcBorders>
                    <w:left w:val="single" w:color="000000" w:sz="8" w:space="0"/>
                    <w:right w:val="single" w:color="000000" w:sz="8" w:space="0"/>
                  </w:tcBorders>
                  <w:vAlign w:val="center"/>
                </w:tcPr>
                <w:p>
                  <w:pPr>
                    <w:keepNext w:val="0"/>
                    <w:keepLines w:val="0"/>
                    <w:widowControl/>
                    <w:suppressLineNumbers w:val="0"/>
                    <w:shd w:val="clear"/>
                    <w:spacing w:before="0" w:beforeAutospacing="0" w:after="0" w:afterAutospacing="0"/>
                    <w:ind w:left="0" w:right="0"/>
                    <w:rPr>
                      <w:rFonts w:hint="eastAsia" w:ascii="仿宋" w:hAnsi="仿宋" w:eastAsia="仿宋" w:cs="仿宋"/>
                      <w:b/>
                      <w:bCs/>
                      <w:color w:val="0000FF"/>
                      <w:szCs w:val="21"/>
                      <w:highlight w:val="none"/>
                    </w:rPr>
                  </w:pPr>
                </w:p>
              </w:tc>
              <w:tc>
                <w:tcPr>
                  <w:tcW w:w="349" w:type="pct"/>
                  <w:tcBorders>
                    <w:top w:val="single" w:color="000000" w:sz="8" w:space="0"/>
                    <w:left w:val="single" w:color="000000" w:sz="8" w:space="0"/>
                    <w:right w:val="single" w:color="000000" w:sz="8" w:space="0"/>
                  </w:tcBorders>
                  <w:vAlign w:val="center"/>
                </w:tcPr>
                <w:p>
                  <w:pPr>
                    <w:keepNext w:val="0"/>
                    <w:keepLines w:val="0"/>
                    <w:widowControl/>
                    <w:suppressLineNumbers w:val="0"/>
                    <w:shd w:val="clear"/>
                    <w:wordWrap w:val="0"/>
                    <w:spacing w:before="0" w:beforeAutospacing="0" w:after="0" w:afterAutospacing="0"/>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305" w:type="pct"/>
                  <w:tcBorders>
                    <w:top w:val="single" w:color="000000" w:sz="8" w:space="0"/>
                    <w:left w:val="single" w:color="000000" w:sz="8" w:space="0"/>
                    <w:right w:val="single" w:color="000000" w:sz="8" w:space="0"/>
                  </w:tcBorders>
                  <w:vAlign w:val="center"/>
                </w:tcPr>
                <w:p>
                  <w:pPr>
                    <w:keepNext w:val="0"/>
                    <w:keepLines w:val="0"/>
                    <w:widowControl/>
                    <w:suppressLineNumbers w:val="0"/>
                    <w:shd w:val="clear"/>
                    <w:wordWrap w:val="0"/>
                    <w:spacing w:before="0" w:beforeAutospacing="0" w:after="0" w:afterAutospacing="0"/>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技术参数要求</w:t>
                  </w:r>
                </w:p>
              </w:tc>
              <w:tc>
                <w:tcPr>
                  <w:tcW w:w="464" w:type="pct"/>
                  <w:tcBorders>
                    <w:top w:val="single" w:color="000000" w:sz="8" w:space="0"/>
                    <w:left w:val="single" w:color="000000" w:sz="8" w:space="0"/>
                    <w:right w:val="single" w:color="000000" w:sz="8" w:space="0"/>
                  </w:tcBorders>
                  <w:vAlign w:val="center"/>
                </w:tcPr>
                <w:p>
                  <w:pPr>
                    <w:keepNext w:val="0"/>
                    <w:keepLines w:val="0"/>
                    <w:widowControl/>
                    <w:suppressLineNumbers w:val="0"/>
                    <w:shd w:val="clear"/>
                    <w:wordWrap w:val="0"/>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30</w:t>
                  </w:r>
                </w:p>
              </w:tc>
              <w:tc>
                <w:tcPr>
                  <w:tcW w:w="248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numPr>
                      <w:ilvl w:val="0"/>
                      <w:numId w:val="0"/>
                    </w:numPr>
                    <w:suppressLineNumbers w:val="0"/>
                    <w:shd w:val="clear"/>
                    <w:wordWrap w:val="0"/>
                    <w:spacing w:before="0" w:beforeAutospacing="0" w:after="0" w:afterAutospacing="0"/>
                    <w:ind w:left="0" w:right="0"/>
                    <w:rPr>
                      <w:rFonts w:hint="eastAsia" w:ascii="仿宋" w:hAnsi="仿宋" w:eastAsia="仿宋" w:cs="仿宋"/>
                      <w:b/>
                      <w:bCs/>
                      <w:szCs w:val="21"/>
                      <w:highlight w:val="none"/>
                    </w:rPr>
                  </w:pPr>
                  <w:r>
                    <w:rPr>
                      <w:rFonts w:hint="eastAsia" w:ascii="仿宋" w:hAnsi="仿宋" w:eastAsia="仿宋" w:cs="仿宋"/>
                      <w:b/>
                      <w:bCs/>
                      <w:sz w:val="24"/>
                      <w:szCs w:val="21"/>
                      <w:highlight w:val="none"/>
                      <w:lang w:val="en-US" w:eastAsia="zh-CN" w:bidi="ar-SA"/>
                    </w:rPr>
                    <w:t>（一）</w:t>
                  </w:r>
                  <w:r>
                    <w:rPr>
                      <w:rFonts w:hint="eastAsia" w:ascii="仿宋" w:hAnsi="仿宋" w:eastAsia="仿宋" w:cs="仿宋"/>
                      <w:b/>
                      <w:bCs/>
                      <w:szCs w:val="21"/>
                      <w:highlight w:val="none"/>
                    </w:rPr>
                    <w:t>评分内容：</w:t>
                  </w:r>
                </w:p>
                <w:p>
                  <w:pPr>
                    <w:keepNext w:val="0"/>
                    <w:keepLines w:val="0"/>
                    <w:widowControl/>
                    <w:numPr>
                      <w:ilvl w:val="0"/>
                      <w:numId w:val="0"/>
                    </w:numPr>
                    <w:suppressLineNumbers w:val="0"/>
                    <w:shd w:val="clear"/>
                    <w:wordWrap w:val="0"/>
                    <w:spacing w:before="0" w:beforeAutospacing="0" w:after="0" w:afterAutospacing="0"/>
                    <w:ind w:left="0" w:right="0"/>
                    <w:rPr>
                      <w:rFonts w:hint="eastAsia" w:ascii="仿宋" w:hAnsi="仿宋" w:eastAsia="仿宋" w:cs="仿宋"/>
                      <w:szCs w:val="21"/>
                      <w:highlight w:val="none"/>
                    </w:rPr>
                  </w:pPr>
                  <w:r>
                    <w:rPr>
                      <w:rFonts w:hint="eastAsia" w:ascii="仿宋" w:hAnsi="仿宋" w:eastAsia="仿宋" w:cs="仿宋"/>
                      <w:szCs w:val="21"/>
                      <w:highlight w:val="none"/>
                    </w:rPr>
                    <w:t>各项技术参数指标及要求全部满足的满分得</w:t>
                  </w:r>
                  <w:r>
                    <w:rPr>
                      <w:rFonts w:hint="eastAsia" w:ascii="仿宋" w:hAnsi="仿宋" w:eastAsia="仿宋" w:cs="仿宋"/>
                      <w:szCs w:val="21"/>
                      <w:highlight w:val="none"/>
                      <w:lang w:val="en-US" w:eastAsia="zh-CN"/>
                    </w:rPr>
                    <w:t>30</w:t>
                  </w:r>
                  <w:r>
                    <w:rPr>
                      <w:rFonts w:hint="eastAsia" w:ascii="仿宋" w:hAnsi="仿宋" w:eastAsia="仿宋" w:cs="仿宋"/>
                      <w:szCs w:val="21"/>
                      <w:highlight w:val="none"/>
                    </w:rPr>
                    <w:t>分，非“▲”技术参数每负偏离一项扣</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分，</w:t>
                  </w:r>
                  <w:r>
                    <w:rPr>
                      <w:rFonts w:hint="eastAsia" w:ascii="仿宋" w:hAnsi="仿宋" w:eastAsia="仿宋" w:cs="仿宋"/>
                      <w:szCs w:val="21"/>
                      <w:highlight w:val="none"/>
                      <w:lang w:val="en-US" w:eastAsia="zh-CN"/>
                    </w:rPr>
                    <w:t>扣完为止</w:t>
                  </w:r>
                  <w:r>
                    <w:rPr>
                      <w:rFonts w:hint="eastAsia" w:ascii="仿宋" w:hAnsi="仿宋" w:eastAsia="仿宋" w:cs="仿宋"/>
                      <w:szCs w:val="21"/>
                      <w:highlight w:val="none"/>
                    </w:rPr>
                    <w:t>。</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b/>
                      <w:bCs/>
                      <w:szCs w:val="21"/>
                      <w:highlight w:val="none"/>
                    </w:rPr>
                  </w:pPr>
                  <w:r>
                    <w:rPr>
                      <w:rFonts w:hint="eastAsia" w:ascii="仿宋" w:hAnsi="仿宋" w:eastAsia="仿宋" w:cs="仿宋"/>
                      <w:b/>
                      <w:bCs/>
                      <w:szCs w:val="21"/>
                      <w:highlight w:val="none"/>
                    </w:rPr>
                    <w:t>（二）评分依据：</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lang w:eastAsia="zh-CN"/>
                    </w:rPr>
                  </w:pPr>
                  <w:r>
                    <w:rPr>
                      <w:rFonts w:hint="eastAsia" w:ascii="仿宋" w:hAnsi="仿宋" w:eastAsia="仿宋" w:cs="仿宋"/>
                      <w:szCs w:val="21"/>
                      <w:highlight w:val="none"/>
                    </w:rPr>
                    <w:t>《</w:t>
                  </w:r>
                  <w:r>
                    <w:rPr>
                      <w:rFonts w:hint="eastAsia" w:ascii="仿宋" w:hAnsi="仿宋" w:eastAsia="仿宋" w:cs="仿宋"/>
                      <w:color w:val="auto"/>
                      <w:sz w:val="24"/>
                      <w:szCs w:val="24"/>
                      <w:highlight w:val="none"/>
                      <w:lang w:val="en-US" w:eastAsia="zh-CN"/>
                    </w:rPr>
                    <w:t>技术规格偏离表</w:t>
                  </w:r>
                  <w:r>
                    <w:rPr>
                      <w:rFonts w:hint="eastAsia" w:ascii="仿宋" w:hAnsi="仿宋" w:eastAsia="仿宋" w:cs="仿宋"/>
                      <w:szCs w:val="21"/>
                      <w:highlight w:val="none"/>
                    </w:rPr>
                    <w:t>》</w:t>
                  </w:r>
                  <w:r>
                    <w:rPr>
                      <w:rFonts w:hint="eastAsia" w:ascii="仿宋" w:hAnsi="仿宋" w:eastAsia="仿宋" w:cs="仿宋"/>
                      <w:szCs w:val="21"/>
                      <w:highlight w:val="none"/>
                      <w:lang w:eastAsia="zh-CN"/>
                    </w:rPr>
                    <w:t>。</w:t>
                  </w:r>
                </w:p>
                <w:p>
                  <w:pPr>
                    <w:pStyle w:val="8"/>
                    <w:keepNext w:val="0"/>
                    <w:keepLines w:val="0"/>
                    <w:widowControl/>
                    <w:suppressLineNumbers w:val="0"/>
                    <w:shd w:val="clear"/>
                    <w:spacing w:before="0" w:beforeAutospacing="0" w:after="0" w:afterAutospacing="0"/>
                    <w:ind w:left="0" w:right="0"/>
                    <w:rPr>
                      <w:rFonts w:hint="eastAsia"/>
                      <w:highlight w:val="none"/>
                      <w:lang w:eastAsia="zh-CN"/>
                    </w:rPr>
                  </w:pPr>
                </w:p>
                <w:p>
                  <w:pPr>
                    <w:pStyle w:val="8"/>
                    <w:keepNext w:val="0"/>
                    <w:keepLines w:val="0"/>
                    <w:widowControl/>
                    <w:suppressLineNumbers w:val="0"/>
                    <w:shd w:val="clear"/>
                    <w:spacing w:before="0" w:beforeAutospacing="0" w:after="0" w:afterAutospacing="0"/>
                    <w:ind w:left="0" w:right="0"/>
                    <w:rPr>
                      <w:rFonts w:hint="eastAsia"/>
                      <w:highlight w:val="none"/>
                    </w:rPr>
                  </w:pPr>
                  <w:r>
                    <w:rPr>
                      <w:rFonts w:hint="eastAsia" w:ascii="仿宋" w:hAnsi="仿宋" w:eastAsia="仿宋" w:cs="仿宋"/>
                      <w:b w:val="0"/>
                      <w:bCs/>
                      <w:sz w:val="24"/>
                      <w:szCs w:val="24"/>
                      <w:highlight w:val="none"/>
                    </w:rPr>
                    <w:t>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097" w:hRule="atLeast"/>
                <w:jc w:val="center"/>
              </w:trPr>
              <w:tc>
                <w:tcPr>
                  <w:tcW w:w="397" w:type="pct"/>
                  <w:vMerge w:val="continue"/>
                  <w:tcBorders>
                    <w:left w:val="single" w:color="000000" w:sz="8" w:space="0"/>
                    <w:right w:val="single" w:color="000000" w:sz="8" w:space="0"/>
                  </w:tcBorders>
                  <w:vAlign w:val="center"/>
                </w:tcPr>
                <w:p>
                  <w:pPr>
                    <w:keepNext w:val="0"/>
                    <w:keepLines w:val="0"/>
                    <w:widowControl/>
                    <w:suppressLineNumbers w:val="0"/>
                    <w:shd w:val="clear"/>
                    <w:spacing w:before="0" w:beforeAutospacing="0" w:after="0" w:afterAutospacing="0"/>
                    <w:ind w:left="0" w:right="0"/>
                    <w:rPr>
                      <w:rFonts w:hint="eastAsia" w:ascii="仿宋" w:hAnsi="仿宋" w:eastAsia="仿宋" w:cs="仿宋"/>
                      <w:b/>
                      <w:bCs/>
                      <w:color w:val="0000FF"/>
                      <w:szCs w:val="21"/>
                      <w:highlight w:val="none"/>
                    </w:rPr>
                  </w:pPr>
                </w:p>
              </w:tc>
              <w:tc>
                <w:tcPr>
                  <w:tcW w:w="349" w:type="pct"/>
                  <w:tcBorders>
                    <w:top w:val="single" w:color="000000" w:sz="8" w:space="0"/>
                    <w:left w:val="single" w:color="000000" w:sz="8" w:space="0"/>
                    <w:right w:val="single" w:color="000000" w:sz="8" w:space="0"/>
                  </w:tcBorders>
                  <w:vAlign w:val="center"/>
                </w:tcPr>
                <w:p>
                  <w:pPr>
                    <w:keepNext w:val="0"/>
                    <w:keepLines w:val="0"/>
                    <w:widowControl/>
                    <w:suppressLineNumbers w:val="0"/>
                    <w:shd w:val="clear"/>
                    <w:wordWrap w:val="0"/>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p>
              </w:tc>
              <w:tc>
                <w:tcPr>
                  <w:tcW w:w="1305" w:type="pct"/>
                  <w:tcBorders>
                    <w:top w:val="single" w:color="000000" w:sz="8" w:space="0"/>
                    <w:left w:val="single" w:color="000000" w:sz="8" w:space="0"/>
                    <w:right w:val="single" w:color="000000" w:sz="8" w:space="0"/>
                  </w:tcBorders>
                  <w:vAlign w:val="center"/>
                </w:tcPr>
                <w:p>
                  <w:pPr>
                    <w:keepNext w:val="0"/>
                    <w:keepLines w:val="0"/>
                    <w:widowControl/>
                    <w:suppressLineNumbers w:val="0"/>
                    <w:shd w:val="clear"/>
                    <w:wordWrap w:val="0"/>
                    <w:spacing w:before="0" w:beforeAutospacing="0" w:after="0" w:afterAutospacing="0"/>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服务方案</w:t>
                  </w:r>
                </w:p>
              </w:tc>
              <w:tc>
                <w:tcPr>
                  <w:tcW w:w="464" w:type="pct"/>
                  <w:tcBorders>
                    <w:top w:val="single" w:color="000000" w:sz="8" w:space="0"/>
                    <w:left w:val="single" w:color="000000" w:sz="8" w:space="0"/>
                    <w:right w:val="single" w:color="000000" w:sz="8" w:space="0"/>
                  </w:tcBorders>
                  <w:vAlign w:val="center"/>
                </w:tcPr>
                <w:p>
                  <w:pPr>
                    <w:keepNext w:val="0"/>
                    <w:keepLines w:val="0"/>
                    <w:widowControl/>
                    <w:suppressLineNumbers w:val="0"/>
                    <w:shd w:val="clear"/>
                    <w:wordWrap w:val="0"/>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10</w:t>
                  </w:r>
                </w:p>
              </w:tc>
              <w:tc>
                <w:tcPr>
                  <w:tcW w:w="248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numPr>
                      <w:ilvl w:val="0"/>
                      <w:numId w:val="0"/>
                    </w:numPr>
                    <w:suppressLineNumbers w:val="0"/>
                    <w:shd w:val="clear"/>
                    <w:wordWrap w:val="0"/>
                    <w:spacing w:before="0" w:beforeAutospacing="0" w:after="0" w:afterAutospacing="0"/>
                    <w:ind w:left="0" w:right="0"/>
                    <w:rPr>
                      <w:rFonts w:hint="eastAsia" w:ascii="仿宋" w:hAnsi="仿宋" w:eastAsia="仿宋" w:cs="仿宋"/>
                      <w:b/>
                      <w:bCs/>
                      <w:sz w:val="24"/>
                      <w:szCs w:val="21"/>
                      <w:highlight w:val="none"/>
                      <w:lang w:val="en-US" w:eastAsia="zh-CN" w:bidi="ar-SA"/>
                    </w:rPr>
                  </w:pPr>
                  <w:r>
                    <w:rPr>
                      <w:rFonts w:hint="eastAsia" w:ascii="仿宋" w:hAnsi="仿宋" w:eastAsia="仿宋" w:cs="仿宋"/>
                      <w:b/>
                      <w:bCs/>
                      <w:sz w:val="24"/>
                      <w:szCs w:val="21"/>
                      <w:highlight w:val="none"/>
                      <w:lang w:val="en-US" w:eastAsia="zh-CN" w:bidi="ar-SA"/>
                    </w:rPr>
                    <w:t>（一）评分内容：</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rPr>
                  </w:pPr>
                  <w:r>
                    <w:rPr>
                      <w:rFonts w:hint="eastAsia" w:ascii="仿宋" w:hAnsi="仿宋" w:eastAsia="仿宋" w:cs="仿宋"/>
                      <w:szCs w:val="21"/>
                      <w:highlight w:val="none"/>
                    </w:rPr>
                    <w:t>投标人结合本项目的需求内容和项目特点</w:t>
                  </w:r>
                  <w:r>
                    <w:rPr>
                      <w:rFonts w:hint="eastAsia" w:ascii="仿宋" w:hAnsi="仿宋" w:eastAsia="仿宋" w:cs="仿宋"/>
                      <w:szCs w:val="21"/>
                      <w:highlight w:val="none"/>
                      <w:lang w:val="en-US" w:eastAsia="zh-CN"/>
                    </w:rPr>
                    <w:t>提供</w:t>
                  </w:r>
                  <w:r>
                    <w:rPr>
                      <w:rFonts w:hint="eastAsia" w:ascii="仿宋" w:hAnsi="仿宋" w:eastAsia="仿宋" w:cs="仿宋"/>
                      <w:szCs w:val="21"/>
                      <w:highlight w:val="none"/>
                    </w:rPr>
                    <w:t>服务方案</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包括但不限于以下</w:t>
                  </w:r>
                  <w:r>
                    <w:rPr>
                      <w:rFonts w:hint="eastAsia" w:ascii="仿宋" w:hAnsi="仿宋" w:eastAsia="仿宋" w:cs="仿宋"/>
                      <w:szCs w:val="21"/>
                      <w:highlight w:val="none"/>
                    </w:rPr>
                    <w:t>内容：</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eastAsia="zh-CN"/>
                    </w:rPr>
                    <w:t>.</w:t>
                  </w:r>
                  <w:r>
                    <w:rPr>
                      <w:rFonts w:hint="eastAsia" w:ascii="仿宋" w:hAnsi="仿宋" w:eastAsia="仿宋" w:cs="仿宋"/>
                      <w:szCs w:val="21"/>
                      <w:highlight w:val="none"/>
                    </w:rPr>
                    <w:t>气体采购过程中的储存，中转，装卸等技术规范；</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szCs w:val="21"/>
                      <w:highlight w:val="none"/>
                      <w:lang w:eastAsia="zh-CN"/>
                    </w:rPr>
                    <w:t>.</w:t>
                  </w:r>
                  <w:r>
                    <w:rPr>
                      <w:rFonts w:hint="eastAsia" w:ascii="仿宋" w:hAnsi="仿宋" w:eastAsia="仿宋" w:cs="仿宋"/>
                      <w:szCs w:val="21"/>
                      <w:highlight w:val="none"/>
                    </w:rPr>
                    <w:t>货物的库存、配送人员、运输工具等气体配送方案；</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lang w:eastAsia="zh-CN"/>
                    </w:rPr>
                  </w:pPr>
                  <w:r>
                    <w:rPr>
                      <w:rFonts w:hint="eastAsia" w:ascii="仿宋" w:hAnsi="仿宋" w:eastAsia="仿宋" w:cs="仿宋"/>
                      <w:szCs w:val="21"/>
                      <w:highlight w:val="none"/>
                    </w:rPr>
                    <w:t>3</w:t>
                  </w:r>
                  <w:r>
                    <w:rPr>
                      <w:rFonts w:hint="eastAsia" w:ascii="仿宋" w:hAnsi="仿宋" w:eastAsia="仿宋" w:cs="仿宋"/>
                      <w:szCs w:val="21"/>
                      <w:highlight w:val="none"/>
                      <w:lang w:eastAsia="zh-CN"/>
                    </w:rPr>
                    <w:t>.</w:t>
                  </w:r>
                  <w:r>
                    <w:rPr>
                      <w:rFonts w:hint="eastAsia" w:ascii="仿宋" w:hAnsi="仿宋" w:eastAsia="仿宋" w:cs="仿宋"/>
                      <w:szCs w:val="21"/>
                      <w:highlight w:val="none"/>
                    </w:rPr>
                    <w:t>针对售后服务、服务保障流程、对采购人反馈的问题处理维护的响应情况的方案</w:t>
                  </w:r>
                  <w:r>
                    <w:rPr>
                      <w:rFonts w:hint="eastAsia" w:ascii="仿宋" w:hAnsi="仿宋" w:eastAsia="仿宋" w:cs="仿宋"/>
                      <w:szCs w:val="21"/>
                      <w:highlight w:val="none"/>
                      <w:lang w:eastAsia="zh-CN"/>
                    </w:rPr>
                    <w:t>；</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lang w:eastAsia="zh-CN"/>
                    </w:rPr>
                  </w:pPr>
                  <w:r>
                    <w:rPr>
                      <w:rFonts w:hint="eastAsia" w:ascii="仿宋" w:hAnsi="仿宋" w:eastAsia="仿宋" w:cs="仿宋"/>
                      <w:szCs w:val="21"/>
                      <w:highlight w:val="none"/>
                    </w:rPr>
                    <w:t>4</w:t>
                  </w:r>
                  <w:r>
                    <w:rPr>
                      <w:rFonts w:hint="eastAsia" w:ascii="仿宋" w:hAnsi="仿宋" w:eastAsia="仿宋" w:cs="仿宋"/>
                      <w:szCs w:val="21"/>
                      <w:highlight w:val="none"/>
                      <w:lang w:eastAsia="zh-CN"/>
                    </w:rPr>
                    <w:t>.</w:t>
                  </w:r>
                  <w:r>
                    <w:rPr>
                      <w:rFonts w:hint="eastAsia" w:ascii="仿宋" w:hAnsi="仿宋" w:eastAsia="仿宋" w:cs="仿宋"/>
                      <w:szCs w:val="21"/>
                      <w:highlight w:val="none"/>
                    </w:rPr>
                    <w:t>应急方案</w:t>
                  </w:r>
                  <w:r>
                    <w:rPr>
                      <w:rFonts w:hint="eastAsia" w:ascii="仿宋" w:hAnsi="仿宋" w:eastAsia="仿宋" w:cs="仿宋"/>
                      <w:szCs w:val="21"/>
                      <w:highlight w:val="none"/>
                      <w:lang w:eastAsia="zh-CN"/>
                    </w:rPr>
                    <w:t>；</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rPr>
                  </w:pPr>
                  <w:r>
                    <w:rPr>
                      <w:rFonts w:hint="eastAsia" w:ascii="仿宋" w:hAnsi="仿宋" w:eastAsia="仿宋" w:cs="仿宋"/>
                      <w:szCs w:val="21"/>
                      <w:highlight w:val="none"/>
                    </w:rPr>
                    <w:t>5</w:t>
                  </w:r>
                  <w:r>
                    <w:rPr>
                      <w:rFonts w:hint="eastAsia" w:ascii="仿宋" w:hAnsi="仿宋" w:eastAsia="仿宋" w:cs="仿宋"/>
                      <w:szCs w:val="21"/>
                      <w:highlight w:val="none"/>
                      <w:lang w:eastAsia="zh-CN"/>
                    </w:rPr>
                    <w:t>.</w:t>
                  </w:r>
                  <w:r>
                    <w:rPr>
                      <w:rFonts w:hint="eastAsia" w:ascii="仿宋" w:hAnsi="仿宋" w:eastAsia="仿宋" w:cs="仿宋"/>
                      <w:szCs w:val="21"/>
                      <w:highlight w:val="none"/>
                    </w:rPr>
                    <w:t>安全培训指导。</w:t>
                  </w:r>
                </w:p>
                <w:p>
                  <w:pPr>
                    <w:keepNext w:val="0"/>
                    <w:keepLines w:val="0"/>
                    <w:widowControl/>
                    <w:numPr>
                      <w:ilvl w:val="0"/>
                      <w:numId w:val="0"/>
                    </w:numPr>
                    <w:suppressLineNumbers w:val="0"/>
                    <w:shd w:val="clear"/>
                    <w:wordWrap w:val="0"/>
                    <w:spacing w:before="0" w:beforeAutospacing="0" w:after="0" w:afterAutospacing="0"/>
                    <w:ind w:left="0" w:right="0"/>
                    <w:rPr>
                      <w:rFonts w:hint="eastAsia" w:ascii="仿宋" w:hAnsi="仿宋" w:eastAsia="仿宋" w:cs="仿宋"/>
                      <w:b/>
                      <w:bCs/>
                      <w:sz w:val="24"/>
                      <w:szCs w:val="21"/>
                      <w:highlight w:val="none"/>
                      <w:lang w:val="en-US" w:eastAsia="zh-CN" w:bidi="ar-SA"/>
                    </w:rPr>
                  </w:pPr>
                  <w:r>
                    <w:rPr>
                      <w:rFonts w:hint="eastAsia" w:ascii="仿宋" w:hAnsi="仿宋" w:eastAsia="仿宋" w:cs="仿宋"/>
                      <w:b/>
                      <w:bCs/>
                      <w:sz w:val="24"/>
                      <w:szCs w:val="21"/>
                      <w:highlight w:val="none"/>
                      <w:lang w:val="en-US" w:eastAsia="zh-CN" w:bidi="ar-SA"/>
                    </w:rPr>
                    <w:t>（二）评分依据：</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eastAsia="zh-CN"/>
                    </w:rPr>
                    <w:t>.</w:t>
                  </w:r>
                  <w:r>
                    <w:rPr>
                      <w:rFonts w:hint="eastAsia" w:ascii="仿宋" w:hAnsi="仿宋" w:eastAsia="仿宋" w:cs="仿宋"/>
                      <w:szCs w:val="21"/>
                      <w:highlight w:val="none"/>
                    </w:rPr>
                    <w:t>根据项目方案内容，提供以上每一项内容得1分，本小项最高的5分。</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szCs w:val="21"/>
                      <w:highlight w:val="none"/>
                      <w:lang w:eastAsia="zh-CN"/>
                    </w:rPr>
                    <w:t>.</w:t>
                  </w:r>
                  <w:r>
                    <w:rPr>
                      <w:rFonts w:hint="eastAsia" w:ascii="仿宋" w:hAnsi="仿宋" w:eastAsia="仿宋" w:cs="仿宋"/>
                      <w:szCs w:val="21"/>
                      <w:highlight w:val="none"/>
                    </w:rPr>
                    <w:t xml:space="preserve">在此基础上，根据方案整体全面性、具体性、针对性、合理性、可操作性进行评分，本项最高加 </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分。</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rPr>
                  </w:pPr>
                  <w:r>
                    <w:rPr>
                      <w:rFonts w:hint="eastAsia" w:ascii="仿宋" w:hAnsi="仿宋" w:eastAsia="仿宋" w:cs="仿宋"/>
                      <w:szCs w:val="21"/>
                      <w:highlight w:val="none"/>
                    </w:rPr>
                    <w:t>（1）投标文件响应内容全面；</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rPr>
                  </w:pPr>
                  <w:r>
                    <w:rPr>
                      <w:rFonts w:hint="eastAsia" w:ascii="仿宋" w:hAnsi="仿宋" w:eastAsia="仿宋" w:cs="仿宋"/>
                      <w:szCs w:val="21"/>
                      <w:highlight w:val="none"/>
                    </w:rPr>
                    <w:t>（2）投标文件响应内容具体；</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rPr>
                  </w:pPr>
                  <w:r>
                    <w:rPr>
                      <w:rFonts w:hint="eastAsia" w:ascii="仿宋" w:hAnsi="仿宋" w:eastAsia="仿宋" w:cs="仿宋"/>
                      <w:szCs w:val="21"/>
                      <w:highlight w:val="none"/>
                    </w:rPr>
                    <w:t>（3）投标文件响应内容针对性强；</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rPr>
                  </w:pPr>
                  <w:r>
                    <w:rPr>
                      <w:rFonts w:hint="eastAsia" w:ascii="仿宋" w:hAnsi="仿宋" w:eastAsia="仿宋" w:cs="仿宋"/>
                      <w:szCs w:val="21"/>
                      <w:highlight w:val="none"/>
                    </w:rPr>
                    <w:t>（4）投标文件响应内容科学合理；</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rPr>
                  </w:pPr>
                  <w:r>
                    <w:rPr>
                      <w:rFonts w:hint="eastAsia" w:ascii="仿宋" w:hAnsi="仿宋" w:eastAsia="仿宋" w:cs="仿宋"/>
                      <w:szCs w:val="21"/>
                      <w:highlight w:val="none"/>
                    </w:rPr>
                    <w:t>（5）投标文件响应内容可操作性强。</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rPr>
                  </w:pPr>
                  <w:r>
                    <w:rPr>
                      <w:rFonts w:hint="eastAsia" w:ascii="仿宋" w:hAnsi="仿宋" w:eastAsia="仿宋" w:cs="仿宋"/>
                      <w:szCs w:val="21"/>
                      <w:highlight w:val="none"/>
                    </w:rPr>
                    <w:t>满足以上五项要求的评价为优，加</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分。</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rPr>
                  </w:pPr>
                  <w:r>
                    <w:rPr>
                      <w:rFonts w:hint="eastAsia" w:ascii="仿宋" w:hAnsi="仿宋" w:eastAsia="仿宋" w:cs="仿宋"/>
                      <w:szCs w:val="21"/>
                      <w:highlight w:val="none"/>
                    </w:rPr>
                    <w:t>满足以上四项要求的评价为良，加</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分。</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rPr>
                  </w:pPr>
                  <w:r>
                    <w:rPr>
                      <w:rFonts w:hint="eastAsia" w:ascii="仿宋" w:hAnsi="仿宋" w:eastAsia="仿宋" w:cs="仿宋"/>
                      <w:szCs w:val="21"/>
                      <w:highlight w:val="none"/>
                    </w:rPr>
                    <w:t>满足以上三项要求的评价为中，加</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rPr>
                  </w:pPr>
                  <w:r>
                    <w:rPr>
                      <w:rFonts w:hint="eastAsia" w:ascii="仿宋" w:hAnsi="仿宋" w:eastAsia="仿宋" w:cs="仿宋"/>
                      <w:szCs w:val="21"/>
                      <w:highlight w:val="none"/>
                    </w:rPr>
                    <w:t>其它情况的评价为差，不加分。</w:t>
                  </w:r>
                </w:p>
                <w:p>
                  <w:pPr>
                    <w:pStyle w:val="8"/>
                    <w:keepNext w:val="0"/>
                    <w:keepLines w:val="0"/>
                    <w:widowControl/>
                    <w:suppressLineNumbers w:val="0"/>
                    <w:shd w:val="clear"/>
                    <w:spacing w:before="0" w:beforeAutospacing="0" w:after="0" w:afterAutospacing="0"/>
                    <w:ind w:left="0" w:right="0"/>
                    <w:rPr>
                      <w:rFonts w:hint="eastAsia" w:ascii="仿宋" w:hAnsi="仿宋" w:eastAsia="仿宋" w:cs="仿宋"/>
                      <w:b w:val="0"/>
                      <w:bCs/>
                      <w:sz w:val="24"/>
                      <w:szCs w:val="24"/>
                      <w:highlight w:val="none"/>
                    </w:rPr>
                  </w:pPr>
                </w:p>
                <w:p>
                  <w:pPr>
                    <w:pStyle w:val="8"/>
                    <w:keepNext w:val="0"/>
                    <w:keepLines w:val="0"/>
                    <w:widowControl/>
                    <w:suppressLineNumbers w:val="0"/>
                    <w:shd w:val="clear"/>
                    <w:spacing w:before="0" w:beforeAutospacing="0" w:after="0" w:afterAutospacing="0"/>
                    <w:ind w:left="0" w:right="0"/>
                    <w:rPr>
                      <w:rFonts w:hint="eastAsia"/>
                      <w:highlight w:val="none"/>
                    </w:rPr>
                  </w:pPr>
                  <w:r>
                    <w:rPr>
                      <w:rFonts w:hint="eastAsia" w:ascii="仿宋" w:hAnsi="仿宋" w:eastAsia="仿宋" w:cs="仿宋"/>
                      <w:b w:val="0"/>
                      <w:bCs/>
                      <w:sz w:val="24"/>
                      <w:szCs w:val="24"/>
                      <w:highlight w:val="none"/>
                    </w:rPr>
                    <w:t>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365" w:hRule="atLeast"/>
                <w:jc w:val="center"/>
              </w:trPr>
              <w:tc>
                <w:tcPr>
                  <w:tcW w:w="397" w:type="pct"/>
                  <w:vMerge w:val="continue"/>
                  <w:tcBorders>
                    <w:left w:val="single" w:color="000000" w:sz="8" w:space="0"/>
                    <w:right w:val="single" w:color="000000" w:sz="8" w:space="0"/>
                  </w:tcBorders>
                  <w:vAlign w:val="center"/>
                </w:tcPr>
                <w:p>
                  <w:pPr>
                    <w:keepNext w:val="0"/>
                    <w:keepLines w:val="0"/>
                    <w:widowControl/>
                    <w:suppressLineNumbers w:val="0"/>
                    <w:shd w:val="clear"/>
                    <w:spacing w:before="0" w:beforeAutospacing="0" w:after="0" w:afterAutospacing="0"/>
                    <w:ind w:left="0" w:right="0"/>
                    <w:rPr>
                      <w:rFonts w:hint="eastAsia" w:ascii="仿宋" w:hAnsi="仿宋" w:eastAsia="仿宋" w:cs="仿宋"/>
                      <w:b/>
                      <w:bCs/>
                      <w:color w:val="0000FF"/>
                      <w:szCs w:val="21"/>
                      <w:highlight w:val="none"/>
                    </w:rPr>
                  </w:pPr>
                </w:p>
              </w:tc>
              <w:tc>
                <w:tcPr>
                  <w:tcW w:w="349" w:type="pct"/>
                  <w:tcBorders>
                    <w:top w:val="single" w:color="000000" w:sz="8" w:space="0"/>
                    <w:left w:val="single" w:color="000000" w:sz="8" w:space="0"/>
                    <w:right w:val="single" w:color="000000" w:sz="8" w:space="0"/>
                  </w:tcBorders>
                  <w:vAlign w:val="center"/>
                </w:tcPr>
                <w:p>
                  <w:pPr>
                    <w:keepNext w:val="0"/>
                    <w:keepLines w:val="0"/>
                    <w:widowControl/>
                    <w:suppressLineNumbers w:val="0"/>
                    <w:shd w:val="clear"/>
                    <w:wordWrap w:val="0"/>
                    <w:spacing w:before="0" w:beforeAutospacing="0" w:after="0" w:afterAutospacing="0"/>
                    <w:ind w:left="0" w:right="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3</w:t>
                  </w:r>
                </w:p>
              </w:tc>
              <w:tc>
                <w:tcPr>
                  <w:tcW w:w="1305" w:type="pct"/>
                  <w:tcBorders>
                    <w:top w:val="single" w:color="000000" w:sz="8" w:space="0"/>
                    <w:left w:val="single" w:color="000000" w:sz="8" w:space="0"/>
                    <w:right w:val="single" w:color="000000" w:sz="8" w:space="0"/>
                  </w:tcBorders>
                  <w:vAlign w:val="center"/>
                </w:tcPr>
                <w:p>
                  <w:pPr>
                    <w:keepNext w:val="0"/>
                    <w:keepLines w:val="0"/>
                    <w:widowControl/>
                    <w:suppressLineNumbers w:val="0"/>
                    <w:shd w:val="clear"/>
                    <w:wordWrap w:val="0"/>
                    <w:spacing w:before="0" w:beforeAutospacing="0" w:after="0" w:afterAutospacing="0"/>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技术保障措施</w:t>
                  </w:r>
                </w:p>
              </w:tc>
              <w:tc>
                <w:tcPr>
                  <w:tcW w:w="464" w:type="pct"/>
                  <w:tcBorders>
                    <w:top w:val="single" w:color="000000" w:sz="8" w:space="0"/>
                    <w:left w:val="single" w:color="000000" w:sz="8" w:space="0"/>
                    <w:right w:val="single" w:color="000000" w:sz="8" w:space="0"/>
                  </w:tcBorders>
                  <w:vAlign w:val="center"/>
                </w:tcPr>
                <w:p>
                  <w:pPr>
                    <w:keepNext w:val="0"/>
                    <w:keepLines w:val="0"/>
                    <w:widowControl/>
                    <w:suppressLineNumbers w:val="0"/>
                    <w:shd w:val="clear"/>
                    <w:wordWrap w:val="0"/>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7</w:t>
                  </w:r>
                </w:p>
              </w:tc>
              <w:tc>
                <w:tcPr>
                  <w:tcW w:w="248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numPr>
                      <w:ilvl w:val="0"/>
                      <w:numId w:val="0"/>
                    </w:numPr>
                    <w:suppressLineNumbers w:val="0"/>
                    <w:shd w:val="clear"/>
                    <w:wordWrap w:val="0"/>
                    <w:spacing w:before="0" w:beforeAutospacing="0" w:after="0" w:afterAutospacing="0"/>
                    <w:ind w:left="0" w:right="0"/>
                    <w:rPr>
                      <w:rFonts w:hint="eastAsia" w:ascii="仿宋" w:hAnsi="仿宋" w:eastAsia="仿宋" w:cs="仿宋"/>
                      <w:b/>
                      <w:bCs/>
                      <w:sz w:val="24"/>
                      <w:szCs w:val="21"/>
                      <w:highlight w:val="none"/>
                      <w:lang w:val="en-US" w:eastAsia="zh-CN" w:bidi="ar-SA"/>
                    </w:rPr>
                  </w:pPr>
                  <w:r>
                    <w:rPr>
                      <w:rFonts w:hint="eastAsia" w:ascii="仿宋" w:hAnsi="仿宋" w:eastAsia="仿宋" w:cs="仿宋"/>
                      <w:b/>
                      <w:bCs/>
                      <w:sz w:val="24"/>
                      <w:szCs w:val="21"/>
                      <w:highlight w:val="none"/>
                      <w:lang w:val="en-US" w:eastAsia="zh-CN" w:bidi="ar-SA"/>
                    </w:rPr>
                    <w:t>（一）评分内容：</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1.供货的保障措施。</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2.产品质量的保障措施。</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b/>
                      <w:bCs/>
                      <w:szCs w:val="21"/>
                      <w:highlight w:val="none"/>
                    </w:rPr>
                  </w:pPr>
                  <w:r>
                    <w:rPr>
                      <w:rFonts w:hint="eastAsia" w:ascii="仿宋" w:hAnsi="仿宋" w:eastAsia="仿宋" w:cs="仿宋"/>
                      <w:b/>
                      <w:bCs/>
                      <w:szCs w:val="21"/>
                      <w:highlight w:val="none"/>
                    </w:rPr>
                    <w:t>（二）评分依据：</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1.根据以上技术保障措施方案，提供以上每一项内容得1分，本小项最高得2分。</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2.在此基础上，根据方案整体全面性、具体性、针对性、合理性、可操作性进行评分，本项最高加5分。</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（1）投标文件响应内容全面；</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（2）投标文件响应内容具体；</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（3）投标文件响应内容针对性强；</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（4）投标文件响应内容科学合理；</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（5）投标文件响应内容可操作性强。</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满足以上五项要求的评价为优，加5分。</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满足以上四项要求的评价为良，加3分。</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满足以上三项要求的评价为中，加1分。</w:t>
                  </w:r>
                </w:p>
                <w:p>
                  <w:pPr>
                    <w:keepNext w:val="0"/>
                    <w:keepLines w:val="0"/>
                    <w:widowControl/>
                    <w:suppressLineNumbers w:val="0"/>
                    <w:shd w:val="clear"/>
                    <w:wordWrap w:val="0"/>
                    <w:spacing w:before="0" w:beforeAutospacing="0" w:after="0" w:afterAutospacing="0"/>
                    <w:ind w:left="0" w:right="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其它情况的评价为差，不加分。</w:t>
                  </w:r>
                </w:p>
                <w:p>
                  <w:pPr>
                    <w:pStyle w:val="8"/>
                    <w:keepNext w:val="0"/>
                    <w:keepLines w:val="0"/>
                    <w:widowControl/>
                    <w:suppressLineNumbers w:val="0"/>
                    <w:shd w:val="clear"/>
                    <w:spacing w:before="0" w:beforeAutospacing="0" w:after="0" w:afterAutospacing="0"/>
                    <w:ind w:left="0" w:right="0"/>
                    <w:rPr>
                      <w:rFonts w:hint="eastAsia"/>
                      <w:highlight w:val="none"/>
                      <w:lang w:val="en-US" w:eastAsia="zh-CN"/>
                    </w:rPr>
                  </w:pPr>
                </w:p>
                <w:p>
                  <w:pPr>
                    <w:pStyle w:val="8"/>
                    <w:keepNext w:val="0"/>
                    <w:keepLines w:val="0"/>
                    <w:widowControl/>
                    <w:suppressLineNumbers w:val="0"/>
                    <w:shd w:val="clear"/>
                    <w:spacing w:before="0" w:beforeAutospacing="0" w:after="0" w:afterAutospacing="0"/>
                    <w:ind w:left="0" w:right="0"/>
                    <w:rPr>
                      <w:rFonts w:hint="eastAsia"/>
                      <w:highlight w:val="none"/>
                    </w:rPr>
                  </w:pPr>
                  <w:r>
                    <w:rPr>
                      <w:rFonts w:hint="eastAsia" w:ascii="仿宋" w:hAnsi="仿宋" w:eastAsia="仿宋" w:cs="仿宋"/>
                      <w:b w:val="0"/>
                      <w:bCs/>
                      <w:sz w:val="24"/>
                      <w:szCs w:val="24"/>
                      <w:highlight w:val="none"/>
                    </w:rPr>
                    <w:t>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96" w:hRule="atLeast"/>
                <w:jc w:val="center"/>
              </w:trPr>
              <w:tc>
                <w:tcPr>
                  <w:tcW w:w="397" w:type="pct"/>
                  <w:vMerge w:val="restart"/>
                  <w:tcBorders>
                    <w:top w:val="single" w:color="000000" w:sz="8" w:space="0"/>
                    <w:left w:val="single" w:color="000000" w:sz="8" w:space="0"/>
                    <w:right w:val="single" w:color="000000" w:sz="8" w:space="0"/>
                  </w:tcBorders>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bCs/>
                      <w:color w:val="0000FF"/>
                      <w:szCs w:val="21"/>
                      <w:highlight w:val="none"/>
                      <w:lang w:eastAsia="zh-CN"/>
                    </w:rPr>
                  </w:pPr>
                  <w:r>
                    <w:rPr>
                      <w:rFonts w:hint="eastAsia" w:ascii="仿宋" w:hAnsi="仿宋" w:eastAsia="仿宋" w:cs="仿宋"/>
                      <w:b/>
                      <w:bCs/>
                      <w:color w:val="auto"/>
                      <w:szCs w:val="21"/>
                      <w:highlight w:val="none"/>
                      <w:lang w:val="en-US" w:eastAsia="zh-CN"/>
                    </w:rPr>
                    <w:t>3</w:t>
                  </w:r>
                </w:p>
              </w:tc>
              <w:tc>
                <w:tcPr>
                  <w:tcW w:w="2119" w:type="pct"/>
                  <w:gridSpan w:val="3"/>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hd w:val="clear"/>
                    <w:wordWrap w:val="0"/>
                    <w:spacing w:before="0" w:beforeAutospacing="0" w:after="0" w:afterAutospacing="0"/>
                    <w:ind w:left="0" w:right="0"/>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商务部分</w:t>
                  </w:r>
                </w:p>
              </w:tc>
              <w:tc>
                <w:tcPr>
                  <w:tcW w:w="248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hd w:val="clear"/>
                    <w:wordWrap w:val="0"/>
                    <w:spacing w:before="0" w:beforeAutospacing="0" w:after="0" w:afterAutospacing="0"/>
                    <w:ind w:left="0" w:right="0"/>
                    <w:jc w:val="center"/>
                    <w:rPr>
                      <w:rFonts w:hint="default" w:ascii="仿宋" w:hAnsi="仿宋" w:eastAsia="仿宋" w:cs="仿宋"/>
                      <w:color w:val="auto"/>
                      <w:szCs w:val="21"/>
                      <w:highlight w:val="none"/>
                      <w:lang w:val="en-US" w:eastAsia="zh-CN"/>
                    </w:rPr>
                  </w:pPr>
                  <w:r>
                    <w:rPr>
                      <w:rFonts w:hint="eastAsia" w:ascii="仿宋" w:hAnsi="仿宋" w:eastAsia="仿宋" w:cs="仿宋"/>
                      <w:b/>
                      <w:bCs/>
                      <w:color w:val="auto"/>
                      <w:szCs w:val="21"/>
                      <w:highlight w:val="none"/>
                      <w:lang w:val="en-US" w:eastAsia="zh-CN"/>
                    </w:rPr>
                    <w:t>23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97" w:type="pct"/>
                  <w:vMerge w:val="continue"/>
                  <w:tcBorders>
                    <w:left w:val="single" w:color="000000" w:sz="8" w:space="0"/>
                    <w:right w:val="single" w:color="000000" w:sz="8" w:space="0"/>
                  </w:tcBorders>
                  <w:vAlign w:val="center"/>
                </w:tcPr>
                <w:p>
                  <w:pPr>
                    <w:keepNext w:val="0"/>
                    <w:keepLines w:val="0"/>
                    <w:widowControl/>
                    <w:suppressLineNumbers w:val="0"/>
                    <w:shd w:val="clear"/>
                    <w:spacing w:before="0" w:beforeAutospacing="0" w:after="0" w:afterAutospacing="0"/>
                    <w:ind w:left="0" w:right="0"/>
                    <w:rPr>
                      <w:rFonts w:hint="eastAsia" w:ascii="仿宋" w:hAnsi="仿宋" w:eastAsia="仿宋" w:cs="仿宋"/>
                      <w:b/>
                      <w:bCs/>
                      <w:color w:val="0000FF"/>
                      <w:szCs w:val="21"/>
                      <w:highlight w:val="none"/>
                    </w:rPr>
                  </w:pPr>
                </w:p>
              </w:tc>
              <w:tc>
                <w:tcPr>
                  <w:tcW w:w="349"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hd w:val="clear"/>
                    <w:wordWrap w:val="0"/>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130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szCs w:val="21"/>
                      <w:highlight w:val="none"/>
                      <w:lang w:val="zh-CN"/>
                    </w:rPr>
                  </w:pPr>
                  <w:r>
                    <w:rPr>
                      <w:rFonts w:hint="eastAsia" w:ascii="仿宋" w:hAnsi="仿宋" w:eastAsia="仿宋" w:cs="仿宋"/>
                      <w:szCs w:val="21"/>
                      <w:highlight w:val="none"/>
                      <w:lang w:val="zh-CN"/>
                    </w:rPr>
                    <w:t>同类</w:t>
                  </w:r>
                  <w:r>
                    <w:rPr>
                      <w:rFonts w:hint="eastAsia" w:ascii="仿宋" w:hAnsi="仿宋" w:eastAsia="仿宋" w:cs="仿宋"/>
                      <w:szCs w:val="21"/>
                      <w:highlight w:val="none"/>
                      <w:lang w:val="en-US" w:eastAsia="zh-CN"/>
                    </w:rPr>
                    <w:t>项目</w:t>
                  </w:r>
                  <w:r>
                    <w:rPr>
                      <w:rFonts w:hint="eastAsia" w:ascii="仿宋" w:hAnsi="仿宋" w:eastAsia="仿宋" w:cs="仿宋"/>
                      <w:szCs w:val="21"/>
                      <w:highlight w:val="none"/>
                      <w:lang w:val="zh-CN"/>
                    </w:rPr>
                    <w:t>业绩</w:t>
                  </w:r>
                </w:p>
              </w:tc>
              <w:tc>
                <w:tcPr>
                  <w:tcW w:w="46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9</w:t>
                  </w:r>
                </w:p>
              </w:tc>
              <w:tc>
                <w:tcPr>
                  <w:tcW w:w="248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numPr>
                      <w:ilvl w:val="0"/>
                      <w:numId w:val="0"/>
                    </w:numPr>
                    <w:suppressLineNumbers w:val="0"/>
                    <w:shd w:val="clear"/>
                    <w:wordWrap w:val="0"/>
                    <w:spacing w:before="0" w:beforeAutospacing="0" w:after="0" w:afterAutospacing="0"/>
                    <w:ind w:left="0" w:right="0"/>
                    <w:rPr>
                      <w:rFonts w:hint="eastAsia" w:ascii="仿宋" w:hAnsi="仿宋" w:eastAsia="仿宋" w:cs="仿宋"/>
                      <w:b/>
                      <w:bCs/>
                      <w:sz w:val="24"/>
                      <w:szCs w:val="21"/>
                      <w:highlight w:val="none"/>
                      <w:lang w:val="en-US" w:eastAsia="zh-CN" w:bidi="ar-SA"/>
                    </w:rPr>
                  </w:pPr>
                  <w:r>
                    <w:rPr>
                      <w:rFonts w:hint="eastAsia" w:ascii="仿宋" w:hAnsi="仿宋" w:eastAsia="仿宋" w:cs="仿宋"/>
                      <w:b/>
                      <w:bCs/>
                      <w:sz w:val="24"/>
                      <w:szCs w:val="21"/>
                      <w:highlight w:val="none"/>
                      <w:lang w:val="en-US" w:eastAsia="zh-CN" w:bidi="ar-SA"/>
                    </w:rPr>
                    <w:t>（一） 评分内容：</w:t>
                  </w:r>
                </w:p>
                <w:p>
                  <w:pPr>
                    <w:keepNext w:val="0"/>
                    <w:keepLines w:val="0"/>
                    <w:widowControl/>
                    <w:suppressLineNumbers w:val="0"/>
                    <w:shd w:val="clear"/>
                    <w:spacing w:before="0" w:beforeAutospacing="0" w:after="0" w:afterAutospacing="0"/>
                    <w:ind w:left="0" w:right="0"/>
                    <w:rPr>
                      <w:rFonts w:hint="eastAsia" w:ascii="仿宋" w:hAnsi="仿宋" w:eastAsia="仿宋" w:cs="仿宋"/>
                      <w:szCs w:val="21"/>
                      <w:highlight w:val="none"/>
                    </w:rPr>
                  </w:pPr>
                  <w:r>
                    <w:rPr>
                      <w:rFonts w:hint="eastAsia" w:ascii="仿宋" w:hAnsi="仿宋" w:eastAsia="仿宋" w:cs="仿宋"/>
                      <w:szCs w:val="21"/>
                      <w:highlight w:val="none"/>
                    </w:rPr>
                    <w:t>投标人提供从2021年1月1日至本项目投标截止日（以合同签订日期为准）的同类医用气体采购项目业绩，每个业绩得</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分，</w:t>
                  </w:r>
                  <w:r>
                    <w:rPr>
                      <w:rFonts w:hint="eastAsia" w:ascii="仿宋" w:hAnsi="仿宋" w:eastAsia="仿宋" w:cs="仿宋"/>
                      <w:szCs w:val="21"/>
                      <w:highlight w:val="none"/>
                      <w:lang w:val="en-US" w:eastAsia="zh-CN"/>
                    </w:rPr>
                    <w:t>最高得9</w:t>
                  </w:r>
                  <w:r>
                    <w:rPr>
                      <w:rFonts w:hint="eastAsia" w:ascii="仿宋" w:hAnsi="仿宋" w:eastAsia="仿宋" w:cs="仿宋"/>
                      <w:szCs w:val="21"/>
                      <w:highlight w:val="none"/>
                    </w:rPr>
                    <w:t xml:space="preserve">分，其他不得分，同一项目合同续签不可重复计分。 </w:t>
                  </w:r>
                </w:p>
                <w:p>
                  <w:pPr>
                    <w:keepNext w:val="0"/>
                    <w:keepLines w:val="0"/>
                    <w:widowControl/>
                    <w:numPr>
                      <w:ilvl w:val="0"/>
                      <w:numId w:val="0"/>
                    </w:numPr>
                    <w:suppressLineNumbers w:val="0"/>
                    <w:shd w:val="clear"/>
                    <w:wordWrap w:val="0"/>
                    <w:spacing w:before="0" w:beforeAutospacing="0" w:after="0" w:afterAutospacing="0"/>
                    <w:ind w:left="0" w:right="0"/>
                    <w:rPr>
                      <w:rFonts w:hint="eastAsia" w:ascii="仿宋" w:hAnsi="仿宋" w:eastAsia="仿宋" w:cs="仿宋"/>
                      <w:b/>
                      <w:bCs/>
                      <w:sz w:val="24"/>
                      <w:szCs w:val="21"/>
                      <w:highlight w:val="none"/>
                      <w:lang w:val="en-US" w:eastAsia="zh-CN" w:bidi="ar-SA"/>
                    </w:rPr>
                  </w:pPr>
                  <w:r>
                    <w:rPr>
                      <w:rFonts w:hint="eastAsia" w:ascii="仿宋" w:hAnsi="仿宋" w:eastAsia="仿宋" w:cs="仿宋"/>
                      <w:b/>
                      <w:bCs/>
                      <w:sz w:val="24"/>
                      <w:szCs w:val="21"/>
                      <w:highlight w:val="none"/>
                      <w:lang w:val="en-US" w:eastAsia="zh-CN" w:bidi="ar-SA"/>
                    </w:rPr>
                    <w:t>（二）评分依据：</w:t>
                  </w:r>
                </w:p>
                <w:p>
                  <w:pPr>
                    <w:keepNext w:val="0"/>
                    <w:keepLines w:val="0"/>
                    <w:widowControl/>
                    <w:suppressLineNumbers w:val="0"/>
                    <w:shd w:val="clear"/>
                    <w:spacing w:before="0" w:beforeAutospacing="0" w:after="0" w:afterAutospacing="0"/>
                    <w:ind w:left="0" w:right="0"/>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eastAsia="zh-CN"/>
                    </w:rPr>
                    <w:t>.</w:t>
                  </w:r>
                  <w:r>
                    <w:rPr>
                      <w:rFonts w:hint="eastAsia" w:ascii="仿宋" w:hAnsi="仿宋" w:eastAsia="仿宋" w:cs="仿宋"/>
                      <w:szCs w:val="21"/>
                      <w:highlight w:val="none"/>
                    </w:rPr>
                    <w:t>提供合同关键页（关键信息包括但不仅限于合同的项目名称、合同内容、签订日期、签约主体公章等关键信息）。</w:t>
                  </w:r>
                </w:p>
                <w:p>
                  <w:pPr>
                    <w:keepNext w:val="0"/>
                    <w:keepLines w:val="0"/>
                    <w:widowControl/>
                    <w:suppressLineNumbers w:val="0"/>
                    <w:shd w:val="clear"/>
                    <w:spacing w:before="0" w:beforeAutospacing="0" w:after="0" w:afterAutospacing="0"/>
                    <w:ind w:left="0" w:right="0"/>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eastAsia="zh-CN"/>
                    </w:rPr>
                    <w:t>.</w:t>
                  </w:r>
                  <w:r>
                    <w:rPr>
                      <w:rFonts w:hint="eastAsia" w:ascii="仿宋" w:hAnsi="仿宋" w:eastAsia="仿宋" w:cs="仿宋"/>
                      <w:szCs w:val="21"/>
                      <w:highlight w:val="none"/>
                    </w:rPr>
                    <w:t>以上资料均要求提供扫描件，原件备查。评分中出现无证明资料或专家无法凭所提供资料判断是否得分的情况，一律作不得分处理。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397" w:type="pct"/>
                  <w:vMerge w:val="continue"/>
                  <w:tcBorders>
                    <w:left w:val="single" w:color="000000" w:sz="8" w:space="0"/>
                    <w:right w:val="single" w:color="000000" w:sz="8" w:space="0"/>
                  </w:tcBorders>
                  <w:vAlign w:val="center"/>
                </w:tcPr>
                <w:p>
                  <w:pPr>
                    <w:keepNext w:val="0"/>
                    <w:keepLines w:val="0"/>
                    <w:widowControl/>
                    <w:suppressLineNumbers w:val="0"/>
                    <w:shd w:val="clear"/>
                    <w:spacing w:before="0" w:beforeAutospacing="0" w:after="0" w:afterAutospacing="0"/>
                    <w:ind w:left="0" w:right="0"/>
                    <w:rPr>
                      <w:rFonts w:hint="eastAsia" w:ascii="仿宋" w:hAnsi="仿宋" w:eastAsia="仿宋" w:cs="仿宋"/>
                      <w:b/>
                      <w:bCs/>
                      <w:color w:val="0000FF"/>
                      <w:szCs w:val="21"/>
                      <w:highlight w:val="none"/>
                    </w:rPr>
                  </w:pPr>
                </w:p>
              </w:tc>
              <w:tc>
                <w:tcPr>
                  <w:tcW w:w="349"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hd w:val="clear"/>
                    <w:wordWrap w:val="0"/>
                    <w:spacing w:before="0" w:beforeAutospacing="0" w:after="0" w:afterAutospacing="0"/>
                    <w:ind w:left="0" w:right="0"/>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2</w:t>
                  </w:r>
                </w:p>
              </w:tc>
              <w:tc>
                <w:tcPr>
                  <w:tcW w:w="130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企业认证体系</w:t>
                  </w:r>
                </w:p>
              </w:tc>
              <w:tc>
                <w:tcPr>
                  <w:tcW w:w="46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p>
              </w:tc>
              <w:tc>
                <w:tcPr>
                  <w:tcW w:w="248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hd w:val="clear"/>
                    <w:spacing w:before="0" w:beforeAutospacing="0" w:after="0" w:afterAutospacing="0"/>
                    <w:ind w:left="0" w:right="0"/>
                    <w:rPr>
                      <w:rFonts w:hint="eastAsia" w:ascii="仿宋" w:hAnsi="仿宋" w:eastAsia="仿宋" w:cs="仿宋"/>
                      <w:szCs w:val="21"/>
                      <w:highlight w:val="none"/>
                    </w:rPr>
                  </w:pPr>
                  <w:r>
                    <w:rPr>
                      <w:rFonts w:hint="eastAsia" w:ascii="仿宋" w:hAnsi="仿宋" w:eastAsia="仿宋" w:cs="仿宋"/>
                      <w:b/>
                      <w:bCs/>
                      <w:szCs w:val="21"/>
                      <w:highlight w:val="none"/>
                    </w:rPr>
                    <w:t>（一）评分内容：</w:t>
                  </w:r>
                  <w:r>
                    <w:rPr>
                      <w:rFonts w:hint="eastAsia" w:ascii="仿宋" w:hAnsi="仿宋" w:eastAsia="仿宋" w:cs="仿宋"/>
                      <w:szCs w:val="21"/>
                      <w:highlight w:val="none"/>
                    </w:rPr>
                    <w:t xml:space="preserve"> </w:t>
                  </w:r>
                </w:p>
                <w:p>
                  <w:pPr>
                    <w:keepNext w:val="0"/>
                    <w:keepLines w:val="0"/>
                    <w:widowControl/>
                    <w:suppressLineNumbers w:val="0"/>
                    <w:shd w:val="clear"/>
                    <w:spacing w:before="0" w:beforeAutospacing="0" w:after="0" w:afterAutospacing="0"/>
                    <w:ind w:left="0" w:right="0"/>
                    <w:rPr>
                      <w:rFonts w:hint="eastAsia" w:ascii="仿宋" w:hAnsi="仿宋" w:eastAsia="仿宋" w:cs="仿宋"/>
                      <w:szCs w:val="21"/>
                      <w:highlight w:val="none"/>
                      <w:lang w:eastAsia="zh-CN"/>
                    </w:rPr>
                  </w:pPr>
                  <w:r>
                    <w:rPr>
                      <w:rFonts w:hint="eastAsia" w:ascii="仿宋" w:hAnsi="仿宋" w:eastAsia="仿宋" w:cs="仿宋"/>
                      <w:szCs w:val="21"/>
                      <w:highlight w:val="none"/>
                    </w:rPr>
                    <w:t>投标人每提供一项</w:t>
                  </w:r>
                  <w:r>
                    <w:rPr>
                      <w:rFonts w:hint="eastAsia" w:ascii="仿宋" w:hAnsi="仿宋" w:eastAsia="仿宋" w:cs="仿宋"/>
                      <w:szCs w:val="21"/>
                      <w:highlight w:val="none"/>
                      <w:lang w:val="en-US" w:eastAsia="zh-CN"/>
                    </w:rPr>
                    <w:t>以下</w:t>
                  </w:r>
                  <w:r>
                    <w:rPr>
                      <w:rFonts w:hint="eastAsia" w:ascii="仿宋" w:hAnsi="仿宋" w:eastAsia="仿宋" w:cs="仿宋"/>
                      <w:szCs w:val="21"/>
                      <w:highlight w:val="none"/>
                    </w:rPr>
                    <w:t>证书得1分， 最高得2分</w:t>
                  </w:r>
                  <w:r>
                    <w:rPr>
                      <w:rFonts w:hint="eastAsia" w:ascii="仿宋" w:hAnsi="仿宋" w:eastAsia="仿宋" w:cs="仿宋"/>
                      <w:szCs w:val="21"/>
                      <w:highlight w:val="none"/>
                      <w:lang w:eastAsia="zh-CN"/>
                    </w:rPr>
                    <w:t>：</w:t>
                  </w:r>
                </w:p>
                <w:p>
                  <w:pPr>
                    <w:keepNext w:val="0"/>
                    <w:keepLines w:val="0"/>
                    <w:widowControl/>
                    <w:numPr>
                      <w:ilvl w:val="0"/>
                      <w:numId w:val="0"/>
                    </w:numPr>
                    <w:suppressLineNumbers w:val="0"/>
                    <w:shd w:val="clear"/>
                    <w:spacing w:before="0" w:beforeAutospacing="0" w:after="0" w:afterAutospacing="0"/>
                    <w:ind w:left="0" w:right="0"/>
                    <w:rPr>
                      <w:rFonts w:hint="eastAsia" w:ascii="仿宋" w:hAnsi="仿宋" w:eastAsia="仿宋" w:cs="仿宋"/>
                      <w:szCs w:val="21"/>
                      <w:highlight w:val="none"/>
                      <w:lang w:eastAsia="zh-CN"/>
                    </w:rPr>
                  </w:pPr>
                  <w:r>
                    <w:rPr>
                      <w:rFonts w:hint="eastAsia" w:ascii="仿宋" w:hAnsi="仿宋" w:eastAsia="仿宋" w:cs="仿宋"/>
                      <w:sz w:val="24"/>
                      <w:szCs w:val="21"/>
                      <w:highlight w:val="none"/>
                      <w:lang w:val="en-US" w:eastAsia="zh-CN" w:bidi="ar-SA"/>
                    </w:rPr>
                    <w:t>1.</w:t>
                  </w:r>
                  <w:r>
                    <w:rPr>
                      <w:rFonts w:hint="eastAsia" w:ascii="仿宋" w:hAnsi="仿宋" w:eastAsia="仿宋" w:cs="仿宋"/>
                      <w:szCs w:val="21"/>
                      <w:highlight w:val="none"/>
                    </w:rPr>
                    <w:t>质量管理体系认证证书</w:t>
                  </w:r>
                  <w:r>
                    <w:rPr>
                      <w:rFonts w:hint="eastAsia" w:ascii="仿宋" w:hAnsi="仿宋" w:eastAsia="仿宋" w:cs="仿宋"/>
                      <w:szCs w:val="21"/>
                      <w:highlight w:val="none"/>
                      <w:lang w:eastAsia="zh-CN"/>
                    </w:rPr>
                    <w:t>；</w:t>
                  </w:r>
                </w:p>
                <w:p>
                  <w:pPr>
                    <w:keepNext w:val="0"/>
                    <w:keepLines w:val="0"/>
                    <w:widowControl/>
                    <w:numPr>
                      <w:ilvl w:val="0"/>
                      <w:numId w:val="0"/>
                    </w:numPr>
                    <w:suppressLineNumbers w:val="0"/>
                    <w:shd w:val="clear"/>
                    <w:spacing w:before="0" w:beforeAutospacing="0" w:after="0" w:afterAutospacing="0"/>
                    <w:ind w:left="0" w:right="0"/>
                    <w:rPr>
                      <w:rFonts w:hint="eastAsia" w:ascii="仿宋" w:hAnsi="仿宋" w:eastAsia="仿宋" w:cs="仿宋"/>
                      <w:szCs w:val="21"/>
                      <w:highlight w:val="none"/>
                      <w:lang w:eastAsia="zh-CN"/>
                    </w:rPr>
                  </w:pPr>
                  <w:r>
                    <w:rPr>
                      <w:rFonts w:hint="eastAsia" w:ascii="仿宋" w:hAnsi="仿宋" w:eastAsia="仿宋" w:cs="仿宋"/>
                      <w:b w:val="0"/>
                      <w:bCs w:val="0"/>
                      <w:sz w:val="24"/>
                      <w:szCs w:val="21"/>
                      <w:highlight w:val="none"/>
                      <w:lang w:val="en-US" w:eastAsia="zh-CN" w:bidi="ar-SA"/>
                    </w:rPr>
                    <w:t>2.</w:t>
                  </w:r>
                  <w:r>
                    <w:rPr>
                      <w:rFonts w:hint="eastAsia" w:ascii="仿宋" w:hAnsi="仿宋" w:eastAsia="仿宋" w:cs="仿宋"/>
                      <w:szCs w:val="21"/>
                      <w:highlight w:val="none"/>
                    </w:rPr>
                    <w:t>环境管理体系认证证书</w:t>
                  </w:r>
                  <w:r>
                    <w:rPr>
                      <w:rFonts w:hint="eastAsia" w:ascii="仿宋" w:hAnsi="仿宋" w:eastAsia="仿宋" w:cs="仿宋"/>
                      <w:szCs w:val="21"/>
                      <w:highlight w:val="none"/>
                      <w:lang w:eastAsia="zh-CN"/>
                    </w:rPr>
                    <w:t>。</w:t>
                  </w:r>
                </w:p>
                <w:p>
                  <w:pPr>
                    <w:keepNext w:val="0"/>
                    <w:keepLines w:val="0"/>
                    <w:widowControl/>
                    <w:numPr>
                      <w:ilvl w:val="0"/>
                      <w:numId w:val="0"/>
                    </w:numPr>
                    <w:suppressLineNumbers w:val="0"/>
                    <w:shd w:val="clear"/>
                    <w:spacing w:before="0" w:beforeAutospacing="0" w:after="0" w:afterAutospacing="0"/>
                    <w:ind w:left="0" w:right="0"/>
                    <w:rPr>
                      <w:rFonts w:hint="eastAsia" w:ascii="仿宋" w:hAnsi="仿宋" w:eastAsia="仿宋" w:cs="仿宋"/>
                      <w:b/>
                      <w:bCs/>
                      <w:szCs w:val="21"/>
                      <w:highlight w:val="none"/>
                    </w:rPr>
                  </w:pPr>
                  <w:r>
                    <w:rPr>
                      <w:rFonts w:hint="eastAsia" w:ascii="仿宋" w:hAnsi="仿宋" w:eastAsia="仿宋" w:cs="仿宋"/>
                      <w:b/>
                      <w:bCs/>
                      <w:szCs w:val="21"/>
                      <w:highlight w:val="none"/>
                    </w:rPr>
                    <w:t>（二）评分依据： </w:t>
                  </w:r>
                </w:p>
                <w:p>
                  <w:pPr>
                    <w:keepNext w:val="0"/>
                    <w:keepLines w:val="0"/>
                    <w:widowControl/>
                    <w:suppressLineNumbers w:val="0"/>
                    <w:shd w:val="clear"/>
                    <w:spacing w:before="0" w:beforeAutospacing="0" w:after="0" w:afterAutospacing="0"/>
                    <w:ind w:left="0" w:right="0"/>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eastAsia="zh-CN"/>
                    </w:rPr>
                    <w:t>.</w:t>
                  </w:r>
                  <w:r>
                    <w:rPr>
                      <w:rFonts w:hint="eastAsia" w:ascii="仿宋" w:hAnsi="仿宋" w:eastAsia="仿宋" w:cs="仿宋"/>
                      <w:szCs w:val="21"/>
                      <w:highlight w:val="none"/>
                    </w:rPr>
                    <w:t>提供有效的认证证书复印件加盖公章，如无法证明证书在有效期内的，不得分。</w:t>
                  </w:r>
                </w:p>
                <w:p>
                  <w:pPr>
                    <w:keepNext w:val="0"/>
                    <w:keepLines w:val="0"/>
                    <w:widowControl/>
                    <w:suppressLineNumbers w:val="0"/>
                    <w:shd w:val="clear"/>
                    <w:spacing w:before="0" w:beforeAutospacing="0" w:after="0" w:afterAutospacing="0"/>
                    <w:ind w:left="0" w:right="0"/>
                    <w:rPr>
                      <w:rFonts w:hint="eastAsia" w:ascii="仿宋" w:hAnsi="仿宋" w:eastAsia="仿宋" w:cs="仿宋"/>
                      <w:szCs w:val="21"/>
                      <w:highlight w:val="none"/>
                    </w:rPr>
                  </w:pPr>
                  <w:r>
                    <w:rPr>
                      <w:rFonts w:hint="eastAsia" w:ascii="仿宋" w:hAnsi="仿宋" w:eastAsia="仿宋" w:cs="仿宋"/>
                      <w:szCs w:val="21"/>
                      <w:highlight w:val="none"/>
                    </w:rPr>
                    <w:t>2.全国认证认可信息公共服务平台（http://cx.cnca.cn）认证信息查询截图（截图需显示证书状态为有效），未按要求提供或提供不清晰导致专家无法判断的，不得分。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397" w:type="pct"/>
                  <w:vMerge w:val="continue"/>
                  <w:tcBorders>
                    <w:left w:val="single" w:color="000000" w:sz="8" w:space="0"/>
                    <w:right w:val="single" w:color="000000" w:sz="8" w:space="0"/>
                  </w:tcBorders>
                  <w:vAlign w:val="center"/>
                </w:tcPr>
                <w:p>
                  <w:pPr>
                    <w:keepNext w:val="0"/>
                    <w:keepLines w:val="0"/>
                    <w:widowControl/>
                    <w:suppressLineNumbers w:val="0"/>
                    <w:shd w:val="clear"/>
                    <w:spacing w:before="0" w:beforeAutospacing="0" w:after="0" w:afterAutospacing="0"/>
                    <w:ind w:left="0" w:right="0"/>
                    <w:rPr>
                      <w:rFonts w:hint="eastAsia" w:ascii="仿宋" w:hAnsi="仿宋" w:eastAsia="仿宋" w:cs="仿宋"/>
                      <w:b/>
                      <w:bCs/>
                      <w:color w:val="0000FF"/>
                      <w:szCs w:val="21"/>
                      <w:highlight w:val="none"/>
                    </w:rPr>
                  </w:pPr>
                </w:p>
              </w:tc>
              <w:tc>
                <w:tcPr>
                  <w:tcW w:w="349"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hd w:val="clear"/>
                    <w:wordWrap w:val="0"/>
                    <w:spacing w:before="0" w:beforeAutospacing="0" w:after="0" w:afterAutospacing="0"/>
                    <w:ind w:left="0" w:right="0"/>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3</w:t>
                  </w:r>
                </w:p>
              </w:tc>
              <w:tc>
                <w:tcPr>
                  <w:tcW w:w="130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szCs w:val="21"/>
                      <w:highlight w:val="none"/>
                      <w:lang w:val="zh-CN"/>
                    </w:rPr>
                  </w:pPr>
                  <w:r>
                    <w:rPr>
                      <w:rFonts w:hint="eastAsia" w:ascii="仿宋" w:hAnsi="仿宋" w:eastAsia="仿宋" w:cs="仿宋"/>
                      <w:szCs w:val="21"/>
                      <w:highlight w:val="none"/>
                      <w:lang w:val="zh-CN"/>
                    </w:rPr>
                    <w:t>投标人服务能力</w:t>
                  </w:r>
                </w:p>
              </w:tc>
              <w:tc>
                <w:tcPr>
                  <w:tcW w:w="46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w:t>
                  </w:r>
                </w:p>
              </w:tc>
              <w:tc>
                <w:tcPr>
                  <w:tcW w:w="248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hd w:val="clear"/>
                    <w:spacing w:before="0" w:beforeAutospacing="0" w:after="0" w:afterAutospacing="0"/>
                    <w:ind w:left="0" w:right="0"/>
                    <w:rPr>
                      <w:rFonts w:hint="eastAsia" w:ascii="仿宋" w:hAnsi="仿宋" w:eastAsia="仿宋" w:cs="仿宋"/>
                      <w:b/>
                      <w:bCs/>
                      <w:szCs w:val="21"/>
                      <w:highlight w:val="none"/>
                    </w:rPr>
                  </w:pPr>
                  <w:r>
                    <w:rPr>
                      <w:rFonts w:hint="eastAsia" w:ascii="仿宋" w:hAnsi="仿宋" w:eastAsia="仿宋" w:cs="仿宋"/>
                      <w:b/>
                      <w:bCs/>
                      <w:szCs w:val="21"/>
                      <w:highlight w:val="none"/>
                    </w:rPr>
                    <w:t>（一）评分内容：</w:t>
                  </w:r>
                </w:p>
                <w:p>
                  <w:pPr>
                    <w:keepNext w:val="0"/>
                    <w:keepLines w:val="0"/>
                    <w:widowControl/>
                    <w:suppressLineNumbers w:val="0"/>
                    <w:shd w:val="clear"/>
                    <w:spacing w:before="0" w:beforeAutospacing="0" w:after="0" w:afterAutospacing="0"/>
                    <w:ind w:left="0" w:right="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en-US" w:eastAsia="zh-CN" w:bidi="ar"/>
                    </w:rPr>
                    <w:t>投标人对本项目拟投入的医用气体专用运输槽车、专职医用驾驶员及押运员能力：</w:t>
                  </w:r>
                </w:p>
                <w:p>
                  <w:pPr>
                    <w:keepNext w:val="0"/>
                    <w:keepLines w:val="0"/>
                    <w:widowControl/>
                    <w:suppressLineNumbers w:val="0"/>
                    <w:shd w:val="clear"/>
                    <w:spacing w:before="0" w:beforeAutospacing="0" w:after="0" w:afterAutospacing="0"/>
                    <w:ind w:left="0" w:right="0"/>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提供医用气体专用运输槽车，每提供一辆得</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分，最高</w:t>
                  </w:r>
                  <w:r>
                    <w:rPr>
                      <w:rFonts w:hint="eastAsia" w:ascii="仿宋" w:hAnsi="仿宋" w:eastAsia="仿宋" w:cs="仿宋"/>
                      <w:szCs w:val="21"/>
                      <w:highlight w:val="none"/>
                      <w:lang w:val="en-US" w:eastAsia="zh-CN"/>
                    </w:rPr>
                    <w:t>得2</w:t>
                  </w:r>
                  <w:r>
                    <w:rPr>
                      <w:rFonts w:hint="eastAsia" w:ascii="仿宋" w:hAnsi="仿宋" w:eastAsia="仿宋" w:cs="仿宋"/>
                      <w:szCs w:val="21"/>
                      <w:highlight w:val="none"/>
                    </w:rPr>
                    <w:t>分</w:t>
                  </w:r>
                  <w:r>
                    <w:rPr>
                      <w:rFonts w:hint="eastAsia" w:ascii="仿宋" w:hAnsi="仿宋" w:eastAsia="仿宋" w:cs="仿宋"/>
                      <w:szCs w:val="21"/>
                      <w:highlight w:val="none"/>
                      <w:lang w:eastAsia="zh-CN"/>
                    </w:rPr>
                    <w:t>；</w:t>
                  </w:r>
                </w:p>
                <w:p>
                  <w:pPr>
                    <w:keepNext w:val="0"/>
                    <w:keepLines w:val="0"/>
                    <w:widowControl/>
                    <w:suppressLineNumbers w:val="0"/>
                    <w:shd w:val="clear"/>
                    <w:spacing w:before="0" w:beforeAutospacing="0" w:after="0" w:afterAutospacing="0"/>
                    <w:ind w:left="0" w:right="0"/>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2.每一辆医用气体专用运输槽车至少提供2人（至少1名专职医用驾驶员及1名押运员）得1分，最高得2分；</w:t>
                  </w:r>
                </w:p>
                <w:p>
                  <w:pPr>
                    <w:keepNext w:val="0"/>
                    <w:keepLines w:val="0"/>
                    <w:widowControl/>
                    <w:suppressLineNumbers w:val="0"/>
                    <w:shd w:val="clear"/>
                    <w:spacing w:before="0" w:beforeAutospacing="0" w:after="0" w:afterAutospacing="0"/>
                    <w:ind w:left="0" w:right="0"/>
                    <w:rPr>
                      <w:rFonts w:hint="eastAsia" w:ascii="仿宋" w:hAnsi="仿宋" w:eastAsia="仿宋" w:cs="仿宋"/>
                      <w:b/>
                      <w:bCs/>
                      <w:szCs w:val="21"/>
                      <w:highlight w:val="none"/>
                    </w:rPr>
                  </w:pPr>
                  <w:r>
                    <w:rPr>
                      <w:rFonts w:hint="eastAsia" w:ascii="仿宋" w:hAnsi="仿宋" w:eastAsia="仿宋" w:cs="仿宋"/>
                      <w:b/>
                      <w:bCs/>
                      <w:szCs w:val="21"/>
                      <w:highlight w:val="none"/>
                    </w:rPr>
                    <w:t>（二）评分依据：</w:t>
                  </w:r>
                </w:p>
                <w:p>
                  <w:pPr>
                    <w:pStyle w:val="8"/>
                    <w:keepNext w:val="0"/>
                    <w:keepLines w:val="0"/>
                    <w:widowControl/>
                    <w:suppressLineNumbers w:val="0"/>
                    <w:shd w:val="clear"/>
                    <w:spacing w:before="0" w:beforeAutospacing="0" w:after="0" w:afterAutospacing="0"/>
                    <w:ind w:left="0" w:right="0"/>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1.提供</w:t>
                  </w:r>
                  <w:r>
                    <w:rPr>
                      <w:rFonts w:hint="eastAsia" w:ascii="仿宋" w:hAnsi="仿宋" w:eastAsia="仿宋" w:cs="仿宋"/>
                      <w:kern w:val="0"/>
                      <w:sz w:val="24"/>
                      <w:szCs w:val="24"/>
                      <w:highlight w:val="none"/>
                      <w:lang w:val="en-US" w:eastAsia="zh-CN" w:bidi="ar"/>
                    </w:rPr>
                    <w:t>医用气体专用运输槽车及配备人员明细清单。</w:t>
                  </w:r>
                </w:p>
                <w:p>
                  <w:pPr>
                    <w:pStyle w:val="8"/>
                    <w:keepNext w:val="0"/>
                    <w:keepLines w:val="0"/>
                    <w:widowControl/>
                    <w:suppressLineNumbers w:val="0"/>
                    <w:shd w:val="clear"/>
                    <w:spacing w:before="0" w:beforeAutospacing="0" w:after="0" w:afterAutospacing="0"/>
                    <w:ind w:left="0" w:right="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2.提供运输车辆的中华人民共和国道路运输证及车辆行驶证复印件；若</w:t>
                  </w:r>
                  <w:r>
                    <w:rPr>
                      <w:rFonts w:hint="eastAsia" w:ascii="仿宋" w:hAnsi="仿宋" w:eastAsia="仿宋" w:cs="仿宋"/>
                      <w:szCs w:val="21"/>
                      <w:highlight w:val="none"/>
                    </w:rPr>
                    <w:t>是自有车辆，需提供车辆购买合同或发</w:t>
                  </w:r>
                  <w:r>
                    <w:rPr>
                      <w:rFonts w:hint="eastAsia" w:ascii="仿宋" w:hAnsi="仿宋" w:eastAsia="仿宋" w:cs="仿宋"/>
                      <w:szCs w:val="21"/>
                      <w:highlight w:val="none"/>
                      <w:lang w:val="en-US" w:eastAsia="zh-CN"/>
                    </w:rPr>
                    <w:t>票复印件；若</w:t>
                  </w:r>
                  <w:r>
                    <w:rPr>
                      <w:rFonts w:hint="eastAsia" w:ascii="仿宋" w:hAnsi="仿宋" w:eastAsia="仿宋" w:cs="仿宋"/>
                      <w:szCs w:val="21"/>
                      <w:highlight w:val="none"/>
                    </w:rPr>
                    <w:t>是租赁车辆的，</w:t>
                  </w:r>
                  <w:r>
                    <w:rPr>
                      <w:rFonts w:hint="eastAsia" w:ascii="仿宋" w:hAnsi="仿宋" w:eastAsia="仿宋" w:cs="仿宋"/>
                      <w:szCs w:val="21"/>
                      <w:highlight w:val="none"/>
                      <w:lang w:val="en-US" w:eastAsia="zh-CN"/>
                    </w:rPr>
                    <w:t>需</w:t>
                  </w:r>
                  <w:r>
                    <w:rPr>
                      <w:rFonts w:hint="eastAsia" w:ascii="仿宋" w:hAnsi="仿宋" w:eastAsia="仿宋" w:cs="仿宋"/>
                      <w:szCs w:val="21"/>
                      <w:highlight w:val="none"/>
                    </w:rPr>
                    <w:t>提供车辆的租赁合同</w:t>
                  </w:r>
                  <w:r>
                    <w:rPr>
                      <w:rFonts w:hint="eastAsia" w:ascii="仿宋" w:hAnsi="仿宋" w:eastAsia="仿宋" w:cs="仿宋"/>
                      <w:szCs w:val="21"/>
                      <w:highlight w:val="none"/>
                      <w:lang w:val="en-US" w:eastAsia="zh-CN"/>
                    </w:rPr>
                    <w:t>(有效期内)复印件。</w:t>
                  </w:r>
                </w:p>
                <w:p>
                  <w:pPr>
                    <w:pStyle w:val="8"/>
                    <w:keepNext w:val="0"/>
                    <w:keepLines w:val="0"/>
                    <w:widowControl/>
                    <w:suppressLineNumbers w:val="0"/>
                    <w:shd w:val="clear"/>
                    <w:spacing w:before="0" w:beforeAutospacing="0" w:after="0" w:afterAutospacing="0"/>
                    <w:ind w:left="0" w:right="0"/>
                    <w:rPr>
                      <w:rFonts w:hint="default"/>
                      <w:highlight w:val="none"/>
                      <w:lang w:val="en-US"/>
                    </w:rPr>
                  </w:pPr>
                  <w:r>
                    <w:rPr>
                      <w:rFonts w:hint="eastAsia" w:ascii="仿宋" w:hAnsi="仿宋" w:eastAsia="仿宋" w:cs="仿宋"/>
                      <w:szCs w:val="21"/>
                      <w:highlight w:val="none"/>
                      <w:lang w:val="en-US" w:eastAsia="zh-CN"/>
                    </w:rPr>
                    <w:t>3.驾驶员提供驾驶证、中华人民共和国道路运输从业人员从业资格证（从业资格类别包含道路危险货物运输驾驶员）；押运员提供中华人民共和国道路运输从业人员从业资格证（从业资格类别包含道路危险货物运输押运人员）扫描件，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051" w:hRule="atLeast"/>
                <w:jc w:val="center"/>
              </w:trPr>
              <w:tc>
                <w:tcPr>
                  <w:tcW w:w="397" w:type="pct"/>
                  <w:vMerge w:val="continue"/>
                  <w:tcBorders>
                    <w:left w:val="single" w:color="000000" w:sz="8" w:space="0"/>
                    <w:right w:val="single" w:color="000000" w:sz="8" w:space="0"/>
                  </w:tcBorders>
                  <w:vAlign w:val="center"/>
                </w:tcPr>
                <w:p>
                  <w:pPr>
                    <w:keepNext w:val="0"/>
                    <w:keepLines w:val="0"/>
                    <w:widowControl/>
                    <w:suppressLineNumbers w:val="0"/>
                    <w:shd w:val="clear"/>
                    <w:spacing w:before="0" w:beforeAutospacing="0" w:after="0" w:afterAutospacing="0"/>
                    <w:ind w:left="0" w:right="0"/>
                    <w:rPr>
                      <w:rFonts w:hint="eastAsia" w:ascii="仿宋" w:hAnsi="仿宋" w:eastAsia="仿宋" w:cs="仿宋"/>
                      <w:b/>
                      <w:bCs/>
                      <w:color w:val="0000FF"/>
                      <w:szCs w:val="21"/>
                      <w:highlight w:val="none"/>
                    </w:rPr>
                  </w:pPr>
                </w:p>
              </w:tc>
              <w:tc>
                <w:tcPr>
                  <w:tcW w:w="349"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hd w:val="clear"/>
                    <w:wordWrap w:val="0"/>
                    <w:spacing w:before="0" w:beforeAutospacing="0" w:after="0" w:afterAutospacing="0"/>
                    <w:ind w:left="0" w:right="0"/>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4</w:t>
                  </w:r>
                </w:p>
              </w:tc>
              <w:tc>
                <w:tcPr>
                  <w:tcW w:w="130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szCs w:val="21"/>
                      <w:highlight w:val="none"/>
                      <w:lang w:val="zh-CN"/>
                    </w:rPr>
                  </w:pPr>
                  <w:r>
                    <w:rPr>
                      <w:rFonts w:hint="eastAsia" w:ascii="仿宋" w:hAnsi="仿宋" w:eastAsia="仿宋" w:cs="仿宋"/>
                      <w:szCs w:val="21"/>
                      <w:highlight w:val="none"/>
                      <w:lang w:val="zh-CN"/>
                    </w:rPr>
                    <w:t>运输响应能力</w:t>
                  </w:r>
                </w:p>
              </w:tc>
              <w:tc>
                <w:tcPr>
                  <w:tcW w:w="46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w:t>
                  </w:r>
                </w:p>
              </w:tc>
              <w:tc>
                <w:tcPr>
                  <w:tcW w:w="2482"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hd w:val="clear"/>
                    <w:spacing w:before="0" w:beforeAutospacing="0" w:after="0" w:afterAutospacing="0"/>
                    <w:ind w:left="0" w:right="0"/>
                    <w:rPr>
                      <w:rFonts w:hint="eastAsia" w:ascii="仿宋" w:hAnsi="仿宋" w:eastAsia="仿宋" w:cs="仿宋"/>
                      <w:szCs w:val="21"/>
                      <w:highlight w:val="none"/>
                    </w:rPr>
                  </w:pPr>
                  <w:r>
                    <w:rPr>
                      <w:rFonts w:hint="eastAsia" w:ascii="仿宋" w:hAnsi="仿宋" w:eastAsia="仿宋" w:cs="仿宋"/>
                      <w:b/>
                      <w:bCs/>
                      <w:szCs w:val="21"/>
                      <w:highlight w:val="none"/>
                    </w:rPr>
                    <w:t>（一）评分内容：</w:t>
                  </w:r>
                  <w:r>
                    <w:rPr>
                      <w:rFonts w:hint="eastAsia" w:ascii="仿宋" w:hAnsi="仿宋" w:eastAsia="仿宋" w:cs="仿宋"/>
                      <w:szCs w:val="21"/>
                      <w:highlight w:val="none"/>
                    </w:rPr>
                    <w:t xml:space="preserve"> </w:t>
                  </w:r>
                </w:p>
                <w:p>
                  <w:pPr>
                    <w:keepNext w:val="0"/>
                    <w:keepLines w:val="0"/>
                    <w:widowControl/>
                    <w:suppressLineNumbers w:val="0"/>
                    <w:shd w:val="clear"/>
                    <w:spacing w:before="0" w:beforeAutospacing="0" w:after="0" w:afterAutospacing="0"/>
                    <w:ind w:left="0" w:right="0"/>
                    <w:rPr>
                      <w:rFonts w:hint="eastAsia" w:ascii="仿宋" w:hAnsi="仿宋" w:eastAsia="仿宋" w:cs="仿宋"/>
                      <w:szCs w:val="21"/>
                      <w:highlight w:val="none"/>
                    </w:rPr>
                  </w:pPr>
                  <w:r>
                    <w:rPr>
                      <w:rFonts w:hint="eastAsia" w:ascii="仿宋" w:hAnsi="仿宋" w:eastAsia="仿宋" w:cs="仿宋"/>
                      <w:szCs w:val="21"/>
                      <w:highlight w:val="none"/>
                    </w:rPr>
                    <w:t>为满足对采购方的使用服务效率，对投标人的运输能力响应进行评审：</w:t>
                  </w:r>
                </w:p>
                <w:p>
                  <w:pPr>
                    <w:keepNext w:val="0"/>
                    <w:keepLines w:val="0"/>
                    <w:widowControl/>
                    <w:suppressLineNumbers w:val="0"/>
                    <w:shd w:val="clear"/>
                    <w:spacing w:before="0" w:beforeAutospacing="0" w:after="0" w:afterAutospacing="0"/>
                    <w:ind w:left="0" w:right="0"/>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eastAsia="zh-CN"/>
                    </w:rPr>
                    <w:t>.</w:t>
                  </w:r>
                  <w:r>
                    <w:rPr>
                      <w:rFonts w:hint="eastAsia" w:ascii="仿宋" w:hAnsi="仿宋" w:eastAsia="仿宋" w:cs="仿宋"/>
                      <w:szCs w:val="21"/>
                      <w:highlight w:val="none"/>
                    </w:rPr>
                    <w:t>接到采购人通知在指定日期的12小时</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含</w:t>
                  </w:r>
                  <w:r>
                    <w:rPr>
                      <w:rFonts w:hint="eastAsia" w:ascii="仿宋" w:hAnsi="仿宋" w:eastAsia="仿宋" w:cs="仿宋"/>
                      <w:szCs w:val="21"/>
                      <w:highlight w:val="none"/>
                      <w:lang w:eastAsia="zh-CN"/>
                    </w:rPr>
                    <w:t>）</w:t>
                  </w:r>
                  <w:r>
                    <w:rPr>
                      <w:rFonts w:hint="eastAsia" w:ascii="仿宋" w:hAnsi="仿宋" w:eastAsia="仿宋" w:cs="仿宋"/>
                      <w:szCs w:val="21"/>
                      <w:highlight w:val="none"/>
                    </w:rPr>
                    <w:t>内送货，得3分；</w:t>
                  </w:r>
                </w:p>
                <w:p>
                  <w:pPr>
                    <w:keepNext w:val="0"/>
                    <w:keepLines w:val="0"/>
                    <w:widowControl/>
                    <w:suppressLineNumbers w:val="0"/>
                    <w:shd w:val="clear"/>
                    <w:spacing w:before="0" w:beforeAutospacing="0" w:after="0" w:afterAutospacing="0"/>
                    <w:ind w:left="0" w:right="0"/>
                    <w:rPr>
                      <w:rFonts w:hint="eastAsia"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szCs w:val="21"/>
                      <w:highlight w:val="none"/>
                      <w:lang w:eastAsia="zh-CN"/>
                    </w:rPr>
                    <w:t>.</w:t>
                  </w:r>
                  <w:r>
                    <w:rPr>
                      <w:rFonts w:hint="eastAsia" w:ascii="仿宋" w:hAnsi="仿宋" w:eastAsia="仿宋" w:cs="仿宋"/>
                      <w:szCs w:val="21"/>
                      <w:highlight w:val="none"/>
                    </w:rPr>
                    <w:t>接到采购人通知在指定日期的12</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不含</w:t>
                  </w:r>
                  <w:r>
                    <w:rPr>
                      <w:rFonts w:hint="eastAsia" w:ascii="仿宋" w:hAnsi="仿宋" w:eastAsia="仿宋" w:cs="仿宋"/>
                      <w:szCs w:val="21"/>
                      <w:highlight w:val="none"/>
                      <w:lang w:eastAsia="zh-CN"/>
                    </w:rPr>
                    <w:t>）</w:t>
                  </w:r>
                  <w:r>
                    <w:rPr>
                      <w:rFonts w:hint="eastAsia" w:ascii="仿宋" w:hAnsi="仿宋" w:eastAsia="仿宋" w:cs="仿宋"/>
                      <w:szCs w:val="21"/>
                      <w:highlight w:val="none"/>
                    </w:rPr>
                    <w:t>-24小时</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含</w:t>
                  </w:r>
                  <w:r>
                    <w:rPr>
                      <w:rFonts w:hint="eastAsia" w:ascii="仿宋" w:hAnsi="仿宋" w:eastAsia="仿宋" w:cs="仿宋"/>
                      <w:szCs w:val="21"/>
                      <w:highlight w:val="none"/>
                      <w:lang w:eastAsia="zh-CN"/>
                    </w:rPr>
                    <w:t>）</w:t>
                  </w:r>
                  <w:r>
                    <w:rPr>
                      <w:rFonts w:hint="eastAsia" w:ascii="仿宋" w:hAnsi="仿宋" w:eastAsia="仿宋" w:cs="仿宋"/>
                      <w:szCs w:val="21"/>
                      <w:highlight w:val="none"/>
                    </w:rPr>
                    <w:t>内送货，得2分；</w:t>
                  </w:r>
                </w:p>
                <w:p>
                  <w:pPr>
                    <w:keepNext w:val="0"/>
                    <w:keepLines w:val="0"/>
                    <w:widowControl/>
                    <w:suppressLineNumbers w:val="0"/>
                    <w:shd w:val="clear"/>
                    <w:spacing w:before="0" w:beforeAutospacing="0" w:after="0" w:afterAutospacing="0"/>
                    <w:ind w:left="0" w:right="0"/>
                    <w:rPr>
                      <w:rFonts w:hint="eastAsia" w:ascii="仿宋" w:hAnsi="仿宋" w:eastAsia="仿宋" w:cs="仿宋"/>
                      <w:szCs w:val="21"/>
                      <w:highlight w:val="none"/>
                      <w:lang w:val="en-US" w:eastAsia="zh-CN"/>
                    </w:rPr>
                  </w:pPr>
                  <w:r>
                    <w:rPr>
                      <w:rFonts w:hint="eastAsia" w:ascii="仿宋" w:hAnsi="仿宋" w:eastAsia="仿宋" w:cs="仿宋"/>
                      <w:szCs w:val="21"/>
                      <w:highlight w:val="none"/>
                    </w:rPr>
                    <w:t>3</w:t>
                  </w:r>
                  <w:r>
                    <w:rPr>
                      <w:rFonts w:hint="eastAsia" w:ascii="仿宋" w:hAnsi="仿宋" w:eastAsia="仿宋" w:cs="仿宋"/>
                      <w:szCs w:val="21"/>
                      <w:highlight w:val="none"/>
                      <w:lang w:eastAsia="zh-CN"/>
                    </w:rPr>
                    <w:t>.</w:t>
                  </w:r>
                  <w:r>
                    <w:rPr>
                      <w:rFonts w:hint="eastAsia" w:ascii="仿宋" w:hAnsi="仿宋" w:eastAsia="仿宋" w:cs="仿宋"/>
                      <w:szCs w:val="21"/>
                      <w:highlight w:val="none"/>
                    </w:rPr>
                    <w:t>接到采购人通知在指定日期的24小时</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不含</w:t>
                  </w:r>
                  <w:r>
                    <w:rPr>
                      <w:rFonts w:hint="eastAsia" w:ascii="仿宋" w:hAnsi="仿宋" w:eastAsia="仿宋" w:cs="仿宋"/>
                      <w:szCs w:val="21"/>
                      <w:highlight w:val="none"/>
                      <w:lang w:eastAsia="zh-CN"/>
                    </w:rPr>
                    <w:t>）</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72</w:t>
                  </w:r>
                  <w:r>
                    <w:rPr>
                      <w:rFonts w:hint="eastAsia" w:ascii="仿宋" w:hAnsi="仿宋" w:eastAsia="仿宋" w:cs="仿宋"/>
                      <w:szCs w:val="21"/>
                      <w:highlight w:val="none"/>
                    </w:rPr>
                    <w:t>小时</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含</w:t>
                  </w:r>
                  <w:r>
                    <w:rPr>
                      <w:rFonts w:hint="eastAsia" w:ascii="仿宋" w:hAnsi="仿宋" w:eastAsia="仿宋" w:cs="仿宋"/>
                      <w:szCs w:val="21"/>
                      <w:highlight w:val="none"/>
                      <w:lang w:eastAsia="zh-CN"/>
                    </w:rPr>
                    <w:t>）</w:t>
                  </w:r>
                  <w:r>
                    <w:rPr>
                      <w:rFonts w:hint="eastAsia" w:ascii="仿宋" w:hAnsi="仿宋" w:eastAsia="仿宋" w:cs="仿宋"/>
                      <w:szCs w:val="21"/>
                      <w:highlight w:val="none"/>
                    </w:rPr>
                    <w:t>送货，得1分</w:t>
                  </w:r>
                  <w:r>
                    <w:rPr>
                      <w:rFonts w:hint="eastAsia" w:ascii="仿宋" w:hAnsi="仿宋" w:eastAsia="仿宋" w:cs="仿宋"/>
                      <w:szCs w:val="21"/>
                      <w:highlight w:val="none"/>
                      <w:lang w:eastAsia="zh-CN"/>
                    </w:rPr>
                    <w:t>。</w:t>
                  </w:r>
                </w:p>
                <w:p>
                  <w:pPr>
                    <w:keepNext w:val="0"/>
                    <w:keepLines w:val="0"/>
                    <w:widowControl/>
                    <w:suppressLineNumbers w:val="0"/>
                    <w:shd w:val="clear"/>
                    <w:spacing w:before="0" w:beforeAutospacing="0" w:after="0" w:afterAutospacing="0"/>
                    <w:ind w:left="0" w:right="0"/>
                    <w:rPr>
                      <w:rFonts w:hint="eastAsia" w:ascii="仿宋" w:hAnsi="仿宋" w:eastAsia="仿宋" w:cs="仿宋"/>
                      <w:b/>
                      <w:bCs/>
                      <w:szCs w:val="21"/>
                      <w:highlight w:val="none"/>
                    </w:rPr>
                  </w:pPr>
                  <w:r>
                    <w:rPr>
                      <w:rFonts w:hint="eastAsia" w:ascii="仿宋" w:hAnsi="仿宋" w:eastAsia="仿宋" w:cs="仿宋"/>
                      <w:b/>
                      <w:bCs/>
                      <w:szCs w:val="21"/>
                      <w:highlight w:val="none"/>
                    </w:rPr>
                    <w:t>（二）评分依据：</w:t>
                  </w:r>
                </w:p>
                <w:p>
                  <w:pPr>
                    <w:keepNext w:val="0"/>
                    <w:keepLines w:val="0"/>
                    <w:widowControl/>
                    <w:suppressLineNumbers w:val="0"/>
                    <w:shd w:val="clear"/>
                    <w:spacing w:before="0" w:beforeAutospacing="0" w:after="0" w:afterAutospacing="0"/>
                    <w:ind w:left="0" w:right="0"/>
                    <w:rPr>
                      <w:rFonts w:hint="eastAsia" w:ascii="仿宋" w:hAnsi="仿宋" w:eastAsia="仿宋" w:cs="仿宋"/>
                      <w:sz w:val="21"/>
                      <w:szCs w:val="21"/>
                      <w:highlight w:val="none"/>
                    </w:rPr>
                  </w:pPr>
                  <w:r>
                    <w:rPr>
                      <w:rFonts w:hint="eastAsia" w:ascii="仿宋" w:hAnsi="仿宋" w:eastAsia="仿宋" w:cs="仿宋"/>
                      <w:szCs w:val="21"/>
                      <w:highlight w:val="none"/>
                    </w:rPr>
                    <w:t>投标人根据企业的服务响应能力，进行响应，提供说明承诺函（格式自拟，加盖投标人公章），未提供不得分。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397" w:type="pct"/>
                  <w:vMerge w:val="continue"/>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hd w:val="clear"/>
                    <w:spacing w:before="0" w:beforeAutospacing="0" w:after="0" w:afterAutospacing="0"/>
                    <w:ind w:left="0" w:right="0"/>
                    <w:rPr>
                      <w:rFonts w:hint="eastAsia" w:ascii="仿宋" w:hAnsi="仿宋" w:eastAsia="仿宋" w:cs="仿宋"/>
                      <w:b/>
                      <w:bCs/>
                      <w:color w:val="0000FF"/>
                      <w:szCs w:val="21"/>
                      <w:highlight w:val="none"/>
                    </w:rPr>
                  </w:pPr>
                </w:p>
              </w:tc>
              <w:tc>
                <w:tcPr>
                  <w:tcW w:w="349"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hd w:val="clear"/>
                    <w:wordWrap w:val="0"/>
                    <w:spacing w:before="0" w:beforeAutospacing="0" w:after="0" w:afterAutospacing="0"/>
                    <w:ind w:left="0" w:right="0"/>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5</w:t>
                  </w:r>
                </w:p>
              </w:tc>
              <w:tc>
                <w:tcPr>
                  <w:tcW w:w="1305"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hd w:val="clear"/>
                    <w:wordWrap w:val="0"/>
                    <w:spacing w:before="0" w:beforeAutospacing="0" w:after="0" w:afterAutospacing="0"/>
                    <w:ind w:left="0" w:right="0"/>
                    <w:jc w:val="center"/>
                    <w:textAlignment w:val="top"/>
                    <w:rPr>
                      <w:rFonts w:hint="eastAsia" w:ascii="仿宋" w:hAnsi="仿宋" w:eastAsia="仿宋" w:cs="仿宋"/>
                      <w:szCs w:val="21"/>
                      <w:highlight w:val="none"/>
                    </w:rPr>
                  </w:pPr>
                  <w:r>
                    <w:rPr>
                      <w:rFonts w:hint="eastAsia" w:ascii="仿宋" w:hAnsi="仿宋" w:eastAsia="仿宋" w:cs="仿宋"/>
                      <w:szCs w:val="21"/>
                      <w:highlight w:val="none"/>
                    </w:rPr>
                    <w:t>诚信情况</w:t>
                  </w:r>
                </w:p>
              </w:tc>
              <w:tc>
                <w:tcPr>
                  <w:tcW w:w="464" w:type="pct"/>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hd w:val="clear"/>
                    <w:wordWrap w:val="0"/>
                    <w:spacing w:before="0" w:beforeAutospacing="0" w:after="0" w:afterAutospacing="0"/>
                    <w:ind w:left="0" w:right="0"/>
                    <w:jc w:val="center"/>
                    <w:textAlignment w:val="top"/>
                    <w:rPr>
                      <w:rFonts w:hint="eastAsia" w:ascii="仿宋" w:hAnsi="仿宋" w:eastAsia="仿宋" w:cs="仿宋"/>
                      <w:szCs w:val="21"/>
                      <w:highlight w:val="none"/>
                    </w:rPr>
                  </w:pPr>
                  <w:r>
                    <w:rPr>
                      <w:rFonts w:hint="eastAsia" w:ascii="仿宋" w:hAnsi="仿宋" w:eastAsia="仿宋" w:cs="仿宋"/>
                      <w:szCs w:val="21"/>
                      <w:highlight w:val="none"/>
                    </w:rPr>
                    <w:t>5</w:t>
                  </w:r>
                </w:p>
              </w:tc>
              <w:tc>
                <w:tcPr>
                  <w:tcW w:w="2482" w:type="pct"/>
                  <w:tcBorders>
                    <w:top w:val="single" w:color="000000" w:sz="8" w:space="0"/>
                    <w:left w:val="single" w:color="000000" w:sz="8" w:space="0"/>
                    <w:bottom w:val="single" w:color="000000" w:sz="8" w:space="0"/>
                    <w:right w:val="single" w:color="000000" w:sz="8" w:space="0"/>
                  </w:tcBorders>
                </w:tcPr>
                <w:p>
                  <w:pPr>
                    <w:keepNext w:val="0"/>
                    <w:keepLines w:val="0"/>
                    <w:widowControl/>
                    <w:suppressLineNumbers w:val="0"/>
                    <w:shd w:val="clear"/>
                    <w:wordWrap w:val="0"/>
                    <w:spacing w:before="0" w:beforeAutospacing="0" w:after="0" w:afterAutospacing="0"/>
                    <w:ind w:left="0" w:right="0"/>
                    <w:jc w:val="left"/>
                    <w:textAlignment w:val="top"/>
                    <w:rPr>
                      <w:rFonts w:hint="eastAsia" w:ascii="仿宋" w:hAnsi="仿宋" w:eastAsia="仿宋" w:cs="仿宋"/>
                      <w:b/>
                      <w:bCs/>
                      <w:szCs w:val="21"/>
                      <w:highlight w:val="none"/>
                    </w:rPr>
                  </w:pPr>
                  <w:r>
                    <w:rPr>
                      <w:rFonts w:hint="eastAsia" w:ascii="仿宋" w:hAnsi="仿宋" w:eastAsia="仿宋" w:cs="仿宋"/>
                      <w:b/>
                      <w:bCs/>
                      <w:szCs w:val="21"/>
                      <w:highlight w:val="none"/>
                    </w:rPr>
                    <w:t>（一）评分内容：</w:t>
                  </w:r>
                </w:p>
                <w:p>
                  <w:pPr>
                    <w:keepNext w:val="0"/>
                    <w:keepLines w:val="0"/>
                    <w:widowControl/>
                    <w:suppressLineNumbers w:val="0"/>
                    <w:shd w:val="clear"/>
                    <w:wordWrap w:val="0"/>
                    <w:spacing w:before="0" w:beforeAutospacing="0" w:after="0" w:afterAutospacing="0"/>
                    <w:ind w:left="0" w:right="0"/>
                    <w:jc w:val="left"/>
                    <w:textAlignment w:val="top"/>
                    <w:rPr>
                      <w:rFonts w:hint="eastAsia" w:ascii="仿宋" w:hAnsi="仿宋" w:eastAsia="仿宋" w:cs="仿宋"/>
                      <w:szCs w:val="21"/>
                      <w:highlight w:val="none"/>
                    </w:rPr>
                  </w:pPr>
                  <w:r>
                    <w:rPr>
                      <w:rFonts w:hint="eastAsia" w:ascii="仿宋" w:hAnsi="仿宋" w:eastAsia="仿宋" w:cs="仿宋"/>
                      <w:szCs w:val="21"/>
                      <w:highlight w:val="none"/>
                    </w:rPr>
                    <w:t>投标人在参与政府采购活动中存在诚信相关问题且在主管部门相关处理措施实施期限内的，本项不得分，否则得满分。</w:t>
                  </w:r>
                </w:p>
                <w:p>
                  <w:pPr>
                    <w:keepNext w:val="0"/>
                    <w:keepLines w:val="0"/>
                    <w:widowControl/>
                    <w:suppressLineNumbers w:val="0"/>
                    <w:shd w:val="clear"/>
                    <w:wordWrap w:val="0"/>
                    <w:spacing w:before="0" w:beforeAutospacing="0" w:after="0" w:afterAutospacing="0"/>
                    <w:ind w:left="0" w:right="0"/>
                    <w:jc w:val="left"/>
                    <w:textAlignment w:val="top"/>
                    <w:rPr>
                      <w:rFonts w:hint="eastAsia" w:ascii="仿宋" w:hAnsi="仿宋" w:eastAsia="仿宋" w:cs="仿宋"/>
                      <w:b/>
                      <w:bCs/>
                      <w:szCs w:val="21"/>
                      <w:highlight w:val="none"/>
                    </w:rPr>
                  </w:pPr>
                  <w:r>
                    <w:rPr>
                      <w:rFonts w:hint="eastAsia" w:ascii="仿宋" w:hAnsi="仿宋" w:eastAsia="仿宋" w:cs="仿宋"/>
                      <w:b/>
                      <w:bCs/>
                      <w:szCs w:val="21"/>
                      <w:highlight w:val="none"/>
                    </w:rPr>
                    <w:t>（二）评分依据：</w:t>
                  </w:r>
                </w:p>
                <w:p>
                  <w:pPr>
                    <w:keepNext w:val="0"/>
                    <w:keepLines w:val="0"/>
                    <w:widowControl/>
                    <w:suppressLineNumbers w:val="0"/>
                    <w:shd w:val="clear"/>
                    <w:wordWrap w:val="0"/>
                    <w:spacing w:before="0" w:beforeAutospacing="0" w:after="0" w:afterAutospacing="0"/>
                    <w:ind w:left="0" w:right="0"/>
                    <w:jc w:val="left"/>
                    <w:textAlignment w:val="top"/>
                    <w:rPr>
                      <w:rFonts w:hint="eastAsia" w:ascii="仿宋" w:hAnsi="仿宋" w:eastAsia="仿宋" w:cs="仿宋"/>
                      <w:szCs w:val="21"/>
                      <w:highlight w:val="none"/>
                    </w:rPr>
                  </w:pPr>
                  <w:r>
                    <w:rPr>
                      <w:rFonts w:hint="eastAsia" w:ascii="仿宋" w:hAnsi="仿宋" w:eastAsia="仿宋" w:cs="仿宋"/>
                      <w:szCs w:val="21"/>
                      <w:highlight w:val="none"/>
                    </w:rPr>
                    <w:t>投标人无需提供任何证明材料，由工作人员向评审委员会提供相关信息。</w:t>
                  </w:r>
                </w:p>
              </w:tc>
            </w:tr>
          </w:tbl>
          <w:p>
            <w:pPr>
              <w:pStyle w:val="17"/>
              <w:keepNext w:val="0"/>
              <w:keepLines w:val="0"/>
              <w:widowControl/>
              <w:suppressLineNumbers w:val="0"/>
              <w:shd w:val="clear"/>
              <w:spacing w:before="0" w:beforeAutospacing="0" w:after="0" w:afterAutospacing="0" w:line="324" w:lineRule="auto"/>
              <w:ind w:left="0" w:right="0"/>
              <w:rPr>
                <w:rFonts w:hint="eastAsia" w:ascii="仿宋" w:hAnsi="仿宋" w:eastAsia="仿宋" w:cs="仿宋"/>
                <w:color w:val="auto"/>
                <w:sz w:val="24"/>
                <w:szCs w:val="24"/>
                <w:highlight w:val="none"/>
              </w:rPr>
            </w:pPr>
          </w:p>
        </w:tc>
      </w:tr>
    </w:tbl>
    <w:p>
      <w:pPr>
        <w:shd w:val="clear"/>
        <w:rPr>
          <w:rFonts w:hint="eastAsia" w:ascii="仿宋" w:hAnsi="仿宋" w:eastAsia="仿宋" w:cs="仿宋"/>
          <w:bCs w:val="0"/>
          <w:color w:val="auto"/>
          <w:kern w:val="0"/>
          <w:sz w:val="28"/>
          <w:szCs w:val="28"/>
          <w:highlight w:val="none"/>
        </w:rPr>
      </w:pPr>
      <w:r>
        <w:rPr>
          <w:rFonts w:hint="eastAsia" w:ascii="仿宋" w:hAnsi="仿宋" w:eastAsia="仿宋" w:cs="仿宋"/>
          <w:bCs w:val="0"/>
          <w:color w:val="auto"/>
          <w:kern w:val="0"/>
          <w:sz w:val="28"/>
          <w:szCs w:val="28"/>
          <w:highlight w:val="none"/>
        </w:rPr>
        <w:br w:type="page"/>
      </w:r>
    </w:p>
    <w:p>
      <w:pPr>
        <w:pStyle w:val="3"/>
        <w:widowControl w:val="0"/>
        <w:shd w:val="clear"/>
        <w:rPr>
          <w:rFonts w:hint="eastAsia" w:ascii="仿宋" w:hAnsi="仿宋" w:eastAsia="仿宋" w:cs="仿宋"/>
          <w:bCs w:val="0"/>
          <w:color w:val="auto"/>
          <w:kern w:val="0"/>
          <w:sz w:val="28"/>
          <w:szCs w:val="28"/>
          <w:highlight w:val="none"/>
        </w:rPr>
      </w:pPr>
      <w:r>
        <w:rPr>
          <w:rFonts w:hint="eastAsia" w:ascii="仿宋" w:hAnsi="仿宋" w:eastAsia="仿宋" w:cs="仿宋"/>
          <w:bCs w:val="0"/>
          <w:color w:val="auto"/>
          <w:kern w:val="0"/>
          <w:sz w:val="28"/>
          <w:szCs w:val="28"/>
          <w:highlight w:val="none"/>
        </w:rPr>
        <w:t>第一章   投标人须知</w:t>
      </w:r>
    </w:p>
    <w:p>
      <w:pPr>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一、招标简介：</w:t>
      </w:r>
    </w:p>
    <w:p>
      <w:pPr>
        <w:widowControl w:val="0"/>
        <w:numPr>
          <w:ilvl w:val="0"/>
          <w:numId w:val="1"/>
        </w:numPr>
        <w:shd w:val="clear"/>
        <w:spacing w:line="360" w:lineRule="auto"/>
        <w:ind w:left="720" w:leftChars="0" w:hanging="36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招标单位：深圳市龙岗中心医院</w:t>
      </w:r>
    </w:p>
    <w:p>
      <w:pPr>
        <w:widowControl w:val="0"/>
        <w:numPr>
          <w:ilvl w:val="0"/>
          <w:numId w:val="1"/>
        </w:numPr>
        <w:shd w:val="clear"/>
        <w:spacing w:line="360" w:lineRule="auto"/>
        <w:ind w:left="720" w:leftChars="0" w:hanging="36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址：深圳市龙岗区龙岗大道6082号</w:t>
      </w:r>
    </w:p>
    <w:p>
      <w:pPr>
        <w:widowControl w:val="0"/>
        <w:numPr>
          <w:ilvl w:val="0"/>
          <w:numId w:val="1"/>
        </w:numPr>
        <w:shd w:val="clear"/>
        <w:spacing w:line="360" w:lineRule="auto"/>
        <w:ind w:left="720" w:leftChars="0" w:hanging="36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资金来源：自筹资金</w:t>
      </w:r>
    </w:p>
    <w:p>
      <w:pPr>
        <w:numPr>
          <w:ilvl w:val="0"/>
          <w:numId w:val="0"/>
        </w:numPr>
        <w:shd w:val="clea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bidi="ar-SA"/>
        </w:rPr>
        <w:t>二、</w:t>
      </w:r>
      <w:r>
        <w:rPr>
          <w:rFonts w:hint="eastAsia" w:ascii="仿宋" w:hAnsi="仿宋" w:eastAsia="仿宋" w:cs="仿宋"/>
          <w:b/>
          <w:color w:val="auto"/>
          <w:sz w:val="24"/>
          <w:szCs w:val="24"/>
          <w:highlight w:val="none"/>
        </w:rPr>
        <w:t>招标范围：</w:t>
      </w:r>
      <w:r>
        <w:rPr>
          <w:rFonts w:hint="eastAsia" w:ascii="仿宋" w:hAnsi="仿宋" w:eastAsia="仿宋" w:cs="仿宋"/>
          <w:color w:val="auto"/>
          <w:sz w:val="24"/>
          <w:szCs w:val="24"/>
          <w:highlight w:val="none"/>
        </w:rPr>
        <w:t>详见第</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章</w:t>
      </w:r>
    </w:p>
    <w:p>
      <w:pPr>
        <w:numPr>
          <w:ilvl w:val="0"/>
          <w:numId w:val="0"/>
        </w:numPr>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三、招标方式：</w:t>
      </w:r>
    </w:p>
    <w:p>
      <w:pPr>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本次采购招标采用龙岗中心医院</w:t>
      </w:r>
      <w:r>
        <w:rPr>
          <w:rFonts w:hint="eastAsia" w:ascii="仿宋" w:hAnsi="仿宋" w:eastAsia="仿宋" w:cs="仿宋"/>
          <w:bCs/>
          <w:color w:val="auto"/>
          <w:sz w:val="24"/>
          <w:szCs w:val="24"/>
          <w:highlight w:val="none"/>
        </w:rPr>
        <w:t>院内公开招标</w:t>
      </w:r>
      <w:r>
        <w:rPr>
          <w:rFonts w:hint="eastAsia" w:ascii="仿宋" w:hAnsi="仿宋" w:eastAsia="仿宋" w:cs="仿宋"/>
          <w:color w:val="auto"/>
          <w:sz w:val="24"/>
          <w:szCs w:val="24"/>
          <w:highlight w:val="none"/>
        </w:rPr>
        <w:t>方式。</w:t>
      </w:r>
    </w:p>
    <w:p>
      <w:pPr>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四、招标机构：</w:t>
      </w:r>
    </w:p>
    <w:p>
      <w:pPr>
        <w:shd w:val="clear"/>
        <w:tabs>
          <w:tab w:val="left" w:pos="360"/>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深圳市龙岗中心医院负责办理本次招标评选事宜。</w:t>
      </w:r>
    </w:p>
    <w:p>
      <w:pPr>
        <w:shd w:val="clea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五、申请人的资格要求：</w:t>
      </w:r>
    </w:p>
    <w:p>
      <w:pPr>
        <w:keepNext w:val="0"/>
        <w:keepLines w:val="0"/>
        <w:pageBreakBefore w:val="0"/>
        <w:widowControl/>
        <w:shd w:val="clear"/>
        <w:kinsoku/>
        <w:wordWrap/>
        <w:overflowPunct/>
        <w:topLinePunct w:val="0"/>
        <w:autoSpaceDE/>
        <w:autoSpaceDN/>
        <w:bidi w:val="0"/>
        <w:adjustRightInd/>
        <w:snapToGrid/>
        <w:spacing w:line="460" w:lineRule="exact"/>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（一）具有独立法人资格或是具有独立承担民事责任能力的其他组织（提供营业执照或事业单位法人证书等证明资料扫描件，原件备查）；</w:t>
      </w:r>
    </w:p>
    <w:p>
      <w:pPr>
        <w:keepNext w:val="0"/>
        <w:keepLines w:val="0"/>
        <w:pageBreakBefore w:val="0"/>
        <w:widowControl/>
        <w:shd w:val="clear"/>
        <w:kinsoku/>
        <w:wordWrap/>
        <w:overflowPunct/>
        <w:topLinePunct w:val="0"/>
        <w:autoSpaceDE/>
        <w:autoSpaceDN/>
        <w:bidi w:val="0"/>
        <w:adjustRightInd/>
        <w:snapToGrid/>
        <w:spacing w:line="460" w:lineRule="exact"/>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（二）本项目不接受联合体投标，不接受投标人选用进口产品参与投标（由供应商作出声明）；</w:t>
      </w:r>
    </w:p>
    <w:p>
      <w:pPr>
        <w:keepNext w:val="0"/>
        <w:keepLines w:val="0"/>
        <w:pageBreakBefore w:val="0"/>
        <w:widowControl/>
        <w:shd w:val="clear"/>
        <w:kinsoku/>
        <w:wordWrap/>
        <w:overflowPunct/>
        <w:topLinePunct w:val="0"/>
        <w:autoSpaceDE/>
        <w:autoSpaceDN/>
        <w:bidi w:val="0"/>
        <w:adjustRightInd/>
        <w:snapToGrid/>
        <w:spacing w:line="460" w:lineRule="exact"/>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（三）参与本项目政府采购活动时不存在被有关部门禁止参与政府采购活动且在有效期内的情况（由供应商在《投标及履约承诺函》中作出声明）；</w:t>
      </w:r>
    </w:p>
    <w:p>
      <w:pPr>
        <w:keepNext w:val="0"/>
        <w:keepLines w:val="0"/>
        <w:pageBreakBefore w:val="0"/>
        <w:widowControl/>
        <w:shd w:val="clear"/>
        <w:kinsoku/>
        <w:wordWrap/>
        <w:overflowPunct/>
        <w:topLinePunct w:val="0"/>
        <w:autoSpaceDE/>
        <w:autoSpaceDN/>
        <w:bidi w:val="0"/>
        <w:adjustRightInd/>
        <w:snapToGrid/>
        <w:spacing w:line="460" w:lineRule="exact"/>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（四）与其他投标供应商不存在单位负责人为同一人或者存在直接控股、管理关系（由供应商在《投标及履约承诺函》中作出声明）；</w:t>
      </w:r>
    </w:p>
    <w:p>
      <w:pPr>
        <w:keepNext w:val="0"/>
        <w:keepLines w:val="0"/>
        <w:pageBreakBefore w:val="0"/>
        <w:widowControl/>
        <w:shd w:val="clear"/>
        <w:kinsoku/>
        <w:wordWrap/>
        <w:overflowPunct/>
        <w:topLinePunct w:val="0"/>
        <w:autoSpaceDE/>
        <w:autoSpaceDN/>
        <w:bidi w:val="0"/>
        <w:adjustRightInd/>
        <w:snapToGrid/>
        <w:spacing w:line="460" w:lineRule="exact"/>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（五）投标人法人代表证明书及法人身份证复印件；</w:t>
      </w:r>
    </w:p>
    <w:p>
      <w:pPr>
        <w:keepNext w:val="0"/>
        <w:keepLines w:val="0"/>
        <w:pageBreakBefore w:val="0"/>
        <w:widowControl/>
        <w:shd w:val="clear"/>
        <w:kinsoku/>
        <w:wordWrap/>
        <w:overflowPunct/>
        <w:topLinePunct w:val="0"/>
        <w:autoSpaceDE/>
        <w:autoSpaceDN/>
        <w:bidi w:val="0"/>
        <w:adjustRightInd/>
        <w:snapToGrid/>
        <w:spacing w:line="460" w:lineRule="exact"/>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（六）投标人法人授权委托书及被授权人身份证复印件；</w:t>
      </w:r>
    </w:p>
    <w:p>
      <w:pPr>
        <w:keepNext w:val="0"/>
        <w:keepLines w:val="0"/>
        <w:pageBreakBefore w:val="0"/>
        <w:widowControl/>
        <w:shd w:val="clear"/>
        <w:kinsoku/>
        <w:wordWrap/>
        <w:overflowPunct/>
        <w:topLinePunct w:val="0"/>
        <w:autoSpaceDE/>
        <w:autoSpaceDN/>
        <w:bidi w:val="0"/>
        <w:adjustRightInd/>
        <w:snapToGrid/>
        <w:spacing w:line="460" w:lineRule="exact"/>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七）投标人未被列入失信被执行人、重大税收违法案件当事人名单及政府采购严重违法失信行为记录名单，“信用中国”“中国政府采购网”以及“深圳市政府采购监管网”为供应商信用信息的查询渠道，相关信息以开标当日的查询结果为准；</w:t>
      </w:r>
    </w:p>
    <w:p>
      <w:pPr>
        <w:keepNext w:val="0"/>
        <w:keepLines w:val="0"/>
        <w:pageBreakBefore w:val="0"/>
        <w:widowControl/>
        <w:shd w:val="clear"/>
        <w:kinsoku/>
        <w:wordWrap/>
        <w:overflowPunct/>
        <w:topLinePunct w:val="0"/>
        <w:autoSpaceDE/>
        <w:autoSpaceDN/>
        <w:bidi w:val="0"/>
        <w:adjustRightInd/>
        <w:snapToGrid/>
        <w:spacing w:line="460" w:lineRule="exact"/>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（八）具有《危险化学品经营许可证》扫描件，原件备查；</w:t>
      </w:r>
    </w:p>
    <w:p>
      <w:pPr>
        <w:keepNext w:val="0"/>
        <w:keepLines w:val="0"/>
        <w:pageBreakBefore w:val="0"/>
        <w:widowControl/>
        <w:shd w:val="clear"/>
        <w:kinsoku/>
        <w:wordWrap/>
        <w:overflowPunct/>
        <w:topLinePunct w:val="0"/>
        <w:autoSpaceDE/>
        <w:autoSpaceDN/>
        <w:bidi w:val="0"/>
        <w:adjustRightInd/>
        <w:snapToGrid/>
        <w:spacing w:line="460" w:lineRule="exact"/>
        <w:ind w:firstLine="240" w:firstLineChars="1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（九）具有《中华人民共和国道路运输经营许可证》（若为委托运输，则提供委托单位的《道路运输经营许可证》《营业执照》及委托运输合同）扫描件，原件备查。</w:t>
      </w:r>
    </w:p>
    <w:p>
      <w:pPr>
        <w:shd w:val="clear"/>
        <w:spacing w:line="360" w:lineRule="auto"/>
        <w:rPr>
          <w:rFonts w:hint="eastAsia" w:ascii="仿宋" w:hAnsi="仿宋" w:eastAsia="仿宋" w:cs="仿宋"/>
          <w:b/>
          <w:bCs/>
          <w:sz w:val="24"/>
          <w:szCs w:val="24"/>
          <w:highlight w:val="none"/>
        </w:rPr>
      </w:pPr>
    </w:p>
    <w:p>
      <w:pPr>
        <w:shd w:val="clear"/>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六、投标单位应满足及同意如下条款：</w:t>
      </w:r>
    </w:p>
    <w:p>
      <w:pPr>
        <w:widowControl w:val="0"/>
        <w:numPr>
          <w:ilvl w:val="0"/>
          <w:numId w:val="0"/>
        </w:numPr>
        <w:shd w:val="clea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同意按招标文件的要求提供完整投标资料，不在投标文件的行间插字、涂改或增删。</w:t>
      </w:r>
    </w:p>
    <w:p>
      <w:pPr>
        <w:widowControl w:val="0"/>
        <w:numPr>
          <w:ilvl w:val="0"/>
          <w:numId w:val="0"/>
        </w:numPr>
        <w:shd w:val="clea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同意承担因中标后用假劣产品代替合格优质产品进行供货或用“涨价”、“缺货”等理由拖延供货而直接影响招标单位的工作正常运转，甚至造成不良后果的全部责任。</w:t>
      </w:r>
    </w:p>
    <w:p>
      <w:pPr>
        <w:widowControl w:val="0"/>
        <w:numPr>
          <w:ilvl w:val="0"/>
          <w:numId w:val="0"/>
        </w:numPr>
        <w:shd w:val="clea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同意招标单位的招标项目需求。</w:t>
      </w:r>
    </w:p>
    <w:p>
      <w:pPr>
        <w:widowControl w:val="0"/>
        <w:numPr>
          <w:ilvl w:val="0"/>
          <w:numId w:val="0"/>
        </w:numPr>
        <w:shd w:val="clea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保证在投标报价时不漏报品种，并保证提供合格产品。</w:t>
      </w:r>
    </w:p>
    <w:p>
      <w:pPr>
        <w:widowControl w:val="0"/>
        <w:numPr>
          <w:ilvl w:val="0"/>
          <w:numId w:val="0"/>
        </w:numPr>
        <w:shd w:val="clea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同意承担因用极端低价进行恶意竞争而造成的各种不良后果的全部责任。</w:t>
      </w:r>
    </w:p>
    <w:p>
      <w:pPr>
        <w:widowControl w:val="0"/>
        <w:numPr>
          <w:ilvl w:val="0"/>
          <w:numId w:val="0"/>
        </w:numPr>
        <w:shd w:val="clea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同意中标后，如在履行合同过程中不能按本招标文件的要求和服务满足招标方，将同意招标方单方</w:t>
      </w:r>
      <w:r>
        <w:rPr>
          <w:rFonts w:hint="eastAsia" w:ascii="仿宋" w:hAnsi="仿宋" w:eastAsia="仿宋" w:cs="仿宋"/>
          <w:sz w:val="24"/>
          <w:szCs w:val="24"/>
          <w:highlight w:val="none"/>
          <w:lang w:val="en-US" w:eastAsia="zh-CN"/>
        </w:rPr>
        <w:t>终</w:t>
      </w:r>
      <w:r>
        <w:rPr>
          <w:rFonts w:hint="eastAsia" w:ascii="仿宋" w:hAnsi="仿宋" w:eastAsia="仿宋" w:cs="仿宋"/>
          <w:sz w:val="24"/>
          <w:szCs w:val="24"/>
          <w:highlight w:val="none"/>
        </w:rPr>
        <w:t>止合同。</w:t>
      </w:r>
    </w:p>
    <w:p>
      <w:pPr>
        <w:widowControl w:val="0"/>
        <w:numPr>
          <w:ilvl w:val="0"/>
          <w:numId w:val="0"/>
        </w:numPr>
        <w:shd w:val="clea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在中标人被终止合同后，候选中标人如接到招标方通知要求时，应按照投标文件的要求提供服务启动签合同程序。</w:t>
      </w:r>
    </w:p>
    <w:p>
      <w:pPr>
        <w:widowControl w:val="0"/>
        <w:numPr>
          <w:ilvl w:val="0"/>
          <w:numId w:val="0"/>
        </w:numPr>
        <w:shd w:val="clear"/>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同意在接到中标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通知书之日起10个工作日内到招标单位签订合同。</w:t>
      </w:r>
    </w:p>
    <w:p>
      <w:pPr>
        <w:widowControl w:val="0"/>
        <w:numPr>
          <w:ilvl w:val="0"/>
          <w:numId w:val="0"/>
        </w:numPr>
        <w:shd w:val="clear"/>
        <w:spacing w:line="360" w:lineRule="auto"/>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七、定标原则：</w:t>
      </w:r>
    </w:p>
    <w:p>
      <w:pPr>
        <w:shd w:val="clea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（一）遵循公开、公平、公正的原则；</w:t>
      </w:r>
    </w:p>
    <w:p>
      <w:pPr>
        <w:shd w:val="clea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（二）坚持质量优先、服务至上的原则。</w:t>
      </w:r>
    </w:p>
    <w:p>
      <w:pPr>
        <w:shd w:val="clea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（三）医院纪审部门全程有效监督。</w:t>
      </w:r>
    </w:p>
    <w:p>
      <w:pPr>
        <w:shd w:val="clea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八、中标（成交）：</w:t>
      </w:r>
    </w:p>
    <w:p>
      <w:pPr>
        <w:shd w:val="clea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采用综合评标法，最高分为中标（成交）单位，并经龙岗中心医院招标办组织相关科室审核确定中标（成交）单位。</w:t>
      </w:r>
    </w:p>
    <w:p>
      <w:pPr>
        <w:shd w:val="clea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九、无效标的认定：</w:t>
      </w:r>
    </w:p>
    <w:p>
      <w:pPr>
        <w:shd w:val="clea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资格性审查和符合性审查不符合要求，投标单位投标无效。</w:t>
      </w:r>
    </w:p>
    <w:p>
      <w:pPr>
        <w:numPr>
          <w:ilvl w:val="0"/>
          <w:numId w:val="2"/>
        </w:numPr>
        <w:shd w:val="clear"/>
        <w:spacing w:line="360" w:lineRule="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公开招标失败的转变方式：</w:t>
      </w:r>
    </w:p>
    <w:p>
      <w:pPr>
        <w:numPr>
          <w:ilvl w:val="0"/>
          <w:numId w:val="0"/>
        </w:numPr>
        <w:shd w:val="clear"/>
        <w:spacing w:line="360" w:lineRule="auto"/>
        <w:ind w:firstLine="480" w:firstLineChars="200"/>
        <w:rPr>
          <w:rFonts w:hint="eastAsia" w:ascii="仿宋" w:hAnsi="仿宋" w:eastAsia="仿宋" w:cs="仿宋"/>
          <w:color w:val="auto"/>
          <w:sz w:val="28"/>
          <w:szCs w:val="28"/>
          <w:highlight w:val="none"/>
        </w:rPr>
      </w:pPr>
      <w:r>
        <w:rPr>
          <w:rFonts w:hint="eastAsia" w:ascii="仿宋" w:hAnsi="仿宋" w:eastAsia="仿宋" w:cs="仿宋"/>
          <w:sz w:val="24"/>
          <w:szCs w:val="24"/>
          <w:highlight w:val="none"/>
          <w:lang w:val="en-US" w:eastAsia="zh-CN"/>
        </w:rPr>
        <w:t>本项目采购方式为公开招标，如公开招标投标人家数不满足法定要求，发布延期公告三个工作日，延期后仍不满足法定要求的，可根据实质响应投标人的数量转为非公开招标方式采购，转为竞争性谈判方式采购或单一来源方式采购。</w:t>
      </w:r>
      <w:r>
        <w:rPr>
          <w:rFonts w:hint="eastAsia" w:ascii="仿宋" w:hAnsi="仿宋" w:eastAsia="仿宋" w:cs="仿宋"/>
          <w:color w:val="auto"/>
          <w:sz w:val="28"/>
          <w:szCs w:val="28"/>
          <w:highlight w:val="none"/>
        </w:rPr>
        <w:br w:type="page"/>
      </w:r>
    </w:p>
    <w:p>
      <w:pPr>
        <w:pStyle w:val="3"/>
        <w:shd w:val="clea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章 用户需求书</w:t>
      </w:r>
    </w:p>
    <w:p>
      <w:pPr>
        <w:pStyle w:val="3"/>
        <w:keepNext/>
        <w:keepLines/>
        <w:pageBreakBefore w:val="0"/>
        <w:widowControl/>
        <w:shd w:val="clear"/>
        <w:kinsoku/>
        <w:wordWrap/>
        <w:overflowPunct/>
        <w:topLinePunct w:val="0"/>
        <w:autoSpaceDE/>
        <w:autoSpaceDN/>
        <w:bidi w:val="0"/>
        <w:adjustRightInd w:val="0"/>
        <w:snapToGrid/>
        <w:spacing w:before="120" w:beforeLines="50" w:after="0"/>
        <w:jc w:val="both"/>
        <w:textAlignment w:val="baseline"/>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一</w:t>
      </w:r>
      <w:r>
        <w:rPr>
          <w:rFonts w:hint="eastAsia" w:ascii="仿宋" w:hAnsi="仿宋" w:eastAsia="仿宋" w:cs="仿宋"/>
          <w:color w:val="auto"/>
          <w:szCs w:val="24"/>
          <w:highlight w:val="none"/>
        </w:rPr>
        <w:t>、项目基本信息</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2625"/>
        <w:gridCol w:w="3247"/>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9" w:type="pct"/>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序号</w:t>
            </w:r>
          </w:p>
        </w:tc>
        <w:tc>
          <w:tcPr>
            <w:tcW w:w="1540" w:type="pct"/>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采购计划编号</w:t>
            </w:r>
          </w:p>
        </w:tc>
        <w:tc>
          <w:tcPr>
            <w:tcW w:w="1905" w:type="pct"/>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采购项目名称</w:t>
            </w:r>
          </w:p>
        </w:tc>
        <w:tc>
          <w:tcPr>
            <w:tcW w:w="1124" w:type="pct"/>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429" w:type="pct"/>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w:t>
            </w:r>
          </w:p>
        </w:tc>
        <w:tc>
          <w:tcPr>
            <w:tcW w:w="1540" w:type="pct"/>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LGZXYYZBB20240912-1</w:t>
            </w:r>
          </w:p>
        </w:tc>
        <w:tc>
          <w:tcPr>
            <w:tcW w:w="1905" w:type="pct"/>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深圳市龙岗中心医院医用气体采购</w:t>
            </w:r>
          </w:p>
        </w:tc>
        <w:tc>
          <w:tcPr>
            <w:tcW w:w="1124" w:type="pct"/>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spacing w:val="-4"/>
                <w:sz w:val="21"/>
                <w:szCs w:val="21"/>
                <w:highlight w:val="no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142000.00</w:t>
            </w:r>
          </w:p>
        </w:tc>
      </w:tr>
    </w:tbl>
    <w:p>
      <w:pPr>
        <w:pStyle w:val="12"/>
        <w:keepNext w:val="0"/>
        <w:keepLines w:val="0"/>
        <w:pageBreakBefore w:val="0"/>
        <w:widowControl w:val="0"/>
        <w:numPr>
          <w:ilvl w:val="0"/>
          <w:numId w:val="0"/>
        </w:numPr>
        <w:shd w:val="clear"/>
        <w:tabs>
          <w:tab w:val="left" w:pos="420"/>
          <w:tab w:val="left" w:pos="540"/>
        </w:tabs>
        <w:kinsoku/>
        <w:wordWrap/>
        <w:overflowPunct/>
        <w:topLinePunct w:val="0"/>
        <w:autoSpaceDE/>
        <w:autoSpaceDN/>
        <w:bidi w:val="0"/>
        <w:adjustRightInd w:val="0"/>
        <w:snapToGrid w:val="0"/>
        <w:spacing w:line="240" w:lineRule="auto"/>
        <w:ind w:leftChars="0" w:firstLine="241" w:firstLineChars="100"/>
        <w:textAlignment w:val="auto"/>
        <w:rPr>
          <w:rFonts w:hint="eastAsia" w:ascii="仿宋" w:hAnsi="仿宋" w:eastAsia="仿宋" w:cs="仿宋"/>
          <w:b/>
          <w:color w:val="auto"/>
          <w:sz w:val="24"/>
          <w:szCs w:val="24"/>
          <w:highlight w:val="none"/>
          <w:lang w:val="en-US" w:eastAsia="zh-CN"/>
        </w:rPr>
      </w:pPr>
    </w:p>
    <w:p>
      <w:pPr>
        <w:keepNext w:val="0"/>
        <w:keepLines w:val="0"/>
        <w:widowControl/>
        <w:numPr>
          <w:ilvl w:val="0"/>
          <w:numId w:val="0"/>
        </w:numPr>
        <w:suppressLineNumbers w:val="0"/>
        <w:shd w:val="clear"/>
        <w:ind w:firstLine="241" w:firstLineChars="100"/>
        <w:jc w:val="left"/>
        <w:rPr>
          <w:rFonts w:hint="eastAsia" w:ascii="仿宋" w:hAnsi="仿宋" w:eastAsia="仿宋" w:cs="仿宋"/>
          <w:b/>
          <w:bCs/>
          <w:color w:val="000000"/>
          <w:kern w:val="0"/>
          <w:sz w:val="24"/>
          <w:szCs w:val="24"/>
          <w:highlight w:val="none"/>
          <w:lang w:val="en-US" w:eastAsia="zh-CN" w:bidi="ar"/>
        </w:rPr>
      </w:pPr>
    </w:p>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after="157" w:afterLines="50"/>
        <w:jc w:val="left"/>
        <w:textAlignment w:val="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 xml:space="preserve">二、货物清单明细 </w:t>
      </w:r>
    </w:p>
    <w:tbl>
      <w:tblPr>
        <w:tblStyle w:val="21"/>
        <w:tblW w:w="50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4"/>
        <w:gridCol w:w="1000"/>
        <w:gridCol w:w="1775"/>
        <w:gridCol w:w="987"/>
        <w:gridCol w:w="850"/>
        <w:gridCol w:w="738"/>
        <w:gridCol w:w="1025"/>
        <w:gridCol w:w="975"/>
        <w:gridCol w:w="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13"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57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val="0"/>
                <w:bCs/>
                <w:color w:val="auto"/>
                <w:sz w:val="24"/>
                <w:szCs w:val="24"/>
                <w:highlight w:val="none"/>
              </w:rPr>
            </w:pPr>
            <w:r>
              <w:rPr>
                <w:rFonts w:hint="eastAsia" w:ascii="仿宋" w:hAnsi="仿宋" w:eastAsia="仿宋" w:cs="仿宋"/>
                <w:color w:val="auto"/>
                <w:kern w:val="2"/>
                <w:sz w:val="24"/>
                <w:szCs w:val="24"/>
                <w:highlight w:val="none"/>
              </w:rPr>
              <w:t>采购计划编号</w:t>
            </w:r>
          </w:p>
        </w:tc>
        <w:tc>
          <w:tcPr>
            <w:tcW w:w="1022"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货物名称</w:t>
            </w:r>
          </w:p>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（标的名称）</w:t>
            </w:r>
          </w:p>
        </w:tc>
        <w:tc>
          <w:tcPr>
            <w:tcW w:w="568"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val="0"/>
                <w:bCs/>
                <w:color w:val="auto"/>
                <w:sz w:val="24"/>
                <w:szCs w:val="24"/>
                <w:highlight w:val="none"/>
              </w:rPr>
              <w:t>规格</w:t>
            </w:r>
          </w:p>
        </w:tc>
        <w:tc>
          <w:tcPr>
            <w:tcW w:w="489"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预估</w:t>
            </w:r>
            <w:r>
              <w:rPr>
                <w:rFonts w:hint="eastAsia" w:ascii="仿宋" w:hAnsi="仿宋" w:eastAsia="仿宋" w:cs="仿宋"/>
                <w:b w:val="0"/>
                <w:bCs/>
                <w:color w:val="auto"/>
                <w:sz w:val="24"/>
                <w:szCs w:val="24"/>
                <w:highlight w:val="none"/>
              </w:rPr>
              <w:t>数量</w:t>
            </w:r>
          </w:p>
        </w:tc>
        <w:tc>
          <w:tcPr>
            <w:tcW w:w="42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val="0"/>
                <w:bCs/>
                <w:color w:val="auto"/>
                <w:sz w:val="24"/>
                <w:szCs w:val="24"/>
                <w:highlight w:val="none"/>
                <w:lang w:val="en-US" w:eastAsia="zh-CN" w:bidi="ar-SA"/>
              </w:rPr>
            </w:pPr>
            <w:r>
              <w:rPr>
                <w:rFonts w:hint="eastAsia" w:ascii="仿宋" w:hAnsi="仿宋" w:eastAsia="仿宋" w:cs="仿宋"/>
                <w:b w:val="0"/>
                <w:bCs/>
                <w:color w:val="auto"/>
                <w:sz w:val="24"/>
                <w:szCs w:val="24"/>
                <w:highlight w:val="none"/>
              </w:rPr>
              <w:t>单位</w:t>
            </w:r>
          </w:p>
        </w:tc>
        <w:tc>
          <w:tcPr>
            <w:tcW w:w="590"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最高单价</w:t>
            </w:r>
            <w:r>
              <w:rPr>
                <w:rFonts w:hint="eastAsia" w:ascii="仿宋" w:hAnsi="仿宋" w:eastAsia="仿宋" w:cs="仿宋"/>
                <w:b w:val="0"/>
                <w:bCs/>
                <w:color w:val="auto"/>
                <w:sz w:val="24"/>
                <w:szCs w:val="24"/>
                <w:highlight w:val="none"/>
              </w:rPr>
              <w:t>限价（元）</w:t>
            </w:r>
          </w:p>
        </w:tc>
        <w:tc>
          <w:tcPr>
            <w:tcW w:w="561"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kern w:val="2"/>
                <w:sz w:val="24"/>
                <w:szCs w:val="24"/>
                <w:highlight w:val="none"/>
                <w:lang w:val="en-US" w:eastAsia="zh-CN"/>
              </w:rPr>
              <w:t>合价限价（元）</w:t>
            </w:r>
          </w:p>
        </w:tc>
        <w:tc>
          <w:tcPr>
            <w:tcW w:w="453"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13"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575" w:type="pct"/>
            <w:vMerge w:val="restar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LGZXYYZBB20240912-1</w:t>
            </w:r>
          </w:p>
        </w:tc>
        <w:tc>
          <w:tcPr>
            <w:tcW w:w="102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纯氩</w:t>
            </w:r>
          </w:p>
        </w:tc>
        <w:tc>
          <w:tcPr>
            <w:tcW w:w="568"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40L</w:t>
            </w:r>
          </w:p>
        </w:tc>
        <w:tc>
          <w:tcPr>
            <w:tcW w:w="489"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10 </w:t>
            </w:r>
          </w:p>
        </w:tc>
        <w:tc>
          <w:tcPr>
            <w:tcW w:w="42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highlight w:val="none"/>
              </w:rPr>
              <w:t>瓶</w:t>
            </w:r>
          </w:p>
        </w:tc>
        <w:tc>
          <w:tcPr>
            <w:tcW w:w="590"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90 </w:t>
            </w:r>
          </w:p>
        </w:tc>
        <w:tc>
          <w:tcPr>
            <w:tcW w:w="561"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900</w:t>
            </w:r>
          </w:p>
        </w:tc>
        <w:tc>
          <w:tcPr>
            <w:tcW w:w="453" w:type="pct"/>
            <w:vMerge w:val="restart"/>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拒绝进口</w:t>
            </w:r>
            <w:r>
              <w:rPr>
                <w:rFonts w:hint="eastAsia" w:ascii="仿宋" w:hAnsi="仿宋" w:eastAsia="仿宋" w:cs="仿宋"/>
                <w:color w:val="auto"/>
                <w:kern w:val="0"/>
                <w:sz w:val="24"/>
                <w:szCs w:val="24"/>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13"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2</w:t>
            </w:r>
          </w:p>
        </w:tc>
        <w:tc>
          <w:tcPr>
            <w:tcW w:w="575" w:type="pct"/>
            <w:vMerge w:val="continue"/>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02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二氧化碳</w:t>
            </w:r>
          </w:p>
        </w:tc>
        <w:tc>
          <w:tcPr>
            <w:tcW w:w="568"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40L</w:t>
            </w:r>
          </w:p>
        </w:tc>
        <w:tc>
          <w:tcPr>
            <w:tcW w:w="489" w:type="pct"/>
            <w:vAlign w:val="center"/>
          </w:tcPr>
          <w:p>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仿宋"/>
                <w:b w:val="0"/>
                <w:bCs w:val="0"/>
                <w:color w:val="auto"/>
                <w:kern w:val="0"/>
                <w:sz w:val="24"/>
                <w:szCs w:val="24"/>
                <w:highlight w:val="none"/>
                <w:lang w:val="en-US"/>
              </w:rPr>
            </w:pPr>
            <w:r>
              <w:rPr>
                <w:rFonts w:hint="eastAsia" w:ascii="仿宋" w:hAnsi="仿宋" w:eastAsia="仿宋" w:cs="仿宋"/>
                <w:b w:val="0"/>
                <w:bCs w:val="0"/>
                <w:i w:val="0"/>
                <w:iCs w:val="0"/>
                <w:color w:val="000000"/>
                <w:kern w:val="0"/>
                <w:sz w:val="24"/>
                <w:szCs w:val="24"/>
                <w:highlight w:val="none"/>
                <w:u w:val="none"/>
                <w:lang w:val="en-US" w:eastAsia="zh-CN" w:bidi="ar"/>
              </w:rPr>
              <w:t>379</w:t>
            </w:r>
          </w:p>
        </w:tc>
        <w:tc>
          <w:tcPr>
            <w:tcW w:w="42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highlight w:val="none"/>
              </w:rPr>
              <w:t>瓶</w:t>
            </w:r>
          </w:p>
        </w:tc>
        <w:tc>
          <w:tcPr>
            <w:tcW w:w="590"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100 </w:t>
            </w:r>
          </w:p>
        </w:tc>
        <w:tc>
          <w:tcPr>
            <w:tcW w:w="561"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37900</w:t>
            </w:r>
          </w:p>
        </w:tc>
        <w:tc>
          <w:tcPr>
            <w:tcW w:w="453" w:type="pct"/>
            <w:vMerge w:val="continue"/>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13"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3</w:t>
            </w:r>
          </w:p>
        </w:tc>
        <w:tc>
          <w:tcPr>
            <w:tcW w:w="575" w:type="pct"/>
            <w:vMerge w:val="continue"/>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02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高纯二氧化碳</w:t>
            </w:r>
          </w:p>
        </w:tc>
        <w:tc>
          <w:tcPr>
            <w:tcW w:w="568"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10L</w:t>
            </w:r>
          </w:p>
        </w:tc>
        <w:tc>
          <w:tcPr>
            <w:tcW w:w="489"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10 </w:t>
            </w:r>
          </w:p>
        </w:tc>
        <w:tc>
          <w:tcPr>
            <w:tcW w:w="42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highlight w:val="none"/>
              </w:rPr>
              <w:t>瓶</w:t>
            </w:r>
          </w:p>
        </w:tc>
        <w:tc>
          <w:tcPr>
            <w:tcW w:w="590"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800 </w:t>
            </w:r>
          </w:p>
        </w:tc>
        <w:tc>
          <w:tcPr>
            <w:tcW w:w="561"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8000</w:t>
            </w:r>
          </w:p>
        </w:tc>
        <w:tc>
          <w:tcPr>
            <w:tcW w:w="453" w:type="pct"/>
            <w:vMerge w:val="continue"/>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13"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4</w:t>
            </w:r>
          </w:p>
        </w:tc>
        <w:tc>
          <w:tcPr>
            <w:tcW w:w="575" w:type="pct"/>
            <w:vMerge w:val="continue"/>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02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高纯氦</w:t>
            </w:r>
          </w:p>
        </w:tc>
        <w:tc>
          <w:tcPr>
            <w:tcW w:w="568"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2L</w:t>
            </w:r>
          </w:p>
        </w:tc>
        <w:tc>
          <w:tcPr>
            <w:tcW w:w="489"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7 </w:t>
            </w:r>
          </w:p>
        </w:tc>
        <w:tc>
          <w:tcPr>
            <w:tcW w:w="42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highlight w:val="none"/>
              </w:rPr>
              <w:t>瓶</w:t>
            </w:r>
          </w:p>
        </w:tc>
        <w:tc>
          <w:tcPr>
            <w:tcW w:w="590"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850 </w:t>
            </w:r>
          </w:p>
        </w:tc>
        <w:tc>
          <w:tcPr>
            <w:tcW w:w="561"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5950</w:t>
            </w:r>
          </w:p>
        </w:tc>
        <w:tc>
          <w:tcPr>
            <w:tcW w:w="453" w:type="pct"/>
            <w:vMerge w:val="continue"/>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13"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5</w:t>
            </w:r>
          </w:p>
        </w:tc>
        <w:tc>
          <w:tcPr>
            <w:tcW w:w="575" w:type="pct"/>
            <w:vMerge w:val="continue"/>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02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高纯氩</w:t>
            </w:r>
          </w:p>
        </w:tc>
        <w:tc>
          <w:tcPr>
            <w:tcW w:w="568"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10L</w:t>
            </w:r>
          </w:p>
        </w:tc>
        <w:tc>
          <w:tcPr>
            <w:tcW w:w="489"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10 </w:t>
            </w:r>
          </w:p>
        </w:tc>
        <w:tc>
          <w:tcPr>
            <w:tcW w:w="42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highlight w:val="none"/>
              </w:rPr>
              <w:t>瓶</w:t>
            </w:r>
          </w:p>
        </w:tc>
        <w:tc>
          <w:tcPr>
            <w:tcW w:w="590"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200</w:t>
            </w:r>
          </w:p>
        </w:tc>
        <w:tc>
          <w:tcPr>
            <w:tcW w:w="561"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2000</w:t>
            </w:r>
          </w:p>
        </w:tc>
        <w:tc>
          <w:tcPr>
            <w:tcW w:w="453" w:type="pct"/>
            <w:vMerge w:val="continue"/>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13"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6</w:t>
            </w:r>
          </w:p>
        </w:tc>
        <w:tc>
          <w:tcPr>
            <w:tcW w:w="575" w:type="pct"/>
            <w:vMerge w:val="continue"/>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02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工业氮</w:t>
            </w:r>
          </w:p>
        </w:tc>
        <w:tc>
          <w:tcPr>
            <w:tcW w:w="568"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40L</w:t>
            </w:r>
          </w:p>
        </w:tc>
        <w:tc>
          <w:tcPr>
            <w:tcW w:w="489" w:type="pct"/>
            <w:vAlign w:val="center"/>
          </w:tcPr>
          <w:p>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仿宋"/>
                <w:b w:val="0"/>
                <w:bCs w:val="0"/>
                <w:color w:val="auto"/>
                <w:kern w:val="0"/>
                <w:sz w:val="24"/>
                <w:szCs w:val="24"/>
                <w:highlight w:val="none"/>
                <w:lang w:val="en-US"/>
              </w:rPr>
            </w:pPr>
            <w:r>
              <w:rPr>
                <w:rFonts w:hint="eastAsia" w:ascii="仿宋" w:hAnsi="仿宋" w:eastAsia="仿宋" w:cs="仿宋"/>
                <w:b w:val="0"/>
                <w:bCs w:val="0"/>
                <w:i w:val="0"/>
                <w:iCs w:val="0"/>
                <w:color w:val="000000"/>
                <w:kern w:val="0"/>
                <w:sz w:val="24"/>
                <w:szCs w:val="24"/>
                <w:highlight w:val="none"/>
                <w:u w:val="none"/>
                <w:lang w:val="en-US" w:eastAsia="zh-CN" w:bidi="ar"/>
              </w:rPr>
              <w:t>370</w:t>
            </w:r>
          </w:p>
        </w:tc>
        <w:tc>
          <w:tcPr>
            <w:tcW w:w="42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highlight w:val="none"/>
              </w:rPr>
              <w:t>瓶</w:t>
            </w:r>
          </w:p>
        </w:tc>
        <w:tc>
          <w:tcPr>
            <w:tcW w:w="590"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22</w:t>
            </w:r>
          </w:p>
        </w:tc>
        <w:tc>
          <w:tcPr>
            <w:tcW w:w="561"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8140</w:t>
            </w:r>
          </w:p>
        </w:tc>
        <w:tc>
          <w:tcPr>
            <w:tcW w:w="453" w:type="pct"/>
            <w:vMerge w:val="continue"/>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13"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7</w:t>
            </w:r>
          </w:p>
        </w:tc>
        <w:tc>
          <w:tcPr>
            <w:tcW w:w="575" w:type="pct"/>
            <w:vMerge w:val="continue"/>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02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混合气1</w:t>
            </w:r>
          </w:p>
        </w:tc>
        <w:tc>
          <w:tcPr>
            <w:tcW w:w="568"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40L</w:t>
            </w:r>
          </w:p>
        </w:tc>
        <w:tc>
          <w:tcPr>
            <w:tcW w:w="489"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5 </w:t>
            </w:r>
          </w:p>
        </w:tc>
        <w:tc>
          <w:tcPr>
            <w:tcW w:w="42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highlight w:val="none"/>
              </w:rPr>
              <w:t>瓶</w:t>
            </w:r>
          </w:p>
        </w:tc>
        <w:tc>
          <w:tcPr>
            <w:tcW w:w="590"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2152 </w:t>
            </w:r>
          </w:p>
        </w:tc>
        <w:tc>
          <w:tcPr>
            <w:tcW w:w="561"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10760</w:t>
            </w:r>
          </w:p>
        </w:tc>
        <w:tc>
          <w:tcPr>
            <w:tcW w:w="453" w:type="pct"/>
            <w:vMerge w:val="continue"/>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13"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8</w:t>
            </w:r>
          </w:p>
        </w:tc>
        <w:tc>
          <w:tcPr>
            <w:tcW w:w="575" w:type="pct"/>
            <w:vMerge w:val="continue"/>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02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混合气2</w:t>
            </w:r>
          </w:p>
        </w:tc>
        <w:tc>
          <w:tcPr>
            <w:tcW w:w="568"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40L</w:t>
            </w:r>
          </w:p>
        </w:tc>
        <w:tc>
          <w:tcPr>
            <w:tcW w:w="489"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3 </w:t>
            </w:r>
          </w:p>
        </w:tc>
        <w:tc>
          <w:tcPr>
            <w:tcW w:w="42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highlight w:val="none"/>
              </w:rPr>
              <w:t>瓶</w:t>
            </w:r>
          </w:p>
        </w:tc>
        <w:tc>
          <w:tcPr>
            <w:tcW w:w="590"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1980 </w:t>
            </w:r>
          </w:p>
        </w:tc>
        <w:tc>
          <w:tcPr>
            <w:tcW w:w="561"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5940</w:t>
            </w:r>
          </w:p>
        </w:tc>
        <w:tc>
          <w:tcPr>
            <w:tcW w:w="453" w:type="pct"/>
            <w:vMerge w:val="continue"/>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13"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9</w:t>
            </w:r>
          </w:p>
        </w:tc>
        <w:tc>
          <w:tcPr>
            <w:tcW w:w="575" w:type="pct"/>
            <w:vMerge w:val="continue"/>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02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混合气3</w:t>
            </w:r>
          </w:p>
        </w:tc>
        <w:tc>
          <w:tcPr>
            <w:tcW w:w="568"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40L</w:t>
            </w:r>
          </w:p>
        </w:tc>
        <w:tc>
          <w:tcPr>
            <w:tcW w:w="489"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3 </w:t>
            </w:r>
          </w:p>
        </w:tc>
        <w:tc>
          <w:tcPr>
            <w:tcW w:w="42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highlight w:val="none"/>
              </w:rPr>
              <w:t>瓶</w:t>
            </w:r>
          </w:p>
        </w:tc>
        <w:tc>
          <w:tcPr>
            <w:tcW w:w="590"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1200 </w:t>
            </w:r>
          </w:p>
        </w:tc>
        <w:tc>
          <w:tcPr>
            <w:tcW w:w="561"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3600</w:t>
            </w:r>
          </w:p>
        </w:tc>
        <w:tc>
          <w:tcPr>
            <w:tcW w:w="453" w:type="pct"/>
            <w:vMerge w:val="continue"/>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13"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10</w:t>
            </w:r>
          </w:p>
        </w:tc>
        <w:tc>
          <w:tcPr>
            <w:tcW w:w="575" w:type="pct"/>
            <w:vMerge w:val="continue"/>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02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混合气4</w:t>
            </w:r>
          </w:p>
        </w:tc>
        <w:tc>
          <w:tcPr>
            <w:tcW w:w="568"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40L</w:t>
            </w:r>
          </w:p>
        </w:tc>
        <w:tc>
          <w:tcPr>
            <w:tcW w:w="489"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3 </w:t>
            </w:r>
          </w:p>
        </w:tc>
        <w:tc>
          <w:tcPr>
            <w:tcW w:w="42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highlight w:val="none"/>
              </w:rPr>
              <w:t>瓶</w:t>
            </w:r>
          </w:p>
        </w:tc>
        <w:tc>
          <w:tcPr>
            <w:tcW w:w="590"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1400 </w:t>
            </w:r>
          </w:p>
        </w:tc>
        <w:tc>
          <w:tcPr>
            <w:tcW w:w="561"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4200</w:t>
            </w:r>
          </w:p>
        </w:tc>
        <w:tc>
          <w:tcPr>
            <w:tcW w:w="453" w:type="pct"/>
            <w:vMerge w:val="continue"/>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13"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11</w:t>
            </w:r>
          </w:p>
        </w:tc>
        <w:tc>
          <w:tcPr>
            <w:tcW w:w="575" w:type="pct"/>
            <w:vMerge w:val="continue"/>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02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混合气5</w:t>
            </w:r>
          </w:p>
        </w:tc>
        <w:tc>
          <w:tcPr>
            <w:tcW w:w="568"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40L</w:t>
            </w:r>
          </w:p>
        </w:tc>
        <w:tc>
          <w:tcPr>
            <w:tcW w:w="489"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3 </w:t>
            </w:r>
          </w:p>
        </w:tc>
        <w:tc>
          <w:tcPr>
            <w:tcW w:w="42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highlight w:val="none"/>
              </w:rPr>
              <w:t>瓶</w:t>
            </w:r>
          </w:p>
        </w:tc>
        <w:tc>
          <w:tcPr>
            <w:tcW w:w="590"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1580 </w:t>
            </w:r>
          </w:p>
        </w:tc>
        <w:tc>
          <w:tcPr>
            <w:tcW w:w="561"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4740</w:t>
            </w:r>
          </w:p>
        </w:tc>
        <w:tc>
          <w:tcPr>
            <w:tcW w:w="453" w:type="pct"/>
            <w:vMerge w:val="continue"/>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13" w:type="pct"/>
            <w:vAlign w:val="center"/>
          </w:tcPr>
          <w:p>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12</w:t>
            </w:r>
          </w:p>
        </w:tc>
        <w:tc>
          <w:tcPr>
            <w:tcW w:w="575" w:type="pct"/>
            <w:vMerge w:val="continue"/>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022" w:type="pct"/>
            <w:vAlign w:val="center"/>
          </w:tcPr>
          <w:p>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混合气6</w:t>
            </w:r>
          </w:p>
        </w:tc>
        <w:tc>
          <w:tcPr>
            <w:tcW w:w="568"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8L</w:t>
            </w:r>
          </w:p>
        </w:tc>
        <w:tc>
          <w:tcPr>
            <w:tcW w:w="489" w:type="pct"/>
            <w:vAlign w:val="center"/>
          </w:tcPr>
          <w:p>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8</w:t>
            </w:r>
          </w:p>
        </w:tc>
        <w:tc>
          <w:tcPr>
            <w:tcW w:w="42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rPr>
              <w:t>瓶</w:t>
            </w:r>
          </w:p>
        </w:tc>
        <w:tc>
          <w:tcPr>
            <w:tcW w:w="590" w:type="pct"/>
            <w:vAlign w:val="center"/>
          </w:tcPr>
          <w:p>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1100</w:t>
            </w:r>
          </w:p>
        </w:tc>
        <w:tc>
          <w:tcPr>
            <w:tcW w:w="561" w:type="pct"/>
            <w:vAlign w:val="center"/>
          </w:tcPr>
          <w:p>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8800</w:t>
            </w:r>
          </w:p>
        </w:tc>
        <w:tc>
          <w:tcPr>
            <w:tcW w:w="453" w:type="pct"/>
            <w:vMerge w:val="continue"/>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13" w:type="pct"/>
            <w:vAlign w:val="center"/>
          </w:tcPr>
          <w:p>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仿宋"/>
                <w:b w:val="0"/>
                <w:bCs w:val="0"/>
                <w:color w:val="auto"/>
                <w:kern w:val="0"/>
                <w:sz w:val="24"/>
                <w:szCs w:val="24"/>
                <w:highlight w:val="none"/>
                <w:lang w:val="en-US"/>
              </w:rPr>
            </w:pPr>
            <w:r>
              <w:rPr>
                <w:rFonts w:hint="eastAsia" w:ascii="仿宋" w:hAnsi="仿宋" w:eastAsia="仿宋" w:cs="仿宋"/>
                <w:b w:val="0"/>
                <w:bCs w:val="0"/>
                <w:i w:val="0"/>
                <w:iCs w:val="0"/>
                <w:color w:val="000000"/>
                <w:kern w:val="0"/>
                <w:sz w:val="24"/>
                <w:szCs w:val="24"/>
                <w:highlight w:val="none"/>
                <w:u w:val="none"/>
                <w:lang w:val="en-US" w:eastAsia="zh-CN" w:bidi="ar"/>
              </w:rPr>
              <w:t>13</w:t>
            </w:r>
          </w:p>
        </w:tc>
        <w:tc>
          <w:tcPr>
            <w:tcW w:w="575" w:type="pct"/>
            <w:vMerge w:val="continue"/>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02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液态氮</w:t>
            </w:r>
          </w:p>
        </w:tc>
        <w:tc>
          <w:tcPr>
            <w:tcW w:w="568"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196L</w:t>
            </w:r>
          </w:p>
        </w:tc>
        <w:tc>
          <w:tcPr>
            <w:tcW w:w="489"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30 </w:t>
            </w:r>
          </w:p>
        </w:tc>
        <w:tc>
          <w:tcPr>
            <w:tcW w:w="42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highlight w:val="none"/>
                <w:lang w:val="en-US" w:eastAsia="zh-CN"/>
              </w:rPr>
              <w:t>罐</w:t>
            </w:r>
          </w:p>
        </w:tc>
        <w:tc>
          <w:tcPr>
            <w:tcW w:w="590"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473</w:t>
            </w:r>
          </w:p>
        </w:tc>
        <w:tc>
          <w:tcPr>
            <w:tcW w:w="561"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14190</w:t>
            </w:r>
          </w:p>
        </w:tc>
        <w:tc>
          <w:tcPr>
            <w:tcW w:w="453" w:type="pct"/>
            <w:vMerge w:val="continue"/>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313" w:type="pct"/>
            <w:vAlign w:val="center"/>
          </w:tcPr>
          <w:p>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仿宋"/>
                <w:b w:val="0"/>
                <w:bCs w:val="0"/>
                <w:color w:val="auto"/>
                <w:kern w:val="0"/>
                <w:sz w:val="24"/>
                <w:szCs w:val="24"/>
                <w:highlight w:val="none"/>
                <w:lang w:val="en-US"/>
              </w:rPr>
            </w:pPr>
            <w:r>
              <w:rPr>
                <w:rFonts w:hint="eastAsia" w:ascii="仿宋" w:hAnsi="仿宋" w:eastAsia="仿宋" w:cs="仿宋"/>
                <w:b w:val="0"/>
                <w:bCs w:val="0"/>
                <w:i w:val="0"/>
                <w:iCs w:val="0"/>
                <w:color w:val="000000"/>
                <w:kern w:val="0"/>
                <w:sz w:val="24"/>
                <w:szCs w:val="24"/>
                <w:highlight w:val="none"/>
                <w:u w:val="none"/>
                <w:lang w:val="en-US" w:eastAsia="zh-CN" w:bidi="ar"/>
              </w:rPr>
              <w:t>14</w:t>
            </w:r>
          </w:p>
        </w:tc>
        <w:tc>
          <w:tcPr>
            <w:tcW w:w="575" w:type="pct"/>
            <w:vMerge w:val="continue"/>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02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乙炔</w:t>
            </w:r>
          </w:p>
        </w:tc>
        <w:tc>
          <w:tcPr>
            <w:tcW w:w="568"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40L</w:t>
            </w:r>
          </w:p>
        </w:tc>
        <w:tc>
          <w:tcPr>
            <w:tcW w:w="489"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10 </w:t>
            </w:r>
          </w:p>
        </w:tc>
        <w:tc>
          <w:tcPr>
            <w:tcW w:w="42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highlight w:val="none"/>
              </w:rPr>
              <w:t>瓶</w:t>
            </w:r>
          </w:p>
        </w:tc>
        <w:tc>
          <w:tcPr>
            <w:tcW w:w="590"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i w:val="0"/>
                <w:iCs w:val="0"/>
                <w:color w:val="000000"/>
                <w:kern w:val="0"/>
                <w:sz w:val="24"/>
                <w:szCs w:val="24"/>
                <w:highlight w:val="none"/>
                <w:u w:val="none"/>
                <w:lang w:val="en-US" w:eastAsia="zh-CN" w:bidi="ar"/>
              </w:rPr>
              <w:t>288</w:t>
            </w:r>
          </w:p>
        </w:tc>
        <w:tc>
          <w:tcPr>
            <w:tcW w:w="561"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2880</w:t>
            </w:r>
          </w:p>
        </w:tc>
        <w:tc>
          <w:tcPr>
            <w:tcW w:w="453" w:type="pct"/>
            <w:vMerge w:val="continue"/>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13" w:type="pct"/>
            <w:vAlign w:val="center"/>
          </w:tcPr>
          <w:p>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仿宋"/>
                <w:b w:val="0"/>
                <w:bCs w:val="0"/>
                <w:color w:val="auto"/>
                <w:kern w:val="0"/>
                <w:sz w:val="24"/>
                <w:szCs w:val="24"/>
                <w:highlight w:val="none"/>
                <w:lang w:val="en-US"/>
              </w:rPr>
            </w:pPr>
            <w:r>
              <w:rPr>
                <w:rFonts w:hint="eastAsia" w:ascii="仿宋" w:hAnsi="仿宋" w:eastAsia="仿宋" w:cs="仿宋"/>
                <w:b w:val="0"/>
                <w:bCs w:val="0"/>
                <w:i w:val="0"/>
                <w:iCs w:val="0"/>
                <w:color w:val="000000"/>
                <w:kern w:val="0"/>
                <w:sz w:val="24"/>
                <w:szCs w:val="24"/>
                <w:highlight w:val="none"/>
                <w:u w:val="none"/>
                <w:lang w:val="en-US" w:eastAsia="zh-CN" w:bidi="ar"/>
              </w:rPr>
              <w:t>15</w:t>
            </w:r>
          </w:p>
        </w:tc>
        <w:tc>
          <w:tcPr>
            <w:tcW w:w="575" w:type="pct"/>
            <w:vMerge w:val="continue"/>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102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租赁配套钢瓶</w:t>
            </w:r>
          </w:p>
        </w:tc>
        <w:tc>
          <w:tcPr>
            <w:tcW w:w="568"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各规格</w:t>
            </w:r>
          </w:p>
        </w:tc>
        <w:tc>
          <w:tcPr>
            <w:tcW w:w="489" w:type="pct"/>
            <w:vAlign w:val="center"/>
          </w:tcPr>
          <w:p>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仿宋"/>
                <w:b w:val="0"/>
                <w:bCs w:val="0"/>
                <w:color w:val="auto"/>
                <w:kern w:val="0"/>
                <w:sz w:val="24"/>
                <w:szCs w:val="24"/>
                <w:highlight w:val="none"/>
                <w:lang w:val="en-US"/>
              </w:rPr>
            </w:pPr>
            <w:r>
              <w:rPr>
                <w:rFonts w:hint="eastAsia" w:ascii="仿宋" w:hAnsi="仿宋" w:eastAsia="仿宋" w:cs="仿宋"/>
                <w:b w:val="0"/>
                <w:bCs w:val="0"/>
                <w:i w:val="0"/>
                <w:iCs w:val="0"/>
                <w:color w:val="000000"/>
                <w:kern w:val="0"/>
                <w:sz w:val="24"/>
                <w:szCs w:val="24"/>
                <w:highlight w:val="none"/>
                <w:u w:val="none"/>
                <w:lang w:val="en-US" w:eastAsia="zh-CN" w:bidi="ar"/>
              </w:rPr>
              <w:t>2400</w:t>
            </w:r>
          </w:p>
        </w:tc>
        <w:tc>
          <w:tcPr>
            <w:tcW w:w="42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个</w:t>
            </w:r>
          </w:p>
        </w:tc>
        <w:tc>
          <w:tcPr>
            <w:tcW w:w="590" w:type="pct"/>
            <w:vAlign w:val="center"/>
          </w:tcPr>
          <w:p>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仿宋"/>
                <w:b w:val="0"/>
                <w:bCs w:val="0"/>
                <w:color w:val="auto"/>
                <w:kern w:val="0"/>
                <w:sz w:val="24"/>
                <w:szCs w:val="24"/>
                <w:highlight w:val="none"/>
                <w:lang w:val="en-US"/>
              </w:rPr>
            </w:pPr>
            <w:r>
              <w:rPr>
                <w:rFonts w:hint="eastAsia" w:ascii="仿宋" w:hAnsi="仿宋" w:eastAsia="仿宋" w:cs="仿宋"/>
                <w:b w:val="0"/>
                <w:bCs w:val="0"/>
                <w:i w:val="0"/>
                <w:iCs w:val="0"/>
                <w:color w:val="000000"/>
                <w:kern w:val="0"/>
                <w:sz w:val="24"/>
                <w:szCs w:val="24"/>
                <w:highlight w:val="none"/>
                <w:u w:val="none"/>
                <w:lang w:val="en-US" w:eastAsia="zh-CN" w:bidi="ar"/>
              </w:rPr>
              <w:t>10元/月</w:t>
            </w:r>
          </w:p>
        </w:tc>
        <w:tc>
          <w:tcPr>
            <w:tcW w:w="561"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24000</w:t>
            </w:r>
          </w:p>
        </w:tc>
        <w:tc>
          <w:tcPr>
            <w:tcW w:w="453" w:type="pct"/>
            <w:vMerge w:val="continue"/>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5000" w:type="pct"/>
            <w:gridSpan w:val="9"/>
            <w:vAlign w:val="center"/>
          </w:tcPr>
          <w:p>
            <w:pPr>
              <w:keepNext w:val="0"/>
              <w:keepLines w:val="0"/>
              <w:widowControl/>
              <w:suppressLineNumbers w:val="0"/>
              <w:shd w:val="clear"/>
              <w:spacing w:before="0" w:beforeAutospacing="0" w:after="0" w:afterAutospacing="0"/>
              <w:ind w:left="0" w:right="0"/>
              <w:jc w:val="center"/>
              <w:rPr>
                <w:rFonts w:hint="eastAsia"/>
                <w:highlight w:val="none"/>
                <w:lang w:val="en-US" w:eastAsia="zh-CN"/>
              </w:rPr>
            </w:pPr>
            <w:r>
              <w:rPr>
                <w:rFonts w:hint="eastAsia" w:ascii="仿宋" w:hAnsi="仿宋" w:eastAsia="仿宋" w:cs="仿宋"/>
                <w:color w:val="auto"/>
                <w:kern w:val="0"/>
                <w:sz w:val="24"/>
                <w:szCs w:val="24"/>
                <w:highlight w:val="none"/>
                <w:lang w:val="en-US" w:eastAsia="zh-CN"/>
              </w:rPr>
              <w:t>合计：</w:t>
            </w:r>
            <w:r>
              <w:rPr>
                <w:rFonts w:hint="eastAsia" w:ascii="仿宋" w:hAnsi="仿宋" w:eastAsia="仿宋" w:cs="仿宋"/>
                <w:b w:val="0"/>
                <w:bCs w:val="0"/>
                <w:i w:val="0"/>
                <w:iCs w:val="0"/>
                <w:color w:val="000000"/>
                <w:kern w:val="0"/>
                <w:sz w:val="24"/>
                <w:szCs w:val="24"/>
                <w:highlight w:val="none"/>
                <w:u w:val="none"/>
                <w:lang w:val="en-US" w:eastAsia="zh-CN" w:bidi="ar"/>
              </w:rPr>
              <w:t>142000.00元</w:t>
            </w:r>
          </w:p>
        </w:tc>
      </w:tr>
    </w:tbl>
    <w:p>
      <w:pPr>
        <w:pStyle w:val="3"/>
        <w:keepNext/>
        <w:keepLines/>
        <w:pageBreakBefore w:val="0"/>
        <w:widowControl/>
        <w:shd w:val="clear"/>
        <w:kinsoku/>
        <w:wordWrap/>
        <w:overflowPunct/>
        <w:topLinePunct w:val="0"/>
        <w:autoSpaceDE/>
        <w:autoSpaceDN/>
        <w:bidi w:val="0"/>
        <w:adjustRightInd w:val="0"/>
        <w:snapToGrid/>
        <w:spacing w:before="0" w:after="0"/>
        <w:ind w:firstLine="482" w:firstLineChars="200"/>
        <w:jc w:val="left"/>
        <w:textAlignment w:val="baseline"/>
        <w:rPr>
          <w:rFonts w:hint="eastAsia" w:ascii="仿宋" w:hAnsi="仿宋" w:eastAsia="仿宋" w:cs="仿宋"/>
          <w:szCs w:val="24"/>
          <w:highlight w:val="none"/>
        </w:rPr>
      </w:pPr>
      <w:r>
        <w:rPr>
          <w:rFonts w:hint="eastAsia" w:ascii="仿宋" w:hAnsi="仿宋" w:eastAsia="仿宋" w:cs="仿宋"/>
          <w:szCs w:val="24"/>
          <w:highlight w:val="none"/>
        </w:rPr>
        <w:t xml:space="preserve">备注：1.备注栏注明“拒绝进口”的产品不接受投标人选用进口产品参与投标；注明“接受进口”的产品允许投标人选用进口产品参与投标，但不排斥国内产品。 </w:t>
      </w:r>
    </w:p>
    <w:p>
      <w:pPr>
        <w:pStyle w:val="3"/>
        <w:shd w:val="clear"/>
        <w:spacing w:before="0" w:after="0"/>
        <w:ind w:firstLine="482" w:firstLineChars="200"/>
        <w:jc w:val="left"/>
        <w:rPr>
          <w:rFonts w:hint="eastAsia" w:ascii="仿宋" w:hAnsi="仿宋" w:eastAsia="仿宋" w:cs="仿宋"/>
          <w:szCs w:val="24"/>
          <w:highlight w:val="none"/>
        </w:rPr>
      </w:pPr>
      <w:r>
        <w:rPr>
          <w:rFonts w:hint="eastAsia" w:ascii="仿宋" w:hAnsi="仿宋" w:eastAsia="仿宋" w:cs="仿宋"/>
          <w:szCs w:val="24"/>
          <w:highlight w:val="none"/>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pStyle w:val="3"/>
        <w:shd w:val="clear"/>
        <w:spacing w:before="0" w:after="0"/>
        <w:ind w:firstLine="482" w:firstLineChars="200"/>
        <w:jc w:val="left"/>
        <w:rPr>
          <w:rFonts w:hint="eastAsia" w:ascii="仿宋" w:hAnsi="仿宋" w:eastAsia="仿宋" w:cs="仿宋"/>
          <w:szCs w:val="24"/>
          <w:highlight w:val="none"/>
          <w:u w:val="single"/>
        </w:rPr>
      </w:pPr>
      <w:r>
        <w:rPr>
          <w:rFonts w:hint="eastAsia" w:ascii="仿宋" w:hAnsi="仿宋" w:eastAsia="仿宋" w:cs="仿宋"/>
          <w:szCs w:val="24"/>
          <w:highlight w:val="none"/>
        </w:rPr>
        <w:t>3.本项目核心产品为</w:t>
      </w:r>
      <w:r>
        <w:rPr>
          <w:rFonts w:hint="eastAsia" w:ascii="仿宋" w:hAnsi="仿宋" w:eastAsia="仿宋" w:cs="仿宋"/>
          <w:szCs w:val="24"/>
          <w:highlight w:val="none"/>
          <w:u w:val="single"/>
        </w:rPr>
        <w:t>：</w:t>
      </w:r>
      <w:r>
        <w:rPr>
          <w:rFonts w:hint="eastAsia" w:ascii="仿宋" w:hAnsi="仿宋" w:eastAsia="仿宋" w:cs="仿宋"/>
          <w:szCs w:val="24"/>
          <w:highlight w:val="none"/>
          <w:u w:val="single"/>
          <w:lang w:val="en-US" w:eastAsia="zh-CN"/>
        </w:rPr>
        <w:t xml:space="preserve">序号2 </w:t>
      </w:r>
      <w:r>
        <w:rPr>
          <w:rFonts w:hint="eastAsia" w:ascii="仿宋" w:hAnsi="仿宋" w:eastAsia="仿宋" w:cs="仿宋"/>
          <w:szCs w:val="24"/>
          <w:highlight w:val="none"/>
          <w:u w:val="single"/>
        </w:rPr>
        <w:t>二氧化碳。</w:t>
      </w:r>
    </w:p>
    <w:p>
      <w:pPr>
        <w:keepNext w:val="0"/>
        <w:keepLines w:val="0"/>
        <w:pageBreakBefore w:val="0"/>
        <w:widowControl/>
        <w:numPr>
          <w:ilvl w:val="0"/>
          <w:numId w:val="0"/>
        </w:numPr>
        <w:shd w:val="clear"/>
        <w:kinsoku/>
        <w:wordWrap/>
        <w:overflowPunct/>
        <w:topLinePunct w:val="0"/>
        <w:autoSpaceDE/>
        <w:autoSpaceDN/>
        <w:bidi w:val="0"/>
        <w:adjustRightInd/>
        <w:snapToGrid/>
        <w:spacing w:line="420" w:lineRule="exact"/>
        <w:textAlignment w:val="auto"/>
        <w:rPr>
          <w:rFonts w:hint="eastAsia" w:ascii="仿宋" w:hAnsi="仿宋" w:eastAsia="仿宋" w:cs="仿宋"/>
          <w:b/>
          <w:color w:val="auto"/>
          <w:szCs w:val="21"/>
          <w:highlight w:val="none"/>
        </w:rPr>
      </w:pPr>
    </w:p>
    <w:p>
      <w:pPr>
        <w:pStyle w:val="3"/>
        <w:shd w:val="clear"/>
        <w:spacing w:before="120" w:beforeLines="50" w:after="120" w:afterLines="50"/>
        <w:jc w:val="both"/>
        <w:rPr>
          <w:rFonts w:hint="eastAsia" w:ascii="仿宋" w:hAnsi="仿宋" w:eastAsia="仿宋" w:cs="仿宋"/>
          <w:szCs w:val="24"/>
          <w:highlight w:val="none"/>
        </w:rPr>
      </w:pPr>
      <w:r>
        <w:rPr>
          <w:rFonts w:hint="eastAsia" w:ascii="仿宋" w:hAnsi="仿宋" w:eastAsia="仿宋" w:cs="仿宋"/>
          <w:szCs w:val="24"/>
          <w:highlight w:val="none"/>
          <w:lang w:val="en-US" w:eastAsia="zh-CN"/>
        </w:rPr>
        <w:t>三</w:t>
      </w:r>
      <w:r>
        <w:rPr>
          <w:rFonts w:hint="eastAsia" w:ascii="仿宋" w:hAnsi="仿宋" w:eastAsia="仿宋" w:cs="仿宋"/>
          <w:szCs w:val="24"/>
          <w:highlight w:val="none"/>
        </w:rPr>
        <w:t>、实质性条款</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7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top"/>
          </w:tcPr>
          <w:p>
            <w:pPr>
              <w:keepNext w:val="0"/>
              <w:keepLines w:val="0"/>
              <w:widowControl/>
              <w:suppressLineNumbers w:val="0"/>
              <w:shd w:val="clear"/>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序号</w:t>
            </w:r>
          </w:p>
        </w:tc>
        <w:tc>
          <w:tcPr>
            <w:tcW w:w="4569" w:type="pct"/>
            <w:vAlign w:val="top"/>
          </w:tcPr>
          <w:p>
            <w:pPr>
              <w:keepNext w:val="0"/>
              <w:keepLines w:val="0"/>
              <w:widowControl/>
              <w:suppressLineNumbers w:val="0"/>
              <w:shd w:val="clear"/>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keepNext w:val="0"/>
              <w:keepLines w:val="0"/>
              <w:widowControl/>
              <w:numPr>
                <w:ilvl w:val="0"/>
                <w:numId w:val="0"/>
              </w:numPr>
              <w:suppressLineNumbers w:val="0"/>
              <w:shd w:val="clear"/>
              <w:spacing w:before="0" w:beforeAutospacing="0" w:after="0" w:afterAutospacing="0"/>
              <w:ind w:left="0" w:leftChars="0" w:right="0" w:firstLine="0" w:firstLineChars="0"/>
              <w:jc w:val="center"/>
              <w:rPr>
                <w:rFonts w:hint="eastAsia" w:ascii="仿宋" w:hAnsi="仿宋" w:eastAsia="仿宋" w:cs="仿宋"/>
                <w:kern w:val="0"/>
                <w:sz w:val="24"/>
                <w:szCs w:val="24"/>
                <w:highlight w:val="none"/>
              </w:rPr>
            </w:pPr>
            <w:r>
              <w:rPr>
                <w:rFonts w:hint="eastAsia" w:ascii="仿宋" w:hAnsi="仿宋" w:eastAsia="仿宋" w:cs="仿宋"/>
                <w:b w:val="0"/>
                <w:bCs/>
                <w:color w:val="auto"/>
                <w:kern w:val="2"/>
                <w:sz w:val="24"/>
                <w:szCs w:val="24"/>
                <w:highlight w:val="none"/>
                <w:vertAlign w:val="baseline"/>
                <w:lang w:val="en-US" w:eastAsia="zh-CN"/>
              </w:rPr>
              <w:t>1</w:t>
            </w:r>
          </w:p>
        </w:tc>
        <w:tc>
          <w:tcPr>
            <w:tcW w:w="4569" w:type="pct"/>
            <w:vAlign w:val="center"/>
          </w:tcPr>
          <w:p>
            <w:pPr>
              <w:keepNext w:val="0"/>
              <w:keepLines w:val="0"/>
              <w:widowControl/>
              <w:numPr>
                <w:ilvl w:val="0"/>
                <w:numId w:val="0"/>
              </w:numPr>
              <w:suppressLineNumbers w:val="0"/>
              <w:shd w:val="clear"/>
              <w:spacing w:before="0" w:beforeAutospacing="0" w:after="0" w:afterAutospacing="0"/>
              <w:ind w:left="0" w:leftChars="0" w:right="0" w:firstLine="0" w:firstLineChars="0"/>
              <w:jc w:val="both"/>
              <w:rPr>
                <w:rFonts w:hint="eastAsia" w:ascii="仿宋" w:hAnsi="仿宋" w:eastAsia="仿宋" w:cs="仿宋"/>
                <w:kern w:val="0"/>
                <w:sz w:val="24"/>
                <w:szCs w:val="24"/>
                <w:highlight w:val="none"/>
              </w:rPr>
            </w:pPr>
            <w:r>
              <w:rPr>
                <w:rFonts w:hint="eastAsia" w:ascii="仿宋" w:hAnsi="仿宋" w:eastAsia="仿宋" w:cs="仿宋"/>
                <w:b/>
                <w:color w:val="auto"/>
                <w:kern w:val="2"/>
                <w:sz w:val="24"/>
                <w:szCs w:val="24"/>
                <w:highlight w:val="none"/>
                <w:vertAlign w:val="baseline"/>
              </w:rPr>
              <w:t>★</w:t>
            </w:r>
            <w:r>
              <w:rPr>
                <w:rFonts w:hint="eastAsia" w:ascii="仿宋" w:hAnsi="仿宋" w:eastAsia="仿宋" w:cs="仿宋"/>
                <w:b w:val="0"/>
                <w:bCs/>
                <w:color w:val="auto"/>
                <w:kern w:val="2"/>
                <w:sz w:val="24"/>
                <w:szCs w:val="24"/>
                <w:highlight w:val="none"/>
                <w:vertAlign w:val="baseline"/>
              </w:rPr>
              <w:t>货物免费保修期至少2年， 时间自最终验收合格并交付使用之日起计算，由中标人提供产品保修文件。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keepNext w:val="0"/>
              <w:keepLines w:val="0"/>
              <w:widowControl/>
              <w:numPr>
                <w:ilvl w:val="0"/>
                <w:numId w:val="0"/>
              </w:numPr>
              <w:suppressLineNumbers w:val="0"/>
              <w:shd w:val="clear"/>
              <w:spacing w:before="0" w:beforeAutospacing="0" w:after="0" w:afterAutospacing="0"/>
              <w:ind w:left="0" w:leftChars="0" w:right="0" w:firstLine="0" w:firstLineChars="0"/>
              <w:jc w:val="center"/>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2</w:t>
            </w:r>
          </w:p>
        </w:tc>
        <w:tc>
          <w:tcPr>
            <w:tcW w:w="4569" w:type="pct"/>
            <w:vAlign w:val="center"/>
          </w:tcPr>
          <w:p>
            <w:pPr>
              <w:keepNext w:val="0"/>
              <w:keepLines w:val="0"/>
              <w:widowControl/>
              <w:numPr>
                <w:ilvl w:val="0"/>
                <w:numId w:val="0"/>
              </w:numPr>
              <w:suppressLineNumbers w:val="0"/>
              <w:shd w:val="clear"/>
              <w:spacing w:before="0" w:beforeAutospacing="0" w:after="0" w:afterAutospacing="0"/>
              <w:ind w:left="0" w:leftChars="0" w:right="0" w:firstLine="0" w:firstLineChars="0"/>
              <w:jc w:val="both"/>
              <w:rPr>
                <w:rFonts w:hint="eastAsia" w:ascii="仿宋" w:hAnsi="仿宋" w:eastAsia="仿宋" w:cs="仿宋"/>
                <w:sz w:val="24"/>
                <w:szCs w:val="24"/>
                <w:highlight w:val="none"/>
              </w:rPr>
            </w:pPr>
            <w:r>
              <w:rPr>
                <w:rFonts w:hint="eastAsia" w:ascii="仿宋" w:hAnsi="仿宋" w:eastAsia="仿宋" w:cs="仿宋"/>
                <w:kern w:val="2"/>
                <w:sz w:val="24"/>
                <w:szCs w:val="24"/>
                <w:highlight w:val="none"/>
              </w:rPr>
              <w:t>★服务期限：2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keepNext w:val="0"/>
              <w:keepLines w:val="0"/>
              <w:widowControl/>
              <w:numPr>
                <w:ilvl w:val="0"/>
                <w:numId w:val="0"/>
              </w:numPr>
              <w:suppressLineNumbers w:val="0"/>
              <w:shd w:val="clear"/>
              <w:spacing w:before="0" w:beforeAutospacing="0" w:after="0" w:afterAutospacing="0"/>
              <w:ind w:left="0" w:leftChars="0" w:right="0" w:firstLine="0" w:firstLineChars="0"/>
              <w:jc w:val="center"/>
              <w:rPr>
                <w:rFonts w:hint="eastAsia" w:ascii="仿宋" w:hAnsi="仿宋" w:eastAsia="仿宋" w:cs="仿宋"/>
                <w:kern w:val="0"/>
                <w:sz w:val="24"/>
                <w:szCs w:val="24"/>
                <w:highlight w:val="none"/>
              </w:rPr>
            </w:pPr>
            <w:r>
              <w:rPr>
                <w:rFonts w:hint="eastAsia" w:ascii="仿宋" w:hAnsi="仿宋" w:eastAsia="仿宋" w:cs="仿宋"/>
                <w:color w:val="000000"/>
                <w:kern w:val="0"/>
                <w:sz w:val="24"/>
                <w:szCs w:val="24"/>
                <w:highlight w:val="none"/>
                <w:lang w:val="en-US" w:eastAsia="zh-CN"/>
              </w:rPr>
              <w:t>3</w:t>
            </w:r>
          </w:p>
        </w:tc>
        <w:tc>
          <w:tcPr>
            <w:tcW w:w="4569" w:type="pct"/>
            <w:vAlign w:val="center"/>
          </w:tcPr>
          <w:p>
            <w:pPr>
              <w:keepNext w:val="0"/>
              <w:keepLines w:val="0"/>
              <w:widowControl/>
              <w:numPr>
                <w:ilvl w:val="0"/>
                <w:numId w:val="0"/>
              </w:numPr>
              <w:suppressLineNumbers w:val="0"/>
              <w:shd w:val="clear"/>
              <w:spacing w:before="0" w:beforeAutospacing="0" w:after="0" w:afterAutospacing="0"/>
              <w:ind w:left="0" w:leftChars="0" w:right="0" w:firstLine="0" w:firstLineChars="0"/>
              <w:jc w:val="both"/>
              <w:rPr>
                <w:rFonts w:hint="eastAsia" w:ascii="仿宋" w:hAnsi="仿宋" w:eastAsia="仿宋" w:cs="仿宋"/>
                <w:sz w:val="24"/>
                <w:szCs w:val="24"/>
                <w:highlight w:val="none"/>
              </w:rPr>
            </w:pPr>
            <w:r>
              <w:rPr>
                <w:rFonts w:hint="eastAsia" w:ascii="仿宋" w:hAnsi="仿宋" w:eastAsia="仿宋" w:cs="仿宋"/>
                <w:kern w:val="2"/>
                <w:sz w:val="24"/>
                <w:szCs w:val="24"/>
                <w:highlight w:val="none"/>
              </w:rPr>
              <w:t>★交货期：签订合同后</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rPr>
              <w:t>根据实际采购需求，在</w:t>
            </w:r>
            <w:r>
              <w:rPr>
                <w:rFonts w:hint="eastAsia" w:ascii="仿宋" w:hAnsi="仿宋" w:eastAsia="仿宋" w:cs="仿宋"/>
                <w:kern w:val="2"/>
                <w:sz w:val="24"/>
                <w:szCs w:val="24"/>
                <w:highlight w:val="none"/>
                <w:lang w:val="en-US" w:eastAsia="zh-CN"/>
              </w:rPr>
              <w:t>收到采购人送货通知后</w:t>
            </w:r>
            <w:r>
              <w:rPr>
                <w:rFonts w:hint="eastAsia" w:ascii="仿宋" w:hAnsi="仿宋" w:eastAsia="仿宋" w:cs="仿宋"/>
                <w:kern w:val="2"/>
                <w:sz w:val="24"/>
                <w:szCs w:val="24"/>
                <w:highlight w:val="none"/>
              </w:rPr>
              <w:t>72小时以内送达。中标人应按照采购人每月的采购需求数量，做到分批分次不定时送货。</w:t>
            </w:r>
          </w:p>
        </w:tc>
      </w:tr>
    </w:tbl>
    <w:p>
      <w:pPr>
        <w:pStyle w:val="5"/>
        <w:keepNext/>
        <w:keepLines/>
        <w:pageBreakBefore w:val="0"/>
        <w:widowControl w:val="0"/>
        <w:shd w:val="clear"/>
        <w:tabs>
          <w:tab w:val="left" w:pos="765"/>
        </w:tabs>
        <w:kinsoku/>
        <w:wordWrap/>
        <w:overflowPunct/>
        <w:topLinePunct w:val="0"/>
        <w:autoSpaceDE/>
        <w:autoSpaceDN/>
        <w:bidi w:val="0"/>
        <w:adjustRightInd/>
        <w:snapToGrid/>
        <w:spacing w:before="0" w:after="0" w:line="360" w:lineRule="auto"/>
        <w:textAlignment w:val="auto"/>
        <w:rPr>
          <w:rFonts w:hint="eastAsia" w:ascii="仿宋" w:hAnsi="仿宋" w:eastAsia="仿宋" w:cs="仿宋"/>
          <w:b/>
          <w:bCs w:val="0"/>
          <w:kern w:val="0"/>
          <w:sz w:val="24"/>
          <w:szCs w:val="24"/>
          <w:highlight w:val="none"/>
        </w:rPr>
      </w:pPr>
      <w:r>
        <w:rPr>
          <w:rFonts w:hint="eastAsia" w:ascii="仿宋" w:hAnsi="仿宋" w:eastAsia="仿宋" w:cs="仿宋"/>
          <w:b/>
          <w:bCs w:val="0"/>
          <w:kern w:val="0"/>
          <w:sz w:val="24"/>
          <w:szCs w:val="24"/>
          <w:highlight w:val="none"/>
        </w:rPr>
        <w:t>注：上表所列内容为不可负偏离条款，负偏离将视为未实质性满足招标文件要求作投标无效处理。</w:t>
      </w:r>
    </w:p>
    <w:p>
      <w:pPr>
        <w:keepNext w:val="0"/>
        <w:keepLines w:val="0"/>
        <w:pageBreakBefore w:val="0"/>
        <w:widowControl/>
        <w:numPr>
          <w:ilvl w:val="0"/>
          <w:numId w:val="0"/>
        </w:numPr>
        <w:shd w:val="clear"/>
        <w:kinsoku/>
        <w:wordWrap/>
        <w:overflowPunct/>
        <w:topLinePunct w:val="0"/>
        <w:autoSpaceDE/>
        <w:autoSpaceDN/>
        <w:bidi w:val="0"/>
        <w:adjustRightInd/>
        <w:snapToGrid/>
        <w:spacing w:line="420" w:lineRule="exact"/>
        <w:textAlignment w:val="auto"/>
        <w:rPr>
          <w:rFonts w:hint="eastAsia" w:ascii="仿宋" w:hAnsi="仿宋" w:eastAsia="仿宋" w:cs="仿宋"/>
          <w:b/>
          <w:color w:val="auto"/>
          <w:szCs w:val="21"/>
          <w:highlight w:val="none"/>
        </w:rPr>
      </w:pPr>
    </w:p>
    <w:p>
      <w:pPr>
        <w:keepNext w:val="0"/>
        <w:keepLines w:val="0"/>
        <w:pageBreakBefore w:val="0"/>
        <w:widowControl/>
        <w:numPr>
          <w:ilvl w:val="0"/>
          <w:numId w:val="0"/>
        </w:numPr>
        <w:shd w:val="clear"/>
        <w:kinsoku/>
        <w:wordWrap/>
        <w:overflowPunct/>
        <w:topLinePunct w:val="0"/>
        <w:autoSpaceDE/>
        <w:autoSpaceDN/>
        <w:bidi w:val="0"/>
        <w:adjustRightInd/>
        <w:snapToGrid/>
        <w:spacing w:line="420" w:lineRule="exact"/>
        <w:textAlignment w:val="auto"/>
        <w:rPr>
          <w:rFonts w:hint="eastAsia" w:ascii="仿宋" w:hAnsi="仿宋" w:eastAsia="仿宋" w:cs="仿宋"/>
          <w:b/>
          <w:color w:val="auto"/>
          <w:szCs w:val="21"/>
          <w:highlight w:val="none"/>
        </w:rPr>
      </w:pPr>
    </w:p>
    <w:p>
      <w:pPr>
        <w:shd w:val="clear"/>
        <w:jc w:val="left"/>
        <w:outlineLvl w:val="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kern w:val="2"/>
          <w:sz w:val="24"/>
          <w:szCs w:val="24"/>
          <w:highlight w:val="none"/>
          <w:lang w:val="en-US" w:eastAsia="zh-CN" w:bidi="ar-SA"/>
        </w:rPr>
        <w:t>四、</w:t>
      </w:r>
      <w:r>
        <w:rPr>
          <w:rFonts w:hint="eastAsia" w:ascii="仿宋" w:hAnsi="仿宋" w:eastAsia="仿宋" w:cs="仿宋"/>
          <w:b/>
          <w:bCs w:val="0"/>
          <w:kern w:val="0"/>
          <w:sz w:val="24"/>
          <w:szCs w:val="24"/>
          <w:highlight w:val="none"/>
          <w:lang w:val="en-US" w:eastAsia="zh-CN" w:bidi="ar-SA"/>
        </w:rPr>
        <w:t>技术要求</w:t>
      </w:r>
    </w:p>
    <w:p>
      <w:pPr>
        <w:widowControl/>
        <w:shd w:val="clear"/>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说明： 1、评分时，如对一项招标技术要求（以划分框为准，一个划分框作为一项招标技术要求）中的内容存在两处（或以上）负偏离的，在评分时只作一项负偏离扣分。</w:t>
      </w:r>
    </w:p>
    <w:p>
      <w:pPr>
        <w:widowControl/>
        <w:shd w:val="clear"/>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2、带“★”指标项为实质性条款，如出现负偏离，将被视为未实质性满足招标文件要求作投标无效处理；带“▲”指标项为重要参数条款，负偏离时依相关评分准则内容作重点扣分处理。</w:t>
      </w:r>
    </w:p>
    <w:p>
      <w:pPr>
        <w:widowControl/>
        <w:shd w:val="clear"/>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3、招标技术要求中指标项要求提供证明材料的需按照要求提供证明材料，未要求提供证明资料无需提供相关证明资料。</w:t>
      </w:r>
    </w:p>
    <w:p>
      <w:pPr>
        <w:widowControl/>
        <w:shd w:val="clear"/>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4、涉及区间的技术要求，除特别注明以外，均包含首尾两端本数，所投产品参数区间范围涵盖对应的区间即认定为满足该项技术要求，产品参数区间与招标要求不一致的均视为负偏离。例：</w:t>
      </w:r>
    </w:p>
    <w:p>
      <w:pPr>
        <w:widowControl/>
        <w:shd w:val="clear"/>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（1）“20L”（凡是响应内容与该数值不一致者，均视为负偏离）；</w:t>
      </w:r>
    </w:p>
    <w:p>
      <w:pPr>
        <w:widowControl/>
        <w:shd w:val="clear"/>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（2）“H≥6m”（凡是响应内容存在小于6m可能情形的均视为负偏离）；</w:t>
      </w:r>
    </w:p>
    <w:p>
      <w:pPr>
        <w:widowControl/>
        <w:shd w:val="clear"/>
        <w:ind w:firstLine="480" w:firstLineChars="200"/>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（3）区间要求为0-20ML,只要响应的不是广于等于“0-20ML”，如投标文件响应为 0-15ML、1-12ML 、 9-20ML 、6-21ML 、9ML 等情形均视为负偏离。</w:t>
      </w:r>
    </w:p>
    <w:p>
      <w:pPr>
        <w:pStyle w:val="12"/>
        <w:keepNext w:val="0"/>
        <w:keepLines w:val="0"/>
        <w:pageBreakBefore w:val="0"/>
        <w:widowControl w:val="0"/>
        <w:numPr>
          <w:ilvl w:val="0"/>
          <w:numId w:val="0"/>
        </w:numPr>
        <w:shd w:val="clear"/>
        <w:tabs>
          <w:tab w:val="left" w:pos="420"/>
          <w:tab w:val="left" w:pos="540"/>
        </w:tabs>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color w:val="auto"/>
          <w:sz w:val="24"/>
          <w:szCs w:val="24"/>
          <w:highlight w:val="none"/>
          <w:lang w:val="en-US" w:eastAsia="zh-CN"/>
        </w:rPr>
      </w:pPr>
    </w:p>
    <w:tbl>
      <w:tblPr>
        <w:tblStyle w:val="21"/>
        <w:tblW w:w="4998" w:type="pct"/>
        <w:jc w:val="center"/>
        <w:shd w:val="clear" w:color="auto" w:fill="auto"/>
        <w:tblLayout w:type="autofit"/>
        <w:tblCellMar>
          <w:top w:w="0" w:type="dxa"/>
          <w:left w:w="0" w:type="dxa"/>
          <w:bottom w:w="0" w:type="dxa"/>
          <w:right w:w="0" w:type="dxa"/>
        </w:tblCellMar>
      </w:tblPr>
      <w:tblGrid>
        <w:gridCol w:w="693"/>
        <w:gridCol w:w="2027"/>
        <w:gridCol w:w="5613"/>
      </w:tblGrid>
      <w:tr>
        <w:tblPrEx>
          <w:tblCellMar>
            <w:top w:w="0" w:type="dxa"/>
            <w:left w:w="0" w:type="dxa"/>
            <w:bottom w:w="0" w:type="dxa"/>
            <w:right w:w="0" w:type="dxa"/>
          </w:tblCellMar>
        </w:tblPrEx>
        <w:trPr>
          <w:trHeight w:val="283" w:hRule="atLeast"/>
          <w:jc w:val="center"/>
        </w:trPr>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序号</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lang w:val="en-US" w:eastAsia="zh-CN"/>
              </w:rPr>
              <w:t>货物</w:t>
            </w:r>
            <w:r>
              <w:rPr>
                <w:rFonts w:hint="eastAsia" w:ascii="仿宋" w:hAnsi="仿宋" w:eastAsia="仿宋" w:cs="仿宋"/>
                <w:b w:val="0"/>
                <w:bCs w:val="0"/>
                <w:szCs w:val="21"/>
                <w:highlight w:val="none"/>
              </w:rPr>
              <w:t>名称</w:t>
            </w:r>
          </w:p>
        </w:tc>
        <w:tc>
          <w:tcPr>
            <w:tcW w:w="33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招标技术要求</w:t>
            </w:r>
          </w:p>
        </w:tc>
      </w:tr>
      <w:tr>
        <w:tblPrEx>
          <w:tblCellMar>
            <w:top w:w="0" w:type="dxa"/>
            <w:left w:w="0" w:type="dxa"/>
            <w:bottom w:w="0" w:type="dxa"/>
            <w:right w:w="0" w:type="dxa"/>
          </w:tblCellMar>
        </w:tblPrEx>
        <w:trPr>
          <w:trHeight w:val="283" w:hRule="atLeast"/>
          <w:jc w:val="center"/>
        </w:trPr>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纯氩</w:t>
            </w:r>
          </w:p>
        </w:tc>
        <w:tc>
          <w:tcPr>
            <w:tcW w:w="33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纯度≥99.99%.150bar</w:t>
            </w:r>
          </w:p>
        </w:tc>
      </w:tr>
      <w:tr>
        <w:tblPrEx>
          <w:shd w:val="clear" w:color="auto" w:fill="auto"/>
          <w:tblCellMar>
            <w:top w:w="0" w:type="dxa"/>
            <w:left w:w="0" w:type="dxa"/>
            <w:bottom w:w="0" w:type="dxa"/>
            <w:right w:w="0" w:type="dxa"/>
          </w:tblCellMar>
        </w:tblPrEx>
        <w:trPr>
          <w:trHeight w:val="283" w:hRule="atLeast"/>
          <w:jc w:val="center"/>
        </w:trPr>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二氧化碳</w:t>
            </w:r>
          </w:p>
        </w:tc>
        <w:tc>
          <w:tcPr>
            <w:tcW w:w="33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lang w:val="en-US"/>
              </w:rPr>
            </w:pPr>
            <w:r>
              <w:rPr>
                <w:rFonts w:hint="eastAsia" w:ascii="仿宋" w:hAnsi="仿宋" w:eastAsia="仿宋" w:cs="仿宋"/>
                <w:b w:val="0"/>
                <w:bCs w:val="0"/>
                <w:i w:val="0"/>
                <w:iCs w:val="0"/>
                <w:color w:val="000000"/>
                <w:kern w:val="0"/>
                <w:sz w:val="24"/>
                <w:szCs w:val="24"/>
                <w:highlight w:val="none"/>
                <w:u w:val="none"/>
                <w:lang w:val="en-US" w:eastAsia="zh-CN" w:bidi="ar"/>
              </w:rPr>
              <w:t>纯度≥99.5%.25kg</w:t>
            </w:r>
          </w:p>
        </w:tc>
      </w:tr>
      <w:tr>
        <w:tblPrEx>
          <w:shd w:val="clear" w:color="auto" w:fill="auto"/>
          <w:tblCellMar>
            <w:top w:w="0" w:type="dxa"/>
            <w:left w:w="0" w:type="dxa"/>
            <w:bottom w:w="0" w:type="dxa"/>
            <w:right w:w="0" w:type="dxa"/>
          </w:tblCellMar>
        </w:tblPrEx>
        <w:trPr>
          <w:trHeight w:val="283" w:hRule="atLeast"/>
          <w:jc w:val="center"/>
        </w:trPr>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高纯二氧化碳</w:t>
            </w:r>
          </w:p>
        </w:tc>
        <w:tc>
          <w:tcPr>
            <w:tcW w:w="33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纯度≥99.995%.6kg</w:t>
            </w:r>
          </w:p>
        </w:tc>
      </w:tr>
      <w:tr>
        <w:tblPrEx>
          <w:tblCellMar>
            <w:top w:w="0" w:type="dxa"/>
            <w:left w:w="0" w:type="dxa"/>
            <w:bottom w:w="0" w:type="dxa"/>
            <w:right w:w="0" w:type="dxa"/>
          </w:tblCellMar>
        </w:tblPrEx>
        <w:trPr>
          <w:trHeight w:val="283" w:hRule="atLeast"/>
          <w:jc w:val="center"/>
        </w:trPr>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lang w:eastAsia="zh-CN"/>
              </w:rPr>
            </w:pPr>
            <w:r>
              <w:rPr>
                <w:rFonts w:hint="eastAsia" w:ascii="仿宋" w:hAnsi="仿宋" w:eastAsia="仿宋" w:cs="仿宋"/>
                <w:b w:val="0"/>
                <w:bCs w:val="0"/>
                <w:i w:val="0"/>
                <w:iCs w:val="0"/>
                <w:color w:val="000000"/>
                <w:kern w:val="0"/>
                <w:sz w:val="24"/>
                <w:szCs w:val="24"/>
                <w:highlight w:val="none"/>
                <w:u w:val="none"/>
                <w:lang w:val="en-US" w:eastAsia="zh-CN" w:bidi="ar"/>
              </w:rPr>
              <w:t>高纯氦</w:t>
            </w:r>
          </w:p>
        </w:tc>
        <w:tc>
          <w:tcPr>
            <w:tcW w:w="33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lang w:eastAsia="zh-CN"/>
              </w:rPr>
            </w:pPr>
            <w:r>
              <w:rPr>
                <w:rFonts w:hint="eastAsia" w:ascii="仿宋" w:hAnsi="仿宋" w:eastAsia="仿宋" w:cs="仿宋"/>
                <w:b w:val="0"/>
                <w:bCs w:val="0"/>
                <w:i w:val="0"/>
                <w:iCs w:val="0"/>
                <w:color w:val="000000"/>
                <w:kern w:val="0"/>
                <w:sz w:val="24"/>
                <w:szCs w:val="24"/>
                <w:highlight w:val="none"/>
                <w:u w:val="none"/>
                <w:lang w:val="en-US" w:eastAsia="zh-CN" w:bidi="ar"/>
              </w:rPr>
              <w:t>纯度≥99.999%.100Bar</w:t>
            </w:r>
          </w:p>
        </w:tc>
      </w:tr>
      <w:tr>
        <w:tblPrEx>
          <w:tblCellMar>
            <w:top w:w="0" w:type="dxa"/>
            <w:left w:w="0" w:type="dxa"/>
            <w:bottom w:w="0" w:type="dxa"/>
            <w:right w:w="0" w:type="dxa"/>
          </w:tblCellMar>
        </w:tblPrEx>
        <w:trPr>
          <w:trHeight w:val="283" w:hRule="atLeast"/>
          <w:jc w:val="center"/>
        </w:trPr>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高纯氩</w:t>
            </w:r>
          </w:p>
        </w:tc>
        <w:tc>
          <w:tcPr>
            <w:tcW w:w="33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纯度≥99.999%.150bar</w:t>
            </w:r>
          </w:p>
        </w:tc>
      </w:tr>
      <w:tr>
        <w:tblPrEx>
          <w:tblCellMar>
            <w:top w:w="0" w:type="dxa"/>
            <w:left w:w="0" w:type="dxa"/>
            <w:bottom w:w="0" w:type="dxa"/>
            <w:right w:w="0" w:type="dxa"/>
          </w:tblCellMar>
        </w:tblPrEx>
        <w:trPr>
          <w:trHeight w:val="283" w:hRule="atLeast"/>
          <w:jc w:val="center"/>
        </w:trPr>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工业氮</w:t>
            </w:r>
          </w:p>
        </w:tc>
        <w:tc>
          <w:tcPr>
            <w:tcW w:w="33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lang w:eastAsia="zh-CN"/>
              </w:rPr>
            </w:pPr>
            <w:r>
              <w:rPr>
                <w:rFonts w:hint="eastAsia" w:ascii="仿宋" w:hAnsi="仿宋" w:eastAsia="仿宋" w:cs="仿宋"/>
                <w:b w:val="0"/>
                <w:bCs w:val="0"/>
                <w:i w:val="0"/>
                <w:iCs w:val="0"/>
                <w:color w:val="000000"/>
                <w:kern w:val="0"/>
                <w:sz w:val="24"/>
                <w:szCs w:val="24"/>
                <w:highlight w:val="none"/>
                <w:u w:val="none"/>
                <w:lang w:val="en-US" w:eastAsia="zh-CN" w:bidi="ar"/>
              </w:rPr>
              <w:t>纯度≥99.2%.150bar</w:t>
            </w:r>
          </w:p>
        </w:tc>
      </w:tr>
      <w:tr>
        <w:tblPrEx>
          <w:tblCellMar>
            <w:top w:w="0" w:type="dxa"/>
            <w:left w:w="0" w:type="dxa"/>
            <w:bottom w:w="0" w:type="dxa"/>
            <w:right w:w="0" w:type="dxa"/>
          </w:tblCellMar>
        </w:tblPrEx>
        <w:trPr>
          <w:trHeight w:val="283" w:hRule="atLeast"/>
          <w:jc w:val="center"/>
        </w:trPr>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混合气1</w:t>
            </w:r>
          </w:p>
        </w:tc>
        <w:tc>
          <w:tcPr>
            <w:tcW w:w="33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0.3%CO 0.3%CH4 0.3%C2H2 21%O2 平衡气N2.100bar</w:t>
            </w:r>
          </w:p>
        </w:tc>
      </w:tr>
      <w:tr>
        <w:tblPrEx>
          <w:shd w:val="clear" w:color="auto" w:fill="auto"/>
          <w:tblCellMar>
            <w:top w:w="0" w:type="dxa"/>
            <w:left w:w="0" w:type="dxa"/>
            <w:bottom w:w="0" w:type="dxa"/>
            <w:right w:w="0" w:type="dxa"/>
          </w:tblCellMar>
        </w:tblPrEx>
        <w:trPr>
          <w:trHeight w:val="283" w:hRule="atLeast"/>
          <w:jc w:val="center"/>
        </w:trPr>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混合气2</w:t>
            </w:r>
          </w:p>
        </w:tc>
        <w:tc>
          <w:tcPr>
            <w:tcW w:w="33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0.3%CO 0.3%CH4 21%O2 平衡气 N2.100bar</w:t>
            </w:r>
          </w:p>
        </w:tc>
      </w:tr>
      <w:tr>
        <w:tblPrEx>
          <w:tblCellMar>
            <w:top w:w="0" w:type="dxa"/>
            <w:left w:w="0" w:type="dxa"/>
            <w:bottom w:w="0" w:type="dxa"/>
            <w:right w:w="0" w:type="dxa"/>
          </w:tblCellMar>
        </w:tblPrEx>
        <w:trPr>
          <w:trHeight w:val="283" w:hRule="atLeast"/>
          <w:jc w:val="center"/>
        </w:trPr>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9</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混合气3</w:t>
            </w:r>
          </w:p>
        </w:tc>
        <w:tc>
          <w:tcPr>
            <w:tcW w:w="33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26%O2 平衡气N2</w:t>
            </w:r>
          </w:p>
        </w:tc>
      </w:tr>
      <w:tr>
        <w:tblPrEx>
          <w:tblCellMar>
            <w:top w:w="0" w:type="dxa"/>
            <w:left w:w="0" w:type="dxa"/>
            <w:bottom w:w="0" w:type="dxa"/>
            <w:right w:w="0" w:type="dxa"/>
          </w:tblCellMar>
        </w:tblPrEx>
        <w:trPr>
          <w:trHeight w:val="283" w:hRule="atLeast"/>
          <w:jc w:val="center"/>
        </w:trPr>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szCs w:val="21"/>
                <w:highlight w:val="none"/>
              </w:rPr>
            </w:pPr>
            <w:r>
              <w:rPr>
                <w:rFonts w:hint="eastAsia" w:ascii="仿宋" w:hAnsi="仿宋" w:eastAsia="仿宋" w:cs="仿宋"/>
                <w:szCs w:val="21"/>
                <w:highlight w:val="none"/>
              </w:rPr>
              <w:t>10</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lang w:eastAsia="zh-CN"/>
              </w:rPr>
            </w:pPr>
            <w:r>
              <w:rPr>
                <w:rFonts w:hint="eastAsia" w:ascii="仿宋" w:hAnsi="仿宋" w:eastAsia="仿宋" w:cs="仿宋"/>
                <w:b w:val="0"/>
                <w:bCs w:val="0"/>
                <w:i w:val="0"/>
                <w:iCs w:val="0"/>
                <w:color w:val="000000"/>
                <w:kern w:val="0"/>
                <w:sz w:val="24"/>
                <w:szCs w:val="24"/>
                <w:highlight w:val="none"/>
                <w:u w:val="none"/>
                <w:lang w:val="en-US" w:eastAsia="zh-CN" w:bidi="ar"/>
              </w:rPr>
              <w:t>混合气4</w:t>
            </w:r>
          </w:p>
        </w:tc>
        <w:tc>
          <w:tcPr>
            <w:tcW w:w="33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4%CO2 16%O2 平衡气 N2.100bar</w:t>
            </w:r>
          </w:p>
        </w:tc>
      </w:tr>
      <w:tr>
        <w:tblPrEx>
          <w:tblCellMar>
            <w:top w:w="0" w:type="dxa"/>
            <w:left w:w="0" w:type="dxa"/>
            <w:bottom w:w="0" w:type="dxa"/>
            <w:right w:w="0" w:type="dxa"/>
          </w:tblCellMar>
        </w:tblPrEx>
        <w:trPr>
          <w:trHeight w:val="283" w:hRule="atLeast"/>
          <w:jc w:val="center"/>
        </w:trPr>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11</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混合气5</w:t>
            </w:r>
          </w:p>
        </w:tc>
        <w:tc>
          <w:tcPr>
            <w:tcW w:w="33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5%CO2 15%O2 平衡气 N2.100bar</w:t>
            </w:r>
          </w:p>
        </w:tc>
      </w:tr>
      <w:tr>
        <w:tblPrEx>
          <w:tblCellMar>
            <w:top w:w="0" w:type="dxa"/>
            <w:left w:w="0" w:type="dxa"/>
            <w:bottom w:w="0" w:type="dxa"/>
            <w:right w:w="0" w:type="dxa"/>
          </w:tblCellMar>
        </w:tblPrEx>
        <w:trPr>
          <w:trHeight w:val="283" w:hRule="atLeast"/>
          <w:jc w:val="center"/>
        </w:trPr>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line="360" w:lineRule="auto"/>
              <w:ind w:left="0" w:right="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12</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混合气6</w:t>
            </w:r>
          </w:p>
        </w:tc>
        <w:tc>
          <w:tcPr>
            <w:tcW w:w="33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800ppmNO 平衡气 N2.100bar</w:t>
            </w:r>
          </w:p>
        </w:tc>
      </w:tr>
      <w:tr>
        <w:tblPrEx>
          <w:tblCellMar>
            <w:top w:w="0" w:type="dxa"/>
            <w:left w:w="0" w:type="dxa"/>
            <w:bottom w:w="0" w:type="dxa"/>
            <w:right w:w="0" w:type="dxa"/>
          </w:tblCellMar>
        </w:tblPrEx>
        <w:trPr>
          <w:trHeight w:val="283" w:hRule="atLeast"/>
          <w:jc w:val="center"/>
        </w:trPr>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line="360" w:lineRule="auto"/>
              <w:ind w:left="0" w:right="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13</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液态氮</w:t>
            </w:r>
          </w:p>
        </w:tc>
        <w:tc>
          <w:tcPr>
            <w:tcW w:w="33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纯度≥99.999%.杜瓦罐.低压</w:t>
            </w:r>
          </w:p>
        </w:tc>
      </w:tr>
      <w:tr>
        <w:tblPrEx>
          <w:tblCellMar>
            <w:top w:w="0" w:type="dxa"/>
            <w:left w:w="0" w:type="dxa"/>
            <w:bottom w:w="0" w:type="dxa"/>
            <w:right w:w="0" w:type="dxa"/>
          </w:tblCellMar>
        </w:tblPrEx>
        <w:trPr>
          <w:trHeight w:val="283" w:hRule="atLeast"/>
          <w:jc w:val="center"/>
        </w:trPr>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line="360" w:lineRule="auto"/>
              <w:ind w:left="0" w:right="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14</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乙炔</w:t>
            </w:r>
          </w:p>
        </w:tc>
        <w:tc>
          <w:tcPr>
            <w:tcW w:w="33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纯度≥98%.5kg</w:t>
            </w:r>
          </w:p>
        </w:tc>
      </w:tr>
      <w:tr>
        <w:tblPrEx>
          <w:shd w:val="clear" w:color="auto" w:fill="auto"/>
          <w:tblCellMar>
            <w:top w:w="0" w:type="dxa"/>
            <w:left w:w="0" w:type="dxa"/>
            <w:bottom w:w="0" w:type="dxa"/>
            <w:right w:w="0" w:type="dxa"/>
          </w:tblCellMar>
        </w:tblPrEx>
        <w:trPr>
          <w:trHeight w:val="283" w:hRule="atLeast"/>
          <w:jc w:val="center"/>
        </w:trPr>
        <w:tc>
          <w:tcPr>
            <w:tcW w:w="4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line="360" w:lineRule="auto"/>
              <w:ind w:left="0" w:right="0"/>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15</w:t>
            </w:r>
          </w:p>
        </w:tc>
        <w:tc>
          <w:tcPr>
            <w:tcW w:w="12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租赁配套钢瓶</w:t>
            </w:r>
          </w:p>
        </w:tc>
        <w:tc>
          <w:tcPr>
            <w:tcW w:w="33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color w:val="000000"/>
                <w:kern w:val="0"/>
                <w:szCs w:val="24"/>
                <w:highlight w:val="none"/>
                <w:u w:val="none"/>
                <w:lang w:val="en-US" w:eastAsia="zh-CN" w:bidi="ar"/>
              </w:rPr>
              <w:t>钢瓶符合相关国家和行业标准</w:t>
            </w:r>
          </w:p>
        </w:tc>
      </w:tr>
    </w:tbl>
    <w:p>
      <w:pPr>
        <w:shd w:val="clear"/>
        <w:rPr>
          <w:rFonts w:hint="eastAsia" w:ascii="仿宋" w:hAnsi="仿宋" w:eastAsia="仿宋" w:cs="仿宋"/>
          <w:b/>
          <w:bCs/>
          <w:spacing w:val="6"/>
          <w:sz w:val="24"/>
          <w:szCs w:val="24"/>
          <w:highlight w:val="none"/>
          <w:lang w:val="en-US" w:eastAsia="zh-CN"/>
        </w:rPr>
      </w:pPr>
    </w:p>
    <w:p>
      <w:pPr>
        <w:numPr>
          <w:ilvl w:val="0"/>
          <w:numId w:val="0"/>
        </w:numPr>
        <w:shd w:val="clear"/>
        <w:rPr>
          <w:rFonts w:hint="eastAsia" w:ascii="仿宋" w:hAnsi="仿宋" w:eastAsia="仿宋" w:cs="仿宋"/>
          <w:b/>
          <w:color w:val="auto"/>
          <w:sz w:val="24"/>
          <w:szCs w:val="24"/>
          <w:highlight w:val="none"/>
        </w:rPr>
      </w:pPr>
    </w:p>
    <w:p>
      <w:pPr>
        <w:keepNext w:val="0"/>
        <w:keepLines w:val="0"/>
        <w:widowControl/>
        <w:numPr>
          <w:ilvl w:val="0"/>
          <w:numId w:val="0"/>
        </w:numPr>
        <w:suppressLineNumbers w:val="0"/>
        <w:shd w:val="clear"/>
        <w:jc w:val="left"/>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五、商务要求</w:t>
      </w:r>
    </w:p>
    <w:p>
      <w:pPr>
        <w:pStyle w:val="8"/>
        <w:numPr>
          <w:ilvl w:val="0"/>
          <w:numId w:val="0"/>
        </w:numPr>
        <w:shd w:val="clear"/>
        <w:ind w:firstLine="480" w:firstLineChars="200"/>
        <w:rPr>
          <w:rFonts w:hint="eastAsia" w:ascii="仿宋" w:hAnsi="仿宋" w:eastAsia="仿宋" w:cs="仿宋"/>
          <w:color w:val="000000"/>
          <w:kern w:val="0"/>
          <w:sz w:val="24"/>
          <w:szCs w:val="24"/>
          <w:highlight w:val="none"/>
          <w:lang w:val="en-US" w:eastAsia="zh-CN" w:bidi="ar-SA"/>
        </w:rPr>
      </w:pPr>
      <w:r>
        <w:rPr>
          <w:rFonts w:hint="eastAsia" w:ascii="仿宋" w:hAnsi="仿宋" w:eastAsia="仿宋" w:cs="仿宋"/>
          <w:color w:val="000000"/>
          <w:kern w:val="0"/>
          <w:sz w:val="24"/>
          <w:szCs w:val="24"/>
          <w:highlight w:val="none"/>
          <w:lang w:val="en-US" w:eastAsia="zh-CN" w:bidi="ar-SA"/>
        </w:rPr>
        <w:t>说明：1、评分时，如对一项招标商务要求（以划分框为准）中的内容存在两处（或以上）负偏离的，在评分时只作一项负偏离扣分。</w:t>
      </w:r>
    </w:p>
    <w:p>
      <w:pPr>
        <w:pStyle w:val="8"/>
        <w:numPr>
          <w:ilvl w:val="0"/>
          <w:numId w:val="0"/>
        </w:numPr>
        <w:shd w:val="clear"/>
        <w:ind w:firstLine="480" w:firstLineChars="200"/>
        <w:rPr>
          <w:rFonts w:hint="eastAsia"/>
          <w:highlight w:val="none"/>
        </w:rPr>
      </w:pPr>
      <w:r>
        <w:rPr>
          <w:rFonts w:hint="eastAsia" w:ascii="仿宋" w:hAnsi="仿宋" w:eastAsia="仿宋" w:cs="仿宋"/>
          <w:color w:val="000000"/>
          <w:kern w:val="0"/>
          <w:sz w:val="24"/>
          <w:szCs w:val="24"/>
          <w:highlight w:val="none"/>
          <w:lang w:val="en-US" w:eastAsia="zh-CN" w:bidi="ar-SA"/>
        </w:rPr>
        <w:t>2、带“★”指标项为实质性条款，如出现负偏离，将被视为未实质性满足招标文件要求作投标无效处理；带“▲”指标项为重要参数，负偏离时依相关评分准则内容作重点扣分处理。</w:t>
      </w:r>
    </w:p>
    <w:tbl>
      <w:tblPr>
        <w:tblStyle w:val="21"/>
        <w:tblW w:w="8732" w:type="dxa"/>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9"/>
        <w:gridCol w:w="1203"/>
        <w:gridCol w:w="6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819"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203"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sz w:val="24"/>
                <w:szCs w:val="24"/>
                <w:highlight w:val="none"/>
              </w:rPr>
              <w:t>商务需求项</w:t>
            </w:r>
          </w:p>
        </w:tc>
        <w:tc>
          <w:tcPr>
            <w:tcW w:w="6710"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sz w:val="24"/>
                <w:szCs w:val="24"/>
                <w:highlight w:val="none"/>
              </w:rPr>
              <w:t>招标商务要求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8732" w:type="dxa"/>
            <w:gridSpan w:val="3"/>
          </w:tcPr>
          <w:p>
            <w:pPr>
              <w:keepNext w:val="0"/>
              <w:keepLines w:val="0"/>
              <w:widowControl/>
              <w:suppressLineNumbers w:val="0"/>
              <w:shd w:val="clear"/>
              <w:spacing w:before="0" w:beforeAutospacing="0" w:after="0" w:afterAutospacing="0"/>
              <w:ind w:left="0" w:right="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（一）免费保修期内售后服务要求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19" w:type="dxa"/>
            <w:vMerge w:val="restart"/>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1203" w:type="dxa"/>
            <w:vMerge w:val="restart"/>
            <w:vAlign w:val="center"/>
          </w:tcPr>
          <w:p>
            <w:pPr>
              <w:keepNext w:val="0"/>
              <w:keepLines w:val="0"/>
              <w:widowControl/>
              <w:suppressLineNumbers w:val="0"/>
              <w:shd w:val="clear"/>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免费保修期</w:t>
            </w:r>
          </w:p>
        </w:tc>
        <w:tc>
          <w:tcPr>
            <w:tcW w:w="6710" w:type="dxa"/>
          </w:tcPr>
          <w:p>
            <w:pPr>
              <w:keepNext w:val="0"/>
              <w:keepLines w:val="0"/>
              <w:widowControl/>
              <w:suppressLineNumbers w:val="0"/>
              <w:shd w:val="clear"/>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 货物免费保修期至少 </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年， 时间自最终验收合格并交付使用之日起计算，由中标人提供产品保修文件。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819" w:type="dxa"/>
            <w:vMerge w:val="continue"/>
            <w:vAlign w:val="center"/>
          </w:tcPr>
          <w:p>
            <w:pPr>
              <w:pStyle w:val="8"/>
              <w:keepNext w:val="0"/>
              <w:keepLines w:val="0"/>
              <w:widowControl/>
              <w:suppressLineNumbers w:val="0"/>
              <w:shd w:val="clear"/>
              <w:spacing w:before="0" w:beforeAutospacing="0" w:after="0" w:afterAutospacing="0"/>
              <w:ind w:left="0" w:right="0"/>
              <w:rPr>
                <w:rFonts w:hint="eastAsia" w:ascii="仿宋" w:hAnsi="仿宋" w:eastAsia="仿宋" w:cs="仿宋"/>
                <w:color w:val="auto"/>
                <w:sz w:val="24"/>
                <w:szCs w:val="24"/>
                <w:highlight w:val="none"/>
              </w:rPr>
            </w:pPr>
          </w:p>
        </w:tc>
        <w:tc>
          <w:tcPr>
            <w:tcW w:w="1203" w:type="dxa"/>
            <w:vMerge w:val="continue"/>
            <w:vAlign w:val="center"/>
          </w:tcPr>
          <w:p>
            <w:pPr>
              <w:pStyle w:val="8"/>
              <w:keepNext w:val="0"/>
              <w:keepLines w:val="0"/>
              <w:widowControl/>
              <w:suppressLineNumbers w:val="0"/>
              <w:shd w:val="clear"/>
              <w:spacing w:before="0" w:beforeAutospacing="0" w:after="0" w:afterAutospacing="0"/>
              <w:ind w:left="0" w:right="0"/>
              <w:rPr>
                <w:rFonts w:hint="eastAsia" w:ascii="仿宋" w:hAnsi="仿宋" w:eastAsia="仿宋" w:cs="仿宋"/>
                <w:color w:val="auto"/>
                <w:sz w:val="24"/>
                <w:szCs w:val="24"/>
                <w:highlight w:val="none"/>
              </w:rPr>
            </w:pPr>
          </w:p>
        </w:tc>
        <w:tc>
          <w:tcPr>
            <w:tcW w:w="6710" w:type="dxa"/>
          </w:tcPr>
          <w:p>
            <w:pPr>
              <w:keepNext w:val="0"/>
              <w:keepLines w:val="0"/>
              <w:widowControl/>
              <w:suppressLineNumbers w:val="0"/>
              <w:shd w:val="clear"/>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 质保期内，一旦</w:t>
            </w:r>
            <w:r>
              <w:rPr>
                <w:rFonts w:hint="eastAsia" w:ascii="仿宋" w:hAnsi="仿宋" w:eastAsia="仿宋" w:cs="仿宋"/>
                <w:color w:val="auto"/>
                <w:sz w:val="24"/>
                <w:szCs w:val="24"/>
                <w:highlight w:val="none"/>
                <w:u w:val="single"/>
              </w:rPr>
              <w:t xml:space="preserve">  货物</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发生质量问题，免费维修</w:t>
            </w:r>
            <w:r>
              <w:rPr>
                <w:rFonts w:hint="eastAsia" w:ascii="仿宋" w:hAnsi="仿宋" w:eastAsia="仿宋" w:cs="仿宋"/>
                <w:color w:val="auto"/>
                <w:sz w:val="24"/>
                <w:szCs w:val="24"/>
                <w:highlight w:val="none"/>
                <w:lang w:val="en-US" w:eastAsia="zh-CN"/>
              </w:rPr>
              <w:t>或更换</w:t>
            </w:r>
            <w:r>
              <w:rPr>
                <w:rFonts w:hint="eastAsia" w:ascii="仿宋" w:hAnsi="仿宋" w:eastAsia="仿宋" w:cs="仿宋"/>
                <w:color w:val="auto"/>
                <w:sz w:val="24"/>
                <w:szCs w:val="24"/>
                <w:highlight w:val="none"/>
              </w:rPr>
              <w:t>，中标人保证在接到通知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小时内响应，</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小时内赶到现场进行修理，</w:t>
            </w:r>
            <w:r>
              <w:rPr>
                <w:rFonts w:hint="eastAsia" w:ascii="仿宋" w:hAnsi="仿宋" w:eastAsia="仿宋" w:cs="仿宋"/>
                <w:color w:val="auto"/>
                <w:sz w:val="24"/>
                <w:szCs w:val="24"/>
                <w:highlight w:val="none"/>
                <w:u w:val="single"/>
                <w:lang w:val="en-US" w:eastAsia="zh-CN"/>
              </w:rPr>
              <w:t>24</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小时维修不好提供备用产品给采购人使用。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819" w:type="dxa"/>
            <w:vMerge w:val="continue"/>
            <w:vAlign w:val="center"/>
          </w:tcPr>
          <w:p>
            <w:pPr>
              <w:pStyle w:val="8"/>
              <w:keepNext w:val="0"/>
              <w:keepLines w:val="0"/>
              <w:widowControl/>
              <w:suppressLineNumbers w:val="0"/>
              <w:shd w:val="clear"/>
              <w:spacing w:before="0" w:beforeAutospacing="0" w:after="0" w:afterAutospacing="0"/>
              <w:ind w:left="0" w:right="0"/>
              <w:rPr>
                <w:rFonts w:hint="eastAsia" w:ascii="仿宋" w:hAnsi="仿宋" w:eastAsia="仿宋" w:cs="仿宋"/>
                <w:color w:val="auto"/>
                <w:sz w:val="24"/>
                <w:szCs w:val="24"/>
                <w:highlight w:val="none"/>
              </w:rPr>
            </w:pPr>
          </w:p>
        </w:tc>
        <w:tc>
          <w:tcPr>
            <w:tcW w:w="1203" w:type="dxa"/>
            <w:vMerge w:val="continue"/>
            <w:vAlign w:val="center"/>
          </w:tcPr>
          <w:p>
            <w:pPr>
              <w:pStyle w:val="8"/>
              <w:keepNext w:val="0"/>
              <w:keepLines w:val="0"/>
              <w:widowControl/>
              <w:suppressLineNumbers w:val="0"/>
              <w:shd w:val="clear"/>
              <w:spacing w:before="0" w:beforeAutospacing="0" w:after="0" w:afterAutospacing="0"/>
              <w:ind w:left="0" w:right="0"/>
              <w:rPr>
                <w:rFonts w:hint="eastAsia" w:ascii="仿宋" w:hAnsi="仿宋" w:eastAsia="仿宋" w:cs="仿宋"/>
                <w:color w:val="auto"/>
                <w:sz w:val="24"/>
                <w:szCs w:val="24"/>
                <w:highlight w:val="none"/>
              </w:rPr>
            </w:pPr>
          </w:p>
        </w:tc>
        <w:tc>
          <w:tcPr>
            <w:tcW w:w="6710" w:type="dxa"/>
          </w:tcPr>
          <w:p>
            <w:pPr>
              <w:keepNext w:val="0"/>
              <w:keepLines w:val="0"/>
              <w:widowControl/>
              <w:suppressLineNumbers w:val="0"/>
              <w:shd w:val="clear"/>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免费保修期内，非人为原因而出现产品质量及安装问题，由中标人负责包修、包换或包退，并承担因此而产生的一切费用。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trPr>
        <w:tc>
          <w:tcPr>
            <w:tcW w:w="819" w:type="dxa"/>
            <w:vMerge w:val="continue"/>
            <w:vAlign w:val="center"/>
          </w:tcPr>
          <w:p>
            <w:pPr>
              <w:pStyle w:val="8"/>
              <w:keepNext w:val="0"/>
              <w:keepLines w:val="0"/>
              <w:widowControl/>
              <w:suppressLineNumbers w:val="0"/>
              <w:shd w:val="clear"/>
              <w:spacing w:before="0" w:beforeAutospacing="0" w:after="0" w:afterAutospacing="0"/>
              <w:ind w:left="0" w:right="0"/>
              <w:rPr>
                <w:rFonts w:hint="eastAsia" w:ascii="仿宋" w:hAnsi="仿宋" w:eastAsia="仿宋" w:cs="仿宋"/>
                <w:color w:val="auto"/>
                <w:sz w:val="24"/>
                <w:szCs w:val="24"/>
                <w:highlight w:val="none"/>
              </w:rPr>
            </w:pPr>
          </w:p>
        </w:tc>
        <w:tc>
          <w:tcPr>
            <w:tcW w:w="1203" w:type="dxa"/>
            <w:vMerge w:val="continue"/>
            <w:vAlign w:val="center"/>
          </w:tcPr>
          <w:p>
            <w:pPr>
              <w:pStyle w:val="8"/>
              <w:keepNext w:val="0"/>
              <w:keepLines w:val="0"/>
              <w:widowControl/>
              <w:suppressLineNumbers w:val="0"/>
              <w:shd w:val="clear"/>
              <w:spacing w:before="0" w:beforeAutospacing="0" w:after="0" w:afterAutospacing="0"/>
              <w:ind w:left="0" w:right="0"/>
              <w:rPr>
                <w:rFonts w:hint="eastAsia" w:ascii="仿宋" w:hAnsi="仿宋" w:eastAsia="仿宋" w:cs="仿宋"/>
                <w:color w:val="auto"/>
                <w:sz w:val="24"/>
                <w:szCs w:val="24"/>
                <w:highlight w:val="none"/>
              </w:rPr>
            </w:pPr>
          </w:p>
        </w:tc>
        <w:tc>
          <w:tcPr>
            <w:tcW w:w="6710" w:type="dxa"/>
          </w:tcPr>
          <w:p>
            <w:pPr>
              <w:pStyle w:val="8"/>
              <w:keepNext w:val="0"/>
              <w:keepLines w:val="0"/>
              <w:widowControl/>
              <w:suppressLineNumbers w:val="0"/>
              <w:shd w:val="clear"/>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所有货物质保服务方式均为中标人上门服务，即由中标人派员到货物使用现场维修，由此产生的一切费用均由中标人承担。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819"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2</w:t>
            </w:r>
          </w:p>
        </w:tc>
        <w:tc>
          <w:tcPr>
            <w:tcW w:w="1203" w:type="dxa"/>
          </w:tcPr>
          <w:p>
            <w:pPr>
              <w:keepNext w:val="0"/>
              <w:keepLines w:val="0"/>
              <w:widowControl/>
              <w:suppressLineNumbers w:val="0"/>
              <w:shd w:val="clear"/>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发生质量问题的处理方式</w:t>
            </w:r>
          </w:p>
        </w:tc>
        <w:tc>
          <w:tcPr>
            <w:tcW w:w="6710" w:type="dxa"/>
          </w:tcPr>
          <w:p>
            <w:pPr>
              <w:keepNext w:val="0"/>
              <w:keepLines w:val="0"/>
              <w:widowControl/>
              <w:suppressLineNumbers w:val="0"/>
              <w:shd w:val="clear"/>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免费保修期内，如果有因质量问题而引起的损坏，中标人应对产品予以维修或更换，全部服务费和更换产品或配件的费用由中标人承担，中标人如不能修理或不能调换，按产品原价赔偿处理。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819" w:type="dxa"/>
            <w:vMerge w:val="restart"/>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3</w:t>
            </w:r>
          </w:p>
        </w:tc>
        <w:tc>
          <w:tcPr>
            <w:tcW w:w="1203" w:type="dxa"/>
            <w:vMerge w:val="restart"/>
            <w:vAlign w:val="center"/>
          </w:tcPr>
          <w:p>
            <w:pPr>
              <w:keepNext w:val="0"/>
              <w:keepLines w:val="0"/>
              <w:widowControl/>
              <w:suppressLineNumbers w:val="0"/>
              <w:shd w:val="clear"/>
              <w:spacing w:before="0" w:beforeAutospacing="0" w:after="0" w:afterAutospacing="0" w:line="360" w:lineRule="exact"/>
              <w:ind w:left="0" w:right="0"/>
              <w:jc w:val="center"/>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培训</w:t>
            </w:r>
          </w:p>
        </w:tc>
        <w:tc>
          <w:tcPr>
            <w:tcW w:w="6710" w:type="dxa"/>
            <w:vAlign w:val="top"/>
          </w:tcPr>
          <w:p>
            <w:pPr>
              <w:keepNext w:val="0"/>
              <w:keepLines w:val="0"/>
              <w:widowControl/>
              <w:suppressLineNumbers w:val="0"/>
              <w:shd w:val="clear"/>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.1安排专业人员免费在现场对采购单位临床操作人员进行专业的培训，并对维修工程师进行维护、维修培训。保证使用人员能够熟练掌握各种设备和软件等常规使用方法，以及小故障的判断与解决。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trPr>
        <w:tc>
          <w:tcPr>
            <w:tcW w:w="819" w:type="dxa"/>
            <w:vMerge w:val="continue"/>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4"/>
                <w:szCs w:val="24"/>
                <w:highlight w:val="none"/>
              </w:rPr>
            </w:pPr>
          </w:p>
        </w:tc>
        <w:tc>
          <w:tcPr>
            <w:tcW w:w="1203" w:type="dxa"/>
            <w:vMerge w:val="continue"/>
            <w:vAlign w:val="center"/>
          </w:tcPr>
          <w:p>
            <w:pPr>
              <w:keepNext w:val="0"/>
              <w:keepLines w:val="0"/>
              <w:widowControl/>
              <w:suppressLineNumbers w:val="0"/>
              <w:shd w:val="clear"/>
              <w:spacing w:before="0" w:beforeAutospacing="0" w:after="0" w:afterAutospacing="0"/>
              <w:ind w:left="0" w:right="0"/>
              <w:rPr>
                <w:rFonts w:hint="eastAsia" w:ascii="仿宋" w:hAnsi="仿宋" w:eastAsia="仿宋" w:cs="仿宋"/>
                <w:color w:val="auto"/>
                <w:sz w:val="24"/>
                <w:szCs w:val="24"/>
                <w:highlight w:val="none"/>
              </w:rPr>
            </w:pPr>
          </w:p>
        </w:tc>
        <w:tc>
          <w:tcPr>
            <w:tcW w:w="6710" w:type="dxa"/>
            <w:vAlign w:val="top"/>
          </w:tcPr>
          <w:p>
            <w:pPr>
              <w:keepNext w:val="0"/>
              <w:keepLines w:val="0"/>
              <w:widowControl/>
              <w:suppressLineNumbers w:val="0"/>
              <w:shd w:val="clear"/>
              <w:spacing w:before="0" w:beforeAutospacing="0" w:after="0" w:afterAutospacing="0"/>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.2 现场培训：投标供应商应提供现场技术培训，保证使用人员正常操作设备的各种功能。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8732" w:type="dxa"/>
            <w:gridSpan w:val="3"/>
          </w:tcPr>
          <w:p>
            <w:pPr>
              <w:keepNext w:val="0"/>
              <w:keepLines w:val="0"/>
              <w:widowControl/>
              <w:suppressLineNumbers w:val="0"/>
              <w:shd w:val="clear"/>
              <w:spacing w:before="0" w:beforeAutospacing="0" w:after="0" w:afterAutospacing="0"/>
              <w:ind w:left="0" w:right="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（二）免费保修期外售后服务要求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819"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1203" w:type="dxa"/>
          </w:tcPr>
          <w:p>
            <w:pPr>
              <w:keepNext w:val="0"/>
              <w:keepLines w:val="0"/>
              <w:widowControl/>
              <w:suppressLineNumbers w:val="0"/>
              <w:shd w:val="clear"/>
              <w:spacing w:before="0" w:beforeAutospacing="0" w:after="0" w:afterAutospacing="0"/>
              <w:ind w:left="0" w:right="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免费保修期外售后服务</w:t>
            </w:r>
          </w:p>
        </w:tc>
        <w:tc>
          <w:tcPr>
            <w:tcW w:w="6710" w:type="dxa"/>
          </w:tcPr>
          <w:p>
            <w:pPr>
              <w:keepNext w:val="0"/>
              <w:keepLines w:val="0"/>
              <w:widowControl/>
              <w:suppressLineNumbers w:val="0"/>
              <w:shd w:val="clear"/>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免费保修期后继续支持维修，并按成本价标准收取维修及零件费用。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8732" w:type="dxa"/>
            <w:gridSpan w:val="3"/>
          </w:tcPr>
          <w:p>
            <w:pPr>
              <w:keepNext w:val="0"/>
              <w:keepLines w:val="0"/>
              <w:widowControl/>
              <w:suppressLineNumbers w:val="0"/>
              <w:shd w:val="clear"/>
              <w:spacing w:before="0" w:beforeAutospacing="0" w:after="0" w:afterAutospacing="0"/>
              <w:ind w:left="0" w:right="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（三）其他商务要求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819" w:type="dxa"/>
            <w:vMerge w:val="restart"/>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1203" w:type="dxa"/>
            <w:vMerge w:val="restart"/>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关于交货</w:t>
            </w:r>
          </w:p>
        </w:tc>
        <w:tc>
          <w:tcPr>
            <w:tcW w:w="6710" w:type="dxa"/>
          </w:tcPr>
          <w:p>
            <w:pPr>
              <w:keepNext w:val="0"/>
              <w:keepLines w:val="0"/>
              <w:widowControl/>
              <w:suppressLineNumbers w:val="0"/>
              <w:shd w:val="clear"/>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★1.1服务期限：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819" w:type="dxa"/>
            <w:vMerge w:val="continue"/>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4"/>
                <w:szCs w:val="24"/>
                <w:highlight w:val="none"/>
              </w:rPr>
            </w:pPr>
          </w:p>
        </w:tc>
        <w:tc>
          <w:tcPr>
            <w:tcW w:w="1203" w:type="dxa"/>
            <w:vMerge w:val="continue"/>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highlight w:val="none"/>
              </w:rPr>
            </w:pPr>
          </w:p>
        </w:tc>
        <w:tc>
          <w:tcPr>
            <w:tcW w:w="6710" w:type="dxa"/>
          </w:tcPr>
          <w:p>
            <w:pPr>
              <w:keepNext w:val="0"/>
              <w:keepLines w:val="0"/>
              <w:widowControl/>
              <w:suppressLineNumbers w:val="0"/>
              <w:shd w:val="clear"/>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★1.2交货期：签订合同后，根据实际采购需求，在收到采购人送货通知后72小时以内送达。中标人应按照采购人每月的采购需求数量，做到分批分次不定时送货。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trPr>
        <w:tc>
          <w:tcPr>
            <w:tcW w:w="819" w:type="dxa"/>
            <w:vMerge w:val="continue"/>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4"/>
                <w:szCs w:val="24"/>
                <w:highlight w:val="none"/>
              </w:rPr>
            </w:pPr>
          </w:p>
        </w:tc>
        <w:tc>
          <w:tcPr>
            <w:tcW w:w="1203" w:type="dxa"/>
            <w:vMerge w:val="continue"/>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highlight w:val="none"/>
              </w:rPr>
            </w:pPr>
          </w:p>
        </w:tc>
        <w:tc>
          <w:tcPr>
            <w:tcW w:w="6710" w:type="dxa"/>
          </w:tcPr>
          <w:p>
            <w:pPr>
              <w:keepNext w:val="0"/>
              <w:keepLines w:val="0"/>
              <w:widowControl/>
              <w:suppressLineNumbers w:val="0"/>
              <w:shd w:val="clear"/>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商品运输：合同中所有的商品均须由中标人自行运往采购单位指定地点，不论商品从何处购置、采用何种方式运输，采购单位不承担任何责任及相关费用。中标人应自行处理商品质量和数量短缺等问题。中标人应委派技术人员进行现场安装、调试，并提供货物安装调试的一切技术支持。安装调试的具体时间由采购人提前3天通知中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 w:hRule="atLeast"/>
        </w:trPr>
        <w:tc>
          <w:tcPr>
            <w:tcW w:w="819" w:type="dxa"/>
            <w:vMerge w:val="continue"/>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4"/>
                <w:szCs w:val="24"/>
                <w:highlight w:val="none"/>
              </w:rPr>
            </w:pPr>
          </w:p>
        </w:tc>
        <w:tc>
          <w:tcPr>
            <w:tcW w:w="1203" w:type="dxa"/>
            <w:vMerge w:val="continue"/>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highlight w:val="none"/>
              </w:rPr>
            </w:pPr>
          </w:p>
        </w:tc>
        <w:tc>
          <w:tcPr>
            <w:tcW w:w="6710" w:type="dxa"/>
          </w:tcPr>
          <w:p>
            <w:pPr>
              <w:keepNext w:val="0"/>
              <w:keepLines w:val="0"/>
              <w:widowControl/>
              <w:suppressLineNumbers w:val="0"/>
              <w:shd w:val="clear"/>
              <w:spacing w:before="0" w:beforeAutospacing="0" w:after="0" w:afterAutospacing="0" w:line="34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1.4交货（具体）地点：产品交付、检验、安装使用地点为采购人指定地点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819" w:type="dxa"/>
            <w:vMerge w:val="continue"/>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4"/>
                <w:szCs w:val="24"/>
                <w:highlight w:val="none"/>
              </w:rPr>
            </w:pPr>
          </w:p>
        </w:tc>
        <w:tc>
          <w:tcPr>
            <w:tcW w:w="1203" w:type="dxa"/>
            <w:vMerge w:val="continue"/>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highlight w:val="none"/>
              </w:rPr>
            </w:pPr>
          </w:p>
        </w:tc>
        <w:tc>
          <w:tcPr>
            <w:tcW w:w="6710" w:type="dxa"/>
          </w:tcPr>
          <w:p>
            <w:pPr>
              <w:keepNext w:val="0"/>
              <w:keepLines w:val="0"/>
              <w:widowControl/>
              <w:suppressLineNumbers w:val="0"/>
              <w:shd w:val="clear"/>
              <w:spacing w:before="0" w:beforeAutospacing="0" w:after="0" w:afterAutospacing="0" w:line="34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供应商应提供全套、完整的书面技术资料包括但不限于如下技术文件和资料：</w:t>
            </w:r>
          </w:p>
          <w:p>
            <w:pPr>
              <w:keepNext w:val="0"/>
              <w:keepLines w:val="0"/>
              <w:widowControl/>
              <w:suppressLineNumbers w:val="0"/>
              <w:shd w:val="clear"/>
              <w:spacing w:before="0" w:beforeAutospacing="0" w:after="0" w:afterAutospacing="0" w:line="34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1.5.1产品安装、操作和维修保养手册；</w:t>
            </w:r>
          </w:p>
          <w:p>
            <w:pPr>
              <w:keepNext w:val="0"/>
              <w:keepLines w:val="0"/>
              <w:widowControl/>
              <w:suppressLineNumbers w:val="0"/>
              <w:shd w:val="clear"/>
              <w:spacing w:before="0" w:beforeAutospacing="0" w:after="0" w:afterAutospacing="0" w:line="34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1.5.2产品使用说明书；</w:t>
            </w:r>
          </w:p>
          <w:p>
            <w:pPr>
              <w:keepNext w:val="0"/>
              <w:keepLines w:val="0"/>
              <w:widowControl/>
              <w:suppressLineNumbers w:val="0"/>
              <w:shd w:val="clear"/>
              <w:spacing w:before="0" w:beforeAutospacing="0" w:after="0" w:afterAutospacing="0" w:line="34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1.5.3产品出厂检验合格证；</w:t>
            </w:r>
          </w:p>
          <w:p>
            <w:pPr>
              <w:keepNext w:val="0"/>
              <w:keepLines w:val="0"/>
              <w:widowControl/>
              <w:suppressLineNumbers w:val="0"/>
              <w:shd w:val="clear"/>
              <w:spacing w:before="0" w:beforeAutospacing="0" w:after="0" w:afterAutospacing="0" w:line="34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1.5.4产品到货清单；</w:t>
            </w:r>
          </w:p>
          <w:p>
            <w:pPr>
              <w:keepNext w:val="0"/>
              <w:keepLines w:val="0"/>
              <w:widowControl/>
              <w:suppressLineNumbers w:val="0"/>
              <w:shd w:val="clear"/>
              <w:spacing w:before="0" w:beforeAutospacing="0" w:after="0" w:afterAutospacing="0" w:line="34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1.5.5产品保修证明。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19" w:type="dxa"/>
            <w:vMerge w:val="restart"/>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1203" w:type="dxa"/>
            <w:vMerge w:val="restart"/>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关于验收</w:t>
            </w:r>
          </w:p>
        </w:tc>
        <w:tc>
          <w:tcPr>
            <w:tcW w:w="6710" w:type="dxa"/>
          </w:tcPr>
          <w:p>
            <w:pPr>
              <w:keepNext w:val="0"/>
              <w:keepLines w:val="0"/>
              <w:widowControl/>
              <w:suppressLineNumbers w:val="0"/>
              <w:shd w:val="clear"/>
              <w:spacing w:before="0" w:beforeAutospacing="0" w:after="0" w:afterAutospacing="0" w:line="34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2.1中标人交付的</w:t>
            </w:r>
            <w:r>
              <w:rPr>
                <w:rFonts w:hint="eastAsia" w:ascii="仿宋" w:hAnsi="仿宋" w:eastAsia="仿宋" w:cs="仿宋"/>
                <w:color w:val="auto"/>
                <w:sz w:val="24"/>
                <w:szCs w:val="24"/>
                <w:highlight w:val="none"/>
                <w:u w:val="single"/>
              </w:rPr>
              <w:t xml:space="preserve"> 货物</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制作及安装应当完全符合采购人要求的设计方案、安装地点、材质、数量和规格，中标人不得少提供货物。中标人提供的</w:t>
            </w:r>
            <w:r>
              <w:rPr>
                <w:rFonts w:hint="eastAsia" w:ascii="仿宋" w:hAnsi="仿宋" w:eastAsia="仿宋" w:cs="仿宋"/>
                <w:color w:val="auto"/>
                <w:sz w:val="24"/>
                <w:szCs w:val="24"/>
                <w:highlight w:val="none"/>
                <w:u w:val="single"/>
              </w:rPr>
              <w:t xml:space="preserve"> 货物</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制作及安装不符合招投标文件和合同规定的，采购人有权拒绝验收，由此引起的风险及费用由中标人承担。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9" w:type="dxa"/>
            <w:vMerge w:val="continue"/>
            <w:vAlign w:val="center"/>
          </w:tcPr>
          <w:p>
            <w:pPr>
              <w:keepNext w:val="0"/>
              <w:keepLines w:val="0"/>
              <w:widowControl/>
              <w:suppressLineNumbers w:val="0"/>
              <w:shd w:val="clear"/>
              <w:spacing w:before="0" w:beforeAutospacing="0" w:after="0" w:afterAutospacing="0" w:line="340" w:lineRule="exact"/>
              <w:ind w:left="0" w:right="0"/>
              <w:rPr>
                <w:rFonts w:hint="eastAsia" w:ascii="仿宋" w:hAnsi="仿宋" w:eastAsia="仿宋" w:cs="仿宋"/>
                <w:color w:val="auto"/>
                <w:sz w:val="24"/>
                <w:szCs w:val="24"/>
                <w:highlight w:val="none"/>
              </w:rPr>
            </w:pPr>
          </w:p>
        </w:tc>
        <w:tc>
          <w:tcPr>
            <w:tcW w:w="1203" w:type="dxa"/>
            <w:vMerge w:val="continue"/>
            <w:vAlign w:val="center"/>
          </w:tcPr>
          <w:p>
            <w:pPr>
              <w:keepNext w:val="0"/>
              <w:keepLines w:val="0"/>
              <w:widowControl/>
              <w:suppressLineNumbers w:val="0"/>
              <w:shd w:val="clear"/>
              <w:spacing w:before="0" w:beforeAutospacing="0" w:after="0" w:afterAutospacing="0" w:line="340" w:lineRule="exact"/>
              <w:ind w:left="0" w:right="0"/>
              <w:rPr>
                <w:rFonts w:hint="eastAsia" w:ascii="仿宋" w:hAnsi="仿宋" w:eastAsia="仿宋" w:cs="仿宋"/>
                <w:color w:val="auto"/>
                <w:sz w:val="24"/>
                <w:szCs w:val="24"/>
                <w:highlight w:val="none"/>
              </w:rPr>
            </w:pPr>
          </w:p>
        </w:tc>
        <w:tc>
          <w:tcPr>
            <w:tcW w:w="6710" w:type="dxa"/>
          </w:tcPr>
          <w:p>
            <w:pPr>
              <w:keepNext w:val="0"/>
              <w:keepLines w:val="0"/>
              <w:widowControl/>
              <w:suppressLineNumbers w:val="0"/>
              <w:shd w:val="clear"/>
              <w:spacing w:before="0" w:beforeAutospacing="0" w:after="0" w:afterAutospacing="0" w:line="34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2.2由采购人与中标人双方共同对</w:t>
            </w:r>
            <w:r>
              <w:rPr>
                <w:rFonts w:hint="eastAsia" w:ascii="仿宋" w:hAnsi="仿宋" w:eastAsia="仿宋" w:cs="仿宋"/>
                <w:color w:val="auto"/>
                <w:sz w:val="24"/>
                <w:szCs w:val="24"/>
                <w:highlight w:val="none"/>
                <w:u w:val="single"/>
              </w:rPr>
              <w:t xml:space="preserve"> 货物</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进行验收，若验收不合格则采购人有权退货，中标人应无条件退换货。验收合格后交付采购人使用。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1" w:hRule="atLeast"/>
        </w:trPr>
        <w:tc>
          <w:tcPr>
            <w:tcW w:w="819" w:type="dxa"/>
            <w:vMerge w:val="continue"/>
            <w:vAlign w:val="center"/>
          </w:tcPr>
          <w:p>
            <w:pPr>
              <w:keepNext w:val="0"/>
              <w:keepLines w:val="0"/>
              <w:widowControl/>
              <w:suppressLineNumbers w:val="0"/>
              <w:shd w:val="clear"/>
              <w:spacing w:before="0" w:beforeAutospacing="0" w:after="0" w:afterAutospacing="0" w:line="340" w:lineRule="exact"/>
              <w:ind w:left="0" w:right="0"/>
              <w:rPr>
                <w:rFonts w:hint="eastAsia" w:ascii="仿宋" w:hAnsi="仿宋" w:eastAsia="仿宋" w:cs="仿宋"/>
                <w:color w:val="auto"/>
                <w:sz w:val="24"/>
                <w:szCs w:val="24"/>
                <w:highlight w:val="none"/>
              </w:rPr>
            </w:pPr>
          </w:p>
        </w:tc>
        <w:tc>
          <w:tcPr>
            <w:tcW w:w="1203" w:type="dxa"/>
            <w:vMerge w:val="continue"/>
            <w:vAlign w:val="center"/>
          </w:tcPr>
          <w:p>
            <w:pPr>
              <w:keepNext w:val="0"/>
              <w:keepLines w:val="0"/>
              <w:widowControl/>
              <w:suppressLineNumbers w:val="0"/>
              <w:shd w:val="clear"/>
              <w:spacing w:before="0" w:beforeAutospacing="0" w:after="0" w:afterAutospacing="0" w:line="340" w:lineRule="exact"/>
              <w:ind w:left="0" w:right="0"/>
              <w:rPr>
                <w:rFonts w:hint="eastAsia" w:ascii="仿宋" w:hAnsi="仿宋" w:eastAsia="仿宋" w:cs="仿宋"/>
                <w:color w:val="auto"/>
                <w:sz w:val="24"/>
                <w:szCs w:val="24"/>
                <w:highlight w:val="none"/>
              </w:rPr>
            </w:pPr>
          </w:p>
        </w:tc>
        <w:tc>
          <w:tcPr>
            <w:tcW w:w="6710" w:type="dxa"/>
          </w:tcPr>
          <w:p>
            <w:pPr>
              <w:keepNext w:val="0"/>
              <w:keepLines w:val="0"/>
              <w:widowControl/>
              <w:suppressLineNumbers w:val="0"/>
              <w:shd w:val="clear"/>
              <w:spacing w:before="0" w:beforeAutospacing="0" w:after="0" w:afterAutospacing="0" w:line="34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2.3当满足以下条件时，采购人才向中标人签发验收报告/送货单：</w:t>
            </w:r>
          </w:p>
          <w:p>
            <w:pPr>
              <w:keepNext w:val="0"/>
              <w:keepLines w:val="0"/>
              <w:widowControl/>
              <w:suppressLineNumbers w:val="0"/>
              <w:shd w:val="clear"/>
              <w:spacing w:before="0" w:beforeAutospacing="0" w:after="0" w:afterAutospacing="0" w:line="34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2.3.1中标人已按照合同规定提供了全部产品及完整的技术资料。</w:t>
            </w:r>
          </w:p>
          <w:p>
            <w:pPr>
              <w:keepNext w:val="0"/>
              <w:keepLines w:val="0"/>
              <w:widowControl/>
              <w:suppressLineNumbers w:val="0"/>
              <w:shd w:val="clear"/>
              <w:spacing w:before="0" w:beforeAutospacing="0" w:after="0" w:afterAutospacing="0" w:line="34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2.3.2货物符合招标文件技术规格书的要求，性能满足要求。</w:t>
            </w:r>
          </w:p>
          <w:p>
            <w:pPr>
              <w:keepNext w:val="0"/>
              <w:keepLines w:val="0"/>
              <w:widowControl/>
              <w:suppressLineNumbers w:val="0"/>
              <w:shd w:val="clear"/>
              <w:spacing w:before="0" w:beforeAutospacing="0" w:after="0" w:afterAutospacing="0" w:line="34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2.3.3货物具备产品合格证。</w:t>
            </w:r>
          </w:p>
          <w:p>
            <w:pPr>
              <w:keepNext w:val="0"/>
              <w:keepLines w:val="0"/>
              <w:widowControl/>
              <w:suppressLineNumbers w:val="0"/>
              <w:shd w:val="clear"/>
              <w:spacing w:before="0" w:beforeAutospacing="0" w:after="0" w:afterAutospacing="0" w:line="34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2.3.4中标人须在货物验收前向采购人出具主要原材料的购销合同、发票。</w:t>
            </w:r>
          </w:p>
          <w:p>
            <w:pPr>
              <w:keepNext w:val="0"/>
              <w:keepLines w:val="0"/>
              <w:widowControl/>
              <w:suppressLineNumbers w:val="0"/>
              <w:shd w:val="clear"/>
              <w:spacing w:before="0" w:beforeAutospacing="0" w:after="0" w:afterAutospacing="0" w:line="34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2.3.5需检测的需按照“招标文件”要求进行抽检或检测合格。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819"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p>
        </w:tc>
        <w:tc>
          <w:tcPr>
            <w:tcW w:w="1203"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付款方式</w:t>
            </w:r>
          </w:p>
        </w:tc>
        <w:tc>
          <w:tcPr>
            <w:tcW w:w="6710" w:type="dxa"/>
            <w:vAlign w:val="center"/>
          </w:tcPr>
          <w:p>
            <w:pPr>
              <w:keepNext w:val="0"/>
              <w:keepLines w:val="0"/>
              <w:widowControl/>
              <w:suppressLineNumbers w:val="0"/>
              <w:shd w:val="clear"/>
              <w:spacing w:before="0" w:beforeAutospacing="0" w:after="0" w:afterAutospacing="0"/>
              <w:ind w:left="0" w:right="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采用货到安装完工的付款方式，每月结算一次，中标人每月将安装验收合格的</w:t>
            </w:r>
            <w:r>
              <w:rPr>
                <w:rFonts w:hint="eastAsia" w:ascii="仿宋" w:hAnsi="仿宋" w:eastAsia="仿宋" w:cs="仿宋"/>
                <w:color w:val="auto"/>
                <w:sz w:val="24"/>
                <w:szCs w:val="24"/>
                <w:highlight w:val="none"/>
                <w:u w:val="single"/>
              </w:rPr>
              <w:t xml:space="preserve">  货物</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进行汇总，出具验收清单，按月开具验收合格结算金额的合法发票，采购人在收到供应商合法发票后以转账方式支付当月货款。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819"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4</w:t>
            </w:r>
          </w:p>
        </w:tc>
        <w:tc>
          <w:tcPr>
            <w:tcW w:w="1203"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关于知识产权</w:t>
            </w:r>
          </w:p>
        </w:tc>
        <w:tc>
          <w:tcPr>
            <w:tcW w:w="6710" w:type="dxa"/>
          </w:tcPr>
          <w:p>
            <w:pPr>
              <w:keepNext w:val="0"/>
              <w:keepLines w:val="0"/>
              <w:widowControl/>
              <w:suppressLineNumbers w:val="0"/>
              <w:shd w:val="clear"/>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4.1提供的货物必须是合法厂家生产和经销的原包装产品（包括零配件），必须具备生产日期、厂名、厂址、产品合格证等。</w:t>
            </w:r>
          </w:p>
          <w:p>
            <w:pPr>
              <w:keepNext w:val="0"/>
              <w:keepLines w:val="0"/>
              <w:widowControl/>
              <w:suppressLineNumbers w:val="0"/>
              <w:shd w:val="clear"/>
              <w:spacing w:before="0" w:beforeAutospacing="0" w:after="0" w:afterAutospacing="0"/>
              <w:ind w:left="0" w:right="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4.2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819"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w:t>
            </w:r>
          </w:p>
        </w:tc>
        <w:tc>
          <w:tcPr>
            <w:tcW w:w="1203"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关于商检</w:t>
            </w:r>
          </w:p>
        </w:tc>
        <w:tc>
          <w:tcPr>
            <w:tcW w:w="6710" w:type="dxa"/>
          </w:tcPr>
          <w:p>
            <w:pPr>
              <w:keepNext w:val="0"/>
              <w:keepLines w:val="0"/>
              <w:widowControl/>
              <w:suppressLineNumbers w:val="0"/>
              <w:shd w:val="clear"/>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依据相关法律法规要求，如所提供的货物需由国家商检部门进行商检的，商检、检疫费用由中标人承担。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819"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w:t>
            </w:r>
          </w:p>
        </w:tc>
        <w:tc>
          <w:tcPr>
            <w:tcW w:w="1203"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基本要求</w:t>
            </w:r>
          </w:p>
        </w:tc>
        <w:tc>
          <w:tcPr>
            <w:tcW w:w="6710" w:type="dxa"/>
          </w:tcPr>
          <w:p>
            <w:pPr>
              <w:keepNext w:val="0"/>
              <w:keepLines w:val="0"/>
              <w:widowControl/>
              <w:suppressLineNumbers w:val="0"/>
              <w:shd w:val="clear"/>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6.1每项</w:t>
            </w:r>
            <w:r>
              <w:rPr>
                <w:rFonts w:hint="eastAsia" w:ascii="仿宋" w:hAnsi="仿宋" w:eastAsia="仿宋" w:cs="仿宋"/>
                <w:color w:val="auto"/>
                <w:sz w:val="24"/>
                <w:szCs w:val="24"/>
                <w:highlight w:val="none"/>
                <w:u w:val="single"/>
              </w:rPr>
              <w:t xml:space="preserve">   货物</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的制作需在采购人规定的时间前完成方案设计、制作及安装。</w:t>
            </w:r>
          </w:p>
          <w:p>
            <w:pPr>
              <w:keepNext w:val="0"/>
              <w:keepLines w:val="0"/>
              <w:widowControl/>
              <w:suppressLineNumbers w:val="0"/>
              <w:shd w:val="clear"/>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6.2采购人反复提出修改意见导致中标人工作不能按时完成时，可按延长时间顺延执行</w:t>
            </w:r>
          </w:p>
          <w:p>
            <w:pPr>
              <w:keepNext w:val="0"/>
              <w:keepLines w:val="0"/>
              <w:widowControl/>
              <w:suppressLineNumbers w:val="0"/>
              <w:shd w:val="clear"/>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6.3中标人未能按采购合同供货及提供服务给采购人造成的直接损失，按本项目中标金额的5%承担违约责任。</w:t>
            </w:r>
          </w:p>
          <w:p>
            <w:pPr>
              <w:keepNext w:val="0"/>
              <w:keepLines w:val="0"/>
              <w:widowControl/>
              <w:suppressLineNumbers w:val="0"/>
              <w:shd w:val="clear"/>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6.4在供货服务期内，如出现用户单位对协议供货、服务等投诉问题，经调查属实，将追究中标人的责任。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8" w:hRule="atLeast"/>
        </w:trPr>
        <w:tc>
          <w:tcPr>
            <w:tcW w:w="819"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lang w:val="en-US" w:eastAsia="zh-CN"/>
              </w:rPr>
              <w:t>7</w:t>
            </w:r>
          </w:p>
        </w:tc>
        <w:tc>
          <w:tcPr>
            <w:tcW w:w="1203"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关于违约</w:t>
            </w:r>
          </w:p>
        </w:tc>
        <w:tc>
          <w:tcPr>
            <w:tcW w:w="6710" w:type="dxa"/>
            <w:vAlign w:val="center"/>
          </w:tcPr>
          <w:p>
            <w:pPr>
              <w:keepNext w:val="0"/>
              <w:keepLines w:val="0"/>
              <w:widowControl/>
              <w:suppressLineNumbers w:val="0"/>
              <w:shd w:val="clear"/>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1.1中标人不能交货的，需偿付不能交货部分货款的30%的违约金并按主管部门相关规定处理。</w:t>
            </w:r>
          </w:p>
          <w:p>
            <w:pPr>
              <w:keepNext w:val="0"/>
              <w:keepLines w:val="0"/>
              <w:widowControl/>
              <w:suppressLineNumbers w:val="0"/>
              <w:shd w:val="clear"/>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1.2由于中标人的原因未能按时供货的，每迟一天罚款合同总额的0.</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5%；如超过供货期30天，将终止合同并通过法律程序对中标人进行索赔。</w:t>
            </w:r>
          </w:p>
          <w:p>
            <w:pPr>
              <w:keepNext w:val="0"/>
              <w:keepLines w:val="0"/>
              <w:widowControl/>
              <w:suppressLineNumbers w:val="0"/>
              <w:shd w:val="clear"/>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 由于中标人的原因，在货到一周内未进行安装调试或安装调试时间超过正常要求，按每超过一天罚款合同总额的0.</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5%或按实际损失罚款。情节严重者，将依法律程序对供应商进行索赔。</w:t>
            </w:r>
          </w:p>
          <w:p>
            <w:pPr>
              <w:pStyle w:val="8"/>
              <w:keepNext w:val="0"/>
              <w:keepLines w:val="0"/>
              <w:widowControl/>
              <w:suppressLineNumbers w:val="0"/>
              <w:shd w:val="clear"/>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中标人所交付产品不符合其投标承诺的或在投标阶段为了中标而盲目虚假承诺、低价恶性竞争，在履约阶段则通过偷工减料、以次充好而获取利润的，将扣除货款并列入黑名单，3年内不能参与我院招标采购。并上报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trPr>
        <w:tc>
          <w:tcPr>
            <w:tcW w:w="819"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8</w:t>
            </w:r>
          </w:p>
        </w:tc>
        <w:tc>
          <w:tcPr>
            <w:tcW w:w="1203"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转包和分包</w:t>
            </w:r>
          </w:p>
        </w:tc>
        <w:tc>
          <w:tcPr>
            <w:tcW w:w="6710" w:type="dxa"/>
            <w:vAlign w:val="center"/>
          </w:tcPr>
          <w:p>
            <w:pPr>
              <w:keepNext w:val="0"/>
              <w:keepLines w:val="0"/>
              <w:widowControl/>
              <w:suppressLineNumbers w:val="0"/>
              <w:shd w:val="clear"/>
              <w:spacing w:before="0" w:beforeAutospacing="0" w:after="0" w:afterAutospacing="0"/>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bidi="ar-SA"/>
              </w:rPr>
              <w:t>不允许转包和分包</w:t>
            </w:r>
          </w:p>
        </w:tc>
      </w:tr>
    </w:tbl>
    <w:p>
      <w:pPr>
        <w:shd w:val="clear"/>
        <w:rPr>
          <w:rFonts w:hint="eastAsia" w:ascii="仿宋" w:hAnsi="仿宋" w:eastAsia="仿宋" w:cs="仿宋"/>
          <w:b/>
          <w:bCs/>
          <w:spacing w:val="6"/>
          <w:sz w:val="24"/>
          <w:szCs w:val="24"/>
          <w:highlight w:val="none"/>
          <w:lang w:val="en-US" w:eastAsia="zh-CN"/>
        </w:rPr>
      </w:pPr>
    </w:p>
    <w:p>
      <w:pPr>
        <w:numPr>
          <w:ilvl w:val="0"/>
          <w:numId w:val="0"/>
        </w:numPr>
        <w:shd w:val="clear"/>
        <w:jc w:val="both"/>
        <w:outlineLvl w:val="0"/>
        <w:rPr>
          <w:rFonts w:hint="eastAsia" w:ascii="仿宋" w:hAnsi="仿宋" w:eastAsia="仿宋" w:cs="仿宋"/>
          <w:b/>
          <w:bCs w:val="0"/>
          <w:kern w:val="0"/>
          <w:sz w:val="24"/>
          <w:szCs w:val="24"/>
          <w:highlight w:val="none"/>
          <w:lang w:val="en-US" w:eastAsia="zh-CN" w:bidi="ar-SA"/>
        </w:rPr>
      </w:pPr>
    </w:p>
    <w:p>
      <w:pPr>
        <w:numPr>
          <w:ilvl w:val="0"/>
          <w:numId w:val="0"/>
        </w:numPr>
        <w:shd w:val="clear"/>
        <w:jc w:val="both"/>
        <w:outlineLvl w:val="0"/>
        <w:rPr>
          <w:rFonts w:hint="eastAsia" w:ascii="仿宋" w:hAnsi="仿宋" w:eastAsia="仿宋" w:cs="仿宋"/>
          <w:b/>
          <w:bCs w:val="0"/>
          <w:kern w:val="0"/>
          <w:sz w:val="24"/>
          <w:szCs w:val="24"/>
          <w:highlight w:val="none"/>
          <w:lang w:val="en-US" w:eastAsia="zh-CN" w:bidi="ar-SA"/>
        </w:rPr>
      </w:pPr>
      <w:r>
        <w:rPr>
          <w:rFonts w:hint="eastAsia" w:ascii="仿宋" w:hAnsi="仿宋" w:eastAsia="仿宋" w:cs="仿宋"/>
          <w:b/>
          <w:bCs w:val="0"/>
          <w:kern w:val="0"/>
          <w:sz w:val="24"/>
          <w:szCs w:val="24"/>
          <w:highlight w:val="none"/>
          <w:lang w:val="en-US" w:eastAsia="zh-CN" w:bidi="ar-SA"/>
        </w:rPr>
        <w:t>六、其他重要条款</w:t>
      </w:r>
    </w:p>
    <w:p>
      <w:pPr>
        <w:numPr>
          <w:ilvl w:val="0"/>
          <w:numId w:val="0"/>
        </w:numPr>
        <w:shd w:val="clea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numPr>
          <w:ilvl w:val="0"/>
          <w:numId w:val="0"/>
        </w:numPr>
        <w:shd w:val="clea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2、投标人应充分了解项目的位置、情况、道路及任何其它足以影响投标报价的情况，任何因忽视或误解项目情况而导致的索赔或服务期限延长申请将不获批准。</w:t>
      </w:r>
    </w:p>
    <w:p>
      <w:pPr>
        <w:numPr>
          <w:ilvl w:val="0"/>
          <w:numId w:val="0"/>
        </w:numPr>
        <w:shd w:val="clea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3、投标人不得期望通过索赔等方式获取补偿，否则，除可能遭到拒绝外，还可能将被作为不良行为记录在案，并可能影响其以后参加政府采购的项目投标。各投标人在投标报价时，应充分考虑投标报价的风险。</w:t>
      </w:r>
    </w:p>
    <w:p>
      <w:pPr>
        <w:numPr>
          <w:ilvl w:val="0"/>
          <w:numId w:val="0"/>
        </w:numPr>
        <w:shd w:val="clea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numPr>
          <w:ilvl w:val="0"/>
          <w:numId w:val="0"/>
        </w:numPr>
        <w:shd w:val="clear"/>
        <w:ind w:firstLine="480" w:firstLineChars="200"/>
        <w:jc w:val="both"/>
        <w:outlineLvl w:val="0"/>
        <w:rPr>
          <w:rFonts w:hint="eastAsia" w:ascii="仿宋" w:hAnsi="仿宋" w:eastAsia="仿宋" w:cs="仿宋"/>
          <w:b w:val="0"/>
          <w:bCs/>
          <w:kern w:val="0"/>
          <w:sz w:val="24"/>
          <w:szCs w:val="24"/>
          <w:highlight w:val="none"/>
          <w:lang w:val="en-US" w:eastAsia="zh-CN" w:bidi="ar-SA"/>
        </w:rPr>
      </w:pPr>
      <w:r>
        <w:rPr>
          <w:rFonts w:hint="eastAsia" w:ascii="仿宋" w:hAnsi="仿宋" w:eastAsia="仿宋" w:cs="仿宋"/>
          <w:b w:val="0"/>
          <w:bCs/>
          <w:kern w:val="0"/>
          <w:sz w:val="24"/>
          <w:szCs w:val="24"/>
          <w:highlight w:val="none"/>
          <w:lang w:val="en-US" w:eastAsia="zh-CN" w:bidi="ar-SA"/>
        </w:rPr>
        <w:t>5、除政府采购合同继续履行将损害国家利益和社会公共利益外，双方当事人不得擅自变更、中止或者终止合同。</w:t>
      </w:r>
    </w:p>
    <w:p>
      <w:pPr>
        <w:shd w:val="clear"/>
        <w:ind w:firstLine="2409" w:firstLineChars="800"/>
        <w:rPr>
          <w:rFonts w:hint="eastAsia" w:ascii="仿宋" w:hAnsi="仿宋" w:eastAsia="仿宋" w:cs="仿宋"/>
          <w:b/>
          <w:color w:val="auto"/>
          <w:spacing w:val="0"/>
          <w:w w:val="100"/>
          <w:kern w:val="2"/>
          <w:sz w:val="30"/>
          <w:szCs w:val="21"/>
          <w:highlight w:val="none"/>
        </w:rPr>
      </w:pPr>
    </w:p>
    <w:p>
      <w:pPr>
        <w:shd w:val="clear"/>
        <w:ind w:firstLine="2409" w:firstLineChars="800"/>
        <w:rPr>
          <w:rFonts w:hint="eastAsia" w:ascii="仿宋" w:hAnsi="仿宋" w:eastAsia="仿宋" w:cs="仿宋"/>
          <w:b/>
          <w:color w:val="auto"/>
          <w:spacing w:val="0"/>
          <w:w w:val="100"/>
          <w:kern w:val="2"/>
          <w:sz w:val="30"/>
          <w:szCs w:val="21"/>
          <w:highlight w:val="none"/>
        </w:rPr>
      </w:pPr>
    </w:p>
    <w:p>
      <w:pPr>
        <w:shd w:val="clear"/>
        <w:rPr>
          <w:rFonts w:hint="eastAsia" w:ascii="仿宋" w:hAnsi="仿宋" w:eastAsia="仿宋" w:cs="仿宋"/>
          <w:b/>
          <w:color w:val="auto"/>
          <w:spacing w:val="0"/>
          <w:w w:val="100"/>
          <w:kern w:val="2"/>
          <w:sz w:val="30"/>
          <w:szCs w:val="21"/>
          <w:highlight w:val="none"/>
        </w:rPr>
      </w:pPr>
      <w:r>
        <w:rPr>
          <w:rFonts w:hint="eastAsia" w:ascii="仿宋" w:hAnsi="仿宋" w:eastAsia="仿宋" w:cs="仿宋"/>
          <w:b/>
          <w:color w:val="auto"/>
          <w:spacing w:val="0"/>
          <w:w w:val="100"/>
          <w:kern w:val="2"/>
          <w:sz w:val="30"/>
          <w:szCs w:val="21"/>
          <w:highlight w:val="none"/>
        </w:rPr>
        <w:br w:type="page"/>
      </w:r>
    </w:p>
    <w:p>
      <w:pPr>
        <w:shd w:val="clear"/>
        <w:ind w:firstLine="2409" w:firstLineChars="800"/>
        <w:rPr>
          <w:rFonts w:hint="eastAsia" w:ascii="仿宋" w:hAnsi="仿宋" w:eastAsia="仿宋" w:cs="仿宋"/>
          <w:b/>
          <w:color w:val="auto"/>
          <w:spacing w:val="0"/>
          <w:w w:val="100"/>
          <w:kern w:val="2"/>
          <w:sz w:val="30"/>
          <w:szCs w:val="21"/>
          <w:highlight w:val="none"/>
          <w:lang w:val="en-US" w:eastAsia="zh-CN"/>
        </w:rPr>
      </w:pPr>
      <w:r>
        <w:rPr>
          <w:rFonts w:hint="eastAsia" w:ascii="仿宋" w:hAnsi="仿宋" w:eastAsia="仿宋" w:cs="仿宋"/>
          <w:b/>
          <w:color w:val="auto"/>
          <w:spacing w:val="0"/>
          <w:w w:val="100"/>
          <w:kern w:val="2"/>
          <w:sz w:val="30"/>
          <w:szCs w:val="21"/>
          <w:highlight w:val="none"/>
        </w:rPr>
        <w:t>第</w:t>
      </w:r>
      <w:r>
        <w:rPr>
          <w:rFonts w:hint="eastAsia" w:ascii="仿宋" w:hAnsi="仿宋" w:eastAsia="仿宋" w:cs="仿宋"/>
          <w:b/>
          <w:color w:val="auto"/>
          <w:spacing w:val="0"/>
          <w:w w:val="100"/>
          <w:kern w:val="2"/>
          <w:sz w:val="30"/>
          <w:szCs w:val="21"/>
          <w:highlight w:val="none"/>
          <w:lang w:val="en-US" w:eastAsia="zh-CN"/>
        </w:rPr>
        <w:t>三</w:t>
      </w:r>
      <w:r>
        <w:rPr>
          <w:rFonts w:hint="eastAsia" w:ascii="仿宋" w:hAnsi="仿宋" w:eastAsia="仿宋" w:cs="仿宋"/>
          <w:b/>
          <w:color w:val="auto"/>
          <w:spacing w:val="0"/>
          <w:w w:val="100"/>
          <w:kern w:val="2"/>
          <w:sz w:val="30"/>
          <w:szCs w:val="21"/>
          <w:highlight w:val="none"/>
        </w:rPr>
        <w:t>章   投标文件的组成</w:t>
      </w:r>
      <w:r>
        <w:rPr>
          <w:rFonts w:hint="eastAsia" w:ascii="仿宋" w:hAnsi="仿宋" w:eastAsia="仿宋" w:cs="仿宋"/>
          <w:b/>
          <w:color w:val="auto"/>
          <w:spacing w:val="0"/>
          <w:w w:val="100"/>
          <w:kern w:val="2"/>
          <w:sz w:val="30"/>
          <w:szCs w:val="21"/>
          <w:highlight w:val="none"/>
          <w:lang w:eastAsia="zh-CN"/>
        </w:rPr>
        <w:t>、</w:t>
      </w:r>
      <w:r>
        <w:rPr>
          <w:rFonts w:hint="eastAsia" w:ascii="仿宋" w:hAnsi="仿宋" w:eastAsia="仿宋" w:cs="仿宋"/>
          <w:b/>
          <w:color w:val="auto"/>
          <w:spacing w:val="0"/>
          <w:w w:val="100"/>
          <w:kern w:val="2"/>
          <w:sz w:val="30"/>
          <w:szCs w:val="21"/>
          <w:highlight w:val="none"/>
          <w:lang w:val="en-US" w:eastAsia="zh-CN"/>
        </w:rPr>
        <w:t>格式</w:t>
      </w:r>
    </w:p>
    <w:p>
      <w:pPr>
        <w:shd w:val="clear"/>
        <w:rPr>
          <w:rStyle w:val="30"/>
          <w:rFonts w:hint="eastAsia" w:ascii="仿宋" w:hAnsi="仿宋" w:eastAsia="仿宋" w:cs="仿宋"/>
          <w:b/>
          <w:bCs w:val="0"/>
          <w:color w:val="auto"/>
          <w:sz w:val="21"/>
          <w:szCs w:val="21"/>
          <w:highlight w:val="none"/>
        </w:rPr>
      </w:pPr>
    </w:p>
    <w:p>
      <w:pPr>
        <w:shd w:val="clear"/>
        <w:outlineLvl w:val="2"/>
        <w:rPr>
          <w:rFonts w:hint="eastAsia" w:ascii="仿宋" w:hAnsi="仿宋" w:eastAsia="仿宋" w:cs="仿宋"/>
          <w:color w:val="auto"/>
          <w:sz w:val="24"/>
          <w:szCs w:val="24"/>
          <w:highlight w:val="none"/>
        </w:rPr>
      </w:pPr>
      <w:r>
        <w:rPr>
          <w:rStyle w:val="30"/>
          <w:rFonts w:hint="eastAsia" w:ascii="仿宋" w:hAnsi="仿宋" w:eastAsia="仿宋" w:cs="仿宋"/>
          <w:b/>
          <w:bCs w:val="0"/>
          <w:color w:val="auto"/>
          <w:sz w:val="24"/>
          <w:szCs w:val="24"/>
          <w:highlight w:val="none"/>
        </w:rPr>
        <w:t>投标文件组成</w:t>
      </w:r>
    </w:p>
    <w:p>
      <w:pPr>
        <w:pStyle w:val="27"/>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1.评标指引表</w:t>
      </w:r>
    </w:p>
    <w:p>
      <w:pPr>
        <w:pStyle w:val="27"/>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2.投标函</w:t>
      </w:r>
    </w:p>
    <w:p>
      <w:pPr>
        <w:pStyle w:val="27"/>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3.报价明细表</w:t>
      </w:r>
    </w:p>
    <w:p>
      <w:pPr>
        <w:pStyle w:val="27"/>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4.投标人基本情况</w:t>
      </w:r>
    </w:p>
    <w:p>
      <w:pPr>
        <w:pStyle w:val="27"/>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（1）投标人基本情况一览表</w:t>
      </w:r>
    </w:p>
    <w:p>
      <w:pPr>
        <w:pStyle w:val="27"/>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（2）自行采购项目供应商资格审查表</w:t>
      </w:r>
    </w:p>
    <w:p>
      <w:pPr>
        <w:pStyle w:val="27"/>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5.投标人情况及资格证明文件</w:t>
      </w:r>
    </w:p>
    <w:p>
      <w:pPr>
        <w:pStyle w:val="27"/>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6.实质性条款响应情况表</w:t>
      </w:r>
    </w:p>
    <w:p>
      <w:pPr>
        <w:pStyle w:val="27"/>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7.技术要求偏离表</w:t>
      </w:r>
    </w:p>
    <w:p>
      <w:pPr>
        <w:pStyle w:val="27"/>
        <w:shd w:val="clea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8.合同条款及格式</w:t>
      </w:r>
    </w:p>
    <w:p>
      <w:pPr>
        <w:pStyle w:val="27"/>
        <w:shd w:val="clear"/>
        <w:rPr>
          <w:rFonts w:hint="eastAsia" w:ascii="仿宋" w:hAnsi="仿宋" w:eastAsia="仿宋" w:cs="仿宋"/>
          <w:b/>
          <w:bCs/>
          <w:szCs w:val="21"/>
          <w:highlight w:val="none"/>
        </w:rPr>
      </w:pPr>
      <w:r>
        <w:rPr>
          <w:rFonts w:hint="eastAsia" w:ascii="仿宋" w:hAnsi="仿宋" w:eastAsia="仿宋" w:cs="仿宋"/>
          <w:sz w:val="24"/>
          <w:szCs w:val="24"/>
          <w:highlight w:val="none"/>
          <w:lang w:val="en-US" w:eastAsia="zh-CN"/>
        </w:rPr>
        <w:t>9.投标人认为需要加以说明的其他内容</w:t>
      </w:r>
    </w:p>
    <w:p>
      <w:pPr>
        <w:pStyle w:val="27"/>
        <w:shd w:val="clear"/>
        <w:rPr>
          <w:rFonts w:hint="eastAsia" w:ascii="仿宋" w:hAnsi="仿宋" w:eastAsia="仿宋" w:cs="仿宋"/>
          <w:color w:val="auto"/>
          <w:highlight w:val="none"/>
        </w:rPr>
      </w:pPr>
    </w:p>
    <w:p>
      <w:pPr>
        <w:shd w:val="clea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pPr>
        <w:shd w:val="clear"/>
        <w:outlineLvl w:val="2"/>
        <w:rPr>
          <w:rFonts w:hint="eastAsia"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投标</w:t>
      </w:r>
      <w:r>
        <w:rPr>
          <w:rStyle w:val="30"/>
          <w:rFonts w:hint="eastAsia" w:ascii="仿宋" w:hAnsi="仿宋" w:eastAsia="仿宋" w:cs="仿宋"/>
          <w:b/>
          <w:bCs w:val="0"/>
          <w:color w:val="auto"/>
          <w:sz w:val="28"/>
          <w:szCs w:val="28"/>
          <w:highlight w:val="none"/>
        </w:rPr>
        <w:t>文件</w:t>
      </w:r>
      <w:r>
        <w:rPr>
          <w:rFonts w:hint="eastAsia" w:ascii="仿宋" w:hAnsi="仿宋" w:eastAsia="仿宋" w:cs="仿宋"/>
          <w:b/>
          <w:color w:val="auto"/>
          <w:sz w:val="28"/>
          <w:szCs w:val="28"/>
          <w:highlight w:val="none"/>
        </w:rPr>
        <w:t>格式</w:t>
      </w:r>
    </w:p>
    <w:p>
      <w:pPr>
        <w:pStyle w:val="8"/>
        <w:shd w:val="clear"/>
        <w:rPr>
          <w:rFonts w:hint="eastAsia" w:ascii="仿宋" w:hAnsi="仿宋" w:eastAsia="仿宋" w:cs="仿宋"/>
          <w:color w:val="auto"/>
          <w:highlight w:val="none"/>
        </w:rPr>
      </w:pPr>
    </w:p>
    <w:p>
      <w:pPr>
        <w:keepNext/>
        <w:keepLines/>
        <w:shd w:val="clear"/>
        <w:spacing w:line="360" w:lineRule="auto"/>
        <w:outlineLvl w:val="3"/>
        <w:rPr>
          <w:rFonts w:hint="eastAsia" w:ascii="仿宋" w:hAnsi="仿宋" w:eastAsia="仿宋" w:cs="仿宋"/>
          <w:b/>
          <w:bCs/>
          <w:color w:val="auto"/>
          <w:sz w:val="24"/>
          <w:szCs w:val="24"/>
          <w:highlight w:val="none"/>
        </w:rPr>
      </w:pPr>
      <w:bookmarkStart w:id="0" w:name="_Toc18075"/>
      <w:bookmarkStart w:id="1" w:name="_Toc24698"/>
      <w:bookmarkStart w:id="2" w:name="_Toc24797"/>
      <w:bookmarkStart w:id="3" w:name="_Toc5828"/>
      <w:r>
        <w:rPr>
          <w:rFonts w:hint="eastAsia" w:ascii="仿宋" w:hAnsi="仿宋" w:eastAsia="仿宋" w:cs="仿宋"/>
          <w:b/>
          <w:bCs/>
          <w:color w:val="auto"/>
          <w:sz w:val="24"/>
          <w:szCs w:val="24"/>
          <w:highlight w:val="none"/>
        </w:rPr>
        <w:t>一、评标指引表</w:t>
      </w:r>
      <w:bookmarkEnd w:id="0"/>
      <w:bookmarkEnd w:id="1"/>
      <w:bookmarkEnd w:id="2"/>
      <w:bookmarkEnd w:id="3"/>
    </w:p>
    <w:tbl>
      <w:tblPr>
        <w:tblStyle w:val="21"/>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255"/>
        <w:gridCol w:w="1927"/>
        <w:gridCol w:w="4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4366" w:type="dxa"/>
            <w:gridSpan w:val="3"/>
            <w:tcBorders>
              <w:top w:val="nil"/>
              <w:left w:val="nil"/>
              <w:bottom w:val="single" w:color="auto" w:sz="4" w:space="0"/>
              <w:right w:val="nil"/>
            </w:tcBorders>
          </w:tcPr>
          <w:p>
            <w:pPr>
              <w:keepNext w:val="0"/>
              <w:keepLines w:val="0"/>
              <w:widowControl/>
              <w:suppressLineNumbers w:val="0"/>
              <w:shd w:val="clear"/>
              <w:adjustRightInd w:val="0"/>
              <w:snapToGrid w:val="0"/>
              <w:spacing w:before="0" w:beforeAutospacing="0" w:after="0" w:afterAutospacing="0" w:line="360" w:lineRule="auto"/>
              <w:ind w:left="0" w:right="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项目名称：</w:t>
            </w:r>
          </w:p>
        </w:tc>
        <w:tc>
          <w:tcPr>
            <w:tcW w:w="4353" w:type="dxa"/>
            <w:tcBorders>
              <w:top w:val="nil"/>
              <w:left w:val="nil"/>
              <w:bottom w:val="single" w:color="auto" w:sz="4" w:space="0"/>
              <w:right w:val="nil"/>
            </w:tcBorders>
          </w:tcPr>
          <w:p>
            <w:pPr>
              <w:keepNext w:val="0"/>
              <w:keepLines w:val="0"/>
              <w:widowControl/>
              <w:suppressLineNumbers w:val="0"/>
              <w:shd w:val="clear"/>
              <w:adjustRightInd w:val="0"/>
              <w:snapToGrid w:val="0"/>
              <w:spacing w:before="0" w:beforeAutospacing="0" w:after="0" w:afterAutospacing="0" w:line="360" w:lineRule="auto"/>
              <w:ind w:left="0" w:right="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366" w:type="dxa"/>
            <w:gridSpan w:val="3"/>
            <w:tcBorders>
              <w:top w:val="single" w:color="auto" w:sz="4" w:space="0"/>
              <w:tl2br w:val="single" w:color="auto" w:sz="4" w:space="0"/>
            </w:tcBorders>
          </w:tcPr>
          <w:p>
            <w:pPr>
              <w:keepNext w:val="0"/>
              <w:keepLines w:val="0"/>
              <w:widowControl/>
              <w:suppressLineNumbers w:val="0"/>
              <w:shd w:val="clear"/>
              <w:spacing w:before="0" w:beforeAutospacing="0" w:after="0" w:afterAutospacing="0" w:line="360" w:lineRule="auto"/>
              <w:ind w:left="0" w:right="0" w:firstLine="2409" w:firstLineChars="10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指引内容</w:t>
            </w:r>
          </w:p>
          <w:p>
            <w:pPr>
              <w:keepNext w:val="0"/>
              <w:keepLines w:val="0"/>
              <w:widowControl/>
              <w:suppressLineNumbers w:val="0"/>
              <w:shd w:val="clear"/>
              <w:spacing w:before="0" w:beforeAutospacing="0" w:after="0" w:afterAutospacing="0" w:line="360" w:lineRule="auto"/>
              <w:ind w:left="0" w:right="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指引部分名称及代号</w:t>
            </w:r>
          </w:p>
        </w:tc>
        <w:tc>
          <w:tcPr>
            <w:tcW w:w="4353" w:type="dxa"/>
            <w:tcBorders>
              <w:top w:val="single" w:color="auto" w:sz="4" w:space="0"/>
            </w:tcBorders>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相应内容位置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4" w:type="dxa"/>
            <w:vMerge w:val="restart"/>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资格性及符合性检查</w:t>
            </w:r>
          </w:p>
        </w:tc>
        <w:tc>
          <w:tcPr>
            <w:tcW w:w="1255" w:type="dxa"/>
            <w:vMerge w:val="restart"/>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资格性</w:t>
            </w:r>
          </w:p>
        </w:tc>
        <w:tc>
          <w:tcPr>
            <w:tcW w:w="1927" w:type="dxa"/>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4353" w:type="dxa"/>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widowControl/>
              <w:suppressLineNumbers w:val="0"/>
              <w:shd w:val="clear"/>
              <w:spacing w:before="0" w:beforeAutospacing="0" w:after="0" w:afterAutospacing="0" w:line="360" w:lineRule="auto"/>
              <w:ind w:left="0" w:right="0"/>
              <w:rPr>
                <w:rFonts w:hint="eastAsia" w:ascii="仿宋" w:hAnsi="仿宋" w:eastAsia="仿宋" w:cs="仿宋"/>
                <w:b/>
                <w:color w:val="auto"/>
                <w:sz w:val="24"/>
                <w:szCs w:val="24"/>
                <w:highlight w:val="none"/>
              </w:rPr>
            </w:pPr>
          </w:p>
        </w:tc>
        <w:tc>
          <w:tcPr>
            <w:tcW w:w="1255" w:type="dxa"/>
            <w:vMerge w:val="continue"/>
          </w:tcPr>
          <w:p>
            <w:pPr>
              <w:keepNext w:val="0"/>
              <w:keepLines w:val="0"/>
              <w:widowControl/>
              <w:suppressLineNumbers w:val="0"/>
              <w:shd w:val="clear"/>
              <w:spacing w:before="0" w:beforeAutospacing="0" w:after="0" w:afterAutospacing="0" w:line="360" w:lineRule="auto"/>
              <w:ind w:left="0" w:right="0"/>
              <w:rPr>
                <w:rFonts w:hint="eastAsia" w:ascii="仿宋" w:hAnsi="仿宋" w:eastAsia="仿宋" w:cs="仿宋"/>
                <w:b/>
                <w:color w:val="auto"/>
                <w:sz w:val="24"/>
                <w:szCs w:val="24"/>
                <w:highlight w:val="none"/>
              </w:rPr>
            </w:pPr>
          </w:p>
        </w:tc>
        <w:tc>
          <w:tcPr>
            <w:tcW w:w="1927" w:type="dxa"/>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4353" w:type="dxa"/>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widowControl/>
              <w:suppressLineNumbers w:val="0"/>
              <w:shd w:val="clear"/>
              <w:spacing w:before="0" w:beforeAutospacing="0" w:after="0" w:afterAutospacing="0" w:line="360" w:lineRule="auto"/>
              <w:ind w:left="0" w:right="0"/>
              <w:rPr>
                <w:rFonts w:hint="eastAsia" w:ascii="仿宋" w:hAnsi="仿宋" w:eastAsia="仿宋" w:cs="仿宋"/>
                <w:b/>
                <w:color w:val="auto"/>
                <w:sz w:val="24"/>
                <w:szCs w:val="24"/>
                <w:highlight w:val="none"/>
              </w:rPr>
            </w:pPr>
          </w:p>
        </w:tc>
        <w:tc>
          <w:tcPr>
            <w:tcW w:w="1255" w:type="dxa"/>
            <w:vMerge w:val="continue"/>
          </w:tcPr>
          <w:p>
            <w:pPr>
              <w:keepNext w:val="0"/>
              <w:keepLines w:val="0"/>
              <w:widowControl/>
              <w:suppressLineNumbers w:val="0"/>
              <w:shd w:val="clear"/>
              <w:spacing w:before="0" w:beforeAutospacing="0" w:after="0" w:afterAutospacing="0" w:line="360" w:lineRule="auto"/>
              <w:ind w:left="0" w:right="0"/>
              <w:rPr>
                <w:rFonts w:hint="eastAsia" w:ascii="仿宋" w:hAnsi="仿宋" w:eastAsia="仿宋" w:cs="仿宋"/>
                <w:b/>
                <w:color w:val="auto"/>
                <w:sz w:val="24"/>
                <w:szCs w:val="24"/>
                <w:highlight w:val="none"/>
              </w:rPr>
            </w:pPr>
          </w:p>
        </w:tc>
        <w:tc>
          <w:tcPr>
            <w:tcW w:w="1927" w:type="dxa"/>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p>
        </w:tc>
        <w:tc>
          <w:tcPr>
            <w:tcW w:w="4353" w:type="dxa"/>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widowControl/>
              <w:suppressLineNumbers w:val="0"/>
              <w:shd w:val="clear"/>
              <w:spacing w:before="0" w:beforeAutospacing="0" w:after="0" w:afterAutospacing="0" w:line="360" w:lineRule="auto"/>
              <w:ind w:left="0" w:right="0"/>
              <w:rPr>
                <w:rFonts w:hint="eastAsia" w:ascii="仿宋" w:hAnsi="仿宋" w:eastAsia="仿宋" w:cs="仿宋"/>
                <w:b/>
                <w:color w:val="auto"/>
                <w:sz w:val="24"/>
                <w:szCs w:val="24"/>
                <w:highlight w:val="none"/>
              </w:rPr>
            </w:pPr>
          </w:p>
        </w:tc>
        <w:tc>
          <w:tcPr>
            <w:tcW w:w="1255" w:type="dxa"/>
            <w:vMerge w:val="continue"/>
          </w:tcPr>
          <w:p>
            <w:pPr>
              <w:keepNext w:val="0"/>
              <w:keepLines w:val="0"/>
              <w:widowControl/>
              <w:suppressLineNumbers w:val="0"/>
              <w:shd w:val="clear"/>
              <w:spacing w:before="0" w:beforeAutospacing="0" w:after="0" w:afterAutospacing="0" w:line="360" w:lineRule="auto"/>
              <w:ind w:left="0" w:right="0"/>
              <w:rPr>
                <w:rFonts w:hint="eastAsia" w:ascii="仿宋" w:hAnsi="仿宋" w:eastAsia="仿宋" w:cs="仿宋"/>
                <w:b/>
                <w:color w:val="auto"/>
                <w:sz w:val="24"/>
                <w:szCs w:val="24"/>
                <w:highlight w:val="none"/>
              </w:rPr>
            </w:pPr>
          </w:p>
        </w:tc>
        <w:tc>
          <w:tcPr>
            <w:tcW w:w="1927" w:type="dxa"/>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p>
        </w:tc>
        <w:tc>
          <w:tcPr>
            <w:tcW w:w="4353" w:type="dxa"/>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widowControl/>
              <w:suppressLineNumbers w:val="0"/>
              <w:shd w:val="clear"/>
              <w:spacing w:before="0" w:beforeAutospacing="0" w:after="0" w:afterAutospacing="0" w:line="360" w:lineRule="auto"/>
              <w:ind w:left="0" w:right="0"/>
              <w:rPr>
                <w:rFonts w:hint="eastAsia" w:ascii="仿宋" w:hAnsi="仿宋" w:eastAsia="仿宋" w:cs="仿宋"/>
                <w:b/>
                <w:color w:val="auto"/>
                <w:sz w:val="24"/>
                <w:szCs w:val="24"/>
                <w:highlight w:val="none"/>
              </w:rPr>
            </w:pPr>
          </w:p>
        </w:tc>
        <w:tc>
          <w:tcPr>
            <w:tcW w:w="1255" w:type="dxa"/>
            <w:vMerge w:val="restart"/>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符合性</w:t>
            </w:r>
          </w:p>
        </w:tc>
        <w:tc>
          <w:tcPr>
            <w:tcW w:w="1927" w:type="dxa"/>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4353" w:type="dxa"/>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widowControl/>
              <w:suppressLineNumbers w:val="0"/>
              <w:shd w:val="clear"/>
              <w:spacing w:before="0" w:beforeAutospacing="0" w:after="0" w:afterAutospacing="0" w:line="360" w:lineRule="auto"/>
              <w:ind w:left="0" w:right="0"/>
              <w:rPr>
                <w:rFonts w:hint="eastAsia" w:ascii="仿宋" w:hAnsi="仿宋" w:eastAsia="仿宋" w:cs="仿宋"/>
                <w:b/>
                <w:color w:val="auto"/>
                <w:sz w:val="24"/>
                <w:szCs w:val="24"/>
                <w:highlight w:val="none"/>
              </w:rPr>
            </w:pPr>
          </w:p>
        </w:tc>
        <w:tc>
          <w:tcPr>
            <w:tcW w:w="1255" w:type="dxa"/>
            <w:vMerge w:val="continue"/>
          </w:tcPr>
          <w:p>
            <w:pPr>
              <w:keepNext w:val="0"/>
              <w:keepLines w:val="0"/>
              <w:widowControl/>
              <w:suppressLineNumbers w:val="0"/>
              <w:shd w:val="clear"/>
              <w:spacing w:before="0" w:beforeAutospacing="0" w:after="0" w:afterAutospacing="0" w:line="360" w:lineRule="auto"/>
              <w:ind w:left="0" w:right="0"/>
              <w:rPr>
                <w:rFonts w:hint="eastAsia" w:ascii="仿宋" w:hAnsi="仿宋" w:eastAsia="仿宋" w:cs="仿宋"/>
                <w:b/>
                <w:color w:val="auto"/>
                <w:sz w:val="24"/>
                <w:szCs w:val="24"/>
                <w:highlight w:val="none"/>
              </w:rPr>
            </w:pPr>
          </w:p>
        </w:tc>
        <w:tc>
          <w:tcPr>
            <w:tcW w:w="1927" w:type="dxa"/>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4353" w:type="dxa"/>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widowControl/>
              <w:suppressLineNumbers w:val="0"/>
              <w:shd w:val="clear"/>
              <w:spacing w:before="0" w:beforeAutospacing="0" w:after="0" w:afterAutospacing="0" w:line="360" w:lineRule="auto"/>
              <w:ind w:left="0" w:right="0"/>
              <w:rPr>
                <w:rFonts w:hint="eastAsia" w:ascii="仿宋" w:hAnsi="仿宋" w:eastAsia="仿宋" w:cs="仿宋"/>
                <w:b/>
                <w:color w:val="auto"/>
                <w:sz w:val="24"/>
                <w:szCs w:val="24"/>
                <w:highlight w:val="none"/>
              </w:rPr>
            </w:pPr>
          </w:p>
        </w:tc>
        <w:tc>
          <w:tcPr>
            <w:tcW w:w="1255" w:type="dxa"/>
            <w:vMerge w:val="continue"/>
          </w:tcPr>
          <w:p>
            <w:pPr>
              <w:keepNext w:val="0"/>
              <w:keepLines w:val="0"/>
              <w:widowControl/>
              <w:suppressLineNumbers w:val="0"/>
              <w:shd w:val="clear"/>
              <w:spacing w:before="0" w:beforeAutospacing="0" w:after="0" w:afterAutospacing="0" w:line="360" w:lineRule="auto"/>
              <w:ind w:left="0" w:right="0"/>
              <w:rPr>
                <w:rFonts w:hint="eastAsia" w:ascii="仿宋" w:hAnsi="仿宋" w:eastAsia="仿宋" w:cs="仿宋"/>
                <w:b/>
                <w:color w:val="auto"/>
                <w:sz w:val="24"/>
                <w:szCs w:val="24"/>
                <w:highlight w:val="none"/>
              </w:rPr>
            </w:pPr>
          </w:p>
        </w:tc>
        <w:tc>
          <w:tcPr>
            <w:tcW w:w="1927" w:type="dxa"/>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p>
        </w:tc>
        <w:tc>
          <w:tcPr>
            <w:tcW w:w="4353" w:type="dxa"/>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widowControl/>
              <w:suppressLineNumbers w:val="0"/>
              <w:shd w:val="clear"/>
              <w:spacing w:before="0" w:beforeAutospacing="0" w:after="0" w:afterAutospacing="0" w:line="360" w:lineRule="auto"/>
              <w:ind w:left="0" w:right="0"/>
              <w:rPr>
                <w:rFonts w:hint="eastAsia" w:ascii="仿宋" w:hAnsi="仿宋" w:eastAsia="仿宋" w:cs="仿宋"/>
                <w:b/>
                <w:color w:val="auto"/>
                <w:sz w:val="24"/>
                <w:szCs w:val="24"/>
                <w:highlight w:val="none"/>
              </w:rPr>
            </w:pPr>
          </w:p>
        </w:tc>
        <w:tc>
          <w:tcPr>
            <w:tcW w:w="1255" w:type="dxa"/>
            <w:vMerge w:val="continue"/>
          </w:tcPr>
          <w:p>
            <w:pPr>
              <w:keepNext w:val="0"/>
              <w:keepLines w:val="0"/>
              <w:widowControl/>
              <w:suppressLineNumbers w:val="0"/>
              <w:shd w:val="clear"/>
              <w:spacing w:before="0" w:beforeAutospacing="0" w:after="0" w:afterAutospacing="0" w:line="360" w:lineRule="auto"/>
              <w:ind w:left="0" w:right="0"/>
              <w:rPr>
                <w:rFonts w:hint="eastAsia" w:ascii="仿宋" w:hAnsi="仿宋" w:eastAsia="仿宋" w:cs="仿宋"/>
                <w:b/>
                <w:color w:val="auto"/>
                <w:sz w:val="24"/>
                <w:szCs w:val="24"/>
                <w:highlight w:val="none"/>
              </w:rPr>
            </w:pPr>
          </w:p>
        </w:tc>
        <w:tc>
          <w:tcPr>
            <w:tcW w:w="1927" w:type="dxa"/>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p>
        </w:tc>
        <w:tc>
          <w:tcPr>
            <w:tcW w:w="4353" w:type="dxa"/>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restart"/>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综合评分</w:t>
            </w:r>
          </w:p>
        </w:tc>
        <w:tc>
          <w:tcPr>
            <w:tcW w:w="1255" w:type="dxa"/>
            <w:vMerge w:val="restart"/>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商务部分</w:t>
            </w:r>
          </w:p>
        </w:tc>
        <w:tc>
          <w:tcPr>
            <w:tcW w:w="1927" w:type="dxa"/>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4353" w:type="dxa"/>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widowControl/>
              <w:suppressLineNumbers w:val="0"/>
              <w:shd w:val="clear"/>
              <w:spacing w:before="0" w:beforeAutospacing="0" w:after="0" w:afterAutospacing="0" w:line="360" w:lineRule="auto"/>
              <w:ind w:left="0" w:right="0"/>
              <w:rPr>
                <w:rFonts w:hint="eastAsia" w:ascii="仿宋" w:hAnsi="仿宋" w:eastAsia="仿宋" w:cs="仿宋"/>
                <w:b/>
                <w:color w:val="auto"/>
                <w:sz w:val="24"/>
                <w:szCs w:val="24"/>
                <w:highlight w:val="none"/>
              </w:rPr>
            </w:pPr>
          </w:p>
        </w:tc>
        <w:tc>
          <w:tcPr>
            <w:tcW w:w="1255" w:type="dxa"/>
            <w:vMerge w:val="continue"/>
          </w:tcPr>
          <w:p>
            <w:pPr>
              <w:keepNext w:val="0"/>
              <w:keepLines w:val="0"/>
              <w:widowControl/>
              <w:suppressLineNumbers w:val="0"/>
              <w:shd w:val="clear"/>
              <w:spacing w:before="0" w:beforeAutospacing="0" w:after="0" w:afterAutospacing="0" w:line="360" w:lineRule="auto"/>
              <w:ind w:left="0" w:right="0"/>
              <w:rPr>
                <w:rFonts w:hint="eastAsia" w:ascii="仿宋" w:hAnsi="仿宋" w:eastAsia="仿宋" w:cs="仿宋"/>
                <w:b/>
                <w:color w:val="auto"/>
                <w:sz w:val="24"/>
                <w:szCs w:val="24"/>
                <w:highlight w:val="none"/>
              </w:rPr>
            </w:pPr>
          </w:p>
        </w:tc>
        <w:tc>
          <w:tcPr>
            <w:tcW w:w="1927" w:type="dxa"/>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4353" w:type="dxa"/>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widowControl/>
              <w:suppressLineNumbers w:val="0"/>
              <w:shd w:val="clear"/>
              <w:spacing w:before="0" w:beforeAutospacing="0" w:after="0" w:afterAutospacing="0" w:line="360" w:lineRule="auto"/>
              <w:ind w:left="0" w:right="0"/>
              <w:rPr>
                <w:rFonts w:hint="eastAsia" w:ascii="仿宋" w:hAnsi="仿宋" w:eastAsia="仿宋" w:cs="仿宋"/>
                <w:b/>
                <w:color w:val="auto"/>
                <w:sz w:val="24"/>
                <w:szCs w:val="24"/>
                <w:highlight w:val="none"/>
              </w:rPr>
            </w:pPr>
          </w:p>
        </w:tc>
        <w:tc>
          <w:tcPr>
            <w:tcW w:w="1255" w:type="dxa"/>
            <w:vMerge w:val="continue"/>
          </w:tcPr>
          <w:p>
            <w:pPr>
              <w:keepNext w:val="0"/>
              <w:keepLines w:val="0"/>
              <w:widowControl/>
              <w:suppressLineNumbers w:val="0"/>
              <w:shd w:val="clear"/>
              <w:spacing w:before="0" w:beforeAutospacing="0" w:after="0" w:afterAutospacing="0" w:line="360" w:lineRule="auto"/>
              <w:ind w:left="0" w:right="0"/>
              <w:rPr>
                <w:rFonts w:hint="eastAsia" w:ascii="仿宋" w:hAnsi="仿宋" w:eastAsia="仿宋" w:cs="仿宋"/>
                <w:b/>
                <w:color w:val="auto"/>
                <w:sz w:val="24"/>
                <w:szCs w:val="24"/>
                <w:highlight w:val="none"/>
              </w:rPr>
            </w:pPr>
          </w:p>
        </w:tc>
        <w:tc>
          <w:tcPr>
            <w:tcW w:w="1927" w:type="dxa"/>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p>
        </w:tc>
        <w:tc>
          <w:tcPr>
            <w:tcW w:w="4353" w:type="dxa"/>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widowControl/>
              <w:suppressLineNumbers w:val="0"/>
              <w:shd w:val="clear"/>
              <w:spacing w:before="0" w:beforeAutospacing="0" w:after="0" w:afterAutospacing="0" w:line="360" w:lineRule="auto"/>
              <w:ind w:left="0" w:right="0"/>
              <w:rPr>
                <w:rFonts w:hint="eastAsia" w:ascii="仿宋" w:hAnsi="仿宋" w:eastAsia="仿宋" w:cs="仿宋"/>
                <w:b/>
                <w:color w:val="auto"/>
                <w:sz w:val="24"/>
                <w:szCs w:val="24"/>
                <w:highlight w:val="none"/>
              </w:rPr>
            </w:pPr>
          </w:p>
        </w:tc>
        <w:tc>
          <w:tcPr>
            <w:tcW w:w="1255" w:type="dxa"/>
            <w:vMerge w:val="restart"/>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技术部分</w:t>
            </w:r>
          </w:p>
        </w:tc>
        <w:tc>
          <w:tcPr>
            <w:tcW w:w="1927" w:type="dxa"/>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4353" w:type="dxa"/>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184" w:type="dxa"/>
            <w:vMerge w:val="continue"/>
          </w:tcPr>
          <w:p>
            <w:pPr>
              <w:keepNext w:val="0"/>
              <w:keepLines w:val="0"/>
              <w:widowControl/>
              <w:suppressLineNumbers w:val="0"/>
              <w:shd w:val="clear"/>
              <w:spacing w:before="0" w:beforeAutospacing="0" w:after="0" w:afterAutospacing="0" w:line="360" w:lineRule="auto"/>
              <w:ind w:left="0" w:right="0"/>
              <w:rPr>
                <w:rFonts w:hint="eastAsia" w:ascii="仿宋" w:hAnsi="仿宋" w:eastAsia="仿宋" w:cs="仿宋"/>
                <w:b/>
                <w:color w:val="auto"/>
                <w:sz w:val="24"/>
                <w:szCs w:val="24"/>
                <w:highlight w:val="none"/>
              </w:rPr>
            </w:pPr>
          </w:p>
        </w:tc>
        <w:tc>
          <w:tcPr>
            <w:tcW w:w="1255" w:type="dxa"/>
            <w:vMerge w:val="continue"/>
          </w:tcPr>
          <w:p>
            <w:pPr>
              <w:keepNext w:val="0"/>
              <w:keepLines w:val="0"/>
              <w:widowControl/>
              <w:suppressLineNumbers w:val="0"/>
              <w:shd w:val="clear"/>
              <w:spacing w:before="0" w:beforeAutospacing="0" w:after="0" w:afterAutospacing="0" w:line="360" w:lineRule="auto"/>
              <w:ind w:left="0" w:right="0"/>
              <w:rPr>
                <w:rFonts w:hint="eastAsia" w:ascii="仿宋" w:hAnsi="仿宋" w:eastAsia="仿宋" w:cs="仿宋"/>
                <w:b/>
                <w:color w:val="auto"/>
                <w:sz w:val="24"/>
                <w:szCs w:val="24"/>
                <w:highlight w:val="none"/>
              </w:rPr>
            </w:pPr>
          </w:p>
        </w:tc>
        <w:tc>
          <w:tcPr>
            <w:tcW w:w="1927" w:type="dxa"/>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2</w:t>
            </w:r>
          </w:p>
        </w:tc>
        <w:tc>
          <w:tcPr>
            <w:tcW w:w="4353" w:type="dxa"/>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见投标文件__页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84" w:type="dxa"/>
            <w:vMerge w:val="continue"/>
          </w:tcPr>
          <w:p>
            <w:pPr>
              <w:keepNext w:val="0"/>
              <w:keepLines w:val="0"/>
              <w:widowControl/>
              <w:suppressLineNumbers w:val="0"/>
              <w:shd w:val="clear"/>
              <w:spacing w:before="0" w:beforeAutospacing="0" w:after="0" w:afterAutospacing="0" w:line="360" w:lineRule="auto"/>
              <w:ind w:left="0" w:right="0"/>
              <w:rPr>
                <w:rFonts w:hint="eastAsia" w:ascii="仿宋" w:hAnsi="仿宋" w:eastAsia="仿宋" w:cs="仿宋"/>
                <w:b/>
                <w:color w:val="auto"/>
                <w:sz w:val="24"/>
                <w:szCs w:val="24"/>
                <w:highlight w:val="none"/>
              </w:rPr>
            </w:pPr>
          </w:p>
        </w:tc>
        <w:tc>
          <w:tcPr>
            <w:tcW w:w="1255" w:type="dxa"/>
            <w:vMerge w:val="continue"/>
          </w:tcPr>
          <w:p>
            <w:pPr>
              <w:keepNext w:val="0"/>
              <w:keepLines w:val="0"/>
              <w:widowControl/>
              <w:suppressLineNumbers w:val="0"/>
              <w:shd w:val="clear"/>
              <w:spacing w:before="0" w:beforeAutospacing="0" w:after="0" w:afterAutospacing="0" w:line="360" w:lineRule="auto"/>
              <w:ind w:left="0" w:right="0"/>
              <w:rPr>
                <w:rFonts w:hint="eastAsia" w:ascii="仿宋" w:hAnsi="仿宋" w:eastAsia="仿宋" w:cs="仿宋"/>
                <w:b/>
                <w:color w:val="auto"/>
                <w:sz w:val="24"/>
                <w:szCs w:val="24"/>
                <w:highlight w:val="none"/>
              </w:rPr>
            </w:pPr>
          </w:p>
        </w:tc>
        <w:tc>
          <w:tcPr>
            <w:tcW w:w="1927" w:type="dxa"/>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p>
        </w:tc>
        <w:tc>
          <w:tcPr>
            <w:tcW w:w="4353" w:type="dxa"/>
            <w:vAlign w:val="center"/>
          </w:tcPr>
          <w:p>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w:t>
            </w:r>
          </w:p>
        </w:tc>
      </w:tr>
    </w:tbl>
    <w:p>
      <w:pPr>
        <w:shd w:val="clea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注：1.</w:t>
      </w:r>
      <w:r>
        <w:rPr>
          <w:rFonts w:hint="eastAsia" w:ascii="仿宋" w:hAnsi="仿宋" w:eastAsia="仿宋" w:cs="仿宋"/>
          <w:b/>
          <w:bCs/>
          <w:color w:val="auto"/>
          <w:sz w:val="24"/>
          <w:szCs w:val="24"/>
          <w:highlight w:val="none"/>
        </w:rPr>
        <w:t>资格性及符合性检查</w:t>
      </w:r>
      <w:r>
        <w:rPr>
          <w:rFonts w:hint="eastAsia" w:ascii="仿宋" w:hAnsi="仿宋" w:eastAsia="仿宋" w:cs="仿宋"/>
          <w:color w:val="auto"/>
          <w:sz w:val="24"/>
          <w:szCs w:val="24"/>
          <w:highlight w:val="none"/>
        </w:rPr>
        <w:t>详见招标文件</w:t>
      </w:r>
      <w:r>
        <w:rPr>
          <w:rFonts w:hint="eastAsia" w:ascii="仿宋" w:hAnsi="仿宋" w:eastAsia="仿宋" w:cs="仿宋"/>
          <w:b/>
          <w:bCs/>
          <w:color w:val="auto"/>
          <w:sz w:val="24"/>
          <w:szCs w:val="24"/>
          <w:highlight w:val="none"/>
        </w:rPr>
        <w:t>“关键信息”“投标文件初审表”</w:t>
      </w:r>
      <w:r>
        <w:rPr>
          <w:rFonts w:hint="eastAsia" w:ascii="仿宋" w:hAnsi="仿宋" w:eastAsia="仿宋" w:cs="仿宋"/>
          <w:color w:val="auto"/>
          <w:sz w:val="24"/>
          <w:szCs w:val="24"/>
          <w:highlight w:val="none"/>
        </w:rPr>
        <w:t>，请在本表写明投标文件中的响应位置。</w:t>
      </w:r>
    </w:p>
    <w:p>
      <w:pPr>
        <w:numPr>
          <w:ilvl w:val="0"/>
          <w:numId w:val="3"/>
        </w:numPr>
        <w:shd w:val="clear"/>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综合评分部分</w:t>
      </w:r>
      <w:r>
        <w:rPr>
          <w:rFonts w:hint="eastAsia" w:ascii="仿宋" w:hAnsi="仿宋" w:eastAsia="仿宋" w:cs="仿宋"/>
          <w:color w:val="auto"/>
          <w:sz w:val="24"/>
          <w:szCs w:val="24"/>
          <w:highlight w:val="none"/>
        </w:rPr>
        <w:t>分为商务部分和技术部分详见招标文件</w:t>
      </w:r>
      <w:r>
        <w:rPr>
          <w:rFonts w:hint="eastAsia" w:ascii="仿宋" w:hAnsi="仿宋" w:eastAsia="仿宋" w:cs="仿宋"/>
          <w:b/>
          <w:bCs/>
          <w:color w:val="auto"/>
          <w:sz w:val="24"/>
          <w:szCs w:val="24"/>
          <w:highlight w:val="none"/>
        </w:rPr>
        <w:t>“关键信息”“评标方法”</w:t>
      </w:r>
      <w:r>
        <w:rPr>
          <w:rFonts w:hint="eastAsia" w:ascii="仿宋" w:hAnsi="仿宋" w:eastAsia="仿宋" w:cs="仿宋"/>
          <w:color w:val="auto"/>
          <w:sz w:val="24"/>
          <w:szCs w:val="24"/>
          <w:highlight w:val="none"/>
        </w:rPr>
        <w:t>，请在本表写明投标文件中的响应位置。</w:t>
      </w:r>
    </w:p>
    <w:p>
      <w:pPr>
        <w:shd w:val="clear"/>
        <w:spacing w:before="0" w:after="0" w:afterAutospacing="0" w:line="400" w:lineRule="exact"/>
        <w:rPr>
          <w:rFonts w:hint="eastAsia" w:ascii="仿宋" w:hAnsi="仿宋" w:eastAsia="仿宋" w:cs="仿宋"/>
          <w:b w:val="0"/>
          <w:i w:val="0"/>
          <w:caps w:val="0"/>
          <w:color w:val="auto"/>
          <w:spacing w:val="0"/>
          <w:w w:val="100"/>
          <w:sz w:val="24"/>
          <w:szCs w:val="24"/>
          <w:highlight w:val="none"/>
        </w:rPr>
      </w:pPr>
    </w:p>
    <w:p>
      <w:pPr>
        <w:pStyle w:val="6"/>
        <w:shd w:val="clear"/>
        <w:rPr>
          <w:rFonts w:hint="eastAsia" w:ascii="仿宋" w:hAnsi="仿宋" w:eastAsia="仿宋" w:cs="仿宋"/>
          <w:b w:val="0"/>
          <w:i w:val="0"/>
          <w:caps w:val="0"/>
          <w:color w:val="auto"/>
          <w:spacing w:val="0"/>
          <w:w w:val="100"/>
          <w:sz w:val="24"/>
          <w:szCs w:val="24"/>
          <w:highlight w:val="none"/>
        </w:rPr>
      </w:pPr>
    </w:p>
    <w:p>
      <w:pPr>
        <w:pStyle w:val="8"/>
        <w:shd w:val="clear"/>
        <w:rPr>
          <w:rFonts w:hint="eastAsia" w:ascii="仿宋" w:hAnsi="仿宋" w:eastAsia="仿宋" w:cs="仿宋"/>
          <w:b w:val="0"/>
          <w:i w:val="0"/>
          <w:caps w:val="0"/>
          <w:color w:val="auto"/>
          <w:spacing w:val="0"/>
          <w:w w:val="100"/>
          <w:sz w:val="24"/>
          <w:szCs w:val="24"/>
          <w:highlight w:val="none"/>
        </w:rPr>
      </w:pPr>
    </w:p>
    <w:p>
      <w:pPr>
        <w:pStyle w:val="18"/>
        <w:shd w:val="clear"/>
        <w:rPr>
          <w:rFonts w:hint="eastAsia" w:ascii="仿宋" w:hAnsi="仿宋" w:eastAsia="仿宋" w:cs="仿宋"/>
          <w:b w:val="0"/>
          <w:i w:val="0"/>
          <w:caps w:val="0"/>
          <w:color w:val="auto"/>
          <w:spacing w:val="0"/>
          <w:w w:val="100"/>
          <w:sz w:val="24"/>
          <w:szCs w:val="24"/>
          <w:highlight w:val="none"/>
        </w:rPr>
      </w:pPr>
    </w:p>
    <w:p>
      <w:pPr>
        <w:shd w:val="clear"/>
        <w:rPr>
          <w:rFonts w:hint="eastAsia"/>
          <w:highlight w:val="none"/>
        </w:rPr>
      </w:pPr>
    </w:p>
    <w:p>
      <w:pPr>
        <w:shd w:val="clear"/>
        <w:rPr>
          <w:rFonts w:hint="eastAsia"/>
          <w:highlight w:val="none"/>
        </w:rPr>
      </w:pPr>
    </w:p>
    <w:p>
      <w:pPr>
        <w:shd w:val="clear"/>
        <w:rPr>
          <w:rFonts w:hint="eastAsia"/>
          <w:highlight w:val="none"/>
        </w:rPr>
      </w:pPr>
    </w:p>
    <w:p>
      <w:pPr>
        <w:shd w:val="clear"/>
        <w:rPr>
          <w:rFonts w:hint="eastAsia" w:ascii="仿宋" w:hAnsi="仿宋" w:eastAsia="仿宋" w:cs="仿宋"/>
          <w:b/>
          <w:bCs/>
          <w:color w:val="auto"/>
          <w:szCs w:val="21"/>
          <w:highlight w:val="none"/>
        </w:rPr>
      </w:pPr>
      <w:bookmarkStart w:id="4" w:name="_Toc13843"/>
      <w:r>
        <w:rPr>
          <w:rFonts w:hint="eastAsia" w:ascii="仿宋" w:hAnsi="仿宋" w:eastAsia="仿宋" w:cs="仿宋"/>
          <w:b/>
          <w:bCs/>
          <w:color w:val="auto"/>
          <w:szCs w:val="21"/>
          <w:highlight w:val="none"/>
        </w:rPr>
        <w:br w:type="page"/>
      </w:r>
    </w:p>
    <w:p>
      <w:pPr>
        <w:shd w:val="clear"/>
        <w:outlineLvl w:val="3"/>
        <w:rPr>
          <w:rFonts w:hint="eastAsia" w:ascii="仿宋" w:hAnsi="仿宋" w:eastAsia="仿宋" w:cs="仿宋"/>
          <w:b/>
          <w:bCs/>
          <w:color w:val="auto"/>
          <w:sz w:val="24"/>
          <w:szCs w:val="24"/>
          <w:highlight w:val="none"/>
        </w:rPr>
      </w:pPr>
      <w:r>
        <w:rPr>
          <w:rFonts w:hint="eastAsia" w:ascii="仿宋" w:hAnsi="仿宋" w:eastAsia="仿宋" w:cs="仿宋"/>
          <w:b/>
          <w:bCs/>
          <w:color w:val="auto"/>
          <w:szCs w:val="21"/>
          <w:highlight w:val="none"/>
        </w:rPr>
        <w:t>二、投标函格式</w:t>
      </w:r>
      <w:bookmarkEnd w:id="4"/>
    </w:p>
    <w:p>
      <w:pPr>
        <w:shd w:val="clea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pPr>
        <w:pStyle w:val="8"/>
        <w:shd w:val="clear"/>
        <w:rPr>
          <w:rFonts w:hint="eastAsia" w:ascii="仿宋" w:hAnsi="仿宋" w:eastAsia="仿宋" w:cs="仿宋"/>
          <w:color w:val="auto"/>
          <w:sz w:val="24"/>
          <w:szCs w:val="24"/>
          <w:highlight w:val="none"/>
        </w:rPr>
      </w:pPr>
    </w:p>
    <w:p>
      <w:pPr>
        <w:shd w:val="clea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深圳市龙岗中心医院</w:t>
      </w:r>
      <w:r>
        <w:rPr>
          <w:rFonts w:hint="eastAsia" w:ascii="仿宋" w:hAnsi="仿宋" w:eastAsia="仿宋" w:cs="仿宋"/>
          <w:color w:val="auto"/>
          <w:sz w:val="24"/>
          <w:szCs w:val="24"/>
          <w:highlight w:val="none"/>
          <w:u w:val="single"/>
        </w:rPr>
        <w:t xml:space="preserve">  </w:t>
      </w:r>
    </w:p>
    <w:p>
      <w:pPr>
        <w:shd w:val="clea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1、根据已收到贵方项目编号为</w:t>
      </w:r>
      <w:r>
        <w:rPr>
          <w:rFonts w:hint="eastAsia" w:ascii="仿宋" w:hAnsi="仿宋" w:eastAsia="仿宋" w:cs="仿宋"/>
          <w:color w:val="auto"/>
          <w:sz w:val="24"/>
          <w:szCs w:val="24"/>
          <w:highlight w:val="none"/>
          <w:u w:val="single"/>
          <w:lang w:val="en-US" w:eastAsia="zh-CN"/>
        </w:rPr>
        <w:t xml:space="preserve"> LGZXYYZBB20240912-1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龙岗中心医院</w:t>
      </w:r>
      <w:r>
        <w:rPr>
          <w:rFonts w:hint="eastAsia" w:ascii="仿宋" w:hAnsi="仿宋" w:eastAsia="仿宋" w:cs="仿宋"/>
          <w:color w:val="auto"/>
          <w:sz w:val="24"/>
          <w:szCs w:val="24"/>
          <w:highlight w:val="none"/>
          <w:u w:val="single"/>
          <w:lang w:val="en-US" w:eastAsia="zh-CN"/>
        </w:rPr>
        <w:t xml:space="preserve"> 医用气体  </w:t>
      </w:r>
      <w:r>
        <w:rPr>
          <w:rFonts w:hint="eastAsia" w:ascii="仿宋" w:hAnsi="仿宋" w:eastAsia="仿宋" w:cs="仿宋"/>
          <w:color w:val="auto"/>
          <w:sz w:val="24"/>
          <w:szCs w:val="24"/>
          <w:highlight w:val="none"/>
        </w:rPr>
        <w:t>采购的招标文件，遵照《深圳经济特区政府采购条例》等有关规定，我方经研究上述招标文件的专用条款及通用条款后，愿以开标一览表中填写的投标报价参与投标并按招标文件要求承包上述项目。</w:t>
      </w:r>
    </w:p>
    <w:p>
      <w:pPr>
        <w:shd w:val="clear"/>
        <w:spacing w:after="120" w:afterLines="50"/>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2、我方已认真核实了投标文件的全部资料，所有资料均为真实资料。我方对投标文件中全部投标资料的真实性负责，如被证实我方的投标文件中存在虚假资料，我方愿意接受主管部门作出的行政处罚。</w:t>
      </w:r>
    </w:p>
    <w:p>
      <w:pPr>
        <w:shd w:val="clea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3、我方同意所递交的投标文件在“对通用条款的补充内容”中的投标有效期内有效，在此期间内我方的投标有可能中标，我方将受此约束。</w:t>
      </w:r>
    </w:p>
    <w:p>
      <w:pPr>
        <w:shd w:val="clea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如果中标，我方承诺中标后按照采购相关规定与采购人签订合同，将保证履行我方投标文件所响应全部责任和义务，按质、按量、按期完成合同中的全部任务。如因我方原因未在规定时限内与采购人签订合同的，愿意接受相关部门作出的相应处理。除非另外达成协议并生效，贵方中标通知书和本投标文件将构成合同组成部分。</w:t>
      </w:r>
    </w:p>
    <w:p>
      <w:pPr>
        <w:pStyle w:val="8"/>
        <w:shd w:val="clear"/>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5、我方同意提供贵方可能要求的与其投标有关的一切数据或资料。</w:t>
      </w:r>
    </w:p>
    <w:p>
      <w:pPr>
        <w:shd w:val="clear"/>
        <w:spacing w:after="120" w:afterLines="50"/>
        <w:ind w:firstLine="470" w:firstLineChars="19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6、我方理解最低报价不作为中标的唯一条件，采购人及采购代理机构将不受投标文件的</w:t>
      </w:r>
      <w:r>
        <w:rPr>
          <w:rFonts w:hint="eastAsia" w:ascii="仿宋" w:hAnsi="仿宋" w:eastAsia="仿宋" w:cs="仿宋"/>
          <w:color w:val="auto"/>
          <w:sz w:val="24"/>
          <w:szCs w:val="24"/>
          <w:highlight w:val="none"/>
          <w:lang w:eastAsia="zh-CN"/>
        </w:rPr>
        <w:t>其他</w:t>
      </w:r>
      <w:r>
        <w:rPr>
          <w:rFonts w:hint="eastAsia" w:ascii="仿宋" w:hAnsi="仿宋" w:eastAsia="仿宋" w:cs="仿宋"/>
          <w:color w:val="auto"/>
          <w:sz w:val="24"/>
          <w:szCs w:val="24"/>
          <w:highlight w:val="none"/>
        </w:rPr>
        <w:t>任何条款约束。</w:t>
      </w:r>
    </w:p>
    <w:p>
      <w:pPr>
        <w:shd w:val="clear"/>
        <w:ind w:left="617" w:leftChars="257"/>
        <w:rPr>
          <w:rFonts w:hint="eastAsia" w:ascii="仿宋" w:hAnsi="仿宋" w:eastAsia="仿宋" w:cs="仿宋"/>
          <w:color w:val="auto"/>
          <w:sz w:val="24"/>
          <w:szCs w:val="24"/>
          <w:highlight w:val="none"/>
        </w:rPr>
      </w:pPr>
    </w:p>
    <w:p>
      <w:pPr>
        <w:shd w:val="clear"/>
        <w:ind w:left="617"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单位地址：</w:t>
      </w:r>
      <w:r>
        <w:rPr>
          <w:rFonts w:hint="eastAsia" w:ascii="仿宋" w:hAnsi="仿宋" w:eastAsia="仿宋" w:cs="仿宋"/>
          <w:color w:val="auto"/>
          <w:sz w:val="24"/>
          <w:szCs w:val="24"/>
          <w:highlight w:val="none"/>
          <w:u w:val="single"/>
        </w:rPr>
        <w:t xml:space="preserve">               </w:t>
      </w:r>
    </w:p>
    <w:p>
      <w:pPr>
        <w:shd w:val="clear"/>
        <w:ind w:left="617"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法定代表人或其委托代理人（签字或签章）：</w:t>
      </w:r>
      <w:r>
        <w:rPr>
          <w:rFonts w:hint="eastAsia" w:ascii="仿宋" w:hAnsi="仿宋" w:eastAsia="仿宋" w:cs="仿宋"/>
          <w:color w:val="auto"/>
          <w:sz w:val="24"/>
          <w:szCs w:val="24"/>
          <w:highlight w:val="none"/>
          <w:u w:val="single"/>
        </w:rPr>
        <w:t xml:space="preserve">                   </w:t>
      </w:r>
    </w:p>
    <w:p>
      <w:pPr>
        <w:shd w:val="clear"/>
        <w:ind w:left="617"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邮政编码：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pPr>
        <w:shd w:val="clear"/>
        <w:ind w:left="617" w:leftChars="257"/>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开户银行名称：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w:t>
      </w:r>
      <w:r>
        <w:rPr>
          <w:rFonts w:hint="eastAsia" w:ascii="仿宋" w:hAnsi="仿宋" w:eastAsia="仿宋" w:cs="仿宋"/>
          <w:color w:val="auto"/>
          <w:sz w:val="24"/>
          <w:szCs w:val="24"/>
          <w:highlight w:val="none"/>
          <w:lang w:val="en-US" w:eastAsia="zh-CN"/>
        </w:rPr>
        <w:t>账</w:t>
      </w:r>
      <w:r>
        <w:rPr>
          <w:rFonts w:hint="eastAsia" w:ascii="仿宋" w:hAnsi="仿宋" w:eastAsia="仿宋" w:cs="仿宋"/>
          <w:color w:val="auto"/>
          <w:sz w:val="24"/>
          <w:szCs w:val="24"/>
          <w:highlight w:val="none"/>
        </w:rPr>
        <w:t>号：</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shd w:val="clear"/>
        <w:ind w:left="617" w:left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开户银行地址：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开户银行电话：</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pPr>
        <w:shd w:val="clear"/>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日                                </w:t>
      </w:r>
    </w:p>
    <w:p>
      <w:pPr>
        <w:widowControl/>
        <w:shd w:val="clear"/>
        <w:autoSpaceDE w:val="0"/>
        <w:autoSpaceDN w:val="0"/>
        <w:spacing w:line="360" w:lineRule="exact"/>
        <w:ind w:left="206" w:leftChars="86" w:right="17" w:firstLine="4080" w:firstLineChars="1700"/>
        <w:textAlignment w:val="bottom"/>
        <w:rPr>
          <w:rFonts w:hint="eastAsia" w:ascii="仿宋" w:hAnsi="仿宋" w:eastAsia="仿宋" w:cs="仿宋"/>
          <w:color w:val="auto"/>
          <w:sz w:val="24"/>
          <w:szCs w:val="24"/>
          <w:highlight w:val="none"/>
        </w:rPr>
      </w:pPr>
    </w:p>
    <w:p>
      <w:pPr>
        <w:shd w:val="clear"/>
        <w:ind w:firstLine="616" w:firstLineChars="25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widowControl/>
        <w:shd w:val="clear"/>
        <w:autoSpaceDE w:val="0"/>
        <w:autoSpaceDN w:val="0"/>
        <w:spacing w:line="360" w:lineRule="exact"/>
        <w:ind w:left="206" w:leftChars="86" w:right="17" w:firstLine="4080" w:firstLineChars="1700"/>
        <w:textAlignment w:val="bottom"/>
        <w:rPr>
          <w:rFonts w:hint="eastAsia" w:ascii="仿宋" w:hAnsi="仿宋" w:eastAsia="仿宋" w:cs="仿宋"/>
          <w:color w:val="auto"/>
          <w:sz w:val="24"/>
          <w:szCs w:val="24"/>
          <w:highlight w:val="none"/>
        </w:rPr>
      </w:pPr>
    </w:p>
    <w:p>
      <w:pPr>
        <w:numPr>
          <w:ilvl w:val="0"/>
          <w:numId w:val="0"/>
        </w:numPr>
        <w:shd w:val="clear"/>
        <w:ind w:leftChars="0"/>
        <w:jc w:val="both"/>
        <w:rPr>
          <w:rFonts w:hint="eastAsia" w:ascii="仿宋" w:hAnsi="仿宋" w:eastAsia="仿宋" w:cs="仿宋"/>
          <w:b/>
          <w:bCs w:val="0"/>
          <w:color w:val="auto"/>
          <w:kern w:val="2"/>
          <w:sz w:val="24"/>
          <w:szCs w:val="24"/>
          <w:highlight w:val="none"/>
          <w:lang w:val="en-US" w:eastAsia="zh-CN"/>
        </w:rPr>
      </w:pPr>
    </w:p>
    <w:p>
      <w:pPr>
        <w:numPr>
          <w:ilvl w:val="0"/>
          <w:numId w:val="0"/>
        </w:numPr>
        <w:shd w:val="clear"/>
        <w:ind w:leftChars="0"/>
        <w:jc w:val="both"/>
        <w:rPr>
          <w:rFonts w:hint="eastAsia" w:ascii="仿宋" w:hAnsi="仿宋" w:eastAsia="仿宋" w:cs="仿宋"/>
          <w:b/>
          <w:bCs w:val="0"/>
          <w:color w:val="auto"/>
          <w:kern w:val="2"/>
          <w:sz w:val="24"/>
          <w:szCs w:val="24"/>
          <w:highlight w:val="none"/>
          <w:lang w:val="en-US" w:eastAsia="zh-CN"/>
        </w:rPr>
      </w:pPr>
    </w:p>
    <w:p>
      <w:pPr>
        <w:numPr>
          <w:ilvl w:val="0"/>
          <w:numId w:val="0"/>
        </w:numPr>
        <w:shd w:val="clear"/>
        <w:ind w:leftChars="0"/>
        <w:jc w:val="both"/>
        <w:rPr>
          <w:rFonts w:hint="eastAsia" w:ascii="仿宋" w:hAnsi="仿宋" w:eastAsia="仿宋" w:cs="仿宋"/>
          <w:b/>
          <w:bCs w:val="0"/>
          <w:color w:val="auto"/>
          <w:kern w:val="2"/>
          <w:sz w:val="24"/>
          <w:szCs w:val="24"/>
          <w:highlight w:val="none"/>
          <w:lang w:val="en-US" w:eastAsia="zh-CN"/>
        </w:rPr>
      </w:pPr>
    </w:p>
    <w:p>
      <w:pPr>
        <w:numPr>
          <w:ilvl w:val="0"/>
          <w:numId w:val="0"/>
        </w:numPr>
        <w:shd w:val="clear"/>
        <w:ind w:leftChars="0"/>
        <w:jc w:val="both"/>
        <w:rPr>
          <w:rFonts w:hint="eastAsia" w:ascii="仿宋" w:hAnsi="仿宋" w:eastAsia="仿宋" w:cs="仿宋"/>
          <w:b/>
          <w:bCs w:val="0"/>
          <w:color w:val="auto"/>
          <w:kern w:val="2"/>
          <w:sz w:val="24"/>
          <w:szCs w:val="24"/>
          <w:highlight w:val="none"/>
          <w:lang w:val="en-US" w:eastAsia="zh-CN"/>
        </w:rPr>
      </w:pPr>
    </w:p>
    <w:p>
      <w:pPr>
        <w:numPr>
          <w:ilvl w:val="0"/>
          <w:numId w:val="0"/>
        </w:numPr>
        <w:shd w:val="clear"/>
        <w:ind w:leftChars="0"/>
        <w:jc w:val="both"/>
        <w:rPr>
          <w:rFonts w:hint="eastAsia" w:ascii="仿宋" w:hAnsi="仿宋" w:eastAsia="仿宋" w:cs="仿宋"/>
          <w:b/>
          <w:bCs w:val="0"/>
          <w:color w:val="auto"/>
          <w:kern w:val="2"/>
          <w:sz w:val="24"/>
          <w:szCs w:val="24"/>
          <w:highlight w:val="none"/>
          <w:lang w:val="en-US" w:eastAsia="zh-CN"/>
        </w:rPr>
      </w:pPr>
    </w:p>
    <w:p>
      <w:pPr>
        <w:numPr>
          <w:ilvl w:val="0"/>
          <w:numId w:val="0"/>
        </w:numPr>
        <w:shd w:val="clear"/>
        <w:ind w:leftChars="0"/>
        <w:jc w:val="both"/>
        <w:rPr>
          <w:rFonts w:hint="eastAsia" w:ascii="仿宋" w:hAnsi="仿宋" w:eastAsia="仿宋" w:cs="仿宋"/>
          <w:b/>
          <w:bCs w:val="0"/>
          <w:color w:val="auto"/>
          <w:kern w:val="2"/>
          <w:sz w:val="24"/>
          <w:szCs w:val="24"/>
          <w:highlight w:val="none"/>
          <w:lang w:val="en-US" w:eastAsia="zh-CN"/>
        </w:rPr>
      </w:pPr>
    </w:p>
    <w:p>
      <w:pPr>
        <w:numPr>
          <w:ilvl w:val="0"/>
          <w:numId w:val="0"/>
        </w:numPr>
        <w:shd w:val="clear"/>
        <w:ind w:leftChars="0"/>
        <w:jc w:val="both"/>
        <w:rPr>
          <w:rFonts w:hint="eastAsia" w:ascii="仿宋" w:hAnsi="仿宋" w:eastAsia="仿宋" w:cs="仿宋"/>
          <w:b/>
          <w:bCs w:val="0"/>
          <w:color w:val="auto"/>
          <w:kern w:val="2"/>
          <w:sz w:val="24"/>
          <w:szCs w:val="24"/>
          <w:highlight w:val="none"/>
          <w:lang w:val="en-US" w:eastAsia="zh-CN"/>
        </w:rPr>
      </w:pPr>
    </w:p>
    <w:p>
      <w:pPr>
        <w:numPr>
          <w:ilvl w:val="0"/>
          <w:numId w:val="0"/>
        </w:numPr>
        <w:shd w:val="clear"/>
        <w:ind w:leftChars="0"/>
        <w:jc w:val="both"/>
        <w:rPr>
          <w:rFonts w:hint="eastAsia" w:ascii="仿宋" w:hAnsi="仿宋" w:eastAsia="仿宋" w:cs="仿宋"/>
          <w:b/>
          <w:bCs w:val="0"/>
          <w:color w:val="auto"/>
          <w:kern w:val="2"/>
          <w:sz w:val="24"/>
          <w:szCs w:val="24"/>
          <w:highlight w:val="none"/>
          <w:lang w:val="en-US" w:eastAsia="zh-CN"/>
        </w:rPr>
      </w:pPr>
    </w:p>
    <w:p>
      <w:pPr>
        <w:numPr>
          <w:ilvl w:val="0"/>
          <w:numId w:val="0"/>
        </w:numPr>
        <w:shd w:val="clear"/>
        <w:ind w:leftChars="0"/>
        <w:jc w:val="both"/>
        <w:rPr>
          <w:rFonts w:hint="eastAsia" w:ascii="仿宋" w:hAnsi="仿宋" w:eastAsia="仿宋" w:cs="仿宋"/>
          <w:b/>
          <w:bCs w:val="0"/>
          <w:color w:val="auto"/>
          <w:kern w:val="2"/>
          <w:sz w:val="24"/>
          <w:szCs w:val="24"/>
          <w:highlight w:val="none"/>
          <w:lang w:val="en-US" w:eastAsia="zh-CN"/>
        </w:rPr>
      </w:pPr>
    </w:p>
    <w:p>
      <w:pPr>
        <w:numPr>
          <w:ilvl w:val="0"/>
          <w:numId w:val="4"/>
        </w:numPr>
        <w:shd w:val="clear"/>
        <w:ind w:leftChars="0"/>
        <w:jc w:val="both"/>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b/>
          <w:bCs w:val="0"/>
          <w:color w:val="auto"/>
          <w:kern w:val="2"/>
          <w:sz w:val="24"/>
          <w:szCs w:val="24"/>
          <w:highlight w:val="none"/>
          <w:lang w:val="en-US" w:eastAsia="zh-CN"/>
        </w:rPr>
        <w:t>报价明细表</w:t>
      </w:r>
    </w:p>
    <w:p>
      <w:pPr>
        <w:shd w:val="clear"/>
        <w:tabs>
          <w:tab w:val="left" w:pos="720"/>
        </w:tabs>
        <w:ind w:firstLine="3132" w:firstLineChars="1300"/>
        <w:rPr>
          <w:rFonts w:hint="eastAsia" w:ascii="仿宋" w:hAnsi="仿宋" w:eastAsia="仿宋" w:cs="仿宋"/>
          <w:b/>
          <w:sz w:val="24"/>
          <w:highlight w:val="none"/>
        </w:rPr>
      </w:pPr>
    </w:p>
    <w:p>
      <w:pPr>
        <w:shd w:val="clear"/>
        <w:tabs>
          <w:tab w:val="left" w:pos="720"/>
        </w:tabs>
        <w:ind w:firstLine="3132" w:firstLineChars="1300"/>
        <w:rPr>
          <w:rFonts w:hint="eastAsia"/>
          <w:highlight w:val="none"/>
          <w:lang w:val="en-US" w:eastAsia="zh-CN"/>
        </w:rPr>
      </w:pPr>
      <w:r>
        <w:rPr>
          <w:rFonts w:hint="eastAsia" w:ascii="仿宋" w:hAnsi="仿宋" w:eastAsia="仿宋" w:cs="仿宋"/>
          <w:b/>
          <w:sz w:val="24"/>
          <w:highlight w:val="none"/>
        </w:rPr>
        <w:t>（一）分项报价表</w:t>
      </w:r>
    </w:p>
    <w:tbl>
      <w:tblPr>
        <w:tblStyle w:val="21"/>
        <w:tblpPr w:leftFromText="180" w:rightFromText="180" w:vertAnchor="text" w:horzAnchor="margin" w:tblpY="173"/>
        <w:tblW w:w="4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958"/>
        <w:gridCol w:w="1167"/>
        <w:gridCol w:w="752"/>
        <w:gridCol w:w="633"/>
        <w:gridCol w:w="636"/>
        <w:gridCol w:w="718"/>
        <w:gridCol w:w="588"/>
        <w:gridCol w:w="800"/>
        <w:gridCol w:w="800"/>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6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bCs w:val="0"/>
                <w:color w:val="auto"/>
                <w:kern w:val="2"/>
                <w:sz w:val="21"/>
                <w:szCs w:val="21"/>
                <w:highlight w:val="none"/>
              </w:rPr>
            </w:pPr>
            <w:r>
              <w:rPr>
                <w:rFonts w:hint="eastAsia" w:ascii="仿宋" w:hAnsi="仿宋" w:eastAsia="仿宋" w:cs="仿宋"/>
                <w:b/>
                <w:bCs w:val="0"/>
                <w:color w:val="auto"/>
                <w:kern w:val="2"/>
                <w:sz w:val="21"/>
                <w:szCs w:val="21"/>
                <w:highlight w:val="none"/>
              </w:rPr>
              <w:t>序号</w:t>
            </w:r>
          </w:p>
        </w:tc>
        <w:tc>
          <w:tcPr>
            <w:tcW w:w="563"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bCs w:val="0"/>
                <w:color w:val="auto"/>
                <w:kern w:val="2"/>
                <w:sz w:val="21"/>
                <w:szCs w:val="21"/>
                <w:highlight w:val="none"/>
              </w:rPr>
            </w:pPr>
            <w:r>
              <w:rPr>
                <w:rFonts w:hint="eastAsia" w:ascii="仿宋" w:hAnsi="仿宋" w:eastAsia="仿宋" w:cs="仿宋"/>
                <w:b/>
                <w:bCs w:val="0"/>
                <w:color w:val="auto"/>
                <w:kern w:val="2"/>
                <w:sz w:val="21"/>
                <w:szCs w:val="21"/>
                <w:highlight w:val="none"/>
              </w:rPr>
              <w:t>采购计划编号</w:t>
            </w:r>
          </w:p>
        </w:tc>
        <w:tc>
          <w:tcPr>
            <w:tcW w:w="686"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bCs w:val="0"/>
                <w:color w:val="auto"/>
                <w:kern w:val="2"/>
                <w:sz w:val="21"/>
                <w:szCs w:val="21"/>
                <w:highlight w:val="none"/>
              </w:rPr>
            </w:pPr>
            <w:r>
              <w:rPr>
                <w:rFonts w:hint="eastAsia" w:ascii="仿宋" w:hAnsi="仿宋" w:eastAsia="仿宋" w:cs="仿宋"/>
                <w:b/>
                <w:bCs w:val="0"/>
                <w:color w:val="auto"/>
                <w:kern w:val="2"/>
                <w:sz w:val="21"/>
                <w:szCs w:val="21"/>
                <w:highlight w:val="none"/>
              </w:rPr>
              <w:t>货物名称</w:t>
            </w:r>
          </w:p>
        </w:tc>
        <w:tc>
          <w:tcPr>
            <w:tcW w:w="44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bCs w:val="0"/>
                <w:color w:val="auto"/>
                <w:kern w:val="2"/>
                <w:sz w:val="21"/>
                <w:szCs w:val="21"/>
                <w:highlight w:val="none"/>
              </w:rPr>
            </w:pPr>
            <w:r>
              <w:rPr>
                <w:rFonts w:hint="eastAsia" w:ascii="仿宋" w:hAnsi="仿宋" w:eastAsia="仿宋" w:cs="仿宋"/>
                <w:b/>
                <w:bCs w:val="0"/>
                <w:color w:val="auto"/>
                <w:kern w:val="2"/>
                <w:sz w:val="21"/>
                <w:szCs w:val="21"/>
                <w:highlight w:val="none"/>
              </w:rPr>
              <w:t>规格/品牌/型号</w:t>
            </w:r>
          </w:p>
        </w:tc>
        <w:tc>
          <w:tcPr>
            <w:tcW w:w="37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bCs w:val="0"/>
                <w:color w:val="auto"/>
                <w:kern w:val="2"/>
                <w:sz w:val="21"/>
                <w:szCs w:val="21"/>
                <w:highlight w:val="none"/>
              </w:rPr>
            </w:pPr>
            <w:r>
              <w:rPr>
                <w:rFonts w:hint="eastAsia" w:ascii="仿宋" w:hAnsi="仿宋" w:eastAsia="仿宋" w:cs="仿宋"/>
                <w:b/>
                <w:bCs w:val="0"/>
                <w:color w:val="auto"/>
                <w:kern w:val="2"/>
                <w:sz w:val="21"/>
                <w:szCs w:val="21"/>
                <w:highlight w:val="none"/>
              </w:rPr>
              <w:t>原产地</w:t>
            </w:r>
          </w:p>
        </w:tc>
        <w:tc>
          <w:tcPr>
            <w:tcW w:w="373"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bCs w:val="0"/>
                <w:color w:val="auto"/>
                <w:kern w:val="2"/>
                <w:sz w:val="21"/>
                <w:szCs w:val="21"/>
                <w:highlight w:val="none"/>
              </w:rPr>
            </w:pPr>
            <w:r>
              <w:rPr>
                <w:rFonts w:hint="eastAsia" w:ascii="仿宋" w:hAnsi="仿宋" w:eastAsia="仿宋" w:cs="仿宋"/>
                <w:b/>
                <w:bCs w:val="0"/>
                <w:color w:val="auto"/>
                <w:kern w:val="2"/>
                <w:sz w:val="21"/>
                <w:szCs w:val="21"/>
                <w:highlight w:val="none"/>
              </w:rPr>
              <w:t>制造商名称</w:t>
            </w:r>
          </w:p>
        </w:tc>
        <w:tc>
          <w:tcPr>
            <w:tcW w:w="42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bCs w:val="0"/>
                <w:color w:val="auto"/>
                <w:kern w:val="2"/>
                <w:sz w:val="21"/>
                <w:szCs w:val="21"/>
                <w:highlight w:val="none"/>
              </w:rPr>
            </w:pPr>
            <w:r>
              <w:rPr>
                <w:rFonts w:hint="eastAsia" w:ascii="仿宋" w:hAnsi="仿宋" w:eastAsia="仿宋" w:cs="仿宋"/>
                <w:b/>
                <w:bCs w:val="0"/>
                <w:color w:val="auto"/>
                <w:kern w:val="2"/>
                <w:sz w:val="21"/>
                <w:szCs w:val="21"/>
                <w:highlight w:val="none"/>
                <w:lang w:val="en-US" w:eastAsia="zh-CN"/>
              </w:rPr>
              <w:t>预估</w:t>
            </w:r>
            <w:r>
              <w:rPr>
                <w:rFonts w:hint="eastAsia" w:ascii="仿宋" w:hAnsi="仿宋" w:eastAsia="仿宋" w:cs="仿宋"/>
                <w:b/>
                <w:bCs w:val="0"/>
                <w:color w:val="auto"/>
                <w:kern w:val="2"/>
                <w:sz w:val="21"/>
                <w:szCs w:val="21"/>
                <w:highlight w:val="none"/>
              </w:rPr>
              <w:t>数量</w:t>
            </w:r>
          </w:p>
        </w:tc>
        <w:tc>
          <w:tcPr>
            <w:tcW w:w="345"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bCs w:val="0"/>
                <w:color w:val="auto"/>
                <w:kern w:val="2"/>
                <w:sz w:val="21"/>
                <w:szCs w:val="21"/>
                <w:highlight w:val="none"/>
              </w:rPr>
            </w:pPr>
            <w:r>
              <w:rPr>
                <w:rFonts w:hint="eastAsia" w:ascii="仿宋" w:hAnsi="仿宋" w:eastAsia="仿宋" w:cs="仿宋"/>
                <w:b/>
                <w:bCs w:val="0"/>
                <w:color w:val="auto"/>
                <w:kern w:val="2"/>
                <w:sz w:val="21"/>
                <w:szCs w:val="21"/>
                <w:highlight w:val="none"/>
              </w:rPr>
              <w:t>单位</w:t>
            </w:r>
          </w:p>
        </w:tc>
        <w:tc>
          <w:tcPr>
            <w:tcW w:w="470" w:type="pct"/>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bCs w:val="0"/>
                <w:color w:val="auto"/>
                <w:kern w:val="0"/>
                <w:sz w:val="24"/>
                <w:szCs w:val="24"/>
                <w:highlight w:val="none"/>
                <w:lang w:val="en-US" w:eastAsia="zh-CN" w:bidi="ar-SA"/>
              </w:rPr>
            </w:pPr>
            <w:r>
              <w:rPr>
                <w:rFonts w:hint="eastAsia" w:ascii="仿宋" w:hAnsi="仿宋" w:eastAsia="仿宋" w:cs="仿宋"/>
                <w:b/>
                <w:bCs w:val="0"/>
                <w:color w:val="auto"/>
                <w:kern w:val="2"/>
                <w:sz w:val="21"/>
                <w:szCs w:val="21"/>
                <w:highlight w:val="none"/>
                <w:lang w:val="en-US" w:eastAsia="zh-CN"/>
              </w:rPr>
              <w:t>最高单价限价（元）</w:t>
            </w:r>
          </w:p>
        </w:tc>
        <w:tc>
          <w:tcPr>
            <w:tcW w:w="47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bCs w:val="0"/>
                <w:color w:val="auto"/>
                <w:kern w:val="2"/>
                <w:sz w:val="21"/>
                <w:szCs w:val="21"/>
                <w:highlight w:val="none"/>
              </w:rPr>
            </w:pPr>
            <w:r>
              <w:rPr>
                <w:rFonts w:hint="eastAsia" w:ascii="仿宋" w:hAnsi="仿宋" w:eastAsia="仿宋" w:cs="仿宋"/>
                <w:b/>
                <w:bCs w:val="0"/>
                <w:color w:val="auto"/>
                <w:kern w:val="2"/>
                <w:sz w:val="21"/>
                <w:szCs w:val="21"/>
                <w:highlight w:val="none"/>
              </w:rPr>
              <w:t>单价(元)</w:t>
            </w:r>
          </w:p>
        </w:tc>
        <w:tc>
          <w:tcPr>
            <w:tcW w:w="49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bCs w:val="0"/>
                <w:color w:val="auto"/>
                <w:kern w:val="2"/>
                <w:sz w:val="21"/>
                <w:szCs w:val="21"/>
                <w:highlight w:val="none"/>
              </w:rPr>
            </w:pPr>
            <w:r>
              <w:rPr>
                <w:rFonts w:hint="eastAsia" w:ascii="仿宋" w:hAnsi="仿宋" w:eastAsia="仿宋" w:cs="仿宋"/>
                <w:b/>
                <w:bCs w:val="0"/>
                <w:color w:val="auto"/>
                <w:kern w:val="2"/>
                <w:sz w:val="21"/>
                <w:szCs w:val="21"/>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6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color w:val="auto"/>
                <w:kern w:val="2"/>
                <w:sz w:val="21"/>
                <w:szCs w:val="21"/>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1</w:t>
            </w:r>
          </w:p>
        </w:tc>
        <w:tc>
          <w:tcPr>
            <w:tcW w:w="563" w:type="pct"/>
            <w:vMerge w:val="restar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r>
              <w:rPr>
                <w:rFonts w:hint="eastAsia" w:ascii="仿宋" w:hAnsi="仿宋" w:eastAsia="仿宋" w:cs="仿宋"/>
                <w:b w:val="0"/>
                <w:bCs/>
                <w:color w:val="auto"/>
                <w:kern w:val="2"/>
                <w:sz w:val="21"/>
                <w:szCs w:val="21"/>
                <w:highlight w:val="none"/>
              </w:rPr>
              <w:t>LGZXYYZBB20240912-1</w:t>
            </w:r>
          </w:p>
        </w:tc>
        <w:tc>
          <w:tcPr>
            <w:tcW w:w="686"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纯氩</w:t>
            </w:r>
          </w:p>
        </w:tc>
        <w:tc>
          <w:tcPr>
            <w:tcW w:w="44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37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373"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422"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10 </w:t>
            </w:r>
          </w:p>
        </w:tc>
        <w:tc>
          <w:tcPr>
            <w:tcW w:w="34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highlight w:val="none"/>
              </w:rPr>
              <w:t>瓶</w:t>
            </w:r>
          </w:p>
        </w:tc>
        <w:tc>
          <w:tcPr>
            <w:tcW w:w="470"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90 </w:t>
            </w:r>
          </w:p>
        </w:tc>
        <w:tc>
          <w:tcPr>
            <w:tcW w:w="47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49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6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color w:val="auto"/>
                <w:kern w:val="2"/>
                <w:sz w:val="21"/>
                <w:szCs w:val="21"/>
                <w:highlight w:val="none"/>
              </w:rPr>
            </w:pPr>
            <w:r>
              <w:rPr>
                <w:rFonts w:hint="eastAsia" w:ascii="仿宋" w:hAnsi="仿宋" w:eastAsia="仿宋" w:cs="仿宋"/>
                <w:b w:val="0"/>
                <w:bCs w:val="0"/>
                <w:i w:val="0"/>
                <w:iCs w:val="0"/>
                <w:color w:val="000000"/>
                <w:kern w:val="0"/>
                <w:sz w:val="24"/>
                <w:szCs w:val="24"/>
                <w:highlight w:val="none"/>
                <w:u w:val="none"/>
                <w:lang w:val="en-US" w:eastAsia="zh-CN" w:bidi="ar"/>
              </w:rPr>
              <w:t>2</w:t>
            </w:r>
          </w:p>
        </w:tc>
        <w:tc>
          <w:tcPr>
            <w:tcW w:w="563" w:type="pct"/>
            <w:vMerge w:val="continue"/>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686"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二氧化碳</w:t>
            </w:r>
          </w:p>
        </w:tc>
        <w:tc>
          <w:tcPr>
            <w:tcW w:w="44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37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373"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422"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379</w:t>
            </w:r>
          </w:p>
        </w:tc>
        <w:tc>
          <w:tcPr>
            <w:tcW w:w="34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highlight w:val="none"/>
              </w:rPr>
              <w:t>瓶</w:t>
            </w:r>
          </w:p>
        </w:tc>
        <w:tc>
          <w:tcPr>
            <w:tcW w:w="470"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100 </w:t>
            </w:r>
          </w:p>
        </w:tc>
        <w:tc>
          <w:tcPr>
            <w:tcW w:w="47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49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6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3</w:t>
            </w:r>
          </w:p>
        </w:tc>
        <w:tc>
          <w:tcPr>
            <w:tcW w:w="563" w:type="pct"/>
            <w:vMerge w:val="continue"/>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686"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高纯二氧化碳</w:t>
            </w:r>
          </w:p>
        </w:tc>
        <w:tc>
          <w:tcPr>
            <w:tcW w:w="44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37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373"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422"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10 </w:t>
            </w:r>
          </w:p>
        </w:tc>
        <w:tc>
          <w:tcPr>
            <w:tcW w:w="34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highlight w:val="none"/>
              </w:rPr>
              <w:t>瓶</w:t>
            </w:r>
          </w:p>
        </w:tc>
        <w:tc>
          <w:tcPr>
            <w:tcW w:w="470"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800 </w:t>
            </w:r>
          </w:p>
        </w:tc>
        <w:tc>
          <w:tcPr>
            <w:tcW w:w="47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49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6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4</w:t>
            </w:r>
          </w:p>
        </w:tc>
        <w:tc>
          <w:tcPr>
            <w:tcW w:w="563" w:type="pct"/>
            <w:vMerge w:val="continue"/>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686"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高纯氦</w:t>
            </w:r>
          </w:p>
        </w:tc>
        <w:tc>
          <w:tcPr>
            <w:tcW w:w="44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37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373"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422"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7 </w:t>
            </w:r>
          </w:p>
        </w:tc>
        <w:tc>
          <w:tcPr>
            <w:tcW w:w="34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highlight w:val="none"/>
              </w:rPr>
              <w:t>瓶</w:t>
            </w:r>
          </w:p>
        </w:tc>
        <w:tc>
          <w:tcPr>
            <w:tcW w:w="470"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850 </w:t>
            </w:r>
          </w:p>
        </w:tc>
        <w:tc>
          <w:tcPr>
            <w:tcW w:w="47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49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6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5</w:t>
            </w:r>
          </w:p>
        </w:tc>
        <w:tc>
          <w:tcPr>
            <w:tcW w:w="563" w:type="pct"/>
            <w:vMerge w:val="continue"/>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686"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高纯氩</w:t>
            </w:r>
          </w:p>
        </w:tc>
        <w:tc>
          <w:tcPr>
            <w:tcW w:w="44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37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373"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422"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10 </w:t>
            </w:r>
          </w:p>
        </w:tc>
        <w:tc>
          <w:tcPr>
            <w:tcW w:w="34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highlight w:val="none"/>
              </w:rPr>
              <w:t>瓶</w:t>
            </w:r>
          </w:p>
        </w:tc>
        <w:tc>
          <w:tcPr>
            <w:tcW w:w="470"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200</w:t>
            </w:r>
          </w:p>
        </w:tc>
        <w:tc>
          <w:tcPr>
            <w:tcW w:w="47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49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6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6</w:t>
            </w:r>
          </w:p>
        </w:tc>
        <w:tc>
          <w:tcPr>
            <w:tcW w:w="563" w:type="pct"/>
            <w:vMerge w:val="continue"/>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686"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工业氮</w:t>
            </w:r>
          </w:p>
        </w:tc>
        <w:tc>
          <w:tcPr>
            <w:tcW w:w="44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37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373"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422"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370</w:t>
            </w:r>
          </w:p>
        </w:tc>
        <w:tc>
          <w:tcPr>
            <w:tcW w:w="34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highlight w:val="none"/>
              </w:rPr>
              <w:t>瓶</w:t>
            </w:r>
          </w:p>
        </w:tc>
        <w:tc>
          <w:tcPr>
            <w:tcW w:w="470"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22</w:t>
            </w:r>
          </w:p>
        </w:tc>
        <w:tc>
          <w:tcPr>
            <w:tcW w:w="47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49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6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7</w:t>
            </w:r>
          </w:p>
        </w:tc>
        <w:tc>
          <w:tcPr>
            <w:tcW w:w="563" w:type="pct"/>
            <w:vMerge w:val="continue"/>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686"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混合气1</w:t>
            </w:r>
          </w:p>
        </w:tc>
        <w:tc>
          <w:tcPr>
            <w:tcW w:w="44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37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373"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422"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5 </w:t>
            </w:r>
          </w:p>
        </w:tc>
        <w:tc>
          <w:tcPr>
            <w:tcW w:w="34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highlight w:val="none"/>
              </w:rPr>
              <w:t>瓶</w:t>
            </w:r>
          </w:p>
        </w:tc>
        <w:tc>
          <w:tcPr>
            <w:tcW w:w="470"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2152 </w:t>
            </w:r>
          </w:p>
        </w:tc>
        <w:tc>
          <w:tcPr>
            <w:tcW w:w="47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49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6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8</w:t>
            </w:r>
          </w:p>
        </w:tc>
        <w:tc>
          <w:tcPr>
            <w:tcW w:w="563" w:type="pct"/>
            <w:vMerge w:val="continue"/>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686"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混合气2</w:t>
            </w:r>
          </w:p>
        </w:tc>
        <w:tc>
          <w:tcPr>
            <w:tcW w:w="44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37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373"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422"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3 </w:t>
            </w:r>
          </w:p>
        </w:tc>
        <w:tc>
          <w:tcPr>
            <w:tcW w:w="34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highlight w:val="none"/>
              </w:rPr>
              <w:t>瓶</w:t>
            </w:r>
          </w:p>
        </w:tc>
        <w:tc>
          <w:tcPr>
            <w:tcW w:w="470"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1980 </w:t>
            </w:r>
          </w:p>
        </w:tc>
        <w:tc>
          <w:tcPr>
            <w:tcW w:w="47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49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6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9</w:t>
            </w:r>
          </w:p>
        </w:tc>
        <w:tc>
          <w:tcPr>
            <w:tcW w:w="563" w:type="pct"/>
            <w:vMerge w:val="continue"/>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686"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混合气3</w:t>
            </w:r>
          </w:p>
        </w:tc>
        <w:tc>
          <w:tcPr>
            <w:tcW w:w="44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37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373"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422"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3 </w:t>
            </w:r>
          </w:p>
        </w:tc>
        <w:tc>
          <w:tcPr>
            <w:tcW w:w="34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highlight w:val="none"/>
              </w:rPr>
              <w:t>瓶</w:t>
            </w:r>
          </w:p>
        </w:tc>
        <w:tc>
          <w:tcPr>
            <w:tcW w:w="470"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1200 </w:t>
            </w:r>
          </w:p>
        </w:tc>
        <w:tc>
          <w:tcPr>
            <w:tcW w:w="47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49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6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10</w:t>
            </w:r>
          </w:p>
        </w:tc>
        <w:tc>
          <w:tcPr>
            <w:tcW w:w="563" w:type="pct"/>
            <w:vMerge w:val="continue"/>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686"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混合气4</w:t>
            </w:r>
          </w:p>
        </w:tc>
        <w:tc>
          <w:tcPr>
            <w:tcW w:w="44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37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373"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422"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3 </w:t>
            </w:r>
          </w:p>
        </w:tc>
        <w:tc>
          <w:tcPr>
            <w:tcW w:w="34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highlight w:val="none"/>
              </w:rPr>
              <w:t>瓶</w:t>
            </w:r>
          </w:p>
        </w:tc>
        <w:tc>
          <w:tcPr>
            <w:tcW w:w="470"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1400 </w:t>
            </w:r>
          </w:p>
        </w:tc>
        <w:tc>
          <w:tcPr>
            <w:tcW w:w="47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49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6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11</w:t>
            </w:r>
          </w:p>
        </w:tc>
        <w:tc>
          <w:tcPr>
            <w:tcW w:w="563" w:type="pct"/>
            <w:vMerge w:val="continue"/>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686"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混合气5</w:t>
            </w:r>
          </w:p>
        </w:tc>
        <w:tc>
          <w:tcPr>
            <w:tcW w:w="44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37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373"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422"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3 </w:t>
            </w:r>
          </w:p>
        </w:tc>
        <w:tc>
          <w:tcPr>
            <w:tcW w:w="34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highlight w:val="none"/>
              </w:rPr>
              <w:t>瓶</w:t>
            </w:r>
          </w:p>
        </w:tc>
        <w:tc>
          <w:tcPr>
            <w:tcW w:w="470"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1580 </w:t>
            </w:r>
          </w:p>
        </w:tc>
        <w:tc>
          <w:tcPr>
            <w:tcW w:w="47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49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6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12</w:t>
            </w:r>
          </w:p>
        </w:tc>
        <w:tc>
          <w:tcPr>
            <w:tcW w:w="563" w:type="pct"/>
            <w:vMerge w:val="continue"/>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686"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混合气6</w:t>
            </w:r>
          </w:p>
        </w:tc>
        <w:tc>
          <w:tcPr>
            <w:tcW w:w="44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37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373"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422"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8</w:t>
            </w:r>
          </w:p>
        </w:tc>
        <w:tc>
          <w:tcPr>
            <w:tcW w:w="34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rPr>
              <w:t>瓶</w:t>
            </w:r>
          </w:p>
        </w:tc>
        <w:tc>
          <w:tcPr>
            <w:tcW w:w="470"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1100</w:t>
            </w:r>
          </w:p>
        </w:tc>
        <w:tc>
          <w:tcPr>
            <w:tcW w:w="47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49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6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13</w:t>
            </w:r>
          </w:p>
        </w:tc>
        <w:tc>
          <w:tcPr>
            <w:tcW w:w="563" w:type="pct"/>
            <w:vMerge w:val="continue"/>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686"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液态氮</w:t>
            </w:r>
          </w:p>
        </w:tc>
        <w:tc>
          <w:tcPr>
            <w:tcW w:w="44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37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373"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422"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30 </w:t>
            </w:r>
          </w:p>
        </w:tc>
        <w:tc>
          <w:tcPr>
            <w:tcW w:w="34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highlight w:val="none"/>
                <w:lang w:val="en-US" w:eastAsia="zh-CN"/>
              </w:rPr>
              <w:t>罐</w:t>
            </w:r>
          </w:p>
        </w:tc>
        <w:tc>
          <w:tcPr>
            <w:tcW w:w="470"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473</w:t>
            </w:r>
          </w:p>
        </w:tc>
        <w:tc>
          <w:tcPr>
            <w:tcW w:w="47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49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6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14</w:t>
            </w:r>
          </w:p>
        </w:tc>
        <w:tc>
          <w:tcPr>
            <w:tcW w:w="563" w:type="pct"/>
            <w:vMerge w:val="continue"/>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686"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乙炔</w:t>
            </w:r>
          </w:p>
        </w:tc>
        <w:tc>
          <w:tcPr>
            <w:tcW w:w="44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37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373"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422"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 xml:space="preserve">10 </w:t>
            </w:r>
          </w:p>
        </w:tc>
        <w:tc>
          <w:tcPr>
            <w:tcW w:w="34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sz w:val="24"/>
                <w:szCs w:val="24"/>
                <w:highlight w:val="none"/>
              </w:rPr>
              <w:t>瓶</w:t>
            </w:r>
          </w:p>
        </w:tc>
        <w:tc>
          <w:tcPr>
            <w:tcW w:w="470"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288</w:t>
            </w:r>
          </w:p>
        </w:tc>
        <w:tc>
          <w:tcPr>
            <w:tcW w:w="47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49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36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color w:val="auto"/>
                <w:kern w:val="2"/>
                <w:sz w:val="21"/>
                <w:szCs w:val="21"/>
                <w:highlight w:val="no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15</w:t>
            </w:r>
          </w:p>
        </w:tc>
        <w:tc>
          <w:tcPr>
            <w:tcW w:w="563" w:type="pct"/>
            <w:vMerge w:val="continue"/>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686"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租赁配套钢瓶</w:t>
            </w:r>
          </w:p>
        </w:tc>
        <w:tc>
          <w:tcPr>
            <w:tcW w:w="44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372"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373"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422"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2400</w:t>
            </w:r>
          </w:p>
        </w:tc>
        <w:tc>
          <w:tcPr>
            <w:tcW w:w="345" w:type="pct"/>
            <w:shd w:val="clear" w:color="auto" w:fill="auto"/>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个</w:t>
            </w:r>
          </w:p>
        </w:tc>
        <w:tc>
          <w:tcPr>
            <w:tcW w:w="470"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10元/月</w:t>
            </w:r>
          </w:p>
        </w:tc>
        <w:tc>
          <w:tcPr>
            <w:tcW w:w="47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c>
          <w:tcPr>
            <w:tcW w:w="490" w:type="pct"/>
            <w:vAlign w:val="center"/>
          </w:tcPr>
          <w:p>
            <w:pPr>
              <w:keepNext w:val="0"/>
              <w:keepLines w:val="0"/>
              <w:widowControl w:val="0"/>
              <w:suppressLineNumbers w:val="0"/>
              <w:shd w:val="clear"/>
              <w:spacing w:before="0" w:beforeAutospacing="0" w:after="0" w:afterAutospacing="0"/>
              <w:ind w:left="0" w:right="0"/>
              <w:jc w:val="center"/>
              <w:rPr>
                <w:rFonts w:hint="eastAsia" w:ascii="仿宋" w:hAnsi="仿宋" w:eastAsia="仿宋" w:cs="仿宋"/>
                <w:b w:val="0"/>
                <w:bCs/>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000" w:type="pct"/>
            <w:gridSpan w:val="11"/>
            <w:vAlign w:val="center"/>
          </w:tcPr>
          <w:p>
            <w:pPr>
              <w:keepNext w:val="0"/>
              <w:keepLines w:val="0"/>
              <w:widowControl w:val="0"/>
              <w:suppressLineNumbers w:val="0"/>
              <w:shd w:val="clear"/>
              <w:spacing w:before="0" w:beforeAutospacing="0" w:after="0" w:afterAutospacing="0"/>
              <w:ind w:left="0" w:right="0"/>
              <w:jc w:val="both"/>
              <w:rPr>
                <w:rFonts w:hint="eastAsia" w:ascii="仿宋" w:hAnsi="仿宋" w:eastAsia="仿宋" w:cs="仿宋"/>
                <w:b w:val="0"/>
                <w:bCs/>
                <w:color w:val="auto"/>
                <w:kern w:val="2"/>
                <w:sz w:val="21"/>
                <w:szCs w:val="21"/>
                <w:highlight w:val="none"/>
              </w:rPr>
            </w:pPr>
            <w:r>
              <w:rPr>
                <w:rFonts w:hint="eastAsia" w:ascii="仿宋" w:hAnsi="仿宋" w:eastAsia="仿宋" w:cs="仿宋"/>
                <w:b w:val="0"/>
                <w:bCs/>
                <w:color w:val="auto"/>
                <w:kern w:val="2"/>
                <w:sz w:val="21"/>
                <w:szCs w:val="21"/>
                <w:highlight w:val="none"/>
              </w:rPr>
              <w:t>合计（即投标总价；币种：人民币；单位：元） 小写：           大写：</w:t>
            </w:r>
          </w:p>
        </w:tc>
      </w:tr>
    </w:tbl>
    <w:p>
      <w:pPr>
        <w:pStyle w:val="12"/>
        <w:numPr>
          <w:ilvl w:val="0"/>
          <w:numId w:val="0"/>
        </w:numPr>
        <w:shd w:val="clear"/>
        <w:ind w:leftChars="0"/>
        <w:rPr>
          <w:rFonts w:hint="eastAsia" w:ascii="仿宋" w:hAnsi="仿宋" w:eastAsia="仿宋" w:cs="仿宋"/>
          <w:color w:val="auto"/>
          <w:highlight w:val="none"/>
        </w:rPr>
      </w:pPr>
    </w:p>
    <w:p>
      <w:pPr>
        <w:shd w:val="clear"/>
        <w:tabs>
          <w:tab w:val="left" w:pos="720"/>
        </w:tabs>
        <w:jc w:val="both"/>
        <w:rPr>
          <w:rFonts w:hint="eastAsia" w:ascii="仿宋" w:hAnsi="仿宋" w:eastAsia="仿宋" w:cs="仿宋"/>
          <w:b/>
          <w:sz w:val="24"/>
          <w:highlight w:val="none"/>
        </w:rPr>
      </w:pPr>
      <w:r>
        <w:rPr>
          <w:rFonts w:hint="eastAsia" w:ascii="仿宋" w:hAnsi="仿宋" w:eastAsia="仿宋" w:cs="仿宋"/>
          <w:b/>
          <w:sz w:val="24"/>
          <w:highlight w:val="none"/>
        </w:rPr>
        <w:t>注：1.本表可按同样格式扩展。</w:t>
      </w:r>
    </w:p>
    <w:p>
      <w:pPr>
        <w:shd w:val="clea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2. 如所投货物属于定制类的非量产货物或无具体品牌、型号的货物，可以在“规格/品牌/型号”一栏仅填写规格信息而不填写品牌、型号等信息（品牌、型号信息用“定制”描述即可）；此类填写错误（所投货物为定制类的非量产货物但供应商却错误填报了品牌、型号）的不利后果由供应商承担，经评审委员会认定，在使用综合评分法的项目中一项此类填写错误将按照一项招标技术要求负偏离作处理。</w:t>
      </w:r>
    </w:p>
    <w:p>
      <w:pPr>
        <w:shd w:val="clea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3.“原产地”是指该货物的实际生产加工地，而非品牌总公司所在地。</w:t>
      </w:r>
    </w:p>
    <w:p>
      <w:pPr>
        <w:shd w:val="clea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4.所投货物均应填写制造商名称。“制造商”是指产品品牌厂商，同一品牌国内外均有制造商的，应填写国内制造商；产品代工制造的，应填写接受委托生产制造的制造商等。</w:t>
      </w:r>
    </w:p>
    <w:p>
      <w:pPr>
        <w:shd w:val="clea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5.以上分项报价表的投标总价应当与开标一览表的投标总价一致。</w:t>
      </w:r>
    </w:p>
    <w:p>
      <w:pPr>
        <w:shd w:val="clea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6.单价、合价和投标总价为包干价，即三者均应包含货物的价款、包装、运输、装卸、安装、调试、技术指导、培训、咨询、服务、保险、税费、检测、验收合格交付使用之前以及技术和售后服务等其他各项有关费用。</w:t>
      </w:r>
    </w:p>
    <w:p>
      <w:pPr>
        <w:shd w:val="clear"/>
        <w:tabs>
          <w:tab w:val="left" w:pos="720"/>
        </w:tabs>
        <w:ind w:firstLine="482" w:firstLineChars="200"/>
        <w:jc w:val="both"/>
        <w:rPr>
          <w:rFonts w:hint="eastAsia" w:ascii="仿宋" w:hAnsi="仿宋" w:eastAsia="仿宋" w:cs="仿宋"/>
          <w:b/>
          <w:sz w:val="24"/>
          <w:highlight w:val="none"/>
        </w:rPr>
      </w:pPr>
      <w:r>
        <w:rPr>
          <w:rFonts w:hint="eastAsia" w:ascii="仿宋" w:hAnsi="仿宋" w:eastAsia="仿宋" w:cs="仿宋"/>
          <w:b/>
          <w:sz w:val="24"/>
          <w:highlight w:val="none"/>
        </w:rPr>
        <w:t>7.所有价格应按“招标文件”中规定的货币单位填写；投标总价应为以上各分项价格之和；投标总价和项目报价表中单个采购预算条目报价均不得超过对应的财政预算限额，否则将导致投标无效。</w:t>
      </w:r>
    </w:p>
    <w:p>
      <w:pPr>
        <w:widowControl/>
        <w:shd w:val="clear"/>
        <w:autoSpaceDE w:val="0"/>
        <w:autoSpaceDN w:val="0"/>
        <w:spacing w:line="360" w:lineRule="exact"/>
        <w:ind w:left="206" w:leftChars="86" w:right="17" w:firstLine="4080" w:firstLineChars="1700"/>
        <w:textAlignment w:val="bottom"/>
        <w:rPr>
          <w:rFonts w:hint="eastAsia" w:ascii="仿宋" w:hAnsi="仿宋" w:eastAsia="仿宋" w:cs="仿宋"/>
          <w:color w:val="auto"/>
          <w:sz w:val="24"/>
          <w:szCs w:val="24"/>
          <w:highlight w:val="none"/>
        </w:rPr>
      </w:pPr>
    </w:p>
    <w:p>
      <w:pPr>
        <w:shd w:val="clear"/>
        <w:jc w:val="center"/>
        <w:rPr>
          <w:rFonts w:hint="eastAsia" w:ascii="仿宋" w:hAnsi="仿宋" w:eastAsia="仿宋" w:cs="仿宋"/>
          <w:b/>
          <w:sz w:val="24"/>
          <w:highlight w:val="none"/>
        </w:rPr>
      </w:pPr>
    </w:p>
    <w:p>
      <w:pPr>
        <w:shd w:val="clear"/>
        <w:jc w:val="center"/>
        <w:rPr>
          <w:rFonts w:hint="eastAsia" w:ascii="仿宋" w:hAnsi="仿宋" w:eastAsia="仿宋" w:cs="仿宋"/>
          <w:b/>
          <w:sz w:val="24"/>
          <w:highlight w:val="none"/>
        </w:rPr>
      </w:pPr>
      <w:r>
        <w:rPr>
          <w:rFonts w:hint="eastAsia" w:ascii="仿宋" w:hAnsi="仿宋" w:eastAsia="仿宋" w:cs="仿宋"/>
          <w:b/>
          <w:sz w:val="24"/>
          <w:highlight w:val="none"/>
        </w:rPr>
        <w:t>（二）核心产品品牌</w:t>
      </w:r>
    </w:p>
    <w:p>
      <w:pPr>
        <w:shd w:val="clear"/>
        <w:rPr>
          <w:rFonts w:hint="eastAsia" w:ascii="仿宋" w:hAnsi="仿宋" w:eastAsia="仿宋" w:cs="仿宋"/>
          <w:b/>
          <w:sz w:val="24"/>
          <w:highlight w:val="none"/>
        </w:rPr>
      </w:pPr>
    </w:p>
    <w:p>
      <w:pPr>
        <w:shd w:val="clear"/>
        <w:rPr>
          <w:rFonts w:hint="eastAsia" w:ascii="仿宋" w:hAnsi="仿宋" w:eastAsia="仿宋" w:cs="仿宋"/>
          <w:b/>
          <w:sz w:val="24"/>
          <w:highlight w:val="none"/>
        </w:rPr>
      </w:pPr>
      <w:r>
        <w:rPr>
          <w:rFonts w:hint="eastAsia" w:ascii="仿宋" w:hAnsi="仿宋" w:eastAsia="仿宋" w:cs="仿宋"/>
          <w:b/>
          <w:sz w:val="24"/>
          <w:highlight w:val="none"/>
        </w:rPr>
        <w:t>我单位所投核心产品的品牌为：</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w:t>
      </w:r>
    </w:p>
    <w:p>
      <w:pPr>
        <w:shd w:val="clear"/>
        <w:rPr>
          <w:rFonts w:hint="eastAsia" w:ascii="仿宋" w:hAnsi="仿宋" w:eastAsia="仿宋" w:cs="仿宋"/>
          <w:b/>
          <w:sz w:val="24"/>
          <w:highlight w:val="none"/>
        </w:rPr>
      </w:pPr>
    </w:p>
    <w:p>
      <w:pPr>
        <w:shd w:val="clear"/>
        <w:rPr>
          <w:rFonts w:hint="eastAsia" w:ascii="仿宋" w:hAnsi="仿宋" w:eastAsia="仿宋" w:cs="仿宋"/>
          <w:b w:val="0"/>
          <w:bCs/>
          <w:highlight w:val="none"/>
        </w:rPr>
      </w:pPr>
      <w:r>
        <w:rPr>
          <w:rFonts w:hint="eastAsia" w:ascii="仿宋" w:hAnsi="仿宋" w:eastAsia="仿宋" w:cs="仿宋"/>
          <w:b w:val="0"/>
          <w:bCs/>
          <w:sz w:val="24"/>
          <w:highlight w:val="none"/>
        </w:rPr>
        <w:t>备注：招标文件未列明核心产品的，无需填写该项。</w:t>
      </w:r>
    </w:p>
    <w:p>
      <w:pPr>
        <w:widowControl/>
        <w:shd w:val="clear"/>
        <w:autoSpaceDE w:val="0"/>
        <w:autoSpaceDN w:val="0"/>
        <w:spacing w:line="360" w:lineRule="exact"/>
        <w:ind w:right="17"/>
        <w:textAlignment w:val="bottom"/>
        <w:rPr>
          <w:rFonts w:hint="eastAsia" w:ascii="仿宋" w:hAnsi="仿宋" w:eastAsia="仿宋" w:cs="仿宋"/>
          <w:b/>
          <w:bCs w:val="0"/>
          <w:color w:val="auto"/>
          <w:kern w:val="2"/>
          <w:sz w:val="24"/>
          <w:szCs w:val="24"/>
          <w:highlight w:val="none"/>
          <w:lang w:val="en-US" w:eastAsia="zh-CN"/>
        </w:rPr>
      </w:pPr>
      <w:r>
        <w:rPr>
          <w:rFonts w:hint="eastAsia" w:ascii="仿宋" w:hAnsi="仿宋" w:eastAsia="仿宋" w:cs="仿宋"/>
          <w:color w:val="auto"/>
          <w:sz w:val="24"/>
          <w:szCs w:val="24"/>
          <w:highlight w:val="none"/>
        </w:rPr>
        <w:br w:type="page"/>
      </w:r>
      <w:r>
        <w:rPr>
          <w:rFonts w:hint="eastAsia" w:ascii="仿宋" w:hAnsi="仿宋" w:eastAsia="仿宋" w:cs="仿宋"/>
          <w:b/>
          <w:bCs w:val="0"/>
          <w:color w:val="auto"/>
          <w:kern w:val="2"/>
          <w:sz w:val="24"/>
          <w:szCs w:val="24"/>
          <w:highlight w:val="none"/>
          <w:lang w:val="en-US" w:eastAsia="zh-CN"/>
        </w:rPr>
        <w:t>四、投标人基本情况格式</w:t>
      </w:r>
    </w:p>
    <w:p>
      <w:pPr>
        <w:keepNext/>
        <w:keepLines/>
        <w:numPr>
          <w:ilvl w:val="0"/>
          <w:numId w:val="0"/>
        </w:numPr>
        <w:shd w:val="clear"/>
        <w:spacing w:line="360" w:lineRule="auto"/>
        <w:jc w:val="center"/>
        <w:outlineLvl w:val="4"/>
        <w:rPr>
          <w:rFonts w:hint="eastAsia" w:ascii="仿宋" w:hAnsi="仿宋" w:eastAsia="仿宋" w:cs="仿宋"/>
          <w:color w:val="auto"/>
          <w:szCs w:val="21"/>
          <w:highlight w:val="none"/>
        </w:rPr>
      </w:pPr>
      <w:bookmarkStart w:id="5" w:name="_Toc4217"/>
      <w:bookmarkStart w:id="6" w:name="_Toc26688"/>
      <w:r>
        <w:rPr>
          <w:rFonts w:hint="eastAsia" w:ascii="仿宋" w:hAnsi="仿宋" w:eastAsia="仿宋" w:cs="仿宋"/>
          <w:b/>
          <w:bCs/>
          <w:color w:val="auto"/>
          <w:sz w:val="21"/>
          <w:szCs w:val="21"/>
          <w:highlight w:val="none"/>
          <w:lang w:val="en-US" w:eastAsia="zh-CN" w:bidi="ar-SA"/>
        </w:rPr>
        <w:t>（一）</w:t>
      </w:r>
      <w:bookmarkEnd w:id="5"/>
      <w:bookmarkEnd w:id="6"/>
      <w:r>
        <w:rPr>
          <w:rFonts w:hint="eastAsia" w:ascii="仿宋" w:hAnsi="仿宋" w:eastAsia="仿宋" w:cs="仿宋"/>
          <w:b/>
          <w:bCs/>
          <w:color w:val="auto"/>
          <w:szCs w:val="21"/>
          <w:highlight w:val="none"/>
        </w:rPr>
        <w:t>投标人基本情况一览表</w:t>
      </w:r>
    </w:p>
    <w:p>
      <w:pPr>
        <w:pStyle w:val="12"/>
        <w:shd w:val="clear"/>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1．名称及概况：</w:t>
      </w:r>
    </w:p>
    <w:p>
      <w:pPr>
        <w:pStyle w:val="12"/>
        <w:shd w:val="clear"/>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（1）投标人名称：________________________________________</w:t>
      </w:r>
    </w:p>
    <w:p>
      <w:pPr>
        <w:pStyle w:val="12"/>
        <w:shd w:val="clear"/>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（2）注册地址：__________________________________________</w:t>
      </w:r>
    </w:p>
    <w:p>
      <w:pPr>
        <w:pStyle w:val="12"/>
        <w:shd w:val="clear"/>
        <w:spacing w:line="300" w:lineRule="auto"/>
        <w:ind w:firstLine="577" w:firstLineChars="275"/>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邮政编码：___________________________________________</w:t>
      </w:r>
    </w:p>
    <w:p>
      <w:pPr>
        <w:pStyle w:val="12"/>
        <w:shd w:val="clear"/>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电话号码：___________________________________________ </w:t>
      </w:r>
    </w:p>
    <w:p>
      <w:pPr>
        <w:pStyle w:val="12"/>
        <w:shd w:val="clear"/>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传真号码：___________________________________________ </w:t>
      </w:r>
    </w:p>
    <w:p>
      <w:pPr>
        <w:pStyle w:val="12"/>
        <w:shd w:val="clear"/>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（3）成立或注册日期：____________________________________</w:t>
      </w:r>
    </w:p>
    <w:p>
      <w:pPr>
        <w:pStyle w:val="12"/>
        <w:shd w:val="clear"/>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（4）法定代表人：___________________________________________</w:t>
      </w:r>
    </w:p>
    <w:p>
      <w:pPr>
        <w:pStyle w:val="12"/>
        <w:shd w:val="clear"/>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（5）基本存款账户开户银行：___________________________________________</w:t>
      </w:r>
    </w:p>
    <w:p>
      <w:pPr>
        <w:pStyle w:val="12"/>
        <w:shd w:val="clear"/>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（6）基本存款账户开户账号：___________________________________________</w:t>
      </w:r>
    </w:p>
    <w:p>
      <w:pPr>
        <w:pStyle w:val="12"/>
        <w:shd w:val="clear"/>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（7）注册资金：___________________________________________</w:t>
      </w:r>
    </w:p>
    <w:p>
      <w:pPr>
        <w:pStyle w:val="12"/>
        <w:shd w:val="clear"/>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（8）注册经营范围：_______________________________________</w:t>
      </w:r>
    </w:p>
    <w:p>
      <w:pPr>
        <w:pStyle w:val="12"/>
        <w:shd w:val="clear"/>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（9）近两年财务基本情况（成立年限不足的，提供最近一期财务报表信息）</w:t>
      </w:r>
    </w:p>
    <w:p>
      <w:pPr>
        <w:pStyle w:val="12"/>
        <w:shd w:val="clear"/>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①货币资金期末数：_____________________________________</w:t>
      </w:r>
    </w:p>
    <w:p>
      <w:pPr>
        <w:pStyle w:val="12"/>
        <w:shd w:val="clear"/>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②年营业总额（值）：___________________________________</w:t>
      </w:r>
    </w:p>
    <w:p>
      <w:pPr>
        <w:pStyle w:val="12"/>
        <w:shd w:val="clear"/>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③资产负债率：_________________________________________</w:t>
      </w:r>
    </w:p>
    <w:p>
      <w:pPr>
        <w:pStyle w:val="12"/>
        <w:shd w:val="clear"/>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④销售利润率：_________________________________________</w:t>
      </w:r>
    </w:p>
    <w:p>
      <w:pPr>
        <w:pStyle w:val="12"/>
        <w:shd w:val="clear"/>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⑤资本收益率：_________________________________________</w:t>
      </w:r>
    </w:p>
    <w:p>
      <w:pPr>
        <w:pStyle w:val="12"/>
        <w:shd w:val="clear"/>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（以上内容应与财务报表信息一致，如不一致以财务报表为准）</w:t>
      </w:r>
    </w:p>
    <w:p>
      <w:pPr>
        <w:pStyle w:val="12"/>
        <w:shd w:val="clear"/>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（10）项目负责人及主要联系人（姓名、职务、通讯方式）：</w:t>
      </w:r>
    </w:p>
    <w:p>
      <w:pPr>
        <w:pStyle w:val="12"/>
        <w:shd w:val="clear"/>
        <w:spacing w:line="30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_____________________________________________________________________</w:t>
      </w:r>
    </w:p>
    <w:p>
      <w:pPr>
        <w:shd w:val="clear"/>
        <w:adjustRightInd w:val="0"/>
        <w:ind w:firstLine="420" w:firstLineChars="200"/>
        <w:rPr>
          <w:rFonts w:hint="eastAsia" w:ascii="仿宋" w:hAnsi="仿宋" w:eastAsia="仿宋" w:cs="仿宋"/>
          <w:b/>
          <w:bCs/>
          <w:color w:val="auto"/>
          <w:sz w:val="21"/>
          <w:szCs w:val="21"/>
          <w:highlight w:val="none"/>
        </w:rPr>
      </w:pPr>
      <w:r>
        <w:rPr>
          <w:rFonts w:hint="eastAsia" w:ascii="仿宋" w:hAnsi="仿宋" w:eastAsia="仿宋" w:cs="仿宋"/>
          <w:b w:val="0"/>
          <w:bCs w:val="0"/>
          <w:color w:val="auto"/>
          <w:sz w:val="21"/>
          <w:szCs w:val="21"/>
          <w:highlight w:val="none"/>
        </w:rPr>
        <w:t>（11）主要股东或出资人信息（必须填写）</w:t>
      </w:r>
    </w:p>
    <w:tbl>
      <w:tblPr>
        <w:tblStyle w:val="21"/>
        <w:tblW w:w="85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1141"/>
        <w:gridCol w:w="2075"/>
        <w:gridCol w:w="1245"/>
        <w:gridCol w:w="1324"/>
        <w:gridCol w:w="1166"/>
        <w:gridCol w:w="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718"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1141"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名称</w:t>
            </w:r>
          </w:p>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（姓名）</w:t>
            </w:r>
          </w:p>
        </w:tc>
        <w:tc>
          <w:tcPr>
            <w:tcW w:w="2075"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统一社会信用代码</w:t>
            </w:r>
          </w:p>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（身份证号）</w:t>
            </w:r>
          </w:p>
        </w:tc>
        <w:tc>
          <w:tcPr>
            <w:tcW w:w="1245"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出资方式</w:t>
            </w:r>
          </w:p>
        </w:tc>
        <w:tc>
          <w:tcPr>
            <w:tcW w:w="1324"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出资金额</w:t>
            </w:r>
          </w:p>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（万元）</w:t>
            </w:r>
          </w:p>
        </w:tc>
        <w:tc>
          <w:tcPr>
            <w:tcW w:w="1166"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占全部股份比例</w:t>
            </w:r>
          </w:p>
        </w:tc>
        <w:tc>
          <w:tcPr>
            <w:tcW w:w="848"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c>
          <w:tcPr>
            <w:tcW w:w="1141"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c>
          <w:tcPr>
            <w:tcW w:w="2075"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c>
          <w:tcPr>
            <w:tcW w:w="1245"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c>
          <w:tcPr>
            <w:tcW w:w="1324"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c>
          <w:tcPr>
            <w:tcW w:w="1166"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c>
          <w:tcPr>
            <w:tcW w:w="848"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c>
          <w:tcPr>
            <w:tcW w:w="1141"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c>
          <w:tcPr>
            <w:tcW w:w="2075"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c>
          <w:tcPr>
            <w:tcW w:w="1245"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c>
          <w:tcPr>
            <w:tcW w:w="1324"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c>
          <w:tcPr>
            <w:tcW w:w="1166"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c>
          <w:tcPr>
            <w:tcW w:w="848"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c>
          <w:tcPr>
            <w:tcW w:w="1141"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c>
          <w:tcPr>
            <w:tcW w:w="2075"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c>
          <w:tcPr>
            <w:tcW w:w="1245"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c>
          <w:tcPr>
            <w:tcW w:w="1324"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c>
          <w:tcPr>
            <w:tcW w:w="1166"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c>
          <w:tcPr>
            <w:tcW w:w="848"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718"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c>
          <w:tcPr>
            <w:tcW w:w="1141"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c>
          <w:tcPr>
            <w:tcW w:w="2075"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c>
          <w:tcPr>
            <w:tcW w:w="1245"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c>
          <w:tcPr>
            <w:tcW w:w="1324"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c>
          <w:tcPr>
            <w:tcW w:w="1166"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c>
          <w:tcPr>
            <w:tcW w:w="848"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718"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c>
          <w:tcPr>
            <w:tcW w:w="1141"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c>
          <w:tcPr>
            <w:tcW w:w="2075"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c>
          <w:tcPr>
            <w:tcW w:w="1245"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c>
          <w:tcPr>
            <w:tcW w:w="1324"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c>
          <w:tcPr>
            <w:tcW w:w="1166"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c>
          <w:tcPr>
            <w:tcW w:w="848"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color w:val="auto"/>
                <w:sz w:val="21"/>
                <w:szCs w:val="21"/>
                <w:highlight w:val="none"/>
              </w:rPr>
            </w:pPr>
          </w:p>
        </w:tc>
      </w:tr>
    </w:tbl>
    <w:p>
      <w:pPr>
        <w:shd w:val="clea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我方承诺，以上信息真实可靠；如填报的股东出资额、出资比例等与实际不符，视为放弃中标资格。</w:t>
      </w:r>
    </w:p>
    <w:p>
      <w:pPr>
        <w:shd w:val="clea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注：1）主要股东或出资人为法人的，填写法人全称及统一社会信用代码；为自然人的，填写自然人姓名和身份证号。</w:t>
      </w:r>
    </w:p>
    <w:p>
      <w:pPr>
        <w:shd w:val="clea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2）出资方式填写货币、实物、工艺产权和非专利技术、土地使用权等。</w:t>
      </w:r>
    </w:p>
    <w:p>
      <w:pPr>
        <w:shd w:val="clea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3）投标人应按照占全部股份比例从大到小依次逐个股东填写，股东数量多于10个的，填写前10名，不足10个的全部填写。</w:t>
      </w:r>
    </w:p>
    <w:p>
      <w:pPr>
        <w:shd w:val="clear"/>
        <w:spacing w:line="360" w:lineRule="auto"/>
        <w:ind w:left="5910" w:leftChars="2200" w:hanging="630" w:hangingChars="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投标人（公章）：</w:t>
      </w:r>
    </w:p>
    <w:p>
      <w:pPr>
        <w:shd w:val="clear"/>
        <w:spacing w:line="360" w:lineRule="auto"/>
        <w:ind w:firstLine="4620" w:firstLineChars="2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法定代表人或其授权代表签名： </w:t>
      </w:r>
    </w:p>
    <w:p>
      <w:pPr>
        <w:shd w:val="clear"/>
        <w:spacing w:line="360" w:lineRule="auto"/>
        <w:ind w:firstLine="4620" w:firstLineChars="2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      年    月    日</w:t>
      </w:r>
    </w:p>
    <w:p>
      <w:pPr>
        <w:pStyle w:val="12"/>
        <w:shd w:val="clear"/>
        <w:spacing w:line="300" w:lineRule="auto"/>
        <w:ind w:firstLine="420"/>
        <w:rPr>
          <w:rFonts w:hint="eastAsia" w:ascii="仿宋" w:hAnsi="仿宋" w:eastAsia="仿宋" w:cs="仿宋"/>
          <w:color w:val="auto"/>
          <w:szCs w:val="21"/>
          <w:highlight w:val="none"/>
        </w:rPr>
      </w:pPr>
    </w:p>
    <w:p>
      <w:pPr>
        <w:pStyle w:val="12"/>
        <w:shd w:val="clear"/>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2.提交资料（包括但不限于财务报告表、组织机构、公司概况等）：</w:t>
      </w:r>
    </w:p>
    <w:p>
      <w:pPr>
        <w:shd w:val="clea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b/>
          <w:bCs/>
          <w:color w:val="auto"/>
          <w:sz w:val="21"/>
          <w:szCs w:val="21"/>
          <w:highlight w:val="none"/>
        </w:rPr>
        <w:t>“国家企业信用信息公示系统”网页报告</w:t>
      </w:r>
      <w:r>
        <w:rPr>
          <w:rFonts w:hint="eastAsia" w:ascii="仿宋" w:hAnsi="仿宋" w:eastAsia="仿宋" w:cs="仿宋"/>
          <w:color w:val="auto"/>
          <w:sz w:val="21"/>
          <w:szCs w:val="21"/>
          <w:highlight w:val="none"/>
        </w:rPr>
        <w:t>。</w:t>
      </w:r>
    </w:p>
    <w:p>
      <w:pPr>
        <w:pStyle w:val="12"/>
        <w:shd w:val="clear"/>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（2）公司概况及公司组织机构；</w:t>
      </w:r>
    </w:p>
    <w:p>
      <w:pPr>
        <w:pStyle w:val="12"/>
        <w:shd w:val="clear"/>
        <w:spacing w:line="30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（3）近两年财务报表包括资产负债表、损益表、现金流量表、纳税情况表等（加盖投标人公章）</w:t>
      </w:r>
    </w:p>
    <w:p>
      <w:pPr>
        <w:pStyle w:val="12"/>
        <w:shd w:val="clear"/>
        <w:spacing w:line="300" w:lineRule="auto"/>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（4）投标产品如被纳入中华人民共和国已实施的强制性产品认证产品目录的，应获得国家强制性产品认证证书和加施中国强制性认证标志；并附相关证明资料。</w:t>
      </w:r>
    </w:p>
    <w:p>
      <w:pPr>
        <w:shd w:val="clear"/>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兹证明，上述说明属实，并已提供相应资料和数据，我方同意遵照贵方要求出示有关证明文件。</w:t>
      </w:r>
    </w:p>
    <w:p>
      <w:pPr>
        <w:shd w:val="clear"/>
        <w:rPr>
          <w:rFonts w:hint="eastAsia" w:ascii="仿宋" w:hAnsi="仿宋" w:eastAsia="仿宋" w:cs="仿宋"/>
          <w:b/>
          <w:color w:val="auto"/>
          <w:sz w:val="24"/>
          <w:highlight w:val="none"/>
        </w:rPr>
      </w:pPr>
    </w:p>
    <w:p>
      <w:pPr>
        <w:shd w:val="clear"/>
        <w:spacing w:line="360" w:lineRule="auto"/>
        <w:ind w:firstLine="5760" w:firstLineChars="2400"/>
        <w:jc w:val="left"/>
        <w:rPr>
          <w:rFonts w:hint="eastAsia" w:ascii="仿宋" w:hAnsi="仿宋" w:eastAsia="仿宋" w:cs="仿宋"/>
          <w:color w:val="auto"/>
          <w:sz w:val="24"/>
          <w:szCs w:val="24"/>
          <w:highlight w:val="none"/>
        </w:rPr>
      </w:pPr>
    </w:p>
    <w:p>
      <w:pPr>
        <w:pStyle w:val="6"/>
        <w:shd w:val="clear"/>
        <w:rPr>
          <w:rFonts w:hint="eastAsia" w:ascii="仿宋" w:hAnsi="仿宋" w:eastAsia="仿宋" w:cs="仿宋"/>
          <w:color w:val="auto"/>
          <w:sz w:val="24"/>
          <w:szCs w:val="24"/>
          <w:highlight w:val="none"/>
        </w:rPr>
      </w:pPr>
    </w:p>
    <w:p>
      <w:pPr>
        <w:pStyle w:val="20"/>
        <w:shd w:val="clear"/>
        <w:spacing w:after="60"/>
        <w:ind w:firstLine="422"/>
        <w:jc w:val="both"/>
        <w:rPr>
          <w:rFonts w:hint="eastAsia" w:ascii="仿宋" w:hAnsi="仿宋" w:eastAsia="仿宋" w:cs="仿宋"/>
          <w:b/>
          <w:bCs/>
          <w:color w:val="auto"/>
          <w:sz w:val="24"/>
          <w:szCs w:val="24"/>
          <w:highlight w:val="none"/>
        </w:rPr>
      </w:pPr>
    </w:p>
    <w:p>
      <w:pPr>
        <w:pStyle w:val="20"/>
        <w:shd w:val="clear"/>
        <w:spacing w:after="60"/>
        <w:ind w:firstLine="422"/>
        <w:jc w:val="both"/>
        <w:rPr>
          <w:rFonts w:hint="eastAsia" w:ascii="仿宋" w:hAnsi="仿宋" w:eastAsia="仿宋" w:cs="仿宋"/>
          <w:b/>
          <w:bCs/>
          <w:color w:val="auto"/>
          <w:sz w:val="24"/>
          <w:szCs w:val="24"/>
          <w:highlight w:val="none"/>
        </w:rPr>
      </w:pPr>
    </w:p>
    <w:p>
      <w:pPr>
        <w:shd w:val="clea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keepNext w:val="0"/>
        <w:keepLines w:val="0"/>
        <w:pageBreakBefore w:val="0"/>
        <w:widowControl/>
        <w:numPr>
          <w:ilvl w:val="0"/>
          <w:numId w:val="0"/>
        </w:numPr>
        <w:shd w:val="clear"/>
        <w:spacing w:line="480" w:lineRule="exact"/>
        <w:jc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二）自行采购项目供应商资格审查表</w:t>
      </w:r>
    </w:p>
    <w:tbl>
      <w:tblPr>
        <w:tblStyle w:val="22"/>
        <w:tblW w:w="9069"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909"/>
        <w:gridCol w:w="3709"/>
        <w:gridCol w:w="1323"/>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60"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序号</w:t>
            </w:r>
          </w:p>
        </w:tc>
        <w:tc>
          <w:tcPr>
            <w:tcW w:w="1909"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审查内容</w:t>
            </w:r>
          </w:p>
        </w:tc>
        <w:tc>
          <w:tcPr>
            <w:tcW w:w="3709"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审查方式/查询途径</w:t>
            </w:r>
          </w:p>
        </w:tc>
        <w:tc>
          <w:tcPr>
            <w:tcW w:w="1323"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审查结果</w:t>
            </w:r>
          </w:p>
        </w:tc>
        <w:tc>
          <w:tcPr>
            <w:tcW w:w="1568"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bCs/>
                <w:color w:val="auto"/>
                <w:kern w:val="2"/>
                <w:sz w:val="24"/>
                <w:szCs w:val="24"/>
                <w:highlight w:val="none"/>
                <w:vertAlign w:val="baseline"/>
              </w:rPr>
            </w:pPr>
            <w:r>
              <w:rPr>
                <w:rFonts w:hint="eastAsia" w:ascii="仿宋" w:hAnsi="仿宋" w:eastAsia="仿宋" w:cs="仿宋"/>
                <w:b/>
                <w:bCs/>
                <w:color w:val="auto"/>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60"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1</w:t>
            </w:r>
          </w:p>
        </w:tc>
        <w:tc>
          <w:tcPr>
            <w:tcW w:w="1909" w:type="dxa"/>
            <w:vAlign w:val="center"/>
          </w:tcPr>
          <w:p>
            <w:pPr>
              <w:keepNext w:val="0"/>
              <w:keepLines w:val="0"/>
              <w:widowControl/>
              <w:suppressLineNumbers w:val="0"/>
              <w:shd w:val="clear"/>
              <w:spacing w:before="0" w:beforeAutospacing="0" w:after="0" w:afterAutospacing="0"/>
              <w:ind w:left="0" w:right="0"/>
              <w:jc w:val="left"/>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资质条件</w:t>
            </w:r>
          </w:p>
        </w:tc>
        <w:tc>
          <w:tcPr>
            <w:tcW w:w="3709" w:type="dxa"/>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kern w:val="2"/>
                <w:sz w:val="24"/>
                <w:szCs w:val="24"/>
                <w:highlight w:val="none"/>
              </w:rPr>
              <w:t>根据采购文件的规定，要求供应商提供资质证明材料或采购人自行通过公开渠道查询</w:t>
            </w:r>
          </w:p>
        </w:tc>
        <w:tc>
          <w:tcPr>
            <w:tcW w:w="1323" w:type="dxa"/>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口通过</w:t>
            </w:r>
          </w:p>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口不通过</w:t>
            </w:r>
          </w:p>
        </w:tc>
        <w:tc>
          <w:tcPr>
            <w:tcW w:w="1568" w:type="dxa"/>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lang w:val="en-US" w:eastAsia="zh-CN"/>
              </w:rPr>
              <w:t>按</w:t>
            </w:r>
            <w:r>
              <w:rPr>
                <w:rFonts w:hint="eastAsia" w:ascii="仿宋" w:hAnsi="仿宋" w:eastAsia="仿宋" w:cs="仿宋"/>
                <w:color w:val="auto"/>
                <w:kern w:val="2"/>
                <w:sz w:val="24"/>
                <w:szCs w:val="24"/>
                <w:highlight w:val="none"/>
              </w:rPr>
              <w:t>采购文件事先明确具体的审查方式</w:t>
            </w:r>
            <w:r>
              <w:rPr>
                <w:rFonts w:hint="eastAsia" w:ascii="仿宋" w:hAnsi="仿宋" w:eastAsia="仿宋" w:cs="仿宋"/>
                <w:color w:val="auto"/>
                <w:kern w:val="2"/>
                <w:sz w:val="24"/>
                <w:szCs w:val="24"/>
                <w:highlight w:val="none"/>
                <w:lang w:val="en-US" w:eastAsia="zh-CN"/>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2</w:t>
            </w:r>
          </w:p>
        </w:tc>
        <w:tc>
          <w:tcPr>
            <w:tcW w:w="1909" w:type="dxa"/>
            <w:vAlign w:val="center"/>
          </w:tcPr>
          <w:p>
            <w:pPr>
              <w:keepNext w:val="0"/>
              <w:keepLines w:val="0"/>
              <w:widowControl/>
              <w:suppressLineNumbers w:val="0"/>
              <w:shd w:val="clear"/>
              <w:spacing w:before="0" w:beforeAutospacing="0" w:after="0" w:afterAutospacing="0"/>
              <w:ind w:left="0" w:right="0"/>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是否存在因违法行为而被禁止参加本市政府采购活动的情形</w:t>
            </w:r>
          </w:p>
        </w:tc>
        <w:tc>
          <w:tcPr>
            <w:tcW w:w="3709" w:type="dxa"/>
            <w:vAlign w:val="center"/>
          </w:tcPr>
          <w:p>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中国政府采购网（http://www.</w:t>
            </w:r>
          </w:p>
          <w:p>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ccgp.gov.cn/search/cr/）、</w:t>
            </w:r>
          </w:p>
          <w:p>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深圳市政府采购监管网（http:</w:t>
            </w:r>
          </w:p>
          <w:p>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//zfcg.sz.gov.cn/cgjg/cxda</w:t>
            </w:r>
          </w:p>
          <w:p>
            <w:pPr>
              <w:keepNext w:val="0"/>
              <w:keepLines w:val="0"/>
              <w:pageBreakBefore w:val="0"/>
              <w:widowControl w:val="0"/>
              <w:suppressLineNumbers w:val="0"/>
              <w:shd w:val="clear"/>
              <w:kinsoku/>
              <w:wordWrap/>
              <w:overflowPunct/>
              <w:topLinePunct w:val="0"/>
              <w:autoSpaceDE/>
              <w:autoSpaceDN/>
              <w:bidi w:val="0"/>
              <w:adjustRightInd/>
              <w:snapToGrid w:val="0"/>
              <w:spacing w:before="0" w:beforeAutospacing="0" w:after="0" w:afterAutospacing="0"/>
              <w:ind w:left="0" w:right="0"/>
              <w:jc w:val="both"/>
              <w:textAlignment w:val="auto"/>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/index.html）</w:t>
            </w:r>
          </w:p>
        </w:tc>
        <w:tc>
          <w:tcPr>
            <w:tcW w:w="1323" w:type="dxa"/>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若选择“是”，则属于审查不通过。</w:t>
            </w:r>
          </w:p>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60"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3</w:t>
            </w:r>
          </w:p>
        </w:tc>
        <w:tc>
          <w:tcPr>
            <w:tcW w:w="1909" w:type="dxa"/>
            <w:vAlign w:val="center"/>
          </w:tcPr>
          <w:p>
            <w:pPr>
              <w:keepNext w:val="0"/>
              <w:keepLines w:val="0"/>
              <w:widowControl/>
              <w:suppressLineNumbers w:val="0"/>
              <w:shd w:val="clear"/>
              <w:spacing w:before="0" w:beforeAutospacing="0" w:after="0" w:afterAutospacing="0"/>
              <w:ind w:left="0" w:right="0"/>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不同供应商的单位负责人是否为同一人</w:t>
            </w:r>
          </w:p>
        </w:tc>
        <w:tc>
          <w:tcPr>
            <w:tcW w:w="3709" w:type="dxa"/>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t</w:t>
            </w:r>
          </w:p>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）等网站</w:t>
            </w:r>
          </w:p>
        </w:tc>
        <w:tc>
          <w:tcPr>
            <w:tcW w:w="1323" w:type="dxa"/>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rPr>
              <w:t>若为同一人，则该几家供应商不得参加同一合同项下的政府采购活动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4</w:t>
            </w:r>
          </w:p>
        </w:tc>
        <w:tc>
          <w:tcPr>
            <w:tcW w:w="1909" w:type="dxa"/>
            <w:vAlign w:val="center"/>
          </w:tcPr>
          <w:p>
            <w:pPr>
              <w:keepNext w:val="0"/>
              <w:keepLines w:val="0"/>
              <w:widowControl/>
              <w:suppressLineNumbers w:val="0"/>
              <w:shd w:val="clear"/>
              <w:spacing w:before="0" w:beforeAutospacing="0" w:after="0" w:afterAutospacing="0"/>
              <w:ind w:left="0" w:right="0"/>
              <w:jc w:val="left"/>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rPr>
              <w:t>不同供应商之间是否存在直接控股、管理关系</w:t>
            </w:r>
          </w:p>
        </w:tc>
        <w:tc>
          <w:tcPr>
            <w:tcW w:w="3709" w:type="dxa"/>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国家企业信用信息公示系统</w:t>
            </w:r>
          </w:p>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（https://www.gsxt.gov.cn/</w:t>
            </w:r>
          </w:p>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index.html）、机关赋码和事</w:t>
            </w:r>
          </w:p>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业单位登记管理网（http://w</w:t>
            </w:r>
          </w:p>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ww.gjsy.gov.cn/sydwfrxxcx</w:t>
            </w:r>
          </w:p>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/）、全国社会组织信用信息公</w:t>
            </w:r>
          </w:p>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示平台（https://xxgs.china</w:t>
            </w:r>
          </w:p>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npo.mca.gov.cn/gsxt/newLis</w:t>
            </w:r>
          </w:p>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t</w:t>
            </w:r>
          </w:p>
          <w:p>
            <w:pPr>
              <w:keepNext w:val="0"/>
              <w:keepLines w:val="0"/>
              <w:widowControl/>
              <w:suppressLineNumbers w:val="0"/>
              <w:shd w:val="clear"/>
              <w:spacing w:before="0" w:beforeAutospacing="0" w:after="0" w:afterAutospacing="0"/>
              <w:ind w:left="0" w:right="0"/>
              <w:jc w:val="both"/>
              <w:rPr>
                <w:rFonts w:hint="eastAsia" w:ascii="仿宋" w:hAnsi="仿宋" w:eastAsia="仿宋" w:cs="仿宋"/>
                <w:b/>
                <w:bCs/>
                <w:color w:val="auto"/>
                <w:kern w:val="2"/>
                <w:sz w:val="24"/>
                <w:szCs w:val="24"/>
                <w:highlight w:val="none"/>
                <w:vertAlign w:val="baseline"/>
              </w:rPr>
            </w:pPr>
            <w:r>
              <w:rPr>
                <w:rFonts w:hint="eastAsia" w:ascii="仿宋" w:hAnsi="仿宋" w:eastAsia="仿宋" w:cs="仿宋"/>
                <w:color w:val="auto"/>
                <w:kern w:val="2"/>
                <w:sz w:val="24"/>
                <w:szCs w:val="24"/>
                <w:highlight w:val="none"/>
                <w:vertAlign w:val="baseline"/>
                <w:lang w:val="en-US" w:eastAsia="zh-CN"/>
              </w:rPr>
              <w:t>）等网站</w:t>
            </w:r>
          </w:p>
        </w:tc>
        <w:tc>
          <w:tcPr>
            <w:tcW w:w="1323" w:type="dxa"/>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口存在</w:t>
            </w:r>
            <w:r>
              <w:rPr>
                <w:rFonts w:hint="eastAsia" w:ascii="仿宋" w:hAnsi="仿宋" w:eastAsia="仿宋" w:cs="仿宋"/>
                <w:color w:val="auto"/>
                <w:kern w:val="2"/>
                <w:sz w:val="24"/>
                <w:szCs w:val="24"/>
                <w:highlight w:val="none"/>
                <w:lang w:val="en-US" w:eastAsia="zh-CN"/>
              </w:rPr>
              <w:t>该种情形</w:t>
            </w:r>
          </w:p>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Pr>
              <w:t>口</w:t>
            </w:r>
            <w:r>
              <w:rPr>
                <w:rFonts w:hint="eastAsia" w:ascii="仿宋" w:hAnsi="仿宋" w:eastAsia="仿宋" w:cs="仿宋"/>
                <w:color w:val="auto"/>
                <w:kern w:val="2"/>
                <w:sz w:val="24"/>
                <w:szCs w:val="24"/>
                <w:highlight w:val="none"/>
                <w:lang w:val="en-US" w:eastAsia="zh-CN"/>
              </w:rPr>
              <w:t>不</w:t>
            </w:r>
            <w:r>
              <w:rPr>
                <w:rFonts w:hint="eastAsia" w:ascii="仿宋" w:hAnsi="仿宋" w:eastAsia="仿宋" w:cs="仿宋"/>
                <w:color w:val="auto"/>
                <w:kern w:val="2"/>
                <w:sz w:val="24"/>
                <w:szCs w:val="24"/>
                <w:highlight w:val="none"/>
              </w:rPr>
              <w:t>存在</w:t>
            </w:r>
            <w:r>
              <w:rPr>
                <w:rFonts w:hint="eastAsia" w:ascii="仿宋" w:hAnsi="仿宋" w:eastAsia="仿宋" w:cs="仿宋"/>
                <w:color w:val="auto"/>
                <w:kern w:val="2"/>
                <w:sz w:val="24"/>
                <w:szCs w:val="24"/>
                <w:highlight w:val="none"/>
                <w:lang w:val="en-US" w:eastAsia="zh-CN"/>
              </w:rPr>
              <w:t>该种情形</w:t>
            </w:r>
          </w:p>
        </w:tc>
        <w:tc>
          <w:tcPr>
            <w:tcW w:w="1568" w:type="dxa"/>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vertAlign w:val="baseline"/>
                <w:lang w:eastAsia="zh-CN"/>
              </w:rPr>
            </w:pPr>
            <w:r>
              <w:rPr>
                <w:rFonts w:hint="eastAsia" w:ascii="仿宋" w:hAnsi="仿宋" w:eastAsia="仿宋" w:cs="仿宋"/>
                <w:color w:val="auto"/>
                <w:kern w:val="2"/>
                <w:sz w:val="24"/>
                <w:szCs w:val="24"/>
                <w:highlight w:val="none"/>
                <w:vertAlign w:val="baseline"/>
              </w:rPr>
              <w:t>若存在直接控股、管理关系，则该几家供应商不得参加同一合同项下的政府采购活动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color w:val="auto"/>
                <w:kern w:val="2"/>
                <w:sz w:val="24"/>
                <w:szCs w:val="24"/>
                <w:highlight w:val="none"/>
                <w:vertAlign w:val="baseline"/>
                <w:lang w:val="en-US" w:eastAsia="zh-CN"/>
              </w:rPr>
            </w:pPr>
            <w:r>
              <w:rPr>
                <w:rFonts w:hint="eastAsia" w:ascii="仿宋" w:hAnsi="仿宋" w:eastAsia="仿宋" w:cs="仿宋"/>
                <w:color w:val="auto"/>
                <w:kern w:val="2"/>
                <w:sz w:val="24"/>
                <w:szCs w:val="24"/>
                <w:highlight w:val="none"/>
                <w:vertAlign w:val="baseline"/>
                <w:lang w:val="en-US" w:eastAsia="zh-CN"/>
              </w:rPr>
              <w:t>5</w:t>
            </w:r>
          </w:p>
        </w:tc>
        <w:tc>
          <w:tcPr>
            <w:tcW w:w="1909" w:type="dxa"/>
            <w:vAlign w:val="center"/>
          </w:tcPr>
          <w:p>
            <w:pPr>
              <w:keepNext w:val="0"/>
              <w:keepLines w:val="0"/>
              <w:widowControl/>
              <w:suppressLineNumbers w:val="0"/>
              <w:shd w:val="clear"/>
              <w:spacing w:before="0" w:beforeAutospacing="0" w:after="0" w:afterAutospacing="0"/>
              <w:ind w:left="0" w:right="0"/>
              <w:jc w:val="left"/>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为采购项目提供整体设计、规范编制或者项目管理、监理、检测等服务的供应商，是否参加了该采购项目的其他采购活动</w:t>
            </w:r>
          </w:p>
        </w:tc>
        <w:tc>
          <w:tcPr>
            <w:tcW w:w="3709" w:type="dxa"/>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采购人内部排查</w:t>
            </w:r>
          </w:p>
        </w:tc>
        <w:tc>
          <w:tcPr>
            <w:tcW w:w="1323" w:type="dxa"/>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口是</w:t>
            </w:r>
          </w:p>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口否</w:t>
            </w:r>
          </w:p>
        </w:tc>
        <w:tc>
          <w:tcPr>
            <w:tcW w:w="1568" w:type="dxa"/>
            <w:vAlign w:val="center"/>
          </w:tcPr>
          <w:p>
            <w:pPr>
              <w:keepNext w:val="0"/>
              <w:keepLines w:val="0"/>
              <w:widowControl/>
              <w:suppressLineNumbers w:val="0"/>
              <w:shd w:val="clear"/>
              <w:spacing w:before="0" w:beforeAutospacing="0" w:after="0" w:afterAutospacing="0"/>
              <w:ind w:left="0" w:right="0"/>
              <w:jc w:val="both"/>
              <w:rPr>
                <w:rFonts w:hint="eastAsia" w:ascii="仿宋" w:hAnsi="仿宋" w:eastAsia="仿宋" w:cs="仿宋"/>
                <w:color w:val="auto"/>
                <w:kern w:val="2"/>
                <w:sz w:val="24"/>
                <w:szCs w:val="24"/>
                <w:highlight w:val="none"/>
                <w:vertAlign w:val="baseline"/>
              </w:rPr>
            </w:pPr>
            <w:r>
              <w:rPr>
                <w:rFonts w:hint="eastAsia" w:ascii="仿宋" w:hAnsi="仿宋" w:eastAsia="仿宋" w:cs="仿宋"/>
                <w:color w:val="auto"/>
                <w:kern w:val="2"/>
                <w:sz w:val="24"/>
                <w:szCs w:val="24"/>
                <w:highlight w:val="none"/>
              </w:rPr>
              <w:t>采用单一来源方式的除外。若选择“是”，则属于审查不通过。</w:t>
            </w:r>
          </w:p>
        </w:tc>
      </w:tr>
    </w:tbl>
    <w:p>
      <w:pPr>
        <w:keepNext/>
        <w:keepLines/>
        <w:shd w:val="clear"/>
        <w:spacing w:line="360" w:lineRule="auto"/>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备注：1.上述情形为日常监督检查和审计监督中发现的易发情形，在自行采购项目供应商审查时，除了上述易发情形，采购人还应核查供应商是否存在法律法规规定的其他严重违法失信行为，并在采购文件中明确供应商审查要求。</w:t>
      </w:r>
    </w:p>
    <w:p>
      <w:pPr>
        <w:keepNext/>
        <w:keepLines/>
        <w:shd w:val="clear"/>
        <w:spacing w:line="360" w:lineRule="auto"/>
        <w:ind w:firstLine="482" w:firstLineChars="200"/>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2.上表第 3 项中的单位负责人，是指单位法定代表人或者法律、行政法规规定代表单位行使职权的主要负责人。</w:t>
      </w:r>
    </w:p>
    <w:p>
      <w:pPr>
        <w:keepNext/>
        <w:keepLines/>
        <w:shd w:val="clear"/>
        <w:spacing w:line="360" w:lineRule="auto"/>
        <w:ind w:firstLine="482" w:firstLineChars="200"/>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3.上表第 4 项中的控股关系，是指单位或个人股东的控股关系，控股包括绝对控股和相对控股；管理关系，是指不具有出资持股关系的其他单位之间存在的管理与被管理关系，如上下级关系的事业单位和团体组织。控股、管理关系，仅限于直接控股、直接管理关系，不包括间接的控股或管理关系。例如，不是公司的股东，但通过投资关系、协议或者其他安排，能够实际支配公司行为的公司实际控制人。公司实际控制人与公司之间的关系不属于上表所说的直接控股关系。</w:t>
      </w:r>
    </w:p>
    <w:p>
      <w:pPr>
        <w:shd w:val="clear"/>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br w:type="page"/>
      </w:r>
    </w:p>
    <w:p>
      <w:pPr>
        <w:keepNext/>
        <w:keepLines/>
        <w:shd w:val="clear"/>
        <w:spacing w:line="360" w:lineRule="auto"/>
        <w:outlineLvl w:val="3"/>
        <w:rPr>
          <w:rFonts w:hint="eastAsia" w:ascii="仿宋" w:hAnsi="仿宋" w:eastAsia="仿宋" w:cs="仿宋"/>
          <w:b/>
          <w:bCs/>
          <w:sz w:val="24"/>
          <w:szCs w:val="24"/>
          <w:highlight w:val="none"/>
        </w:rPr>
      </w:pPr>
      <w:r>
        <w:rPr>
          <w:rFonts w:hint="eastAsia" w:ascii="仿宋" w:hAnsi="仿宋" w:eastAsia="仿宋" w:cs="仿宋"/>
          <w:b/>
          <w:sz w:val="24"/>
          <w:szCs w:val="24"/>
          <w:highlight w:val="none"/>
          <w:lang w:val="en-US" w:eastAsia="zh-CN"/>
        </w:rPr>
        <w:t>五</w:t>
      </w:r>
      <w:r>
        <w:rPr>
          <w:rFonts w:hint="eastAsia" w:ascii="仿宋" w:hAnsi="仿宋" w:eastAsia="仿宋" w:cs="仿宋"/>
          <w:b/>
          <w:sz w:val="24"/>
          <w:szCs w:val="24"/>
          <w:highlight w:val="none"/>
        </w:rPr>
        <w:t>、投标人情况及资格证明文件</w:t>
      </w:r>
    </w:p>
    <w:p>
      <w:pPr>
        <w:pStyle w:val="6"/>
        <w:shd w:val="clear"/>
        <w:ind w:left="0" w:leftChars="0" w:firstLine="0" w:firstLineChars="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（一）投标人资格证明文件</w:t>
      </w:r>
    </w:p>
    <w:p>
      <w:pPr>
        <w:pStyle w:val="6"/>
        <w:shd w:val="clear"/>
        <w:ind w:left="0" w:leftChars="0" w:firstLine="0" w:firstLineChars="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（投标人须按本招标文件第一章“申请人的资格要求”（即投标人资格要求）提供相关的资格证明资料，以下为部分资格要求模板）</w:t>
      </w:r>
    </w:p>
    <w:p>
      <w:pPr>
        <w:shd w:val="clear"/>
        <w:adjustRightInd w:val="0"/>
        <w:jc w:val="center"/>
        <w:outlineLvl w:val="4"/>
        <w:rPr>
          <w:rFonts w:hint="eastAsia" w:ascii="仿宋" w:hAnsi="仿宋" w:eastAsia="仿宋" w:cs="仿宋"/>
          <w:b/>
          <w:bCs/>
          <w:sz w:val="24"/>
          <w:szCs w:val="24"/>
          <w:highlight w:val="none"/>
        </w:rPr>
      </w:pPr>
    </w:p>
    <w:p>
      <w:pPr>
        <w:shd w:val="clear"/>
        <w:adjustRightInd w:val="0"/>
        <w:jc w:val="both"/>
        <w:outlineLvl w:val="4"/>
        <w:rPr>
          <w:rFonts w:hint="eastAsia" w:ascii="仿宋" w:hAnsi="仿宋" w:eastAsia="仿宋" w:cs="仿宋"/>
          <w:b/>
          <w:bCs/>
          <w:sz w:val="24"/>
          <w:szCs w:val="24"/>
          <w:highlight w:val="none"/>
          <w:lang w:val="en-US" w:eastAsia="zh-CN"/>
        </w:rPr>
      </w:pPr>
    </w:p>
    <w:p>
      <w:pPr>
        <w:shd w:val="clear"/>
        <w:adjustRightInd w:val="0"/>
        <w:jc w:val="center"/>
        <w:outlineLvl w:val="4"/>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投标及履约承诺函</w:t>
      </w:r>
    </w:p>
    <w:p>
      <w:pPr>
        <w:pStyle w:val="12"/>
        <w:shd w:val="clear"/>
        <w:ind w:right="420"/>
        <w:jc w:val="lef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bCs/>
          <w:color w:val="auto"/>
          <w:sz w:val="24"/>
          <w:szCs w:val="24"/>
          <w:highlight w:val="none"/>
        </w:rPr>
        <w:t>深圳市龙岗中心医院</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我单位承诺：</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1.我单位参与本项目所投标（响应）的货物、工程或服务，不存在侵犯知识产权的情况。</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2.我单位参与本项目政府采购活动时不存在被有关部门禁止参与政府采购活动且在有效期内的情况。</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3.我单位具备《中华人民共和国政府采购法》第二十二条第一款规定的六项条件。</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4.我单位未被列入失信被执行人、重大税收违法案件当事人名单、政府采购严重违法失信行为记录名单。</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hd w:val="clea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8.我单位承诺中标后项目不转包，未经采购人同意不进行分包。</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10.我单位保证，若所投货物涉及《财政部生态环境部关于印发节能产品政府采购品目清单的通知》（财库〔2019〕19号）列明的政府采购强制产品，则所投该产品符合节能产品的认证要求。</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 我单位已知悉并同意中标（成交）结果信息公示（公开）的内容。</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13.我单位清楚，如存在违反投标承诺行为情节严重的，将根据《深圳市财政局关于印发&lt;深圳市财政局政府采购供应商信用信息管理办法&gt;的通知》，依法被列入失信信息。</w:t>
      </w:r>
    </w:p>
    <w:p>
      <w:pPr>
        <w:shd w:val="clear"/>
        <w:snapToGrid w:val="0"/>
        <w:spacing w:line="360" w:lineRule="auto"/>
        <w:rPr>
          <w:rFonts w:hint="eastAsia" w:ascii="仿宋" w:hAnsi="仿宋" w:eastAsia="仿宋" w:cs="仿宋"/>
          <w:color w:val="auto"/>
          <w:sz w:val="24"/>
          <w:szCs w:val="24"/>
          <w:highlight w:val="none"/>
        </w:rPr>
      </w:pPr>
    </w:p>
    <w:p>
      <w:pPr>
        <w:shd w:val="clear"/>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以上承诺，如有违反，愿依照国家相关法律法规处理，并承担由此给采购人带来的损失。</w:t>
      </w:r>
    </w:p>
    <w:p>
      <w:pPr>
        <w:shd w:val="clear"/>
        <w:spacing w:line="360" w:lineRule="auto"/>
        <w:ind w:firstLine="5760" w:firstLineChars="2400"/>
        <w:jc w:val="left"/>
        <w:rPr>
          <w:rFonts w:hint="eastAsia" w:ascii="仿宋" w:hAnsi="仿宋" w:eastAsia="仿宋" w:cs="仿宋"/>
          <w:color w:val="auto"/>
          <w:sz w:val="24"/>
          <w:szCs w:val="24"/>
          <w:highlight w:val="none"/>
        </w:rPr>
      </w:pPr>
    </w:p>
    <w:p>
      <w:pPr>
        <w:shd w:val="clear"/>
        <w:spacing w:line="360" w:lineRule="auto"/>
        <w:ind w:firstLine="5760" w:firstLineChars="2400"/>
        <w:jc w:val="left"/>
        <w:rPr>
          <w:rFonts w:hint="eastAsia" w:ascii="仿宋" w:hAnsi="仿宋" w:eastAsia="仿宋" w:cs="仿宋"/>
          <w:color w:val="auto"/>
          <w:sz w:val="24"/>
          <w:szCs w:val="24"/>
          <w:highlight w:val="none"/>
        </w:rPr>
      </w:pPr>
    </w:p>
    <w:p>
      <w:pPr>
        <w:shd w:val="clear"/>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pPr>
        <w:shd w:val="clear"/>
        <w:spacing w:line="360" w:lineRule="auto"/>
        <w:ind w:firstLine="4560" w:firstLineChars="19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法定代表人或其授权代表签名：</w:t>
      </w:r>
    </w:p>
    <w:p>
      <w:pPr>
        <w:shd w:val="clear"/>
        <w:spacing w:line="360" w:lineRule="auto"/>
        <w:ind w:firstLine="4560" w:firstLineChars="1900"/>
        <w:jc w:val="left"/>
        <w:rPr>
          <w:rFonts w:hint="eastAsia" w:ascii="仿宋" w:hAnsi="仿宋" w:eastAsia="仿宋" w:cs="仿宋"/>
          <w:color w:val="auto"/>
          <w:szCs w:val="21"/>
          <w:highlight w:val="none"/>
        </w:rPr>
      </w:pPr>
      <w:r>
        <w:rPr>
          <w:rFonts w:hint="eastAsia" w:ascii="仿宋" w:hAnsi="仿宋" w:eastAsia="仿宋" w:cs="仿宋"/>
          <w:color w:val="auto"/>
          <w:sz w:val="24"/>
          <w:szCs w:val="24"/>
          <w:highlight w:val="none"/>
        </w:rPr>
        <w:t>日期：      年    月    日</w:t>
      </w:r>
    </w:p>
    <w:p>
      <w:pPr>
        <w:pStyle w:val="6"/>
        <w:widowControl w:val="0"/>
        <w:numPr>
          <w:ilvl w:val="0"/>
          <w:numId w:val="0"/>
        </w:numPr>
        <w:shd w:val="clear"/>
        <w:jc w:val="both"/>
        <w:rPr>
          <w:rFonts w:hint="default" w:ascii="仿宋" w:hAnsi="仿宋" w:eastAsia="仿宋" w:cs="仿宋"/>
          <w:b/>
          <w:bCs/>
          <w:sz w:val="24"/>
          <w:szCs w:val="24"/>
          <w:highlight w:val="none"/>
          <w:lang w:val="en-US" w:eastAsia="zh-CN"/>
        </w:rPr>
      </w:pPr>
    </w:p>
    <w:p>
      <w:pPr>
        <w:shd w:val="clear"/>
        <w:rPr>
          <w:rFonts w:hint="eastAsia" w:ascii="仿宋" w:hAnsi="仿宋" w:eastAsia="仿宋" w:cs="仿宋"/>
          <w:b/>
          <w:bCs/>
          <w:kern w:val="2"/>
          <w:sz w:val="24"/>
          <w:szCs w:val="24"/>
          <w:highlight w:val="none"/>
          <w:lang w:val="en-US" w:eastAsia="zh-CN" w:bidi="ar-SA"/>
        </w:rPr>
      </w:pPr>
      <w:bookmarkStart w:id="7" w:name="_Toc29757"/>
      <w:bookmarkStart w:id="8" w:name="_Toc743"/>
      <w:r>
        <w:rPr>
          <w:rFonts w:hint="eastAsia" w:ascii="仿宋" w:hAnsi="仿宋" w:eastAsia="仿宋" w:cs="仿宋"/>
          <w:b/>
          <w:bCs/>
          <w:kern w:val="2"/>
          <w:sz w:val="24"/>
          <w:szCs w:val="24"/>
          <w:highlight w:val="none"/>
          <w:lang w:val="en-US" w:eastAsia="zh-CN" w:bidi="ar-SA"/>
        </w:rPr>
        <w:br w:type="page"/>
      </w:r>
    </w:p>
    <w:p>
      <w:pPr>
        <w:keepNext/>
        <w:keepLines/>
        <w:numPr>
          <w:ilvl w:val="0"/>
          <w:numId w:val="0"/>
        </w:numPr>
        <w:shd w:val="clea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2、</w:t>
      </w:r>
      <w:r>
        <w:rPr>
          <w:rFonts w:hint="eastAsia" w:ascii="仿宋" w:hAnsi="仿宋" w:eastAsia="仿宋" w:cs="仿宋"/>
          <w:b/>
          <w:bCs/>
          <w:sz w:val="24"/>
          <w:szCs w:val="24"/>
          <w:highlight w:val="none"/>
        </w:rPr>
        <w:t>法定代表人证明书格式</w:t>
      </w:r>
      <w:bookmarkEnd w:id="7"/>
      <w:bookmarkEnd w:id="8"/>
    </w:p>
    <w:p>
      <w:pPr>
        <w:pStyle w:val="12"/>
        <w:shd w:val="clear"/>
        <w:spacing w:line="360" w:lineRule="auto"/>
        <w:jc w:val="center"/>
        <w:rPr>
          <w:rFonts w:hint="eastAsia" w:ascii="仿宋" w:hAnsi="仿宋" w:eastAsia="仿宋" w:cs="仿宋"/>
          <w:b/>
          <w:bCs/>
          <w:sz w:val="24"/>
          <w:szCs w:val="24"/>
          <w:highlight w:val="none"/>
        </w:rPr>
      </w:pPr>
    </w:p>
    <w:p>
      <w:pPr>
        <w:pStyle w:val="12"/>
        <w:shd w:val="clea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法定代表人证明书</w:t>
      </w:r>
    </w:p>
    <w:p>
      <w:pPr>
        <w:widowControl/>
        <w:shd w:val="clear"/>
        <w:autoSpaceDE w:val="0"/>
        <w:autoSpaceDN w:val="0"/>
        <w:ind w:right="893"/>
        <w:jc w:val="center"/>
        <w:textAlignment w:val="bottom"/>
        <w:rPr>
          <w:rFonts w:hint="eastAsia" w:ascii="仿宋" w:hAnsi="仿宋" w:eastAsia="仿宋" w:cs="仿宋"/>
          <w:sz w:val="24"/>
          <w:szCs w:val="24"/>
          <w:highlight w:val="none"/>
        </w:rPr>
      </w:pPr>
    </w:p>
    <w:p>
      <w:pPr>
        <w:pStyle w:val="8"/>
        <w:shd w:val="clear"/>
        <w:rPr>
          <w:rFonts w:hint="eastAsia" w:ascii="仿宋" w:hAnsi="仿宋" w:eastAsia="仿宋" w:cs="仿宋"/>
          <w:sz w:val="24"/>
          <w:szCs w:val="24"/>
          <w:highlight w:val="none"/>
        </w:rPr>
      </w:pPr>
    </w:p>
    <w:p>
      <w:pPr>
        <w:shd w:val="clea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（法定代表人姓名）</w:t>
      </w:r>
      <w:r>
        <w:rPr>
          <w:rFonts w:hint="eastAsia" w:ascii="仿宋" w:hAnsi="仿宋" w:eastAsia="仿宋" w:cs="仿宋"/>
          <w:bCs/>
          <w:color w:val="auto"/>
          <w:kern w:val="2"/>
          <w:sz w:val="24"/>
          <w:szCs w:val="24"/>
          <w:highlight w:val="none"/>
          <w:lang w:val="en-US" w:eastAsia="zh-CN" w:bidi="ar-SA"/>
        </w:rPr>
        <w:t xml:space="preserve"> 现任我方</w:t>
      </w:r>
      <w:r>
        <w:rPr>
          <w:rFonts w:hint="eastAsia" w:ascii="仿宋" w:hAnsi="仿宋" w:eastAsia="仿宋" w:cs="仿宋"/>
          <w:bCs/>
          <w:color w:val="auto"/>
          <w:kern w:val="2"/>
          <w:sz w:val="24"/>
          <w:szCs w:val="24"/>
          <w:highlight w:val="none"/>
          <w:u w:val="single"/>
          <w:lang w:val="en-US" w:eastAsia="zh-CN" w:bidi="ar-SA"/>
        </w:rPr>
        <w:t xml:space="preserve">     </w:t>
      </w:r>
      <w:r>
        <w:rPr>
          <w:rFonts w:hint="eastAsia" w:ascii="仿宋" w:hAnsi="仿宋" w:eastAsia="仿宋" w:cs="仿宋"/>
          <w:bCs/>
          <w:color w:val="auto"/>
          <w:kern w:val="2"/>
          <w:sz w:val="24"/>
          <w:szCs w:val="24"/>
          <w:highlight w:val="none"/>
          <w:lang w:val="en-US" w:eastAsia="zh-CN" w:bidi="ar-SA"/>
        </w:rPr>
        <w:t xml:space="preserve">  职务，为法定代表人，特此证明。</w:t>
      </w:r>
    </w:p>
    <w:p>
      <w:pPr>
        <w:shd w:val="clear"/>
        <w:ind w:firstLine="480" w:firstLineChars="200"/>
        <w:rPr>
          <w:rFonts w:hint="eastAsia" w:ascii="仿宋" w:hAnsi="仿宋" w:eastAsia="仿宋" w:cs="仿宋"/>
          <w:bCs/>
          <w:color w:val="auto"/>
          <w:kern w:val="2"/>
          <w:sz w:val="24"/>
          <w:szCs w:val="24"/>
          <w:highlight w:val="none"/>
          <w:lang w:val="en-US" w:eastAsia="zh-CN" w:bidi="ar-SA"/>
        </w:rPr>
      </w:pPr>
    </w:p>
    <w:p>
      <w:pPr>
        <w:shd w:val="clear"/>
        <w:ind w:firstLine="480" w:firstLineChars="20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 xml:space="preserve">签发日期： 年  月  日      </w:t>
      </w:r>
    </w:p>
    <w:p>
      <w:pPr>
        <w:pStyle w:val="12"/>
        <w:shd w:val="clear"/>
        <w:ind w:right="420"/>
        <w:jc w:val="left"/>
        <w:rPr>
          <w:rFonts w:hint="eastAsia" w:ascii="仿宋" w:hAnsi="仿宋" w:eastAsia="仿宋" w:cs="仿宋"/>
          <w:color w:val="auto"/>
          <w:sz w:val="24"/>
          <w:szCs w:val="24"/>
          <w:highlight w:val="none"/>
        </w:rPr>
      </w:pPr>
      <w:r>
        <w:rPr>
          <w:rFonts w:hint="eastAsia" w:ascii="仿宋" w:hAnsi="仿宋" w:eastAsia="仿宋" w:cs="仿宋"/>
          <w:bCs/>
          <w:color w:val="auto"/>
          <w:kern w:val="2"/>
          <w:sz w:val="24"/>
          <w:szCs w:val="24"/>
          <w:highlight w:val="none"/>
          <w:lang w:val="en-US" w:eastAsia="zh-CN" w:bidi="ar-SA"/>
        </w:rPr>
        <w:t>有效期：与我方</w:t>
      </w:r>
      <w:r>
        <w:rPr>
          <w:rFonts w:hint="eastAsia" w:ascii="仿宋" w:hAnsi="仿宋" w:eastAsia="仿宋" w:cs="仿宋"/>
          <w:bCs/>
          <w:color w:val="auto"/>
          <w:sz w:val="24"/>
          <w:szCs w:val="24"/>
          <w:highlight w:val="none"/>
        </w:rPr>
        <w:t>在深圳市</w:t>
      </w:r>
      <w:r>
        <w:rPr>
          <w:rFonts w:hint="eastAsia" w:ascii="仿宋" w:hAnsi="仿宋" w:eastAsia="仿宋" w:cs="仿宋"/>
          <w:bCs/>
          <w:color w:val="auto"/>
          <w:sz w:val="24"/>
          <w:szCs w:val="24"/>
          <w:highlight w:val="none"/>
          <w:lang w:eastAsia="zh-CN"/>
        </w:rPr>
        <w:t>龙岗中心医院</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采购（项目编号：</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 xml:space="preserve">）中投标有效期一致  </w:t>
      </w:r>
      <w:r>
        <w:rPr>
          <w:rFonts w:hint="eastAsia" w:ascii="仿宋" w:hAnsi="仿宋" w:eastAsia="仿宋" w:cs="仿宋"/>
          <w:color w:val="auto"/>
          <w:sz w:val="24"/>
          <w:szCs w:val="24"/>
          <w:highlight w:val="none"/>
        </w:rPr>
        <w:t xml:space="preserve">  </w:t>
      </w:r>
    </w:p>
    <w:p>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（盖章）</w:t>
      </w:r>
    </w:p>
    <w:p>
      <w:pPr>
        <w:shd w:val="clear"/>
        <w:ind w:firstLine="480" w:firstLineChars="200"/>
        <w:rPr>
          <w:rFonts w:hint="eastAsia" w:ascii="仿宋" w:hAnsi="仿宋" w:eastAsia="仿宋" w:cs="仿宋"/>
          <w:color w:val="auto"/>
          <w:sz w:val="24"/>
          <w:szCs w:val="24"/>
          <w:highlight w:val="none"/>
        </w:rPr>
      </w:pPr>
    </w:p>
    <w:p>
      <w:pPr>
        <w:shd w:val="clear"/>
        <w:ind w:firstLine="480" w:firstLineChars="200"/>
        <w:rPr>
          <w:rFonts w:hint="eastAsia" w:ascii="仿宋" w:hAnsi="仿宋" w:eastAsia="仿宋" w:cs="仿宋"/>
          <w:color w:val="auto"/>
          <w:sz w:val="24"/>
          <w:szCs w:val="24"/>
          <w:highlight w:val="none"/>
        </w:rPr>
      </w:pPr>
    </w:p>
    <w:p>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                             经济性质：</w:t>
      </w:r>
    </w:p>
    <w:p>
      <w:pPr>
        <w:shd w:val="clea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经营范围：</w:t>
      </w:r>
    </w:p>
    <w:p>
      <w:pPr>
        <w:widowControl/>
        <w:shd w:val="clear"/>
        <w:autoSpaceDE w:val="0"/>
        <w:autoSpaceDN w:val="0"/>
        <w:ind w:right="893"/>
        <w:textAlignment w:val="bottom"/>
        <w:rPr>
          <w:rFonts w:hint="eastAsia" w:ascii="仿宋" w:hAnsi="仿宋" w:eastAsia="仿宋" w:cs="仿宋"/>
          <w:color w:val="auto"/>
          <w:sz w:val="24"/>
          <w:szCs w:val="24"/>
          <w:highlight w:val="none"/>
        </w:rPr>
      </w:pPr>
    </w:p>
    <w:p>
      <w:pPr>
        <w:widowControl/>
        <w:shd w:val="clear"/>
        <w:autoSpaceDE w:val="0"/>
        <w:autoSpaceDN w:val="0"/>
        <w:ind w:right="893"/>
        <w:textAlignment w:val="bottom"/>
        <w:rPr>
          <w:rFonts w:hint="eastAsia" w:ascii="仿宋" w:hAnsi="仿宋" w:eastAsia="仿宋" w:cs="仿宋"/>
          <w:color w:val="auto"/>
          <w:sz w:val="24"/>
          <w:szCs w:val="24"/>
          <w:highlight w:val="none"/>
        </w:rPr>
      </w:pPr>
    </w:p>
    <w:p>
      <w:pPr>
        <w:widowControl/>
        <w:shd w:val="clear"/>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附：法定代表人身份证扫描件</w:t>
      </w:r>
    </w:p>
    <w:p>
      <w:pPr>
        <w:keepNext/>
        <w:keepLines/>
        <w:shd w:val="clear"/>
        <w:spacing w:line="360" w:lineRule="auto"/>
        <w:rPr>
          <w:rFonts w:hint="eastAsia" w:ascii="仿宋" w:hAnsi="仿宋" w:eastAsia="仿宋" w:cs="仿宋"/>
          <w:color w:val="auto"/>
          <w:sz w:val="24"/>
          <w:szCs w:val="24"/>
          <w:highlight w:val="none"/>
        </w:rPr>
      </w:pPr>
    </w:p>
    <w:p>
      <w:pPr>
        <w:keepNext/>
        <w:keepLines/>
        <w:shd w:val="clea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g">
            <w:drawing>
              <wp:anchor distT="0" distB="0" distL="114300" distR="114300" simplePos="0" relativeHeight="251661312"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9" name="组合 9"/>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7"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8"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1312;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SPANjbAAAACgEAAA8AAAAAAAAA&#10;AQAgAAAAIgAAAGRycy9kb3ducmV2LnhtbFBLAQIUABQAAAAIAIdO4kB6pAXzuQIAAP0HAAAOAAAA&#10;AAAAAAEAIAAAACoBAABkcnMvZTJvRG9jLnhtbFBLBQYAAAAABgAGAFkBAABVBgAAAAA=&#10;">
                <o:lock v:ext="edit" aspectratio="f"/>
                <v:rect id="矩形 3" o:spid="_x0000_s1026" o:spt="1" style="position:absolute;left:703;top:8450;height:2455;width:4594;"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hd w:val="clear"/>
        <w:spacing w:line="360" w:lineRule="auto"/>
        <w:rPr>
          <w:rFonts w:hint="eastAsia" w:ascii="仿宋" w:hAnsi="仿宋" w:eastAsia="仿宋" w:cs="仿宋"/>
          <w:sz w:val="24"/>
          <w:szCs w:val="24"/>
          <w:highlight w:val="none"/>
        </w:rPr>
      </w:pPr>
    </w:p>
    <w:p>
      <w:pPr>
        <w:keepNext/>
        <w:keepLines/>
        <w:shd w:val="clear"/>
        <w:spacing w:line="360" w:lineRule="auto"/>
        <w:rPr>
          <w:rFonts w:hint="eastAsia" w:ascii="仿宋" w:hAnsi="仿宋" w:eastAsia="仿宋" w:cs="仿宋"/>
          <w:sz w:val="24"/>
          <w:szCs w:val="24"/>
          <w:highlight w:val="none"/>
        </w:rPr>
      </w:pPr>
    </w:p>
    <w:p>
      <w:pPr>
        <w:keepNext/>
        <w:keepLines/>
        <w:shd w:val="clear"/>
        <w:spacing w:line="360" w:lineRule="auto"/>
        <w:rPr>
          <w:rFonts w:hint="eastAsia" w:ascii="仿宋" w:hAnsi="仿宋" w:eastAsia="仿宋" w:cs="仿宋"/>
          <w:sz w:val="24"/>
          <w:szCs w:val="24"/>
          <w:highlight w:val="none"/>
        </w:rPr>
      </w:pPr>
    </w:p>
    <w:p>
      <w:pPr>
        <w:keepNext/>
        <w:keepLines/>
        <w:shd w:val="clear"/>
        <w:spacing w:line="360" w:lineRule="auto"/>
        <w:rPr>
          <w:rFonts w:hint="eastAsia" w:ascii="仿宋" w:hAnsi="仿宋" w:eastAsia="仿宋" w:cs="仿宋"/>
          <w:sz w:val="24"/>
          <w:szCs w:val="24"/>
          <w:highlight w:val="none"/>
        </w:rPr>
      </w:pPr>
    </w:p>
    <w:p>
      <w:pPr>
        <w:keepNext/>
        <w:keepLines/>
        <w:shd w:val="clear"/>
        <w:spacing w:line="360" w:lineRule="auto"/>
        <w:rPr>
          <w:rFonts w:hint="eastAsia" w:ascii="仿宋" w:hAnsi="仿宋" w:eastAsia="仿宋" w:cs="仿宋"/>
          <w:sz w:val="24"/>
          <w:szCs w:val="24"/>
          <w:highlight w:val="none"/>
        </w:rPr>
      </w:pPr>
    </w:p>
    <w:p>
      <w:pPr>
        <w:keepNext/>
        <w:keepLines/>
        <w:shd w:val="clear"/>
        <w:spacing w:line="360" w:lineRule="auto"/>
        <w:rPr>
          <w:rFonts w:hint="eastAsia" w:ascii="仿宋" w:hAnsi="仿宋" w:eastAsia="仿宋" w:cs="仿宋"/>
          <w:sz w:val="24"/>
          <w:szCs w:val="24"/>
          <w:highlight w:val="none"/>
        </w:rPr>
      </w:pPr>
    </w:p>
    <w:p>
      <w:pPr>
        <w:keepNext/>
        <w:keepLines/>
        <w:shd w:val="clear"/>
        <w:spacing w:line="360" w:lineRule="auto"/>
        <w:rPr>
          <w:rFonts w:hint="eastAsia" w:ascii="仿宋" w:hAnsi="仿宋" w:eastAsia="仿宋" w:cs="仿宋"/>
          <w:sz w:val="24"/>
          <w:szCs w:val="24"/>
          <w:highlight w:val="none"/>
        </w:rPr>
      </w:pPr>
    </w:p>
    <w:p>
      <w:pPr>
        <w:keepNext/>
        <w:keepLines/>
        <w:shd w:val="clear"/>
        <w:spacing w:line="360" w:lineRule="auto"/>
        <w:rPr>
          <w:rFonts w:hint="eastAsia" w:ascii="仿宋" w:hAnsi="仿宋" w:eastAsia="仿宋" w:cs="仿宋"/>
          <w:sz w:val="24"/>
          <w:szCs w:val="24"/>
          <w:highlight w:val="none"/>
        </w:rPr>
      </w:pPr>
    </w:p>
    <w:p>
      <w:pPr>
        <w:shd w:val="clea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注：投标人须额外开具《法定代表人证明书》原件，投标人代表递交投标文件并出席开标环节时应携带身份证、《法定代表人授权书》及《法定代表人证明书》原件供采购代理机构工作人员核对身份信息。</w:t>
      </w:r>
    </w:p>
    <w:p>
      <w:pPr>
        <w:pStyle w:val="6"/>
        <w:widowControl w:val="0"/>
        <w:numPr>
          <w:ilvl w:val="0"/>
          <w:numId w:val="0"/>
        </w:numPr>
        <w:shd w:val="clear"/>
        <w:jc w:val="both"/>
        <w:rPr>
          <w:rFonts w:hint="default" w:ascii="仿宋" w:hAnsi="仿宋" w:eastAsia="仿宋" w:cs="仿宋"/>
          <w:b/>
          <w:bCs/>
          <w:sz w:val="24"/>
          <w:szCs w:val="24"/>
          <w:highlight w:val="none"/>
          <w:lang w:val="en-US" w:eastAsia="zh-CN"/>
        </w:rPr>
      </w:pPr>
    </w:p>
    <w:p>
      <w:pPr>
        <w:keepNext/>
        <w:keepLines/>
        <w:numPr>
          <w:ilvl w:val="0"/>
          <w:numId w:val="0"/>
        </w:numPr>
        <w:shd w:val="clear"/>
        <w:spacing w:line="360" w:lineRule="auto"/>
        <w:outlineLvl w:val="4"/>
        <w:rPr>
          <w:rFonts w:hint="eastAsia" w:ascii="仿宋" w:hAnsi="仿宋" w:eastAsia="仿宋" w:cs="仿宋"/>
          <w:b/>
          <w:bCs/>
          <w:kern w:val="2"/>
          <w:sz w:val="24"/>
          <w:szCs w:val="24"/>
          <w:highlight w:val="none"/>
          <w:lang w:val="en-US" w:eastAsia="zh-CN" w:bidi="ar-SA"/>
        </w:rPr>
      </w:pPr>
    </w:p>
    <w:p>
      <w:pPr>
        <w:shd w:val="clear"/>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br w:type="page"/>
      </w:r>
    </w:p>
    <w:p>
      <w:pPr>
        <w:keepNext/>
        <w:keepLines/>
        <w:numPr>
          <w:ilvl w:val="0"/>
          <w:numId w:val="0"/>
        </w:numPr>
        <w:shd w:val="clear"/>
        <w:spacing w:line="360" w:lineRule="auto"/>
        <w:outlineLvl w:val="4"/>
        <w:rPr>
          <w:rFonts w:hint="eastAsia" w:ascii="仿宋" w:hAnsi="仿宋" w:eastAsia="仿宋" w:cs="仿宋"/>
          <w:b/>
          <w:bCs/>
          <w:sz w:val="24"/>
          <w:szCs w:val="24"/>
          <w:highlight w:val="none"/>
        </w:rPr>
      </w:pPr>
      <w:r>
        <w:rPr>
          <w:rFonts w:hint="eastAsia" w:ascii="仿宋" w:hAnsi="仿宋" w:eastAsia="仿宋" w:cs="仿宋"/>
          <w:b/>
          <w:bCs/>
          <w:kern w:val="2"/>
          <w:sz w:val="24"/>
          <w:szCs w:val="24"/>
          <w:highlight w:val="none"/>
          <w:lang w:val="en-US" w:eastAsia="zh-CN" w:bidi="ar-SA"/>
        </w:rPr>
        <w:t>3、</w:t>
      </w:r>
      <w:r>
        <w:rPr>
          <w:rFonts w:hint="eastAsia" w:ascii="仿宋" w:hAnsi="仿宋" w:eastAsia="仿宋" w:cs="仿宋"/>
          <w:b/>
          <w:bCs/>
          <w:sz w:val="24"/>
          <w:szCs w:val="24"/>
          <w:highlight w:val="none"/>
        </w:rPr>
        <w:t>法定代表人授权书格式（投标人代表为法定代表人的无须提供本格式）</w:t>
      </w:r>
    </w:p>
    <w:p>
      <w:pPr>
        <w:shd w:val="clear"/>
        <w:spacing w:line="360" w:lineRule="auto"/>
        <w:jc w:val="center"/>
        <w:rPr>
          <w:rFonts w:hint="eastAsia" w:ascii="仿宋" w:hAnsi="仿宋" w:eastAsia="仿宋" w:cs="仿宋"/>
          <w:b/>
          <w:bCs/>
          <w:sz w:val="24"/>
          <w:szCs w:val="24"/>
          <w:highlight w:val="none"/>
        </w:rPr>
      </w:pPr>
    </w:p>
    <w:p>
      <w:pPr>
        <w:shd w:val="clea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法定代表人授权书</w:t>
      </w:r>
    </w:p>
    <w:p>
      <w:pPr>
        <w:shd w:val="clear"/>
        <w:spacing w:line="360" w:lineRule="auto"/>
        <w:jc w:val="center"/>
        <w:rPr>
          <w:rFonts w:hint="eastAsia" w:ascii="仿宋" w:hAnsi="仿宋" w:eastAsia="仿宋" w:cs="仿宋"/>
          <w:sz w:val="24"/>
          <w:szCs w:val="24"/>
          <w:highlight w:val="none"/>
        </w:rPr>
      </w:pPr>
    </w:p>
    <w:p>
      <w:pPr>
        <w:shd w:val="clea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致：深圳市</w:t>
      </w:r>
      <w:r>
        <w:rPr>
          <w:rFonts w:hint="eastAsia" w:ascii="仿宋" w:hAnsi="仿宋" w:eastAsia="仿宋" w:cs="仿宋"/>
          <w:color w:val="auto"/>
          <w:sz w:val="24"/>
          <w:szCs w:val="24"/>
          <w:highlight w:val="none"/>
          <w:lang w:val="en-US" w:eastAsia="zh-CN"/>
        </w:rPr>
        <w:t>龙岗中心医院</w:t>
      </w:r>
    </w:p>
    <w:p>
      <w:pPr>
        <w:shd w:val="clear"/>
        <w:spacing w:line="360" w:lineRule="auto"/>
        <w:ind w:firstLine="480" w:firstLineChars="200"/>
        <w:rPr>
          <w:rFonts w:hint="eastAsia" w:ascii="仿宋" w:hAnsi="仿宋" w:eastAsia="仿宋" w:cs="仿宋"/>
          <w:color w:val="auto"/>
          <w:sz w:val="24"/>
          <w:szCs w:val="24"/>
          <w:highlight w:val="none"/>
        </w:rPr>
      </w:pPr>
    </w:p>
    <w:p>
      <w:pPr>
        <w:pStyle w:val="12"/>
        <w:shd w:val="clear"/>
        <w:ind w:left="720" w:leftChars="200" w:right="420" w:hanging="240" w:hangingChars="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本授权书声明：注册于中华人民共和国的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（投标人名称）在下面签字</w:t>
      </w:r>
    </w:p>
    <w:p>
      <w:pPr>
        <w:pStyle w:val="12"/>
        <w:shd w:val="clear"/>
        <w:ind w:right="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（法定代表人姓名、职务）代表我方授权在下面签字的　　　　　　（被授权人的姓名、职务）为本公司的合法代表人，就为深圳</w:t>
      </w:r>
      <w:r>
        <w:rPr>
          <w:rFonts w:hint="eastAsia" w:ascii="仿宋" w:hAnsi="仿宋" w:eastAsia="仿宋" w:cs="仿宋"/>
          <w:color w:val="auto"/>
          <w:sz w:val="24"/>
          <w:szCs w:val="24"/>
          <w:highlight w:val="none"/>
          <w:lang w:val="en-US" w:eastAsia="zh-CN"/>
        </w:rPr>
        <w:t xml:space="preserve">龙岗中心医院       </w:t>
      </w:r>
      <w:r>
        <w:rPr>
          <w:rFonts w:hint="eastAsia" w:ascii="仿宋" w:hAnsi="仿宋" w:eastAsia="仿宋" w:cs="仿宋"/>
          <w:color w:val="auto"/>
          <w:sz w:val="24"/>
          <w:szCs w:val="24"/>
          <w:highlight w:val="none"/>
        </w:rPr>
        <w:t>采购（项目编号：</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的投标和合同执行，以我方的名义处理一切与之有关的事宜。</w:t>
      </w:r>
    </w:p>
    <w:p>
      <w:pPr>
        <w:pStyle w:val="12"/>
        <w:shd w:val="clear"/>
        <w:ind w:right="420"/>
        <w:jc w:val="left"/>
        <w:rPr>
          <w:rFonts w:hint="eastAsia" w:ascii="仿宋" w:hAnsi="仿宋" w:eastAsia="仿宋" w:cs="仿宋"/>
          <w:color w:val="auto"/>
          <w:sz w:val="24"/>
          <w:szCs w:val="24"/>
          <w:highlight w:val="none"/>
        </w:rPr>
      </w:pPr>
    </w:p>
    <w:p>
      <w:pPr>
        <w:shd w:val="clear"/>
        <w:spacing w:line="360" w:lineRule="auto"/>
        <w:ind w:firstLine="480" w:firstLineChars="200"/>
        <w:rPr>
          <w:rFonts w:hint="eastAsia" w:ascii="仿宋" w:hAnsi="仿宋" w:eastAsia="仿宋" w:cs="仿宋"/>
          <w:color w:val="auto"/>
          <w:sz w:val="24"/>
          <w:szCs w:val="24"/>
          <w:highlight w:val="none"/>
        </w:rPr>
      </w:pPr>
    </w:p>
    <w:p>
      <w:pPr>
        <w:shd w:val="clea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日签字生效，有效期与本项目我方投标有效期一致，特此声明。</w:t>
      </w:r>
    </w:p>
    <w:p>
      <w:pPr>
        <w:shd w:val="clear"/>
        <w:spacing w:line="360" w:lineRule="auto"/>
        <w:ind w:left="576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投标人（公章）:</w:t>
      </w:r>
    </w:p>
    <w:p>
      <w:pPr>
        <w:shd w:val="clear"/>
        <w:adjustRightInd w:val="0"/>
        <w:snapToGrid w:val="0"/>
        <w:spacing w:before="100" w:beforeAutospacing="1" w:line="360" w:lineRule="auto"/>
        <w:ind w:left="576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p>
    <w:p>
      <w:pPr>
        <w:shd w:val="clear"/>
        <w:adjustRightInd w:val="0"/>
        <w:snapToGrid w:val="0"/>
        <w:spacing w:before="100" w:beforeAutospacing="1" w:line="360" w:lineRule="auto"/>
        <w:ind w:left="5760" w:leftChars="2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被授权人（签字）：</w:t>
      </w:r>
    </w:p>
    <w:p>
      <w:pPr>
        <w:widowControl/>
        <w:shd w:val="clear"/>
        <w:autoSpaceDE w:val="0"/>
        <w:autoSpaceDN w:val="0"/>
        <w:ind w:right="893"/>
        <w:textAlignment w:val="bottom"/>
        <w:rPr>
          <w:rFonts w:hint="eastAsia" w:ascii="仿宋" w:hAnsi="仿宋" w:eastAsia="仿宋" w:cs="仿宋"/>
          <w:color w:val="auto"/>
          <w:sz w:val="24"/>
          <w:szCs w:val="24"/>
          <w:highlight w:val="none"/>
        </w:rPr>
      </w:pPr>
    </w:p>
    <w:p>
      <w:pPr>
        <w:widowControl/>
        <w:shd w:val="clear"/>
        <w:autoSpaceDE w:val="0"/>
        <w:autoSpaceDN w:val="0"/>
        <w:ind w:right="890" w:firstLine="480" w:firstLineChars="200"/>
        <w:textAlignment w:val="bottom"/>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附：被授权人身份证扫描件</w:t>
      </w:r>
    </w:p>
    <w:p>
      <w:pPr>
        <w:keepNext/>
        <w:keepLines/>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mc:AlternateContent>
          <mc:Choice Requires="wpg">
            <w:drawing>
              <wp:anchor distT="0" distB="0" distL="114300" distR="114300" simplePos="0" relativeHeight="251660288" behindDoc="0" locked="0" layoutInCell="1" allowOverlap="1">
                <wp:simplePos x="0" y="0"/>
                <wp:positionH relativeFrom="column">
                  <wp:posOffset>-419735</wp:posOffset>
                </wp:positionH>
                <wp:positionV relativeFrom="paragraph">
                  <wp:posOffset>281305</wp:posOffset>
                </wp:positionV>
                <wp:extent cx="5944235" cy="1590040"/>
                <wp:effectExtent l="4445" t="4445" r="13970" b="5715"/>
                <wp:wrapNone/>
                <wp:docPr id="4" name="组合 4"/>
                <wp:cNvGraphicFramePr/>
                <a:graphic xmlns:a="http://schemas.openxmlformats.org/drawingml/2006/main">
                  <a:graphicData uri="http://schemas.microsoft.com/office/word/2010/wordprocessingGroup">
                    <wpg:wgp>
                      <wpg:cNvGrpSpPr/>
                      <wpg:grpSpPr>
                        <a:xfrm>
                          <a:off x="0" y="0"/>
                          <a:ext cx="5944235" cy="1590040"/>
                          <a:chOff x="703" y="8450"/>
                          <a:chExt cx="9083" cy="2499"/>
                        </a:xfrm>
                        <a:effectLst/>
                      </wpg:grpSpPr>
                      <wps:wsp>
                        <wps:cNvPr id="2" name="矩形 3"/>
                        <wps:cNvSpPr/>
                        <wps:spPr>
                          <a:xfrm>
                            <a:off x="703" y="8450"/>
                            <a:ext cx="4594" cy="24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（人像面）</w:t>
                              </w:r>
                            </w:p>
                            <w:p/>
                          </w:txbxContent>
                        </wps:txbx>
                        <wps:bodyPr vert="horz" anchor="t" upright="1"/>
                      </wps:wsp>
                      <wps:wsp>
                        <wps:cNvPr id="6" name="矩形 4"/>
                        <wps:cNvSpPr/>
                        <wps:spPr>
                          <a:xfrm>
                            <a:off x="5505" y="8464"/>
                            <a:ext cx="4281" cy="24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r>
                                <w:rPr>
                                  <w:rFonts w:hint="eastAsia"/>
                                </w:rPr>
                                <w:t>居民身份证扫描件粘贴处</w:t>
                              </w:r>
                            </w:p>
                            <w:p>
                              <w:pPr>
                                <w:ind w:firstLine="1200" w:firstLineChars="500"/>
                              </w:pPr>
                            </w:p>
                            <w:p>
                              <w:pPr>
                                <w:jc w:val="center"/>
                              </w:pPr>
                              <w:r>
                                <w:rPr>
                                  <w:rFonts w:hint="eastAsia"/>
                                </w:rPr>
                                <w:t>（国徽面）</w:t>
                              </w:r>
                            </w:p>
                            <w:p/>
                          </w:txbxContent>
                        </wps:txbx>
                        <wps:bodyPr vert="horz" anchor="t" upright="1"/>
                      </wps:wsp>
                    </wpg:wgp>
                  </a:graphicData>
                </a:graphic>
              </wp:anchor>
            </w:drawing>
          </mc:Choice>
          <mc:Fallback>
            <w:pict>
              <v:group id="_x0000_s1026" o:spid="_x0000_s1026" o:spt="203" style="position:absolute;left:0pt;margin-left:-33.05pt;margin-top:22.15pt;height:125.2pt;width:468.05pt;z-index:251660288;mso-width-relative:page;mso-height-relative:page;" coordorigin="703,8450" coordsize="9083,2499" o:gfxdata="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HSPANjbAAAACgEAAA8AAAAAAAAAAQAgAAAAIgAA&#10;AGRycy9kb3ducmV2LnhtbFBLAQIUABQAAAAIAIdO4kCacrOXsAIAAP0HAAAOAAAAAAAAAAEAIAAA&#10;ACoBAABkcnMvZTJvRG9jLnhtbFBLBQYAAAAABgAGAFkBAABMBgAAAAA=&#10;">
                <o:lock v:ext="edit" aspectratio="f"/>
                <v:rect id="矩形 3" o:spid="_x0000_s1026" o:spt="1" style="position:absolute;left:703;top:8450;height:2455;width:4594;"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（人像面）</w:t>
                        </w:r>
                      </w:p>
                      <w:p/>
                    </w:txbxContent>
                  </v:textbox>
                </v:rect>
                <v:rect id="矩形 4" o:spid="_x0000_s1026" o:spt="1" style="position:absolute;left:5505;top:8464;height:2485;width:4281;"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r>
                          <w:rPr>
                            <w:rFonts w:hint="eastAsia"/>
                          </w:rPr>
                          <w:t>居民身份证扫描件粘贴处</w:t>
                        </w:r>
                      </w:p>
                      <w:p>
                        <w:pPr>
                          <w:ind w:firstLine="1200" w:firstLineChars="500"/>
                        </w:pPr>
                      </w:p>
                      <w:p>
                        <w:pPr>
                          <w:jc w:val="center"/>
                        </w:pPr>
                        <w:r>
                          <w:rPr>
                            <w:rFonts w:hint="eastAsia"/>
                          </w:rPr>
                          <w:t>（国徽面）</w:t>
                        </w:r>
                      </w:p>
                      <w:p/>
                    </w:txbxContent>
                  </v:textbox>
                </v:rect>
              </v:group>
            </w:pict>
          </mc:Fallback>
        </mc:AlternateContent>
      </w:r>
    </w:p>
    <w:p>
      <w:pPr>
        <w:keepNext/>
        <w:keepLines/>
        <w:shd w:val="clear"/>
        <w:spacing w:line="360" w:lineRule="auto"/>
        <w:rPr>
          <w:rFonts w:hint="eastAsia" w:ascii="仿宋" w:hAnsi="仿宋" w:eastAsia="仿宋" w:cs="仿宋"/>
          <w:b/>
          <w:sz w:val="24"/>
          <w:szCs w:val="24"/>
          <w:highlight w:val="none"/>
        </w:rPr>
      </w:pPr>
    </w:p>
    <w:p>
      <w:pPr>
        <w:keepNext/>
        <w:keepLines/>
        <w:shd w:val="clear"/>
        <w:spacing w:line="360" w:lineRule="auto"/>
        <w:rPr>
          <w:rFonts w:hint="eastAsia" w:ascii="仿宋" w:hAnsi="仿宋" w:eastAsia="仿宋" w:cs="仿宋"/>
          <w:b/>
          <w:sz w:val="24"/>
          <w:szCs w:val="24"/>
          <w:highlight w:val="none"/>
        </w:rPr>
      </w:pPr>
    </w:p>
    <w:p>
      <w:pPr>
        <w:keepNext/>
        <w:keepLines/>
        <w:shd w:val="clear"/>
        <w:spacing w:line="360" w:lineRule="auto"/>
        <w:rPr>
          <w:rFonts w:hint="eastAsia" w:ascii="仿宋" w:hAnsi="仿宋" w:eastAsia="仿宋" w:cs="仿宋"/>
          <w:b/>
          <w:sz w:val="24"/>
          <w:szCs w:val="24"/>
          <w:highlight w:val="none"/>
        </w:rPr>
      </w:pPr>
    </w:p>
    <w:p>
      <w:pPr>
        <w:keepNext/>
        <w:keepLines/>
        <w:shd w:val="clear"/>
        <w:spacing w:line="360" w:lineRule="auto"/>
        <w:rPr>
          <w:rFonts w:hint="eastAsia" w:ascii="仿宋" w:hAnsi="仿宋" w:eastAsia="仿宋" w:cs="仿宋"/>
          <w:b/>
          <w:sz w:val="24"/>
          <w:szCs w:val="24"/>
          <w:highlight w:val="none"/>
        </w:rPr>
      </w:pPr>
    </w:p>
    <w:p>
      <w:pPr>
        <w:keepNext/>
        <w:keepLines/>
        <w:shd w:val="clear"/>
        <w:spacing w:line="360" w:lineRule="auto"/>
        <w:rPr>
          <w:rFonts w:hint="eastAsia" w:ascii="仿宋" w:hAnsi="仿宋" w:eastAsia="仿宋" w:cs="仿宋"/>
          <w:b/>
          <w:sz w:val="24"/>
          <w:szCs w:val="24"/>
          <w:highlight w:val="none"/>
        </w:rPr>
      </w:pPr>
    </w:p>
    <w:p>
      <w:pPr>
        <w:keepNext/>
        <w:keepLines/>
        <w:shd w:val="clear"/>
        <w:spacing w:line="360" w:lineRule="auto"/>
        <w:rPr>
          <w:rFonts w:hint="eastAsia" w:ascii="仿宋" w:hAnsi="仿宋" w:eastAsia="仿宋" w:cs="仿宋"/>
          <w:b/>
          <w:sz w:val="24"/>
          <w:szCs w:val="24"/>
          <w:highlight w:val="none"/>
        </w:rPr>
      </w:pPr>
    </w:p>
    <w:p>
      <w:pPr>
        <w:shd w:val="clea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注：投标人须额外开具《法定代表人授权书》原件，投标人代表递交投标文件并出席开标环节时应携带身份证、《法定代表人授权书》及《法定代表人证明书》原件供采购代理机构工作人员核对身份信息。</w:t>
      </w:r>
    </w:p>
    <w:p>
      <w:pPr>
        <w:keepNext/>
        <w:keepLines/>
        <w:shd w:val="clea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br w:type="page"/>
      </w:r>
    </w:p>
    <w:p>
      <w:pPr>
        <w:pStyle w:val="6"/>
        <w:shd w:val="clear"/>
        <w:ind w:left="0" w:leftChars="0" w:firstLine="0" w:firstLineChars="0"/>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（二）中小企业声明函、残疾人福利性单位声明函及监狱企业声明函              </w:t>
      </w:r>
    </w:p>
    <w:p>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填写指引：</w:t>
      </w:r>
    </w:p>
    <w:p>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2、该部分内容填写需要参考的相关文件：</w:t>
      </w:r>
    </w:p>
    <w:p>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(1)财政部《政府采购促进中小企业发展管理办法》（财库〔2020〕46号）；</w:t>
      </w:r>
    </w:p>
    <w:p>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(2)《工业和信息化部、国家统计局、国家发展和改革委员会、财政部关于印发中小企业划型标准规定的通知》（工信部联企业〔2011〕300 号，以下简称300号文）；</w:t>
      </w:r>
    </w:p>
    <w:p>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(3)《统计上大中小微型企业划分办法(2017)》（国统字〔2017〕213 号）；</w:t>
      </w:r>
    </w:p>
    <w:p>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(4)《关于促进残疾人就业政府采购政策的通知》（财库〔2017〕141号）；</w:t>
      </w:r>
    </w:p>
    <w:p>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(5)《关于政府采购支持监狱企业发展有关问题的通知》（财库〔2014〕68号）</w:t>
      </w:r>
    </w:p>
    <w:p>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3、请依照提供的格式和内容填写声明函，不要随意变更格式；声明函不需要盖章或签字；满足多项优惠政策的投标人，不重复享受多项价格扣除政策。</w:t>
      </w:r>
    </w:p>
    <w:p>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4、声明函具体填写要求：</w:t>
      </w:r>
    </w:p>
    <w:p>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（1）声明是中小企业须填写《中小企业声明函》的以下内容：</w:t>
      </w:r>
    </w:p>
    <w:p>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第一处，在“单位名称”下划线处如实填写采购人名称；</w:t>
      </w:r>
    </w:p>
    <w:p>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第二处，在“项目名称”下划线处如实填写采购项目名称；</w:t>
      </w:r>
    </w:p>
    <w:p>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第四处，在“招标文件中明确的所属行业”下划线处填写采购标的对应的中小企业划分标准所属行业（所属行业可在招标文件第一册第二章“对通用条款的补充内容及其他关键信息”章节查看）；</w:t>
      </w:r>
    </w:p>
    <w:p>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（2）声明是残疾人福利性单位须填写《残疾人福利性单位声明函》的相关内容，具体参照以上《中小企业声明函》填写要求执行。</w:t>
      </w:r>
    </w:p>
    <w:p>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（3）声明是监狱企业须填写《监狱企业声明函》的三项内容（填写位置的字体已加粗），具体参照以上《中小企业声明函》填写要求执行。</w:t>
      </w:r>
    </w:p>
    <w:p>
      <w:pPr>
        <w:pStyle w:val="8"/>
        <w:shd w:val="clear"/>
        <w:rPr>
          <w:rFonts w:hint="eastAsia" w:ascii="仿宋" w:hAnsi="仿宋" w:eastAsia="仿宋" w:cs="仿宋"/>
          <w:b w:val="0"/>
          <w:bCs w:val="0"/>
          <w:color w:val="FF0000"/>
          <w:kern w:val="0"/>
          <w:sz w:val="24"/>
          <w:szCs w:val="24"/>
          <w:highlight w:val="none"/>
          <w:lang w:val="en-US" w:eastAsia="zh-CN" w:bidi="ar"/>
        </w:rPr>
      </w:pPr>
      <w:r>
        <w:rPr>
          <w:rFonts w:hint="eastAsia" w:ascii="仿宋" w:hAnsi="仿宋" w:eastAsia="仿宋" w:cs="仿宋"/>
          <w:b w:val="0"/>
          <w:bCs w:val="0"/>
          <w:color w:val="FF0000"/>
          <w:kern w:val="0"/>
          <w:sz w:val="24"/>
          <w:szCs w:val="24"/>
          <w:highlight w:val="none"/>
          <w:lang w:val="en-US" w:eastAsia="zh-CN" w:bidi="ar"/>
        </w:rPr>
        <w:t>5、声明函的有效性最终由评审委员会判定；如评审委员会判定声明函无效，相关供应商不享受价格扣除（但不作投标无效处理）。</w:t>
      </w:r>
    </w:p>
    <w:p>
      <w:pPr>
        <w:pStyle w:val="9"/>
        <w:shd w:val="clear"/>
        <w:rPr>
          <w:rFonts w:hint="eastAsia"/>
          <w:highlight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sz w:val="24"/>
          <w:szCs w:val="24"/>
          <w:highlight w:val="none"/>
        </w:rPr>
      </w:pPr>
      <w:r>
        <w:rPr>
          <w:rFonts w:hint="eastAsia" w:ascii="仿宋" w:hAnsi="仿宋" w:eastAsia="仿宋" w:cs="仿宋"/>
          <w:b/>
          <w:bCs/>
          <w:color w:val="000000"/>
          <w:kern w:val="0"/>
          <w:sz w:val="24"/>
          <w:szCs w:val="24"/>
          <w:highlight w:val="none"/>
          <w:lang w:val="en-US" w:eastAsia="zh-CN" w:bidi="ar"/>
        </w:rPr>
        <w:t>1、</w:t>
      </w:r>
      <w:r>
        <w:rPr>
          <w:rFonts w:hint="eastAsia" w:ascii="仿宋" w:hAnsi="仿宋" w:eastAsia="仿宋" w:cs="仿宋"/>
          <w:b/>
          <w:kern w:val="2"/>
          <w:sz w:val="24"/>
          <w:szCs w:val="24"/>
          <w:highlight w:val="none"/>
        </w:rPr>
        <w:t>中小企业声明函（</w:t>
      </w:r>
      <w:r>
        <w:rPr>
          <w:rFonts w:hint="eastAsia" w:ascii="仿宋" w:hAnsi="仿宋" w:eastAsia="仿宋" w:cs="仿宋"/>
          <w:b/>
          <w:kern w:val="2"/>
          <w:sz w:val="24"/>
          <w:szCs w:val="24"/>
          <w:highlight w:val="none"/>
          <w:lang w:val="en-US" w:eastAsia="zh-CN"/>
        </w:rPr>
        <w:t>货物</w:t>
      </w:r>
      <w:r>
        <w:rPr>
          <w:rFonts w:hint="eastAsia" w:ascii="仿宋" w:hAnsi="仿宋" w:eastAsia="仿宋" w:cs="仿宋"/>
          <w:b/>
          <w:kern w:val="2"/>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rPr>
        <w:t>本投标人郑重声明，根据《政府采购促进中小企业发展管理办法》（财库﹝2020﹞46号）的规定，本投标人参加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采购活动，提供的货物全部由符合政策要求的中小企业制造。相关企业的具体情况如下：</w:t>
      </w:r>
      <w:r>
        <w:rPr>
          <w:rFonts w:hint="eastAsia" w:ascii="仿宋" w:hAnsi="仿宋" w:eastAsia="仿宋" w:cs="仿宋"/>
          <w:kern w:val="2"/>
          <w:sz w:val="24"/>
          <w:szCs w:val="24"/>
          <w:highlight w:val="none"/>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（招标文件中明确的所属行业）</w:t>
      </w:r>
      <w:r>
        <w:rPr>
          <w:rFonts w:hint="eastAsia" w:ascii="仿宋" w:hAnsi="仿宋" w:eastAsia="仿宋" w:cs="仿宋"/>
          <w:kern w:val="2"/>
          <w:sz w:val="24"/>
          <w:szCs w:val="24"/>
          <w:highlight w:val="none"/>
        </w:rPr>
        <w:t>行业；制造商为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，从业人员</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人，营业收入为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万元，资产总额为</w:t>
      </w:r>
      <w:r>
        <w:rPr>
          <w:rFonts w:hint="eastAsia" w:ascii="仿宋" w:hAnsi="仿宋" w:eastAsia="仿宋" w:cs="仿宋"/>
          <w:kern w:val="2"/>
          <w:sz w:val="24"/>
          <w:szCs w:val="24"/>
          <w:highlight w:val="none"/>
          <w:u w:val="single"/>
          <w:lang w:val="en-US" w:eastAsia="zh-CN"/>
        </w:rPr>
        <w:t xml:space="preserve">   </w:t>
      </w:r>
      <w:r>
        <w:rPr>
          <w:rFonts w:hint="eastAsia" w:ascii="仿宋" w:hAnsi="仿宋" w:eastAsia="仿宋" w:cs="仿宋"/>
          <w:kern w:val="2"/>
          <w:sz w:val="24"/>
          <w:szCs w:val="24"/>
          <w:highlight w:val="none"/>
        </w:rPr>
        <w:t>万元，属于</w:t>
      </w:r>
      <w:r>
        <w:rPr>
          <w:rFonts w:hint="eastAsia" w:ascii="仿宋" w:hAnsi="仿宋" w:eastAsia="仿宋" w:cs="仿宋"/>
          <w:b/>
          <w:bCs/>
          <w:kern w:val="2"/>
          <w:sz w:val="24"/>
          <w:szCs w:val="24"/>
          <w:highlight w:val="none"/>
          <w:u w:val="single"/>
        </w:rPr>
        <w:t>（中型企业、小型企业、微型企业）</w:t>
      </w:r>
      <w:r>
        <w:rPr>
          <w:rFonts w:hint="eastAsia" w:ascii="仿宋" w:hAnsi="仿宋" w:eastAsia="仿宋" w:cs="仿宋"/>
          <w:kern w:val="2"/>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以上企业，不属于大企业的分支机构，不存在控股股东为大企业的情形，也不存在与大企业的负责人为同一人的情形。</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w:t>
      </w:r>
      <w:r>
        <w:rPr>
          <w:rFonts w:hint="eastAsia" w:ascii="仿宋" w:hAnsi="仿宋" w:eastAsia="仿宋" w:cs="仿宋"/>
          <w:kern w:val="2"/>
          <w:sz w:val="24"/>
          <w:szCs w:val="24"/>
          <w:highlight w:val="none"/>
          <w:lang w:val="en-US" w:eastAsia="zh-CN"/>
        </w:rPr>
        <w:t>中华人民共和国政府采购法</w:t>
      </w:r>
      <w:r>
        <w:rPr>
          <w:rFonts w:hint="eastAsia" w:ascii="仿宋" w:hAnsi="仿宋" w:eastAsia="仿宋" w:cs="仿宋"/>
          <w:kern w:val="2"/>
          <w:sz w:val="24"/>
          <w:szCs w:val="24"/>
          <w:highlight w:val="none"/>
        </w:rPr>
        <w:t>》等政府采购有关法律法规规定追究相应责任。</w:t>
      </w:r>
    </w:p>
    <w:p>
      <w:pPr>
        <w:shd w:val="clear"/>
        <w:rPr>
          <w:rFonts w:hint="eastAsia" w:ascii="仿宋" w:hAnsi="仿宋" w:eastAsia="仿宋" w:cs="仿宋"/>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400" w:lineRule="exact"/>
        <w:ind w:firstLine="2650" w:firstLineChars="1100"/>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2、残疾人福利性单位声明函（服务类）</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本投标人郑重声明，根据《财政部民政部中国残疾人联合会关于促进残疾人就业政府采购政策的通知》（财库〔2017〕141号）的规定，本投标人参加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采购活动，服务全部由符合政策要求的残疾人福利性单位承接。相关残疾人福利性单位的具体情况如下：</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，承接企业为</w:t>
      </w:r>
      <w:r>
        <w:rPr>
          <w:rFonts w:hint="eastAsia" w:ascii="仿宋" w:hAnsi="仿宋" w:eastAsia="仿宋" w:cs="仿宋"/>
          <w:b/>
          <w:bCs/>
          <w:kern w:val="2"/>
          <w:sz w:val="24"/>
          <w:szCs w:val="24"/>
          <w:highlight w:val="none"/>
          <w:u w:val="single"/>
        </w:rPr>
        <w:t>（单位名称）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残疾人福利性单位</w:t>
      </w:r>
      <w:r>
        <w:rPr>
          <w:rFonts w:hint="eastAsia" w:ascii="仿宋" w:hAnsi="仿宋" w:eastAsia="仿宋" w:cs="仿宋"/>
          <w:kern w:val="2"/>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本投标人已知悉《财政部民政部中国残疾人联合会关于促进残疾人就业政府采购政策的通知》（财库〔2017〕141号）的规定，承诺提供的声明函内容是真实的，如提供声明函内容不实，则依法追究相关法律责任。</w:t>
      </w:r>
    </w:p>
    <w:p>
      <w:pPr>
        <w:shd w:val="clear"/>
        <w:ind w:firstLine="480" w:firstLineChars="200"/>
        <w:rPr>
          <w:rFonts w:ascii="宋体" w:hAnsi="宋体" w:cs="宋体"/>
          <w:sz w:val="24"/>
          <w:highlight w:val="none"/>
        </w:rPr>
      </w:pPr>
    </w:p>
    <w:p>
      <w:pPr>
        <w:keepNext w:val="0"/>
        <w:keepLines w:val="0"/>
        <w:pageBreakBefore w:val="0"/>
        <w:widowControl w:val="0"/>
        <w:shd w:val="clear"/>
        <w:kinsoku/>
        <w:wordWrap/>
        <w:overflowPunct/>
        <w:topLinePunct w:val="0"/>
        <w:autoSpaceDE/>
        <w:autoSpaceDN/>
        <w:bidi w:val="0"/>
        <w:adjustRightInd/>
        <w:snapToGrid/>
        <w:spacing w:line="400" w:lineRule="exact"/>
        <w:jc w:val="left"/>
        <w:textAlignment w:val="auto"/>
        <w:outlineLvl w:val="3"/>
        <w:rPr>
          <w:rFonts w:hint="eastAsia" w:ascii="仿宋" w:hAnsi="仿宋" w:eastAsia="仿宋" w:cs="仿宋"/>
          <w:b/>
          <w:bCs/>
          <w:color w:val="000000"/>
          <w:kern w:val="0"/>
          <w:sz w:val="24"/>
          <w:szCs w:val="24"/>
          <w:highlight w:val="none"/>
          <w:lang w:val="en-US" w:eastAsia="zh-CN" w:bidi="ar"/>
        </w:rPr>
      </w:pPr>
      <w:r>
        <w:rPr>
          <w:rFonts w:hint="eastAsia" w:ascii="仿宋" w:hAnsi="仿宋" w:eastAsia="仿宋" w:cs="仿宋"/>
          <w:b/>
          <w:bCs/>
          <w:color w:val="000000"/>
          <w:kern w:val="0"/>
          <w:sz w:val="24"/>
          <w:szCs w:val="24"/>
          <w:highlight w:val="none"/>
          <w:lang w:val="en-US" w:eastAsia="zh-CN" w:bidi="ar"/>
        </w:rPr>
        <w:t>3、监狱企业声明函【服务类，监狱企业如需享受优惠政策，还须另行提供省级以上监狱管理局、戒毒管理局（含新疆生产建设兵团）出具的监狱企业证明文件】</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本投标人郑重声明，根据《财政部司法部关于政府采购支持监狱企业发展有关问题的通知》（财库〔2014〕68号）的规定，本投标人参加</w:t>
      </w:r>
      <w:r>
        <w:rPr>
          <w:rFonts w:hint="eastAsia" w:ascii="仿宋" w:hAnsi="仿宋" w:eastAsia="仿宋" w:cs="仿宋"/>
          <w:b/>
          <w:bCs/>
          <w:kern w:val="2"/>
          <w:sz w:val="24"/>
          <w:szCs w:val="24"/>
          <w:highlight w:val="none"/>
          <w:u w:val="single"/>
        </w:rPr>
        <w:t>（采购人名称）</w:t>
      </w:r>
      <w:r>
        <w:rPr>
          <w:rFonts w:hint="eastAsia" w:ascii="仿宋" w:hAnsi="仿宋" w:eastAsia="仿宋" w:cs="仿宋"/>
          <w:kern w:val="2"/>
          <w:sz w:val="24"/>
          <w:szCs w:val="24"/>
          <w:highlight w:val="none"/>
        </w:rPr>
        <w:t>的</w:t>
      </w:r>
      <w:r>
        <w:rPr>
          <w:rFonts w:hint="eastAsia" w:ascii="仿宋" w:hAnsi="仿宋" w:eastAsia="仿宋" w:cs="仿宋"/>
          <w:b/>
          <w:bCs/>
          <w:kern w:val="2"/>
          <w:sz w:val="24"/>
          <w:szCs w:val="24"/>
          <w:highlight w:val="none"/>
          <w:u w:val="single"/>
        </w:rPr>
        <w:t>（项目名称）</w:t>
      </w:r>
      <w:r>
        <w:rPr>
          <w:rFonts w:hint="eastAsia" w:ascii="仿宋" w:hAnsi="仿宋" w:eastAsia="仿宋" w:cs="仿宋"/>
          <w:kern w:val="2"/>
          <w:sz w:val="24"/>
          <w:szCs w:val="24"/>
          <w:highlight w:val="none"/>
        </w:rPr>
        <w:t>采购活动，服务全部由符合政策要求的监狱企业承接。相关监狱企业的具体情况如下：</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w:t>
      </w:r>
      <w:r>
        <w:rPr>
          <w:rFonts w:hint="eastAsia" w:ascii="仿宋" w:hAnsi="仿宋" w:eastAsia="仿宋" w:cs="仿宋"/>
          <w:b/>
          <w:bCs/>
          <w:kern w:val="2"/>
          <w:sz w:val="24"/>
          <w:szCs w:val="24"/>
          <w:highlight w:val="none"/>
          <w:u w:val="single"/>
        </w:rPr>
        <w:t>（标的名称）</w:t>
      </w:r>
      <w:r>
        <w:rPr>
          <w:rFonts w:hint="eastAsia" w:ascii="仿宋" w:hAnsi="仿宋" w:eastAsia="仿宋" w:cs="仿宋"/>
          <w:kern w:val="2"/>
          <w:sz w:val="24"/>
          <w:szCs w:val="24"/>
          <w:highlight w:val="none"/>
        </w:rPr>
        <w:t>，承接单位为</w:t>
      </w:r>
      <w:r>
        <w:rPr>
          <w:rFonts w:hint="eastAsia" w:ascii="仿宋" w:hAnsi="仿宋" w:eastAsia="仿宋" w:cs="仿宋"/>
          <w:b/>
          <w:bCs/>
          <w:kern w:val="2"/>
          <w:sz w:val="24"/>
          <w:szCs w:val="24"/>
          <w:highlight w:val="none"/>
          <w:u w:val="single"/>
        </w:rPr>
        <w:t>（企业名称）</w:t>
      </w:r>
      <w:r>
        <w:rPr>
          <w:rFonts w:hint="eastAsia" w:ascii="仿宋" w:hAnsi="仿宋" w:eastAsia="仿宋" w:cs="仿宋"/>
          <w:kern w:val="2"/>
          <w:sz w:val="24"/>
          <w:szCs w:val="24"/>
          <w:highlight w:val="none"/>
        </w:rPr>
        <w:t>，属于</w:t>
      </w:r>
      <w:r>
        <w:rPr>
          <w:rFonts w:hint="eastAsia" w:ascii="仿宋" w:hAnsi="仿宋" w:eastAsia="仿宋" w:cs="仿宋"/>
          <w:b/>
          <w:bCs/>
          <w:kern w:val="2"/>
          <w:sz w:val="24"/>
          <w:szCs w:val="24"/>
          <w:highlight w:val="none"/>
          <w:u w:val="single"/>
        </w:rPr>
        <w:t>监狱企业</w:t>
      </w:r>
      <w:r>
        <w:rPr>
          <w:rFonts w:hint="eastAsia" w:ascii="仿宋" w:hAnsi="仿宋" w:eastAsia="仿宋" w:cs="仿宋"/>
          <w:kern w:val="2"/>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本投标人对上述声明内容的真实性负责。如有虚假，将依法承担相应责任。</w:t>
      </w:r>
    </w:p>
    <w:p>
      <w:pPr>
        <w:keepNext w:val="0"/>
        <w:keepLines w:val="0"/>
        <w:pageBreakBefore w:val="0"/>
        <w:widowControl w:val="0"/>
        <w:shd w:val="clear"/>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bCs/>
          <w:sz w:val="24"/>
          <w:szCs w:val="24"/>
          <w:highlight w:val="none"/>
        </w:rPr>
      </w:pPr>
      <w:r>
        <w:rPr>
          <w:rFonts w:hint="eastAsia" w:ascii="仿宋" w:hAnsi="仿宋" w:eastAsia="仿宋" w:cs="仿宋"/>
          <w:kern w:val="2"/>
          <w:sz w:val="24"/>
          <w:szCs w:val="24"/>
          <w:highlight w:val="none"/>
        </w:rPr>
        <w:t>附：省级以上监狱管理局、戒毒管理局（含新疆生产建设兵团）出具的监狱企业证明文件。</w:t>
      </w:r>
    </w:p>
    <w:p>
      <w:pPr>
        <w:widowControl w:val="0"/>
        <w:shd w:val="clear"/>
        <w:jc w:val="both"/>
        <w:rPr>
          <w:rFonts w:hint="eastAsia" w:ascii="仿宋" w:hAnsi="仿宋" w:eastAsia="仿宋" w:cs="仿宋"/>
          <w:b/>
          <w:bCs/>
          <w:sz w:val="24"/>
          <w:szCs w:val="24"/>
          <w:highlight w:val="none"/>
        </w:rPr>
      </w:pPr>
    </w:p>
    <w:p>
      <w:pPr>
        <w:widowControl w:val="0"/>
        <w:shd w:val="clear"/>
        <w:jc w:val="both"/>
        <w:rPr>
          <w:rFonts w:hint="eastAsia" w:ascii="仿宋" w:hAnsi="仿宋" w:eastAsia="仿宋" w:cs="仿宋"/>
          <w:color w:val="FF0000"/>
          <w:kern w:val="2"/>
          <w:sz w:val="24"/>
          <w:szCs w:val="24"/>
          <w:highlight w:val="none"/>
        </w:rPr>
      </w:pPr>
    </w:p>
    <w:p>
      <w:pPr>
        <w:shd w:val="clea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pPr>
        <w:numPr>
          <w:ilvl w:val="0"/>
          <w:numId w:val="0"/>
        </w:numPr>
        <w:shd w:val="clear"/>
        <w:ind w:left="0" w:leftChars="0" w:firstLine="0" w:firstLineChars="0"/>
        <w:rPr>
          <w:rFonts w:hint="eastAsia" w:ascii="仿宋" w:hAnsi="仿宋" w:eastAsia="仿宋" w:cs="仿宋"/>
          <w:b/>
          <w:sz w:val="24"/>
          <w:highlight w:val="none"/>
          <w:lang w:val="en-US" w:eastAsia="zh-CN"/>
        </w:rPr>
      </w:pPr>
      <w:r>
        <w:rPr>
          <w:rFonts w:hint="eastAsia" w:ascii="仿宋" w:hAnsi="仿宋" w:eastAsia="仿宋" w:cs="仿宋"/>
          <w:b/>
          <w:kern w:val="2"/>
          <w:sz w:val="24"/>
          <w:szCs w:val="21"/>
          <w:highlight w:val="none"/>
          <w:lang w:val="en-US" w:eastAsia="zh-CN" w:bidi="ar-SA"/>
        </w:rPr>
        <w:t>六、</w:t>
      </w:r>
      <w:r>
        <w:rPr>
          <w:rFonts w:hint="eastAsia" w:ascii="仿宋" w:hAnsi="仿宋" w:eastAsia="仿宋" w:cs="仿宋"/>
          <w:b/>
          <w:sz w:val="24"/>
          <w:highlight w:val="none"/>
          <w:lang w:val="en-US" w:eastAsia="zh-CN"/>
        </w:rPr>
        <w:t>实质性条款响应情况表</w:t>
      </w:r>
    </w:p>
    <w:tbl>
      <w:tblPr>
        <w:tblStyle w:val="21"/>
        <w:tblW w:w="8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053"/>
        <w:gridCol w:w="1937"/>
        <w:gridCol w:w="156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sz w:val="24"/>
                <w:szCs w:val="24"/>
                <w:highlight w:val="none"/>
              </w:rPr>
            </w:pPr>
            <w:bookmarkStart w:id="9" w:name="_Hlk72092651"/>
            <w:r>
              <w:rPr>
                <w:rFonts w:hint="eastAsia" w:ascii="仿宋" w:hAnsi="仿宋" w:eastAsia="仿宋" w:cs="仿宋"/>
                <w:b/>
                <w:sz w:val="24"/>
                <w:szCs w:val="24"/>
                <w:highlight w:val="none"/>
              </w:rPr>
              <w:t>序号</w:t>
            </w:r>
          </w:p>
        </w:tc>
        <w:tc>
          <w:tcPr>
            <w:tcW w:w="3053"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实质性条款具体内容</w:t>
            </w:r>
          </w:p>
        </w:tc>
        <w:tc>
          <w:tcPr>
            <w:tcW w:w="1937"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投标响应</w:t>
            </w:r>
          </w:p>
        </w:tc>
        <w:tc>
          <w:tcPr>
            <w:tcW w:w="1563"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934" w:type="dxa"/>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pPr>
              <w:keepNext w:val="0"/>
              <w:keepLines w:val="0"/>
              <w:widowControl/>
              <w:suppressLineNumbers w:val="0"/>
              <w:shd w:val="clear"/>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3053" w:type="dxa"/>
            <w:shd w:val="clear" w:color="auto" w:fill="auto"/>
            <w:vAlign w:val="center"/>
          </w:tcPr>
          <w:p>
            <w:pPr>
              <w:keepNext w:val="0"/>
              <w:keepLines w:val="0"/>
              <w:widowControl/>
              <w:numPr>
                <w:ilvl w:val="0"/>
                <w:numId w:val="0"/>
              </w:numPr>
              <w:suppressLineNumbers w:val="0"/>
              <w:shd w:val="clear"/>
              <w:spacing w:before="0" w:beforeAutospacing="0" w:after="0" w:afterAutospacing="0"/>
              <w:ind w:left="0" w:leftChars="0" w:right="0" w:firstLine="0" w:firstLineChars="0"/>
              <w:jc w:val="both"/>
              <w:rPr>
                <w:rFonts w:hint="eastAsia" w:ascii="仿宋" w:hAnsi="仿宋" w:eastAsia="仿宋" w:cs="仿宋"/>
                <w:kern w:val="0"/>
                <w:sz w:val="24"/>
                <w:szCs w:val="24"/>
                <w:highlight w:val="none"/>
                <w:lang w:val="en-US" w:eastAsia="zh-CN" w:bidi="ar-SA"/>
              </w:rPr>
            </w:pPr>
            <w:r>
              <w:rPr>
                <w:rFonts w:hint="eastAsia" w:ascii="仿宋" w:hAnsi="仿宋" w:eastAsia="仿宋" w:cs="仿宋"/>
                <w:b/>
                <w:color w:val="auto"/>
                <w:kern w:val="2"/>
                <w:sz w:val="24"/>
                <w:szCs w:val="24"/>
                <w:highlight w:val="none"/>
                <w:vertAlign w:val="baseline"/>
              </w:rPr>
              <w:t>★</w:t>
            </w:r>
            <w:r>
              <w:rPr>
                <w:rFonts w:hint="eastAsia" w:ascii="仿宋" w:hAnsi="仿宋" w:eastAsia="仿宋" w:cs="仿宋"/>
                <w:b w:val="0"/>
                <w:bCs/>
                <w:color w:val="auto"/>
                <w:kern w:val="2"/>
                <w:sz w:val="24"/>
                <w:szCs w:val="24"/>
                <w:highlight w:val="none"/>
                <w:vertAlign w:val="baseline"/>
              </w:rPr>
              <w:t>货物免费保修期至少2年， 时间自最终验收合格并交付使用之日起计算，由中标人提供产品保修文件。</w:t>
            </w:r>
          </w:p>
        </w:tc>
        <w:tc>
          <w:tcPr>
            <w:tcW w:w="1937" w:type="dxa"/>
          </w:tcPr>
          <w:p>
            <w:pPr>
              <w:keepNext w:val="0"/>
              <w:keepLines w:val="0"/>
              <w:widowControl/>
              <w:suppressLineNumbers w:val="0"/>
              <w:shd w:val="clear"/>
              <w:adjustRightInd w:val="0"/>
              <w:snapToGrid w:val="0"/>
              <w:spacing w:before="0" w:beforeAutospacing="0" w:after="0" w:afterAutospacing="0" w:line="360" w:lineRule="auto"/>
              <w:ind w:left="0" w:right="0"/>
              <w:rPr>
                <w:rFonts w:hint="default" w:ascii="宋体" w:hAnsi="宋体"/>
                <w:kern w:val="0"/>
                <w:sz w:val="24"/>
                <w:szCs w:val="24"/>
                <w:highlight w:val="none"/>
              </w:rPr>
            </w:pPr>
          </w:p>
        </w:tc>
        <w:tc>
          <w:tcPr>
            <w:tcW w:w="1563" w:type="dxa"/>
          </w:tcPr>
          <w:p>
            <w:pPr>
              <w:keepNext w:val="0"/>
              <w:keepLines w:val="0"/>
              <w:widowControl/>
              <w:suppressLineNumbers w:val="0"/>
              <w:shd w:val="clear"/>
              <w:adjustRightInd w:val="0"/>
              <w:snapToGrid w:val="0"/>
              <w:spacing w:before="0" w:beforeAutospacing="0" w:after="0" w:afterAutospacing="0" w:line="360" w:lineRule="auto"/>
              <w:ind w:left="0" w:right="0"/>
              <w:rPr>
                <w:rFonts w:hint="default" w:ascii="宋体" w:hAnsi="宋体"/>
                <w:kern w:val="0"/>
                <w:sz w:val="24"/>
                <w:szCs w:val="24"/>
                <w:highlight w:val="none"/>
              </w:rPr>
            </w:pPr>
          </w:p>
        </w:tc>
        <w:tc>
          <w:tcPr>
            <w:tcW w:w="934" w:type="dxa"/>
          </w:tcPr>
          <w:p>
            <w:pPr>
              <w:keepNext w:val="0"/>
              <w:keepLines w:val="0"/>
              <w:widowControl/>
              <w:suppressLineNumbers w:val="0"/>
              <w:shd w:val="clear"/>
              <w:adjustRightInd w:val="0"/>
              <w:snapToGrid w:val="0"/>
              <w:spacing w:before="0" w:beforeAutospacing="0" w:after="0" w:afterAutospacing="0" w:line="360" w:lineRule="auto"/>
              <w:ind w:left="0" w:right="0"/>
              <w:rPr>
                <w:rFonts w:hint="default" w:ascii="宋体" w:hAnsi="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pPr>
              <w:keepNext w:val="0"/>
              <w:keepLines w:val="0"/>
              <w:widowControl/>
              <w:suppressLineNumbers w:val="0"/>
              <w:shd w:val="clear"/>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3053" w:type="dxa"/>
            <w:shd w:val="clear" w:color="auto" w:fill="auto"/>
            <w:vAlign w:val="center"/>
          </w:tcPr>
          <w:p>
            <w:pPr>
              <w:keepNext w:val="0"/>
              <w:keepLines w:val="0"/>
              <w:widowControl/>
              <w:numPr>
                <w:ilvl w:val="0"/>
                <w:numId w:val="0"/>
              </w:numPr>
              <w:suppressLineNumbers w:val="0"/>
              <w:shd w:val="clear"/>
              <w:spacing w:before="0" w:beforeAutospacing="0" w:after="0" w:afterAutospacing="0"/>
              <w:ind w:left="0" w:leftChars="0" w:right="0" w:firstLine="0" w:firstLineChars="0"/>
              <w:jc w:val="both"/>
              <w:rPr>
                <w:rFonts w:hint="eastAsia" w:ascii="仿宋" w:hAnsi="仿宋" w:eastAsia="仿宋" w:cs="仿宋"/>
                <w:sz w:val="24"/>
                <w:szCs w:val="24"/>
                <w:highlight w:val="none"/>
                <w:lang w:val="en-US" w:eastAsia="zh-CN" w:bidi="ar-SA"/>
              </w:rPr>
            </w:pPr>
            <w:r>
              <w:rPr>
                <w:rFonts w:hint="eastAsia" w:ascii="仿宋" w:hAnsi="仿宋" w:eastAsia="仿宋" w:cs="仿宋"/>
                <w:kern w:val="2"/>
                <w:sz w:val="24"/>
                <w:szCs w:val="24"/>
                <w:highlight w:val="none"/>
              </w:rPr>
              <w:t>★服务期限：2 年。</w:t>
            </w:r>
          </w:p>
        </w:tc>
        <w:tc>
          <w:tcPr>
            <w:tcW w:w="1937" w:type="dxa"/>
          </w:tcPr>
          <w:p>
            <w:pPr>
              <w:keepNext w:val="0"/>
              <w:keepLines w:val="0"/>
              <w:widowControl/>
              <w:suppressLineNumbers w:val="0"/>
              <w:shd w:val="clear"/>
              <w:adjustRightInd w:val="0"/>
              <w:snapToGrid w:val="0"/>
              <w:spacing w:before="0" w:beforeAutospacing="0" w:after="0" w:afterAutospacing="0" w:line="360" w:lineRule="auto"/>
              <w:ind w:left="0" w:right="0"/>
              <w:rPr>
                <w:rFonts w:hint="default" w:ascii="宋体" w:hAnsi="宋体"/>
                <w:kern w:val="0"/>
                <w:sz w:val="24"/>
                <w:szCs w:val="24"/>
                <w:highlight w:val="none"/>
              </w:rPr>
            </w:pPr>
          </w:p>
        </w:tc>
        <w:tc>
          <w:tcPr>
            <w:tcW w:w="1563" w:type="dxa"/>
          </w:tcPr>
          <w:p>
            <w:pPr>
              <w:keepNext w:val="0"/>
              <w:keepLines w:val="0"/>
              <w:widowControl/>
              <w:suppressLineNumbers w:val="0"/>
              <w:shd w:val="clear"/>
              <w:adjustRightInd w:val="0"/>
              <w:snapToGrid w:val="0"/>
              <w:spacing w:before="0" w:beforeAutospacing="0" w:after="0" w:afterAutospacing="0" w:line="360" w:lineRule="auto"/>
              <w:ind w:left="0" w:right="0"/>
              <w:rPr>
                <w:rFonts w:hint="default" w:ascii="宋体" w:hAnsi="宋体"/>
                <w:kern w:val="0"/>
                <w:sz w:val="24"/>
                <w:szCs w:val="24"/>
                <w:highlight w:val="none"/>
              </w:rPr>
            </w:pPr>
          </w:p>
        </w:tc>
        <w:tc>
          <w:tcPr>
            <w:tcW w:w="934" w:type="dxa"/>
          </w:tcPr>
          <w:p>
            <w:pPr>
              <w:keepNext w:val="0"/>
              <w:keepLines w:val="0"/>
              <w:widowControl/>
              <w:suppressLineNumbers w:val="0"/>
              <w:shd w:val="clear"/>
              <w:adjustRightInd w:val="0"/>
              <w:snapToGrid w:val="0"/>
              <w:spacing w:before="0" w:beforeAutospacing="0" w:after="0" w:afterAutospacing="0" w:line="360" w:lineRule="auto"/>
              <w:ind w:left="0" w:right="0"/>
              <w:rPr>
                <w:rFonts w:hint="default" w:ascii="宋体" w:hAnsi="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dxa"/>
            <w:vAlign w:val="center"/>
          </w:tcPr>
          <w:p>
            <w:pPr>
              <w:keepNext w:val="0"/>
              <w:keepLines w:val="0"/>
              <w:widowControl/>
              <w:suppressLineNumbers w:val="0"/>
              <w:shd w:val="clear"/>
              <w:adjustRightInd w:val="0"/>
              <w:snapToGrid w:val="0"/>
              <w:spacing w:before="0" w:beforeAutospacing="0" w:after="0" w:afterAutospacing="0" w:line="360" w:lineRule="auto"/>
              <w:ind w:left="0" w:right="0"/>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3</w:t>
            </w:r>
          </w:p>
        </w:tc>
        <w:tc>
          <w:tcPr>
            <w:tcW w:w="3053" w:type="dxa"/>
            <w:shd w:val="clear" w:color="auto" w:fill="auto"/>
            <w:vAlign w:val="center"/>
          </w:tcPr>
          <w:p>
            <w:pPr>
              <w:keepNext w:val="0"/>
              <w:keepLines w:val="0"/>
              <w:widowControl/>
              <w:numPr>
                <w:ilvl w:val="0"/>
                <w:numId w:val="0"/>
              </w:numPr>
              <w:suppressLineNumbers w:val="0"/>
              <w:shd w:val="clear"/>
              <w:spacing w:before="0" w:beforeAutospacing="0" w:after="0" w:afterAutospacing="0"/>
              <w:ind w:left="0" w:leftChars="0" w:right="0" w:firstLine="0" w:firstLineChars="0"/>
              <w:jc w:val="both"/>
              <w:rPr>
                <w:rFonts w:hint="eastAsia" w:ascii="仿宋" w:hAnsi="仿宋" w:eastAsia="仿宋" w:cs="仿宋"/>
                <w:sz w:val="24"/>
                <w:szCs w:val="24"/>
                <w:highlight w:val="none"/>
                <w:lang w:val="en-US" w:eastAsia="zh-CN" w:bidi="ar-SA"/>
              </w:rPr>
            </w:pPr>
            <w:r>
              <w:rPr>
                <w:rFonts w:hint="eastAsia" w:ascii="仿宋" w:hAnsi="仿宋" w:eastAsia="仿宋" w:cs="仿宋"/>
                <w:kern w:val="2"/>
                <w:sz w:val="24"/>
                <w:szCs w:val="24"/>
                <w:highlight w:val="none"/>
              </w:rPr>
              <w:t>★交货期：签订合同后</w:t>
            </w:r>
            <w:r>
              <w:rPr>
                <w:rFonts w:hint="eastAsia" w:ascii="仿宋" w:hAnsi="仿宋" w:eastAsia="仿宋" w:cs="仿宋"/>
                <w:kern w:val="2"/>
                <w:sz w:val="24"/>
                <w:szCs w:val="24"/>
                <w:highlight w:val="none"/>
                <w:lang w:eastAsia="zh-CN"/>
              </w:rPr>
              <w:t>，</w:t>
            </w:r>
            <w:r>
              <w:rPr>
                <w:rFonts w:hint="eastAsia" w:ascii="仿宋" w:hAnsi="仿宋" w:eastAsia="仿宋" w:cs="仿宋"/>
                <w:kern w:val="2"/>
                <w:sz w:val="24"/>
                <w:szCs w:val="24"/>
                <w:highlight w:val="none"/>
              </w:rPr>
              <w:t>根据实际采购需求，在</w:t>
            </w:r>
            <w:r>
              <w:rPr>
                <w:rFonts w:hint="eastAsia" w:ascii="仿宋" w:hAnsi="仿宋" w:eastAsia="仿宋" w:cs="仿宋"/>
                <w:kern w:val="2"/>
                <w:sz w:val="24"/>
                <w:szCs w:val="24"/>
                <w:highlight w:val="none"/>
                <w:lang w:val="en-US" w:eastAsia="zh-CN"/>
              </w:rPr>
              <w:t>收到采购人送货通知后</w:t>
            </w:r>
            <w:r>
              <w:rPr>
                <w:rFonts w:hint="eastAsia" w:ascii="仿宋" w:hAnsi="仿宋" w:eastAsia="仿宋" w:cs="仿宋"/>
                <w:kern w:val="2"/>
                <w:sz w:val="24"/>
                <w:szCs w:val="24"/>
                <w:highlight w:val="none"/>
              </w:rPr>
              <w:t>72小时以内送达。中标人应按照采购人每月的采购需求数量，做到分批分次不定时送货。</w:t>
            </w:r>
          </w:p>
        </w:tc>
        <w:tc>
          <w:tcPr>
            <w:tcW w:w="1937" w:type="dxa"/>
          </w:tcPr>
          <w:p>
            <w:pPr>
              <w:keepNext w:val="0"/>
              <w:keepLines w:val="0"/>
              <w:widowControl/>
              <w:suppressLineNumbers w:val="0"/>
              <w:shd w:val="clear"/>
              <w:adjustRightInd w:val="0"/>
              <w:snapToGrid w:val="0"/>
              <w:spacing w:before="0" w:beforeAutospacing="0" w:after="0" w:afterAutospacing="0" w:line="360" w:lineRule="auto"/>
              <w:ind w:left="0" w:right="0"/>
              <w:rPr>
                <w:rFonts w:hint="default" w:ascii="宋体" w:hAnsi="宋体"/>
                <w:kern w:val="0"/>
                <w:sz w:val="24"/>
                <w:szCs w:val="24"/>
                <w:highlight w:val="none"/>
              </w:rPr>
            </w:pPr>
          </w:p>
        </w:tc>
        <w:tc>
          <w:tcPr>
            <w:tcW w:w="1563" w:type="dxa"/>
          </w:tcPr>
          <w:p>
            <w:pPr>
              <w:keepNext w:val="0"/>
              <w:keepLines w:val="0"/>
              <w:widowControl/>
              <w:suppressLineNumbers w:val="0"/>
              <w:shd w:val="clear"/>
              <w:adjustRightInd w:val="0"/>
              <w:snapToGrid w:val="0"/>
              <w:spacing w:before="0" w:beforeAutospacing="0" w:after="0" w:afterAutospacing="0" w:line="360" w:lineRule="auto"/>
              <w:ind w:left="0" w:right="0"/>
              <w:rPr>
                <w:rFonts w:hint="default" w:ascii="宋体" w:hAnsi="宋体"/>
                <w:kern w:val="0"/>
                <w:sz w:val="24"/>
                <w:szCs w:val="24"/>
                <w:highlight w:val="none"/>
              </w:rPr>
            </w:pPr>
          </w:p>
        </w:tc>
        <w:tc>
          <w:tcPr>
            <w:tcW w:w="934" w:type="dxa"/>
          </w:tcPr>
          <w:p>
            <w:pPr>
              <w:keepNext w:val="0"/>
              <w:keepLines w:val="0"/>
              <w:widowControl/>
              <w:suppressLineNumbers w:val="0"/>
              <w:shd w:val="clear"/>
              <w:adjustRightInd w:val="0"/>
              <w:snapToGrid w:val="0"/>
              <w:spacing w:before="0" w:beforeAutospacing="0" w:after="0" w:afterAutospacing="0" w:line="360" w:lineRule="auto"/>
              <w:ind w:left="0" w:right="0"/>
              <w:rPr>
                <w:rFonts w:hint="default" w:ascii="宋体" w:hAnsi="宋体"/>
                <w:kern w:val="0"/>
                <w:sz w:val="24"/>
                <w:szCs w:val="24"/>
                <w:highlight w:val="none"/>
              </w:rPr>
            </w:pPr>
          </w:p>
        </w:tc>
      </w:tr>
    </w:tbl>
    <w:p>
      <w:pPr>
        <w:numPr>
          <w:ilvl w:val="0"/>
          <w:numId w:val="0"/>
        </w:numPr>
        <w:shd w:val="clear"/>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注：1.上表所列各项均为不可负偏离条款。</w:t>
      </w:r>
    </w:p>
    <w:p>
      <w:pPr>
        <w:numPr>
          <w:ilvl w:val="0"/>
          <w:numId w:val="0"/>
        </w:numPr>
        <w:shd w:val="clea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2.“投标响应”一栏应当详细填写投标人自身响应情况，而不能不合理照搬照抄实质性条款具体内容。</w:t>
      </w:r>
    </w:p>
    <w:p>
      <w:pPr>
        <w:numPr>
          <w:ilvl w:val="0"/>
          <w:numId w:val="0"/>
        </w:numPr>
        <w:shd w:val="clea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numPr>
          <w:ilvl w:val="0"/>
          <w:numId w:val="0"/>
        </w:numPr>
        <w:shd w:val="clea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4.评审委员会有权对投标响应情况作出判断（作出评审结论）。</w:t>
      </w:r>
    </w:p>
    <w:p>
      <w:pPr>
        <w:numPr>
          <w:ilvl w:val="0"/>
          <w:numId w:val="0"/>
        </w:numPr>
        <w:shd w:val="clea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5.实质性响应条款“投标响应情况”与投标文件其它内容冲突的，以实质性响应条款“投标响应情况”为准。</w:t>
      </w:r>
    </w:p>
    <w:p>
      <w:pPr>
        <w:numPr>
          <w:ilvl w:val="0"/>
          <w:numId w:val="0"/>
        </w:numPr>
        <w:shd w:val="clear"/>
        <w:ind w:leftChars="0"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6.要求提供证明资料，在“说明”一栏中列明证明资料的位置,以便评审；未要求提供证明材料的，投标人可以不提供。</w:t>
      </w:r>
    </w:p>
    <w:p>
      <w:pPr>
        <w:numPr>
          <w:ilvl w:val="0"/>
          <w:numId w:val="0"/>
        </w:numPr>
        <w:shd w:val="clear"/>
        <w:ind w:leftChars="0"/>
        <w:jc w:val="both"/>
        <w:rPr>
          <w:rFonts w:hint="eastAsia" w:ascii="仿宋" w:hAnsi="仿宋" w:eastAsia="仿宋" w:cs="仿宋"/>
          <w:b/>
          <w:sz w:val="24"/>
          <w:highlight w:val="none"/>
          <w:lang w:val="en-US" w:eastAsia="zh-CN"/>
        </w:rPr>
      </w:pPr>
    </w:p>
    <w:p>
      <w:pPr>
        <w:shd w:val="clea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pPr>
        <w:shd w:val="clear"/>
        <w:adjustRightInd w:val="0"/>
        <w:snapToGrid w:val="0"/>
        <w:spacing w:line="300" w:lineRule="auto"/>
        <w:rPr>
          <w:rFonts w:hint="default" w:ascii="仿宋" w:hAnsi="仿宋" w:eastAsia="仿宋" w:cs="仿宋"/>
          <w:b/>
          <w:sz w:val="24"/>
          <w:highlight w:val="none"/>
          <w:lang w:val="en-US"/>
        </w:rPr>
      </w:pPr>
      <w:r>
        <w:rPr>
          <w:rFonts w:hint="eastAsia" w:ascii="仿宋" w:hAnsi="仿宋" w:eastAsia="仿宋" w:cs="仿宋"/>
          <w:b/>
          <w:sz w:val="24"/>
          <w:highlight w:val="none"/>
          <w:lang w:val="en-US" w:eastAsia="zh-CN"/>
        </w:rPr>
        <w:t>七、技术要求偏离表</w:t>
      </w:r>
    </w:p>
    <w:tbl>
      <w:tblPr>
        <w:tblStyle w:val="2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477"/>
        <w:gridCol w:w="2320"/>
        <w:gridCol w:w="1688"/>
        <w:gridCol w:w="1376"/>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92" w:type="pct"/>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867" w:type="pct"/>
            <w:vAlign w:val="center"/>
          </w:tcPr>
          <w:p>
            <w:pPr>
              <w:keepNext w:val="0"/>
              <w:keepLines w:val="0"/>
              <w:widowControl/>
              <w:suppressLineNumbers w:val="0"/>
              <w:shd w:val="clear"/>
              <w:spacing w:before="0" w:beforeAutospacing="0" w:after="0" w:afterAutospacing="0"/>
              <w:ind w:left="0" w:right="0"/>
              <w:jc w:val="center"/>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货物名称</w:t>
            </w:r>
          </w:p>
        </w:tc>
        <w:tc>
          <w:tcPr>
            <w:tcW w:w="1362" w:type="pct"/>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招标技术要求</w:t>
            </w:r>
          </w:p>
        </w:tc>
        <w:tc>
          <w:tcPr>
            <w:tcW w:w="991" w:type="pct"/>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w:t>
            </w:r>
            <w:r>
              <w:rPr>
                <w:rFonts w:hint="eastAsia" w:ascii="仿宋" w:hAnsi="仿宋" w:eastAsia="仿宋" w:cs="仿宋"/>
                <w:b/>
                <w:sz w:val="24"/>
                <w:szCs w:val="24"/>
                <w:highlight w:val="none"/>
                <w:lang w:val="en-US" w:eastAsia="zh-CN"/>
              </w:rPr>
              <w:t>技术</w:t>
            </w:r>
            <w:r>
              <w:rPr>
                <w:rFonts w:hint="eastAsia" w:ascii="仿宋" w:hAnsi="仿宋" w:eastAsia="仿宋" w:cs="仿宋"/>
                <w:b/>
                <w:sz w:val="24"/>
                <w:szCs w:val="24"/>
                <w:highlight w:val="none"/>
              </w:rPr>
              <w:t>响应</w:t>
            </w:r>
          </w:p>
        </w:tc>
        <w:tc>
          <w:tcPr>
            <w:tcW w:w="808" w:type="pct"/>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偏离情况</w:t>
            </w:r>
          </w:p>
        </w:tc>
        <w:tc>
          <w:tcPr>
            <w:tcW w:w="577" w:type="pct"/>
            <w:vAlign w:val="center"/>
          </w:tcPr>
          <w:p>
            <w:pPr>
              <w:keepNext w:val="0"/>
              <w:keepLines w:val="0"/>
              <w:widowControl/>
              <w:suppressLineNumbers w:val="0"/>
              <w:shd w:val="clear"/>
              <w:spacing w:before="0" w:beforeAutospacing="0" w:after="0" w:afterAutospacing="0"/>
              <w:ind w:left="0" w:right="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color w:val="auto"/>
                <w:sz w:val="24"/>
                <w:szCs w:val="24"/>
                <w:highlight w:val="none"/>
                <w:lang w:bidi="ar"/>
              </w:rPr>
              <w:t>1</w:t>
            </w:r>
          </w:p>
        </w:tc>
        <w:tc>
          <w:tcPr>
            <w:tcW w:w="867"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纯氩</w:t>
            </w:r>
          </w:p>
        </w:tc>
        <w:tc>
          <w:tcPr>
            <w:tcW w:w="2320" w:type="dxa"/>
            <w:shd w:val="clear" w:color="auto" w:fill="auto"/>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纯度≥99.99%.150bar</w:t>
            </w:r>
          </w:p>
        </w:tc>
        <w:tc>
          <w:tcPr>
            <w:tcW w:w="991"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bidi="ar-SA"/>
              </w:rPr>
            </w:pPr>
          </w:p>
        </w:tc>
        <w:tc>
          <w:tcPr>
            <w:tcW w:w="808" w:type="pct"/>
          </w:tcPr>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rPr>
            </w:pPr>
          </w:p>
        </w:tc>
        <w:tc>
          <w:tcPr>
            <w:tcW w:w="577" w:type="pct"/>
          </w:tcPr>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color w:val="auto"/>
                <w:sz w:val="24"/>
                <w:szCs w:val="24"/>
                <w:highlight w:val="none"/>
                <w:lang w:bidi="ar"/>
              </w:rPr>
              <w:t>2</w:t>
            </w:r>
          </w:p>
        </w:tc>
        <w:tc>
          <w:tcPr>
            <w:tcW w:w="867"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二氧化碳</w:t>
            </w:r>
          </w:p>
        </w:tc>
        <w:tc>
          <w:tcPr>
            <w:tcW w:w="2320" w:type="dxa"/>
            <w:shd w:val="clear" w:color="auto" w:fill="auto"/>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纯度≥99.5%.25kg</w:t>
            </w:r>
          </w:p>
        </w:tc>
        <w:tc>
          <w:tcPr>
            <w:tcW w:w="991"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bidi="ar-SA"/>
              </w:rPr>
            </w:pPr>
          </w:p>
        </w:tc>
        <w:tc>
          <w:tcPr>
            <w:tcW w:w="808" w:type="pct"/>
          </w:tcPr>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rPr>
            </w:pPr>
          </w:p>
        </w:tc>
        <w:tc>
          <w:tcPr>
            <w:tcW w:w="577" w:type="pct"/>
          </w:tcPr>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color w:val="auto"/>
                <w:sz w:val="24"/>
                <w:szCs w:val="24"/>
                <w:highlight w:val="none"/>
                <w:lang w:bidi="ar"/>
              </w:rPr>
              <w:t>3</w:t>
            </w:r>
          </w:p>
        </w:tc>
        <w:tc>
          <w:tcPr>
            <w:tcW w:w="867"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高纯二氧化碳</w:t>
            </w:r>
          </w:p>
        </w:tc>
        <w:tc>
          <w:tcPr>
            <w:tcW w:w="2320" w:type="dxa"/>
            <w:shd w:val="clear" w:color="auto" w:fill="auto"/>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纯度≥99.995%.6kg</w:t>
            </w:r>
          </w:p>
        </w:tc>
        <w:tc>
          <w:tcPr>
            <w:tcW w:w="991"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bidi="ar-SA"/>
              </w:rPr>
            </w:pPr>
          </w:p>
        </w:tc>
        <w:tc>
          <w:tcPr>
            <w:tcW w:w="808" w:type="pct"/>
          </w:tcPr>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rPr>
            </w:pPr>
          </w:p>
        </w:tc>
        <w:tc>
          <w:tcPr>
            <w:tcW w:w="577" w:type="pct"/>
          </w:tcPr>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color w:val="auto"/>
                <w:sz w:val="24"/>
                <w:szCs w:val="24"/>
                <w:highlight w:val="none"/>
                <w:lang w:bidi="ar"/>
              </w:rPr>
              <w:t>4</w:t>
            </w:r>
          </w:p>
        </w:tc>
        <w:tc>
          <w:tcPr>
            <w:tcW w:w="867"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高纯氦</w:t>
            </w:r>
          </w:p>
        </w:tc>
        <w:tc>
          <w:tcPr>
            <w:tcW w:w="2320" w:type="dxa"/>
            <w:shd w:val="clear" w:color="auto" w:fill="auto"/>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color w:val="auto"/>
                <w:sz w:val="24"/>
                <w:szCs w:val="24"/>
                <w:highlight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纯度≥99.999%.100Bar</w:t>
            </w:r>
          </w:p>
        </w:tc>
        <w:tc>
          <w:tcPr>
            <w:tcW w:w="991"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bidi="ar"/>
              </w:rPr>
            </w:pPr>
          </w:p>
        </w:tc>
        <w:tc>
          <w:tcPr>
            <w:tcW w:w="808" w:type="pct"/>
          </w:tcPr>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rPr>
            </w:pPr>
          </w:p>
        </w:tc>
        <w:tc>
          <w:tcPr>
            <w:tcW w:w="577" w:type="pct"/>
          </w:tcPr>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color w:val="auto"/>
                <w:sz w:val="24"/>
                <w:szCs w:val="24"/>
                <w:highlight w:val="none"/>
                <w:lang w:bidi="ar"/>
              </w:rPr>
              <w:t>5</w:t>
            </w:r>
          </w:p>
        </w:tc>
        <w:tc>
          <w:tcPr>
            <w:tcW w:w="867"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高纯氩</w:t>
            </w:r>
          </w:p>
        </w:tc>
        <w:tc>
          <w:tcPr>
            <w:tcW w:w="2320" w:type="dxa"/>
            <w:shd w:val="clear" w:color="auto" w:fill="auto"/>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纯度≥99.999%.150bar</w:t>
            </w:r>
          </w:p>
        </w:tc>
        <w:tc>
          <w:tcPr>
            <w:tcW w:w="991"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bidi="ar-SA"/>
              </w:rPr>
            </w:pPr>
          </w:p>
        </w:tc>
        <w:tc>
          <w:tcPr>
            <w:tcW w:w="808" w:type="pct"/>
          </w:tcPr>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rPr>
            </w:pPr>
          </w:p>
        </w:tc>
        <w:tc>
          <w:tcPr>
            <w:tcW w:w="577" w:type="pct"/>
          </w:tcPr>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color w:val="auto"/>
                <w:sz w:val="24"/>
                <w:szCs w:val="24"/>
                <w:highlight w:val="none"/>
                <w:lang w:bidi="ar"/>
              </w:rPr>
              <w:t>6</w:t>
            </w:r>
          </w:p>
        </w:tc>
        <w:tc>
          <w:tcPr>
            <w:tcW w:w="867"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工业氮</w:t>
            </w:r>
          </w:p>
        </w:tc>
        <w:tc>
          <w:tcPr>
            <w:tcW w:w="2320" w:type="dxa"/>
            <w:shd w:val="clear" w:color="auto" w:fill="auto"/>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纯度≥99.2%.150bar</w:t>
            </w:r>
          </w:p>
        </w:tc>
        <w:tc>
          <w:tcPr>
            <w:tcW w:w="991"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bidi="ar-SA"/>
              </w:rPr>
            </w:pPr>
          </w:p>
        </w:tc>
        <w:tc>
          <w:tcPr>
            <w:tcW w:w="808" w:type="pct"/>
          </w:tcPr>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rPr>
            </w:pPr>
          </w:p>
        </w:tc>
        <w:tc>
          <w:tcPr>
            <w:tcW w:w="577" w:type="pct"/>
          </w:tcPr>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color w:val="auto"/>
                <w:sz w:val="24"/>
                <w:szCs w:val="24"/>
                <w:highlight w:val="none"/>
                <w:lang w:bidi="ar"/>
              </w:rPr>
              <w:t>7</w:t>
            </w:r>
          </w:p>
        </w:tc>
        <w:tc>
          <w:tcPr>
            <w:tcW w:w="867"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混合气1</w:t>
            </w:r>
          </w:p>
        </w:tc>
        <w:tc>
          <w:tcPr>
            <w:tcW w:w="2320" w:type="dxa"/>
            <w:shd w:val="clear" w:color="auto" w:fill="auto"/>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0.3%CO 0.3%CH4 0.3%C2H2 21%O2 平衡气N2.100bar</w:t>
            </w:r>
          </w:p>
        </w:tc>
        <w:tc>
          <w:tcPr>
            <w:tcW w:w="991"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bidi="ar-SA"/>
              </w:rPr>
            </w:pPr>
          </w:p>
        </w:tc>
        <w:tc>
          <w:tcPr>
            <w:tcW w:w="808" w:type="pct"/>
          </w:tcPr>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rPr>
            </w:pPr>
          </w:p>
        </w:tc>
        <w:tc>
          <w:tcPr>
            <w:tcW w:w="577" w:type="pct"/>
          </w:tcPr>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color w:val="auto"/>
                <w:sz w:val="24"/>
                <w:szCs w:val="24"/>
                <w:highlight w:val="none"/>
                <w:lang w:bidi="ar"/>
              </w:rPr>
              <w:t>8</w:t>
            </w:r>
          </w:p>
        </w:tc>
        <w:tc>
          <w:tcPr>
            <w:tcW w:w="867"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混合气2</w:t>
            </w:r>
          </w:p>
        </w:tc>
        <w:tc>
          <w:tcPr>
            <w:tcW w:w="2320" w:type="dxa"/>
            <w:shd w:val="clear" w:color="auto" w:fill="auto"/>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0.3%CO 0.3%CH4 21%O2 平衡气 N2.100bar</w:t>
            </w:r>
          </w:p>
        </w:tc>
        <w:tc>
          <w:tcPr>
            <w:tcW w:w="991"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bidi="ar-SA"/>
              </w:rPr>
            </w:pPr>
          </w:p>
        </w:tc>
        <w:tc>
          <w:tcPr>
            <w:tcW w:w="808" w:type="pct"/>
          </w:tcPr>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rPr>
            </w:pPr>
          </w:p>
        </w:tc>
        <w:tc>
          <w:tcPr>
            <w:tcW w:w="577" w:type="pct"/>
          </w:tcPr>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color w:val="auto"/>
                <w:sz w:val="24"/>
                <w:szCs w:val="24"/>
                <w:highlight w:val="none"/>
                <w:lang w:bidi="ar"/>
              </w:rPr>
              <w:t>9</w:t>
            </w:r>
          </w:p>
        </w:tc>
        <w:tc>
          <w:tcPr>
            <w:tcW w:w="867"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混合气3</w:t>
            </w:r>
          </w:p>
        </w:tc>
        <w:tc>
          <w:tcPr>
            <w:tcW w:w="2320" w:type="dxa"/>
            <w:shd w:val="clear" w:color="auto" w:fill="auto"/>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26%O2 平衡气N2</w:t>
            </w:r>
          </w:p>
        </w:tc>
        <w:tc>
          <w:tcPr>
            <w:tcW w:w="991"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bidi="ar-SA"/>
              </w:rPr>
            </w:pPr>
          </w:p>
        </w:tc>
        <w:tc>
          <w:tcPr>
            <w:tcW w:w="808" w:type="pct"/>
          </w:tcPr>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rPr>
            </w:pPr>
          </w:p>
        </w:tc>
        <w:tc>
          <w:tcPr>
            <w:tcW w:w="577" w:type="pct"/>
          </w:tcPr>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color w:val="auto"/>
                <w:sz w:val="24"/>
                <w:szCs w:val="24"/>
                <w:highlight w:val="none"/>
                <w:lang w:bidi="ar"/>
              </w:rPr>
              <w:t>10</w:t>
            </w:r>
          </w:p>
        </w:tc>
        <w:tc>
          <w:tcPr>
            <w:tcW w:w="867"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混合气4</w:t>
            </w:r>
          </w:p>
        </w:tc>
        <w:tc>
          <w:tcPr>
            <w:tcW w:w="2320" w:type="dxa"/>
            <w:shd w:val="clear" w:color="auto" w:fill="auto"/>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4%CO2 16%O2 平衡气 N2.100bar</w:t>
            </w:r>
          </w:p>
        </w:tc>
        <w:tc>
          <w:tcPr>
            <w:tcW w:w="991"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bidi="ar-SA"/>
              </w:rPr>
            </w:pPr>
          </w:p>
        </w:tc>
        <w:tc>
          <w:tcPr>
            <w:tcW w:w="808" w:type="pct"/>
          </w:tcPr>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rPr>
            </w:pPr>
          </w:p>
        </w:tc>
        <w:tc>
          <w:tcPr>
            <w:tcW w:w="577" w:type="pct"/>
          </w:tcPr>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color w:val="auto"/>
                <w:sz w:val="24"/>
                <w:szCs w:val="24"/>
                <w:highlight w:val="none"/>
                <w:lang w:bidi="ar"/>
              </w:rPr>
              <w:t>11</w:t>
            </w:r>
          </w:p>
        </w:tc>
        <w:tc>
          <w:tcPr>
            <w:tcW w:w="867"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混合气5</w:t>
            </w:r>
          </w:p>
        </w:tc>
        <w:tc>
          <w:tcPr>
            <w:tcW w:w="2320" w:type="dxa"/>
            <w:shd w:val="clear" w:color="auto" w:fill="auto"/>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color w:val="auto"/>
                <w:sz w:val="24"/>
                <w:szCs w:val="24"/>
                <w:highlight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5%CO2 15%O2 平衡气 N2.100bar</w:t>
            </w:r>
          </w:p>
        </w:tc>
        <w:tc>
          <w:tcPr>
            <w:tcW w:w="991"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bidi="ar"/>
              </w:rPr>
            </w:pPr>
          </w:p>
        </w:tc>
        <w:tc>
          <w:tcPr>
            <w:tcW w:w="808" w:type="pct"/>
          </w:tcPr>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rPr>
            </w:pPr>
          </w:p>
        </w:tc>
        <w:tc>
          <w:tcPr>
            <w:tcW w:w="577" w:type="pct"/>
          </w:tcPr>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color w:val="auto"/>
                <w:sz w:val="24"/>
                <w:szCs w:val="24"/>
                <w:highlight w:val="none"/>
                <w:lang w:val="en-US" w:eastAsia="zh-CN" w:bidi="ar"/>
              </w:rPr>
              <w:t>12</w:t>
            </w:r>
          </w:p>
        </w:tc>
        <w:tc>
          <w:tcPr>
            <w:tcW w:w="867"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混合气6</w:t>
            </w:r>
          </w:p>
        </w:tc>
        <w:tc>
          <w:tcPr>
            <w:tcW w:w="2320" w:type="dxa"/>
            <w:shd w:val="clear" w:color="auto" w:fill="auto"/>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800ppmNO 平衡气 N2.100bar</w:t>
            </w:r>
          </w:p>
        </w:tc>
        <w:tc>
          <w:tcPr>
            <w:tcW w:w="991"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i w:val="0"/>
                <w:iCs w:val="0"/>
                <w:color w:val="000000"/>
                <w:kern w:val="0"/>
                <w:sz w:val="24"/>
                <w:szCs w:val="24"/>
                <w:highlight w:val="none"/>
                <w:u w:val="none"/>
                <w:lang w:val="en-US" w:eastAsia="zh-CN" w:bidi="ar"/>
              </w:rPr>
            </w:pPr>
          </w:p>
        </w:tc>
        <w:tc>
          <w:tcPr>
            <w:tcW w:w="808" w:type="pct"/>
          </w:tcPr>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rPr>
            </w:pPr>
          </w:p>
        </w:tc>
        <w:tc>
          <w:tcPr>
            <w:tcW w:w="577" w:type="pct"/>
          </w:tcPr>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color w:val="auto"/>
                <w:sz w:val="24"/>
                <w:szCs w:val="24"/>
                <w:highlight w:val="none"/>
                <w:lang w:val="en-US" w:eastAsia="zh-CN" w:bidi="ar"/>
              </w:rPr>
              <w:t>13</w:t>
            </w:r>
          </w:p>
        </w:tc>
        <w:tc>
          <w:tcPr>
            <w:tcW w:w="867"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液态氮</w:t>
            </w:r>
          </w:p>
        </w:tc>
        <w:tc>
          <w:tcPr>
            <w:tcW w:w="2320" w:type="dxa"/>
            <w:shd w:val="clear" w:color="auto" w:fill="auto"/>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纯度≥99.999%.杜瓦罐.低压</w:t>
            </w:r>
          </w:p>
        </w:tc>
        <w:tc>
          <w:tcPr>
            <w:tcW w:w="991"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bidi="ar-SA"/>
              </w:rPr>
            </w:pPr>
          </w:p>
        </w:tc>
        <w:tc>
          <w:tcPr>
            <w:tcW w:w="808" w:type="pct"/>
          </w:tcPr>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rPr>
            </w:pPr>
          </w:p>
        </w:tc>
        <w:tc>
          <w:tcPr>
            <w:tcW w:w="577" w:type="pct"/>
          </w:tcPr>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color w:val="auto"/>
                <w:sz w:val="24"/>
                <w:szCs w:val="24"/>
                <w:highlight w:val="none"/>
                <w:lang w:val="en-US" w:eastAsia="zh-CN" w:bidi="ar"/>
              </w:rPr>
              <w:t>14</w:t>
            </w:r>
          </w:p>
        </w:tc>
        <w:tc>
          <w:tcPr>
            <w:tcW w:w="867"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乙炔</w:t>
            </w:r>
          </w:p>
        </w:tc>
        <w:tc>
          <w:tcPr>
            <w:tcW w:w="2320" w:type="dxa"/>
            <w:shd w:val="clear" w:color="auto" w:fill="auto"/>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b w:val="0"/>
                <w:bCs w:val="0"/>
                <w:i w:val="0"/>
                <w:iCs w:val="0"/>
                <w:color w:val="000000"/>
                <w:kern w:val="0"/>
                <w:sz w:val="24"/>
                <w:szCs w:val="24"/>
                <w:highlight w:val="none"/>
                <w:u w:val="none"/>
                <w:lang w:val="en-US" w:eastAsia="zh-CN" w:bidi="ar"/>
              </w:rPr>
              <w:t>纯度≥98%.5kg</w:t>
            </w:r>
          </w:p>
        </w:tc>
        <w:tc>
          <w:tcPr>
            <w:tcW w:w="991"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bidi="ar-SA"/>
              </w:rPr>
            </w:pPr>
          </w:p>
        </w:tc>
        <w:tc>
          <w:tcPr>
            <w:tcW w:w="808" w:type="pct"/>
          </w:tcPr>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rPr>
            </w:pPr>
          </w:p>
        </w:tc>
        <w:tc>
          <w:tcPr>
            <w:tcW w:w="577" w:type="pct"/>
          </w:tcPr>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2" w:type="pct"/>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b w:val="0"/>
                <w:bCs w:val="0"/>
                <w:sz w:val="24"/>
                <w:szCs w:val="24"/>
                <w:highlight w:val="none"/>
              </w:rPr>
            </w:pPr>
            <w:r>
              <w:rPr>
                <w:rFonts w:hint="eastAsia" w:ascii="仿宋" w:hAnsi="仿宋" w:eastAsia="仿宋" w:cs="仿宋"/>
                <w:b w:val="0"/>
                <w:bCs w:val="0"/>
                <w:color w:val="auto"/>
                <w:sz w:val="24"/>
                <w:szCs w:val="24"/>
                <w:highlight w:val="none"/>
                <w:lang w:val="en-US" w:eastAsia="zh-CN" w:bidi="ar"/>
              </w:rPr>
              <w:t>15</w:t>
            </w:r>
          </w:p>
        </w:tc>
        <w:tc>
          <w:tcPr>
            <w:tcW w:w="867"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bidi="ar"/>
              </w:rPr>
            </w:pPr>
            <w:r>
              <w:rPr>
                <w:rFonts w:hint="eastAsia" w:ascii="仿宋" w:hAnsi="仿宋" w:eastAsia="仿宋" w:cs="仿宋"/>
                <w:b w:val="0"/>
                <w:bCs w:val="0"/>
                <w:i w:val="0"/>
                <w:iCs w:val="0"/>
                <w:color w:val="000000"/>
                <w:kern w:val="0"/>
                <w:sz w:val="24"/>
                <w:szCs w:val="24"/>
                <w:highlight w:val="none"/>
                <w:u w:val="none"/>
                <w:lang w:val="en-US" w:eastAsia="zh-CN" w:bidi="ar"/>
              </w:rPr>
              <w:t>租赁配套钢瓶</w:t>
            </w:r>
          </w:p>
        </w:tc>
        <w:tc>
          <w:tcPr>
            <w:tcW w:w="2320" w:type="dxa"/>
            <w:shd w:val="clear" w:color="auto" w:fill="auto"/>
            <w:vAlign w:val="center"/>
          </w:tcPr>
          <w:p>
            <w:pPr>
              <w:keepNext w:val="0"/>
              <w:keepLines w:val="0"/>
              <w:widowControl/>
              <w:suppressLineNumbers w:val="0"/>
              <w:shd w:val="clear"/>
              <w:spacing w:before="0" w:beforeAutospacing="0" w:after="0" w:afterAutospacing="0"/>
              <w:ind w:left="0" w:leftChars="0" w:right="0" w:rightChars="0"/>
              <w:jc w:val="center"/>
              <w:textAlignment w:val="center"/>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000000"/>
                <w:kern w:val="0"/>
                <w:szCs w:val="24"/>
                <w:highlight w:val="none"/>
                <w:u w:val="none"/>
                <w:lang w:val="en-US" w:eastAsia="zh-CN" w:bidi="ar"/>
              </w:rPr>
              <w:t>钢瓶符合相关国家和行业标准</w:t>
            </w:r>
          </w:p>
        </w:tc>
        <w:tc>
          <w:tcPr>
            <w:tcW w:w="991" w:type="pct"/>
            <w:shd w:val="clear" w:color="auto" w:fill="auto"/>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color w:val="auto"/>
                <w:sz w:val="24"/>
                <w:szCs w:val="24"/>
                <w:highlight w:val="none"/>
                <w:lang w:val="en-US" w:eastAsia="zh-CN" w:bidi="ar"/>
              </w:rPr>
            </w:pPr>
          </w:p>
        </w:tc>
        <w:tc>
          <w:tcPr>
            <w:tcW w:w="808" w:type="pct"/>
          </w:tcPr>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rPr>
            </w:pPr>
          </w:p>
        </w:tc>
        <w:tc>
          <w:tcPr>
            <w:tcW w:w="577" w:type="pct"/>
          </w:tcPr>
          <w:p>
            <w:pPr>
              <w:keepNext w:val="0"/>
              <w:keepLines w:val="0"/>
              <w:widowControl/>
              <w:suppressLineNumbers w:val="0"/>
              <w:shd w:val="clear"/>
              <w:spacing w:before="0" w:beforeAutospacing="0" w:after="0" w:afterAutospacing="0"/>
              <w:ind w:left="0" w:right="0"/>
              <w:rPr>
                <w:rFonts w:hint="eastAsia" w:ascii="仿宋" w:hAnsi="仿宋" w:eastAsia="仿宋" w:cs="仿宋"/>
                <w:sz w:val="24"/>
                <w:szCs w:val="24"/>
                <w:highlight w:val="none"/>
              </w:rPr>
            </w:pPr>
          </w:p>
        </w:tc>
      </w:tr>
    </w:tbl>
    <w:p>
      <w:pPr>
        <w:numPr>
          <w:ilvl w:val="0"/>
          <w:numId w:val="0"/>
        </w:numPr>
        <w:shd w:val="clear"/>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注：1.“投标技术响应”一栏必须一一对照“招标技术要求”，详细填写投标人自身投标货物的具体参数，而不能不合理照搬照抄招标文件的技术要求，以体现具体响应情况。</w:t>
      </w:r>
    </w:p>
    <w:p>
      <w:pPr>
        <w:numPr>
          <w:ilvl w:val="0"/>
          <w:numId w:val="0"/>
        </w:numPr>
        <w:shd w:val="clea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2.“偏离情况”一栏填写如实填写“正偏离”、“负偏离”或“无偏离”，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w:t>
      </w:r>
    </w:p>
    <w:p>
      <w:pPr>
        <w:numPr>
          <w:ilvl w:val="0"/>
          <w:numId w:val="0"/>
        </w:numPr>
        <w:shd w:val="clea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3.未要求提供证明资料的招标技术要求，可以不提供证明资料（如实响应即可）。</w:t>
      </w:r>
    </w:p>
    <w:p>
      <w:pPr>
        <w:numPr>
          <w:ilvl w:val="0"/>
          <w:numId w:val="0"/>
        </w:numPr>
        <w:shd w:val="clear"/>
        <w:ind w:firstLine="482" w:firstLineChars="200"/>
        <w:jc w:val="both"/>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4.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pPr>
        <w:numPr>
          <w:ilvl w:val="0"/>
          <w:numId w:val="0"/>
        </w:numPr>
        <w:shd w:val="clear"/>
        <w:jc w:val="both"/>
        <w:rPr>
          <w:rFonts w:hint="eastAsia" w:ascii="仿宋" w:hAnsi="仿宋" w:eastAsia="仿宋" w:cs="仿宋"/>
          <w:b/>
          <w:sz w:val="24"/>
          <w:highlight w:val="none"/>
          <w:lang w:val="en-US" w:eastAsia="zh-CN"/>
        </w:rPr>
      </w:pPr>
    </w:p>
    <w:p>
      <w:pPr>
        <w:shd w:val="clear"/>
        <w:adjustRightInd w:val="0"/>
        <w:snapToGrid w:val="0"/>
        <w:spacing w:line="300" w:lineRule="auto"/>
        <w:ind w:firstLine="537" w:firstLineChars="224"/>
        <w:rPr>
          <w:rFonts w:hint="eastAsia" w:ascii="仿宋" w:hAnsi="仿宋" w:eastAsia="仿宋" w:cs="仿宋"/>
          <w:sz w:val="24"/>
          <w:highlight w:val="none"/>
        </w:rPr>
      </w:pPr>
    </w:p>
    <w:p>
      <w:pPr>
        <w:shd w:val="clear"/>
        <w:outlineLvl w:val="2"/>
        <w:rPr>
          <w:rFonts w:hint="eastAsia" w:ascii="仿宋" w:hAnsi="仿宋" w:eastAsia="仿宋" w:cs="仿宋"/>
          <w:b/>
          <w:sz w:val="24"/>
          <w:highlight w:val="none"/>
          <w:lang w:val="en-US" w:eastAsia="zh-CN"/>
        </w:rPr>
      </w:pPr>
    </w:p>
    <w:p>
      <w:pPr>
        <w:shd w:val="clear"/>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br w:type="page"/>
      </w:r>
    </w:p>
    <w:p>
      <w:pPr>
        <w:shd w:val="clea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八、合同条款及格式</w:t>
      </w:r>
    </w:p>
    <w:p>
      <w:pPr>
        <w:keepNext w:val="0"/>
        <w:keepLines w:val="0"/>
        <w:pageBreakBefore w:val="0"/>
        <w:widowControl w:val="0"/>
        <w:shd w:val="clear"/>
        <w:spacing w:after="95" w:line="559" w:lineRule="exact"/>
        <w:jc w:val="center"/>
        <w:rPr>
          <w:rFonts w:hint="eastAsia" w:ascii="仿宋" w:hAnsi="仿宋" w:eastAsia="仿宋" w:cs="仿宋"/>
          <w:b/>
          <w:bCs/>
          <w:kern w:val="2"/>
          <w:sz w:val="24"/>
          <w:szCs w:val="24"/>
          <w:highlight w:val="none"/>
        </w:rPr>
      </w:pPr>
      <w:r>
        <w:rPr>
          <w:rFonts w:hint="eastAsia" w:ascii="仿宋" w:hAnsi="仿宋" w:eastAsia="仿宋" w:cs="仿宋"/>
          <w:b/>
          <w:bCs/>
          <w:kern w:val="2"/>
          <w:sz w:val="24"/>
          <w:szCs w:val="24"/>
          <w:highlight w:val="none"/>
        </w:rPr>
        <w:t>（仅供参考，具体以项目需求及采购结果为准）</w:t>
      </w:r>
    </w:p>
    <w:p>
      <w:pPr>
        <w:shd w:val="clear"/>
        <w:jc w:val="right"/>
        <w:rPr>
          <w:rFonts w:hint="eastAsia" w:ascii="宋体" w:hAnsi="宋体"/>
          <w:szCs w:val="21"/>
          <w:highlight w:val="none"/>
        </w:rPr>
      </w:pPr>
    </w:p>
    <w:p>
      <w:pPr>
        <w:shd w:val="clear"/>
        <w:jc w:val="right"/>
        <w:rPr>
          <w:rFonts w:ascii="宋体" w:hAnsi="宋体" w:cs="宋体"/>
          <w:sz w:val="24"/>
          <w:highlight w:val="none"/>
        </w:rPr>
      </w:pPr>
      <w:r>
        <w:rPr>
          <w:rFonts w:hint="eastAsia" w:ascii="宋体" w:hAnsi="宋体"/>
          <w:szCs w:val="21"/>
          <w:highlight w:val="none"/>
        </w:rPr>
        <w:t>合同编号：</w:t>
      </w:r>
      <w:r>
        <w:rPr>
          <w:rFonts w:hint="eastAsia" w:ascii="宋体" w:hAnsi="宋体" w:cs="宋体"/>
          <w:sz w:val="24"/>
          <w:highlight w:val="none"/>
        </w:rPr>
        <w:t>YZB202XXXXXXXXX</w:t>
      </w:r>
    </w:p>
    <w:p>
      <w:pPr>
        <w:shd w:val="clear"/>
        <w:jc w:val="center"/>
        <w:rPr>
          <w:rFonts w:hint="eastAsia" w:ascii="宋体" w:hAnsi="宋体"/>
          <w:b/>
          <w:bCs/>
          <w:szCs w:val="21"/>
          <w:highlight w:val="none"/>
          <w:u w:val="single"/>
        </w:rPr>
      </w:pPr>
      <w:r>
        <w:rPr>
          <w:rFonts w:hint="eastAsia" w:ascii="宋体" w:hAnsi="宋体"/>
          <w:b/>
          <w:bCs/>
          <w:sz w:val="32"/>
          <w:szCs w:val="32"/>
          <w:highlight w:val="none"/>
        </w:rPr>
        <w:t>深圳市龙岗中心医院</w:t>
      </w:r>
    </w:p>
    <w:p>
      <w:pPr>
        <w:shd w:val="clear"/>
        <w:jc w:val="center"/>
        <w:rPr>
          <w:rFonts w:ascii="宋体" w:hAnsi="宋体"/>
          <w:b/>
          <w:sz w:val="36"/>
          <w:szCs w:val="36"/>
          <w:highlight w:val="none"/>
        </w:rPr>
      </w:pPr>
      <w:r>
        <w:rPr>
          <w:rFonts w:hint="eastAsia" w:ascii="宋体" w:hAnsi="宋体"/>
          <w:b/>
          <w:sz w:val="36"/>
          <w:szCs w:val="36"/>
          <w:highlight w:val="none"/>
        </w:rPr>
        <w:t>医用材料及器械采购合同</w:t>
      </w:r>
    </w:p>
    <w:p>
      <w:pPr>
        <w:shd w:val="clear"/>
        <w:rPr>
          <w:rFonts w:hint="eastAsia" w:ascii="宋体" w:hAnsi="宋体"/>
          <w:szCs w:val="21"/>
          <w:highlight w:val="none"/>
        </w:rPr>
      </w:pPr>
      <w:r>
        <w:rPr>
          <w:rFonts w:hint="eastAsia" w:ascii="宋体" w:hAnsi="宋体"/>
          <w:szCs w:val="21"/>
          <w:highlight w:val="none"/>
        </w:rPr>
        <w:t>甲方（采购单位）：深圳市龙岗中心医院</w:t>
      </w:r>
    </w:p>
    <w:p>
      <w:pPr>
        <w:shd w:val="clear"/>
        <w:tabs>
          <w:tab w:val="center" w:pos="4156"/>
        </w:tabs>
        <w:rPr>
          <w:rFonts w:hint="eastAsia" w:ascii="宋体" w:hAnsi="宋体"/>
          <w:szCs w:val="21"/>
          <w:highlight w:val="none"/>
        </w:rPr>
      </w:pPr>
      <w:r>
        <w:rPr>
          <w:rFonts w:hint="eastAsia" w:ascii="宋体" w:hAnsi="宋体"/>
          <w:szCs w:val="21"/>
          <w:highlight w:val="none"/>
        </w:rPr>
        <w:t>乙方（供货单位）：</w:t>
      </w:r>
      <w:r>
        <w:rPr>
          <w:rFonts w:hint="eastAsia" w:ascii="宋体" w:hAnsi="宋体"/>
          <w:szCs w:val="21"/>
          <w:highlight w:val="none"/>
          <w:u w:val="single"/>
        </w:rPr>
        <w:t xml:space="preserve">               公司</w:t>
      </w:r>
    </w:p>
    <w:p>
      <w:pPr>
        <w:shd w:val="clear"/>
        <w:ind w:firstLine="480" w:firstLineChars="200"/>
        <w:rPr>
          <w:rFonts w:hint="eastAsia" w:ascii="宋体" w:hAnsi="宋体"/>
          <w:szCs w:val="21"/>
          <w:highlight w:val="none"/>
        </w:rPr>
      </w:pPr>
      <w:r>
        <w:rPr>
          <w:rFonts w:hint="eastAsia" w:ascii="宋体" w:hAnsi="宋体"/>
          <w:szCs w:val="21"/>
          <w:highlight w:val="none"/>
        </w:rPr>
        <w:t>甲、乙双方根据</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日在</w:t>
      </w:r>
      <w:r>
        <w:rPr>
          <w:rFonts w:hint="eastAsia" w:ascii="宋体" w:hAnsi="宋体"/>
          <w:szCs w:val="21"/>
          <w:highlight w:val="none"/>
          <w:u w:val="single"/>
        </w:rPr>
        <w:t xml:space="preserve">           </w:t>
      </w:r>
      <w:r>
        <w:rPr>
          <w:rFonts w:hint="eastAsia" w:ascii="宋体" w:hAnsi="宋体"/>
          <w:szCs w:val="21"/>
          <w:highlight w:val="none"/>
        </w:rPr>
        <w:t>遴选的结果，达成购销合同：</w:t>
      </w:r>
    </w:p>
    <w:p>
      <w:pPr>
        <w:shd w:val="clear"/>
        <w:ind w:firstLine="482" w:firstLineChars="200"/>
        <w:rPr>
          <w:rFonts w:hint="eastAsia" w:ascii="宋体" w:hAnsi="宋体"/>
          <w:szCs w:val="21"/>
          <w:highlight w:val="none"/>
        </w:rPr>
      </w:pPr>
      <w:r>
        <w:rPr>
          <w:rFonts w:hint="eastAsia" w:ascii="宋体" w:hAnsi="宋体"/>
          <w:b/>
          <w:szCs w:val="21"/>
          <w:highlight w:val="none"/>
        </w:rPr>
        <w:t>一、甲方采购的医用材料或器械（产品价格表详见附件三）</w:t>
      </w:r>
    </w:p>
    <w:p>
      <w:pPr>
        <w:shd w:val="clear"/>
        <w:spacing w:line="360" w:lineRule="exact"/>
        <w:ind w:firstLine="480" w:firstLineChars="200"/>
        <w:rPr>
          <w:rFonts w:hint="eastAsia" w:ascii="宋体" w:hAnsi="宋体"/>
          <w:szCs w:val="21"/>
          <w:highlight w:val="none"/>
          <w:u w:val="single"/>
        </w:rPr>
      </w:pPr>
      <w:r>
        <w:rPr>
          <w:rFonts w:hint="eastAsia" w:ascii="宋体" w:hAnsi="宋体"/>
          <w:szCs w:val="21"/>
          <w:highlight w:val="none"/>
        </w:rPr>
        <w:t>项目：</w:t>
      </w:r>
      <w:r>
        <w:rPr>
          <w:rFonts w:hint="eastAsia" w:ascii="宋体" w:hAnsi="宋体"/>
          <w:szCs w:val="21"/>
          <w:highlight w:val="none"/>
          <w:u w:val="single"/>
        </w:rPr>
        <w:t xml:space="preserve"> XXXXXXXXX</w:t>
      </w:r>
    </w:p>
    <w:p>
      <w:pPr>
        <w:shd w:val="clear"/>
        <w:spacing w:line="360" w:lineRule="exact"/>
        <w:ind w:firstLine="480" w:firstLineChars="200"/>
        <w:rPr>
          <w:rFonts w:ascii="宋体" w:hAnsi="宋体"/>
          <w:szCs w:val="21"/>
          <w:highlight w:val="none"/>
        </w:rPr>
      </w:pPr>
      <w:r>
        <w:rPr>
          <w:rFonts w:hint="eastAsia" w:ascii="宋体" w:hAnsi="宋体"/>
          <w:szCs w:val="21"/>
          <w:highlight w:val="none"/>
        </w:rPr>
        <w:t>品牌：见产品价格表</w:t>
      </w:r>
    </w:p>
    <w:p>
      <w:pPr>
        <w:shd w:val="clear"/>
        <w:spacing w:line="360" w:lineRule="exact"/>
        <w:ind w:firstLine="420"/>
        <w:rPr>
          <w:rFonts w:hint="eastAsia" w:ascii="宋体" w:hAnsi="宋体"/>
          <w:szCs w:val="21"/>
          <w:highlight w:val="none"/>
        </w:rPr>
      </w:pPr>
      <w:r>
        <w:rPr>
          <w:rFonts w:hint="eastAsia" w:ascii="宋体" w:hAnsi="宋体"/>
          <w:szCs w:val="21"/>
          <w:highlight w:val="none"/>
        </w:rPr>
        <w:t>规格：见产品价格表</w:t>
      </w:r>
    </w:p>
    <w:p>
      <w:pPr>
        <w:shd w:val="clear"/>
        <w:spacing w:line="360" w:lineRule="exact"/>
        <w:ind w:firstLine="480" w:firstLineChars="200"/>
        <w:rPr>
          <w:rFonts w:hint="eastAsia" w:ascii="宋体" w:hAnsi="宋体"/>
          <w:szCs w:val="21"/>
          <w:highlight w:val="none"/>
        </w:rPr>
      </w:pPr>
      <w:r>
        <w:rPr>
          <w:rFonts w:hint="eastAsia" w:ascii="宋体" w:hAnsi="宋体"/>
          <w:szCs w:val="21"/>
          <w:highlight w:val="none"/>
        </w:rPr>
        <w:t>价格：见产品价格表</w:t>
      </w:r>
    </w:p>
    <w:p>
      <w:pPr>
        <w:shd w:val="clear"/>
        <w:ind w:firstLine="482" w:firstLineChars="200"/>
        <w:rPr>
          <w:rFonts w:hint="eastAsia" w:ascii="宋体" w:hAnsi="宋体"/>
          <w:b/>
          <w:szCs w:val="21"/>
          <w:highlight w:val="none"/>
        </w:rPr>
      </w:pPr>
      <w:r>
        <w:rPr>
          <w:rFonts w:hint="eastAsia" w:ascii="宋体" w:hAnsi="宋体"/>
          <w:b/>
          <w:szCs w:val="21"/>
          <w:highlight w:val="none"/>
        </w:rPr>
        <w:t>二、质量保证</w:t>
      </w:r>
    </w:p>
    <w:p>
      <w:pPr>
        <w:shd w:val="clear"/>
        <w:ind w:firstLine="480" w:firstLineChars="200"/>
        <w:rPr>
          <w:rFonts w:hint="eastAsia" w:ascii="宋体" w:hAnsi="宋体"/>
          <w:szCs w:val="21"/>
          <w:highlight w:val="none"/>
        </w:rPr>
      </w:pPr>
      <w:r>
        <w:rPr>
          <w:rFonts w:hint="eastAsia" w:ascii="宋体" w:hAnsi="宋体"/>
          <w:szCs w:val="21"/>
          <w:highlight w:val="none"/>
        </w:rPr>
        <w:t>1、乙方保证合同期内中标公司和中标产品资质的合法性，按照甲方要求提供完备的资质证件。</w:t>
      </w:r>
    </w:p>
    <w:p>
      <w:pPr>
        <w:shd w:val="clear"/>
        <w:ind w:firstLine="480" w:firstLineChars="200"/>
        <w:rPr>
          <w:rFonts w:hint="eastAsia" w:ascii="宋体" w:hAnsi="宋体"/>
          <w:szCs w:val="21"/>
          <w:highlight w:val="none"/>
        </w:rPr>
      </w:pPr>
      <w:r>
        <w:rPr>
          <w:rFonts w:hint="eastAsia" w:ascii="宋体" w:hAnsi="宋体"/>
          <w:szCs w:val="21"/>
          <w:highlight w:val="none"/>
        </w:rPr>
        <w:t>2、乙方按合同交付的产品质量必须符合国家有关质量标准或具有有关质检部门出具的产品检验合格证明，必须满足招标文件及技术参数要求，以确保临床使用安全有效。</w:t>
      </w:r>
    </w:p>
    <w:p>
      <w:pPr>
        <w:shd w:val="clear"/>
        <w:ind w:firstLine="480" w:firstLineChars="200"/>
        <w:rPr>
          <w:rFonts w:hint="eastAsia" w:ascii="宋体" w:hAnsi="宋体"/>
          <w:szCs w:val="21"/>
          <w:highlight w:val="none"/>
        </w:rPr>
      </w:pPr>
      <w:r>
        <w:rPr>
          <w:rFonts w:hint="eastAsia" w:ascii="宋体" w:hAnsi="宋体"/>
          <w:szCs w:val="21"/>
          <w:highlight w:val="none"/>
        </w:rPr>
        <w:t>3、有效期内出现质量问题或在临床使用过程中出现因质量问题引起的纠纷，由乙方承担相应责任，并无条件退货。</w:t>
      </w:r>
    </w:p>
    <w:p>
      <w:pPr>
        <w:shd w:val="clear"/>
        <w:ind w:firstLine="480" w:firstLineChars="200"/>
        <w:rPr>
          <w:rFonts w:ascii="宋体" w:hAnsi="宋体"/>
          <w:szCs w:val="21"/>
          <w:highlight w:val="none"/>
        </w:rPr>
      </w:pPr>
      <w:r>
        <w:rPr>
          <w:rFonts w:hint="eastAsia" w:ascii="宋体" w:hAnsi="宋体"/>
          <w:szCs w:val="21"/>
          <w:highlight w:val="none"/>
        </w:rPr>
        <w:t>4、甲方如怀疑产品存在质量问题，由专业部门或人员进行鉴定，认定存在质量问题或成交产品与申报时所作的承诺不一致时，有权选择替代产品。因此产生的额外费用由乙方承担。</w:t>
      </w:r>
    </w:p>
    <w:p>
      <w:pPr>
        <w:shd w:val="clear"/>
        <w:tabs>
          <w:tab w:val="left" w:pos="360"/>
        </w:tabs>
        <w:ind w:firstLine="480" w:firstLineChars="200"/>
        <w:rPr>
          <w:rFonts w:ascii="宋体" w:hAnsi="宋体"/>
          <w:szCs w:val="21"/>
          <w:highlight w:val="none"/>
        </w:rPr>
      </w:pPr>
      <w:r>
        <w:rPr>
          <w:rFonts w:hint="eastAsia" w:ascii="宋体" w:hAnsi="宋体"/>
          <w:szCs w:val="21"/>
          <w:highlight w:val="none"/>
        </w:rPr>
        <w:t>5、试剂类产品，根据试剂的不同，至少应有6个月的有效期。有效期内出现质量问题，乙方承担相应责任，无条件退货。</w:t>
      </w:r>
    </w:p>
    <w:p>
      <w:pPr>
        <w:shd w:val="clear"/>
        <w:tabs>
          <w:tab w:val="left" w:pos="360"/>
        </w:tabs>
        <w:ind w:firstLine="480" w:firstLineChars="200"/>
        <w:rPr>
          <w:rFonts w:hint="eastAsia" w:ascii="宋体" w:hAnsi="宋体"/>
          <w:szCs w:val="21"/>
          <w:highlight w:val="none"/>
        </w:rPr>
      </w:pPr>
      <w:r>
        <w:rPr>
          <w:rFonts w:ascii="宋体" w:hAnsi="宋体"/>
          <w:bCs/>
          <w:szCs w:val="21"/>
          <w:highlight w:val="none"/>
        </w:rPr>
        <w:t>6</w:t>
      </w:r>
      <w:r>
        <w:rPr>
          <w:rFonts w:hint="eastAsia" w:ascii="宋体" w:hAnsi="宋体"/>
          <w:bCs/>
          <w:szCs w:val="21"/>
          <w:highlight w:val="none"/>
        </w:rPr>
        <w:t>、试剂要定期（一年至少2次）免费提供产品质量保证的文件（不限于校准报告，包括准确性、精密度、特异性、稳定性、与上级医院实验室比对报告等证明试验结果可靠性的文件）；仪器（试剂）免费升级或做其他处理（保养维修等）后，要有文件证明质量保证。</w:t>
      </w:r>
    </w:p>
    <w:p>
      <w:pPr>
        <w:shd w:val="clear"/>
        <w:ind w:firstLine="472" w:firstLineChars="196"/>
        <w:rPr>
          <w:rFonts w:hint="eastAsia" w:ascii="宋体" w:hAnsi="宋体"/>
          <w:b/>
          <w:bCs/>
          <w:szCs w:val="21"/>
          <w:highlight w:val="none"/>
        </w:rPr>
      </w:pPr>
      <w:r>
        <w:rPr>
          <w:rFonts w:hint="eastAsia" w:ascii="宋体" w:hAnsi="宋体"/>
          <w:b/>
          <w:szCs w:val="21"/>
          <w:highlight w:val="none"/>
        </w:rPr>
        <w:t>三、</w:t>
      </w:r>
      <w:r>
        <w:rPr>
          <w:rFonts w:hint="eastAsia" w:ascii="宋体" w:hAnsi="宋体"/>
          <w:b/>
          <w:bCs/>
          <w:szCs w:val="21"/>
          <w:highlight w:val="none"/>
        </w:rPr>
        <w:t>专利</w:t>
      </w:r>
    </w:p>
    <w:p>
      <w:pPr>
        <w:shd w:val="clear"/>
        <w:ind w:firstLine="482"/>
        <w:rPr>
          <w:rFonts w:hint="eastAsia" w:ascii="宋体" w:hAnsi="宋体"/>
          <w:bCs/>
          <w:szCs w:val="21"/>
          <w:highlight w:val="none"/>
        </w:rPr>
      </w:pPr>
      <w:r>
        <w:rPr>
          <w:rFonts w:hint="eastAsia" w:ascii="宋体" w:hAnsi="宋体"/>
          <w:bCs/>
          <w:szCs w:val="21"/>
          <w:highlight w:val="none"/>
        </w:rPr>
        <w:t>乙方应保证甲方在使用成交产品时，不受第三方提出的侵犯其专利权、商标权或保护期的起诉。</w:t>
      </w:r>
    </w:p>
    <w:p>
      <w:pPr>
        <w:shd w:val="clear"/>
        <w:ind w:firstLine="472" w:firstLineChars="196"/>
        <w:rPr>
          <w:rFonts w:hint="eastAsia" w:ascii="宋体" w:hAnsi="宋体"/>
          <w:b/>
          <w:bCs/>
          <w:szCs w:val="21"/>
          <w:highlight w:val="none"/>
        </w:rPr>
      </w:pPr>
      <w:r>
        <w:rPr>
          <w:rFonts w:hint="eastAsia" w:ascii="宋体" w:hAnsi="宋体"/>
          <w:b/>
          <w:bCs/>
          <w:szCs w:val="21"/>
          <w:highlight w:val="none"/>
        </w:rPr>
        <w:t>四、包装</w:t>
      </w:r>
    </w:p>
    <w:p>
      <w:pPr>
        <w:shd w:val="clear"/>
        <w:ind w:firstLine="480" w:firstLineChars="200"/>
        <w:rPr>
          <w:rFonts w:hint="eastAsia" w:ascii="宋体" w:hAnsi="宋体"/>
          <w:bCs/>
          <w:szCs w:val="21"/>
          <w:highlight w:val="none"/>
        </w:rPr>
      </w:pPr>
      <w:r>
        <w:rPr>
          <w:rFonts w:hint="eastAsia" w:ascii="宋体" w:hAnsi="宋体"/>
          <w:bCs/>
          <w:szCs w:val="21"/>
          <w:highlight w:val="none"/>
        </w:rPr>
        <w:t>1、除非对包装另有规定，乙方提供的全部产品均应按标准保护措施进行包装，以防止产品在转运中损坏或变质，确保产品安全无损运抵指定地点。</w:t>
      </w:r>
    </w:p>
    <w:p>
      <w:pPr>
        <w:shd w:val="clear"/>
        <w:ind w:firstLine="480"/>
        <w:rPr>
          <w:rFonts w:hint="eastAsia" w:ascii="宋体" w:hAnsi="宋体"/>
          <w:bCs/>
          <w:szCs w:val="21"/>
          <w:highlight w:val="none"/>
        </w:rPr>
      </w:pPr>
      <w:r>
        <w:rPr>
          <w:rFonts w:hint="eastAsia" w:ascii="宋体" w:hAnsi="宋体"/>
          <w:bCs/>
          <w:szCs w:val="21"/>
          <w:highlight w:val="none"/>
        </w:rPr>
        <w:t>2、每一个包装箱内应附一份详细装箱单和质量检验报告书、产品合格证、包装、标记和包装箱内外的单据应符合合同的要求，包括甲方后来提出的特殊要求。</w:t>
      </w:r>
    </w:p>
    <w:p>
      <w:pPr>
        <w:shd w:val="clear"/>
        <w:ind w:firstLine="480"/>
        <w:rPr>
          <w:rFonts w:ascii="宋体" w:hAnsi="宋体"/>
          <w:bCs/>
          <w:szCs w:val="21"/>
          <w:highlight w:val="none"/>
        </w:rPr>
      </w:pPr>
      <w:r>
        <w:rPr>
          <w:rFonts w:hint="eastAsia" w:ascii="宋体" w:hAnsi="宋体"/>
          <w:bCs/>
          <w:szCs w:val="21"/>
          <w:highlight w:val="none"/>
        </w:rPr>
        <w:t>3、产品包装上（包括大包装、小包装等），必须严格按照《医疗器械说明书和标签管理规定》（国家食品药品监督管理总局令第6号）文件规定或最新法律法规规章的要求执行。</w:t>
      </w:r>
      <w:r>
        <w:rPr>
          <w:rFonts w:hint="eastAsia" w:ascii="宋体" w:hAnsi="宋体"/>
          <w:szCs w:val="21"/>
          <w:highlight w:val="none"/>
        </w:rPr>
        <w:t>验收过程发现存在问题的产品由乙方负责更换。</w:t>
      </w:r>
    </w:p>
    <w:p>
      <w:pPr>
        <w:pStyle w:val="12"/>
        <w:shd w:val="clear"/>
        <w:ind w:firstLine="474" w:firstLineChars="225"/>
        <w:rPr>
          <w:rFonts w:hint="eastAsia" w:hAnsi="宋体"/>
          <w:b/>
          <w:bCs/>
          <w:szCs w:val="21"/>
          <w:highlight w:val="none"/>
        </w:rPr>
      </w:pPr>
      <w:r>
        <w:rPr>
          <w:rFonts w:hint="eastAsia" w:hAnsi="宋体"/>
          <w:b/>
          <w:bCs/>
          <w:szCs w:val="21"/>
          <w:highlight w:val="none"/>
        </w:rPr>
        <w:t>五、发票</w:t>
      </w:r>
    </w:p>
    <w:p>
      <w:pPr>
        <w:shd w:val="clear"/>
        <w:ind w:firstLine="480" w:firstLineChars="200"/>
        <w:rPr>
          <w:rFonts w:hint="eastAsia" w:ascii="宋体" w:hAnsi="宋体"/>
          <w:szCs w:val="21"/>
          <w:highlight w:val="none"/>
        </w:rPr>
      </w:pPr>
      <w:r>
        <w:rPr>
          <w:rFonts w:hint="eastAsia" w:ascii="宋体" w:hAnsi="宋体"/>
          <w:szCs w:val="21"/>
          <w:highlight w:val="none"/>
        </w:rPr>
        <w:t>乙方在提供成交产品的同时应提供正式发票并盖发票专用章，发票上注明银行账号、公司名称、地址等，如注明具体产品名称时需与送货清单一致。</w:t>
      </w:r>
    </w:p>
    <w:p>
      <w:pPr>
        <w:pStyle w:val="12"/>
        <w:shd w:val="clear"/>
        <w:ind w:firstLine="474" w:firstLineChars="225"/>
        <w:rPr>
          <w:rFonts w:hint="eastAsia" w:hAnsi="宋体"/>
          <w:b/>
          <w:bCs/>
          <w:szCs w:val="21"/>
          <w:highlight w:val="none"/>
        </w:rPr>
      </w:pPr>
      <w:r>
        <w:rPr>
          <w:rFonts w:hint="eastAsia" w:hAnsi="宋体"/>
          <w:b/>
          <w:bCs/>
          <w:szCs w:val="21"/>
          <w:highlight w:val="none"/>
        </w:rPr>
        <w:t>六、价格与数量</w:t>
      </w:r>
    </w:p>
    <w:p>
      <w:pPr>
        <w:shd w:val="clear"/>
        <w:ind w:firstLine="480" w:firstLineChars="200"/>
        <w:rPr>
          <w:rFonts w:ascii="宋体" w:hAnsi="宋体"/>
          <w:szCs w:val="21"/>
          <w:highlight w:val="none"/>
        </w:rPr>
      </w:pPr>
      <w:r>
        <w:rPr>
          <w:rFonts w:hint="eastAsia" w:ascii="宋体" w:hAnsi="宋体"/>
          <w:bCs/>
          <w:szCs w:val="21"/>
          <w:highlight w:val="none"/>
        </w:rPr>
        <w:t>1、</w:t>
      </w:r>
      <w:r>
        <w:rPr>
          <w:rFonts w:hint="eastAsia" w:ascii="宋体" w:hAnsi="宋体"/>
          <w:szCs w:val="21"/>
          <w:highlight w:val="none"/>
        </w:rPr>
        <w:t>乙方应严格按照洽谈目录内的产品品牌、规格、价格供货，价格因市场变动降价的，乙方应及时通知甲方调价。否则导致甲方仍按原价支付的，甲方有权要求乙方补偿自降价之后产生的差价。</w:t>
      </w:r>
    </w:p>
    <w:p>
      <w:pPr>
        <w:shd w:val="clear"/>
        <w:ind w:firstLine="480" w:firstLineChars="200"/>
        <w:rPr>
          <w:rFonts w:hint="eastAsia" w:ascii="宋体" w:hAnsi="宋体"/>
          <w:bCs/>
          <w:szCs w:val="21"/>
          <w:highlight w:val="none"/>
        </w:rPr>
      </w:pPr>
      <w:r>
        <w:rPr>
          <w:rFonts w:hint="eastAsia" w:ascii="宋体" w:hAnsi="宋体"/>
          <w:bCs/>
          <w:szCs w:val="21"/>
          <w:highlight w:val="none"/>
        </w:rPr>
        <w:t>2、甲方在合同期限内向乙方按需购买成交产品。</w:t>
      </w:r>
    </w:p>
    <w:p>
      <w:pPr>
        <w:shd w:val="clear"/>
        <w:ind w:firstLine="480" w:firstLineChars="200"/>
        <w:rPr>
          <w:rFonts w:hint="eastAsia" w:ascii="宋体" w:hAnsi="宋体"/>
          <w:bCs/>
          <w:szCs w:val="21"/>
          <w:highlight w:val="none"/>
        </w:rPr>
      </w:pPr>
      <w:r>
        <w:rPr>
          <w:rFonts w:hint="eastAsia" w:ascii="宋体" w:hAnsi="宋体"/>
          <w:bCs/>
          <w:szCs w:val="21"/>
          <w:highlight w:val="none"/>
        </w:rPr>
        <w:t>3、甲方使用乙方试剂后，经过核算实际测试人次达不到</w:t>
      </w:r>
      <w:r>
        <w:rPr>
          <w:rFonts w:ascii="宋体" w:hAnsi="宋体"/>
          <w:bCs/>
          <w:szCs w:val="21"/>
          <w:highlight w:val="none"/>
        </w:rPr>
        <w:t>遴选</w:t>
      </w:r>
      <w:r>
        <w:rPr>
          <w:rFonts w:hint="eastAsia" w:ascii="宋体" w:hAnsi="宋体"/>
          <w:bCs/>
          <w:szCs w:val="21"/>
          <w:highlight w:val="none"/>
        </w:rPr>
        <w:t>时承诺的理论测试数或者实际成本高于中</w:t>
      </w:r>
      <w:r>
        <w:rPr>
          <w:rFonts w:ascii="宋体" w:hAnsi="宋体"/>
          <w:bCs/>
          <w:szCs w:val="21"/>
          <w:highlight w:val="none"/>
        </w:rPr>
        <w:t>选</w:t>
      </w:r>
      <w:r>
        <w:rPr>
          <w:rFonts w:hint="eastAsia" w:ascii="宋体" w:hAnsi="宋体"/>
          <w:bCs/>
          <w:szCs w:val="21"/>
          <w:highlight w:val="none"/>
        </w:rPr>
        <w:t>价，乙方要提供补救措施满足甲方中</w:t>
      </w:r>
      <w:r>
        <w:rPr>
          <w:rFonts w:ascii="宋体" w:hAnsi="宋体"/>
          <w:bCs/>
          <w:szCs w:val="21"/>
          <w:highlight w:val="none"/>
        </w:rPr>
        <w:t>选</w:t>
      </w:r>
      <w:r>
        <w:rPr>
          <w:rFonts w:hint="eastAsia" w:ascii="宋体" w:hAnsi="宋体"/>
          <w:bCs/>
          <w:szCs w:val="21"/>
          <w:highlight w:val="none"/>
        </w:rPr>
        <w:t>要求。</w:t>
      </w:r>
    </w:p>
    <w:p>
      <w:pPr>
        <w:shd w:val="clear"/>
        <w:ind w:firstLine="480" w:firstLineChars="200"/>
        <w:rPr>
          <w:rFonts w:hint="eastAsia" w:ascii="宋体" w:hAnsi="宋体"/>
          <w:bCs/>
          <w:szCs w:val="21"/>
          <w:highlight w:val="none"/>
        </w:rPr>
      </w:pPr>
      <w:r>
        <w:rPr>
          <w:rFonts w:hint="eastAsia" w:ascii="宋体" w:hAnsi="宋体"/>
          <w:bCs/>
          <w:szCs w:val="21"/>
          <w:highlight w:val="none"/>
        </w:rPr>
        <w:t>4、免费提供最小包装的预试验试剂，并毫无保留地提供技术支持。</w:t>
      </w:r>
    </w:p>
    <w:p>
      <w:pPr>
        <w:pStyle w:val="12"/>
        <w:shd w:val="clear"/>
        <w:ind w:firstLine="422" w:firstLineChars="200"/>
        <w:rPr>
          <w:rFonts w:hint="eastAsia" w:hAnsi="宋体"/>
          <w:b/>
          <w:bCs/>
          <w:szCs w:val="21"/>
          <w:highlight w:val="none"/>
        </w:rPr>
      </w:pPr>
      <w:r>
        <w:rPr>
          <w:rFonts w:hint="eastAsia" w:hAnsi="宋体"/>
          <w:b/>
          <w:bCs/>
          <w:szCs w:val="21"/>
          <w:highlight w:val="none"/>
        </w:rPr>
        <w:t>七、付款</w:t>
      </w:r>
    </w:p>
    <w:p>
      <w:pPr>
        <w:shd w:val="clear"/>
        <w:ind w:firstLine="570"/>
        <w:rPr>
          <w:rFonts w:hint="eastAsia" w:ascii="宋体" w:hAnsi="宋体"/>
          <w:szCs w:val="21"/>
          <w:highlight w:val="none"/>
        </w:rPr>
      </w:pPr>
      <w:r>
        <w:rPr>
          <w:rFonts w:hint="eastAsia" w:ascii="宋体" w:hAnsi="宋体"/>
          <w:szCs w:val="21"/>
          <w:highlight w:val="none"/>
        </w:rPr>
        <w:t>甲方在收到产品和有效</w:t>
      </w:r>
      <w:r>
        <w:rPr>
          <w:rFonts w:ascii="宋体" w:hAnsi="宋体"/>
          <w:szCs w:val="21"/>
          <w:highlight w:val="none"/>
        </w:rPr>
        <w:t>全额</w:t>
      </w:r>
      <w:r>
        <w:rPr>
          <w:rFonts w:hint="eastAsia" w:ascii="宋体" w:hAnsi="宋体"/>
          <w:szCs w:val="21"/>
          <w:highlight w:val="none"/>
        </w:rPr>
        <w:t>发票后</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hint="eastAsia" w:ascii="宋体" w:hAnsi="宋体"/>
          <w:szCs w:val="21"/>
          <w:highlight w:val="none"/>
        </w:rPr>
        <w:t>内以转账方式支付乙方全额货款。</w:t>
      </w:r>
    </w:p>
    <w:p>
      <w:pPr>
        <w:pStyle w:val="12"/>
        <w:shd w:val="clear"/>
        <w:ind w:firstLine="480"/>
        <w:rPr>
          <w:rFonts w:hint="eastAsia" w:hAnsi="宋体"/>
          <w:b/>
          <w:bCs/>
          <w:szCs w:val="21"/>
          <w:highlight w:val="none"/>
        </w:rPr>
      </w:pPr>
      <w:r>
        <w:rPr>
          <w:rFonts w:hint="eastAsia" w:hAnsi="宋体"/>
          <w:b/>
          <w:bCs/>
          <w:szCs w:val="21"/>
          <w:highlight w:val="none"/>
        </w:rPr>
        <w:t>八、交货</w:t>
      </w:r>
    </w:p>
    <w:p>
      <w:pPr>
        <w:shd w:val="clear"/>
        <w:ind w:firstLine="480" w:firstLineChars="200"/>
        <w:rPr>
          <w:rFonts w:hint="eastAsia" w:ascii="宋体" w:hAnsi="宋体"/>
          <w:szCs w:val="21"/>
          <w:highlight w:val="none"/>
        </w:rPr>
      </w:pPr>
      <w:r>
        <w:rPr>
          <w:rFonts w:hint="eastAsia" w:ascii="宋体" w:hAnsi="宋体"/>
          <w:bCs/>
          <w:szCs w:val="21"/>
          <w:highlight w:val="none"/>
        </w:rPr>
        <w:t>1、</w:t>
      </w:r>
      <w:r>
        <w:rPr>
          <w:rFonts w:hint="eastAsia" w:ascii="宋体" w:hAnsi="宋体"/>
          <w:szCs w:val="21"/>
          <w:highlight w:val="none"/>
        </w:rPr>
        <w:t>交货时间：甲方下单后</w:t>
      </w:r>
      <w:r>
        <w:rPr>
          <w:rFonts w:hint="eastAsia" w:ascii="宋体" w:hAnsi="宋体"/>
          <w:szCs w:val="21"/>
          <w:highlight w:val="none"/>
          <w:u w:val="single"/>
        </w:rPr>
        <w:t>　　</w:t>
      </w:r>
      <w:r>
        <w:rPr>
          <w:rFonts w:hint="eastAsia" w:ascii="宋体" w:hAnsi="宋体"/>
          <w:szCs w:val="21"/>
          <w:highlight w:val="none"/>
        </w:rPr>
        <w:t>天内，紧急下单</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rPr>
        <w:t>小时内</w:t>
      </w:r>
      <w:r>
        <w:rPr>
          <w:rFonts w:hint="eastAsia" w:ascii="宋体" w:hAnsi="宋体"/>
          <w:szCs w:val="21"/>
          <w:highlight w:val="none"/>
        </w:rPr>
        <w:t>。</w:t>
      </w:r>
    </w:p>
    <w:p>
      <w:pPr>
        <w:shd w:val="clear"/>
        <w:ind w:firstLine="480" w:firstLineChars="200"/>
        <w:rPr>
          <w:rFonts w:hint="eastAsia" w:ascii="宋体" w:hAnsi="宋体"/>
          <w:bCs/>
          <w:szCs w:val="21"/>
          <w:highlight w:val="none"/>
        </w:rPr>
      </w:pPr>
      <w:r>
        <w:rPr>
          <w:rFonts w:hint="eastAsia" w:ascii="宋体" w:hAnsi="宋体"/>
          <w:bCs/>
          <w:szCs w:val="21"/>
          <w:highlight w:val="none"/>
        </w:rPr>
        <w:t>2、交货方式：乙方负责耗材（试剂）</w:t>
      </w:r>
      <w:r>
        <w:rPr>
          <w:rFonts w:hint="eastAsia" w:ascii="宋体" w:hAnsi="宋体"/>
          <w:szCs w:val="21"/>
          <w:highlight w:val="none"/>
          <w:lang w:val="zh-CN"/>
        </w:rPr>
        <w:t>安全无损运抵</w:t>
      </w:r>
      <w:r>
        <w:rPr>
          <w:rFonts w:hint="eastAsia" w:ascii="宋体" w:hAnsi="宋体"/>
          <w:bCs/>
          <w:szCs w:val="21"/>
          <w:highlight w:val="none"/>
        </w:rPr>
        <w:t>甲方指定地点，所产生的一切费用由乙方负责。耗材（试剂）运输温度须符合产品要求，使用低温、冷藏设施设备运输和贮存，并提供运输冷链监控温度记录。</w:t>
      </w:r>
    </w:p>
    <w:p>
      <w:pPr>
        <w:shd w:val="clear"/>
        <w:ind w:firstLine="480" w:firstLineChars="200"/>
        <w:rPr>
          <w:rFonts w:hint="eastAsia" w:ascii="宋体" w:hAnsi="宋体"/>
          <w:bCs/>
          <w:szCs w:val="21"/>
          <w:highlight w:val="none"/>
        </w:rPr>
      </w:pPr>
      <w:r>
        <w:rPr>
          <w:rFonts w:hint="eastAsia" w:ascii="宋体" w:hAnsi="宋体"/>
          <w:bCs/>
          <w:szCs w:val="21"/>
          <w:highlight w:val="none"/>
        </w:rPr>
        <w:t>3、收货日期：所有货物运抵甲方（深圳市龙岗中心医院）收货地点，由乙方转交给甲方的日期为收货日期。</w:t>
      </w:r>
    </w:p>
    <w:p>
      <w:pPr>
        <w:shd w:val="clear"/>
        <w:ind w:firstLine="480" w:firstLineChars="200"/>
        <w:rPr>
          <w:rFonts w:hint="eastAsia" w:ascii="宋体" w:hAnsi="宋体"/>
          <w:szCs w:val="21"/>
          <w:highlight w:val="none"/>
        </w:rPr>
      </w:pPr>
      <w:r>
        <w:rPr>
          <w:rFonts w:hint="eastAsia" w:ascii="宋体" w:hAnsi="宋体"/>
          <w:szCs w:val="21"/>
          <w:highlight w:val="none"/>
        </w:rPr>
        <w:t>4、甲方在接收产品时，应对产品进行验货确认，对不符合合同质量、数量、包装、标识等要求的，有权拒绝接收。乙方应及时提供合格的产品，并不得影响临床使用。因甲方未及时通知乙方供应而造成的损失由甲方负责，因乙方供应不及时而造成的损失，由乙方承担相应责任。</w:t>
      </w:r>
    </w:p>
    <w:p>
      <w:pPr>
        <w:shd w:val="clear"/>
        <w:ind w:firstLine="480" w:firstLineChars="200"/>
        <w:rPr>
          <w:rFonts w:hint="eastAsia" w:ascii="宋体" w:hAnsi="宋体"/>
          <w:szCs w:val="21"/>
          <w:highlight w:val="none"/>
        </w:rPr>
      </w:pPr>
      <w:r>
        <w:rPr>
          <w:rFonts w:hint="eastAsia" w:ascii="宋体" w:hAnsi="宋体"/>
          <w:szCs w:val="21"/>
          <w:highlight w:val="none"/>
        </w:rPr>
        <w:t>5、乙方未按照采购员订单送货，甲方将不予验收，乙方承担全部责任。</w:t>
      </w:r>
    </w:p>
    <w:p>
      <w:pPr>
        <w:shd w:val="clear"/>
        <w:ind w:firstLine="480" w:firstLineChars="200"/>
        <w:rPr>
          <w:rFonts w:hint="eastAsia" w:ascii="宋体" w:hAnsi="宋体"/>
          <w:szCs w:val="21"/>
          <w:highlight w:val="none"/>
        </w:rPr>
      </w:pPr>
      <w:r>
        <w:rPr>
          <w:rFonts w:hint="eastAsia" w:ascii="宋体" w:hAnsi="宋体"/>
          <w:szCs w:val="21"/>
          <w:highlight w:val="none"/>
        </w:rPr>
        <w:t>6、随货同行清单必须严格按照注册证附件目录及产品包装上的名称、规格填写，如名称不一致时需标明；医院给出编码后需注明医院编码，否则甲方有权拒绝验收。</w:t>
      </w:r>
    </w:p>
    <w:p>
      <w:pPr>
        <w:shd w:val="clear"/>
        <w:ind w:firstLine="480" w:firstLineChars="200"/>
        <w:rPr>
          <w:rFonts w:hint="eastAsia" w:ascii="宋体" w:hAnsi="宋体"/>
          <w:szCs w:val="21"/>
          <w:highlight w:val="none"/>
        </w:rPr>
      </w:pPr>
      <w:r>
        <w:rPr>
          <w:rFonts w:hint="eastAsia" w:ascii="宋体" w:hAnsi="宋体"/>
          <w:szCs w:val="21"/>
          <w:highlight w:val="none"/>
        </w:rPr>
        <w:t>7、乙方必须提供业务员的法人委托书原件和身份证副本，变更业务员应提前</w:t>
      </w:r>
      <w:r>
        <w:rPr>
          <w:rFonts w:ascii="宋体" w:hAnsi="宋体"/>
          <w:szCs w:val="21"/>
          <w:highlight w:val="none"/>
        </w:rPr>
        <w:t>2周</w:t>
      </w:r>
      <w:r>
        <w:rPr>
          <w:rFonts w:hint="eastAsia" w:ascii="宋体" w:hAnsi="宋体"/>
          <w:szCs w:val="21"/>
          <w:highlight w:val="none"/>
        </w:rPr>
        <w:t>通知甲方并重新委托。</w:t>
      </w:r>
    </w:p>
    <w:p>
      <w:pPr>
        <w:shd w:val="clear"/>
        <w:ind w:firstLine="480" w:firstLineChars="200"/>
        <w:rPr>
          <w:rFonts w:hint="eastAsia" w:ascii="宋体" w:hAnsi="宋体"/>
          <w:szCs w:val="21"/>
          <w:highlight w:val="none"/>
        </w:rPr>
      </w:pPr>
      <w:r>
        <w:rPr>
          <w:rFonts w:hint="eastAsia" w:ascii="宋体" w:hAnsi="宋体"/>
          <w:szCs w:val="21"/>
          <w:highlight w:val="none"/>
        </w:rPr>
        <w:t>8、乙方应在交货时随附提供产品合格证明、产品技术资料、售后服务卡等所有产品相关资料。</w:t>
      </w:r>
    </w:p>
    <w:p>
      <w:pPr>
        <w:pStyle w:val="12"/>
        <w:shd w:val="clear"/>
        <w:ind w:firstLine="480"/>
        <w:rPr>
          <w:rFonts w:hint="eastAsia" w:hAnsi="宋体"/>
          <w:b/>
          <w:bCs/>
          <w:szCs w:val="21"/>
          <w:highlight w:val="none"/>
        </w:rPr>
      </w:pPr>
      <w:r>
        <w:rPr>
          <w:rFonts w:hint="eastAsia" w:hAnsi="宋体" w:cs="宋体-18030"/>
          <w:b/>
          <w:bCs/>
          <w:szCs w:val="21"/>
          <w:highlight w:val="none"/>
        </w:rPr>
        <w:t>九</w:t>
      </w:r>
      <w:r>
        <w:rPr>
          <w:rFonts w:hint="eastAsia" w:hAnsi="宋体"/>
          <w:b/>
          <w:bCs/>
          <w:szCs w:val="21"/>
          <w:highlight w:val="none"/>
        </w:rPr>
        <w:t>、伴随服务</w:t>
      </w:r>
    </w:p>
    <w:p>
      <w:pPr>
        <w:pStyle w:val="12"/>
        <w:shd w:val="clear"/>
        <w:ind w:firstLine="480"/>
        <w:rPr>
          <w:rFonts w:hint="eastAsia" w:hAnsi="宋体"/>
          <w:bCs/>
          <w:szCs w:val="21"/>
          <w:highlight w:val="none"/>
        </w:rPr>
      </w:pPr>
      <w:r>
        <w:rPr>
          <w:rFonts w:hint="eastAsia" w:hAnsi="宋体"/>
          <w:bCs/>
          <w:szCs w:val="21"/>
          <w:highlight w:val="none"/>
        </w:rPr>
        <w:t>1、乙方可能被要求提供下列服务中的一项或全部服务。</w:t>
      </w:r>
    </w:p>
    <w:p>
      <w:pPr>
        <w:shd w:val="clear"/>
        <w:ind w:firstLine="480"/>
        <w:rPr>
          <w:rFonts w:hint="eastAsia" w:ascii="宋体" w:hAnsi="宋体"/>
          <w:bCs/>
          <w:szCs w:val="21"/>
          <w:highlight w:val="none"/>
        </w:rPr>
      </w:pPr>
      <w:r>
        <w:rPr>
          <w:rFonts w:hint="eastAsia" w:ascii="宋体" w:hAnsi="宋体"/>
          <w:bCs/>
          <w:szCs w:val="21"/>
          <w:highlight w:val="none"/>
        </w:rPr>
        <w:t>1）产品的现场搬运或入库；</w:t>
      </w:r>
    </w:p>
    <w:p>
      <w:pPr>
        <w:shd w:val="clear"/>
        <w:ind w:firstLine="480"/>
        <w:rPr>
          <w:rFonts w:hint="eastAsia" w:ascii="宋体" w:hAnsi="宋体"/>
          <w:bCs/>
          <w:szCs w:val="21"/>
          <w:highlight w:val="none"/>
        </w:rPr>
      </w:pPr>
      <w:r>
        <w:rPr>
          <w:rFonts w:hint="eastAsia" w:ascii="宋体" w:hAnsi="宋体"/>
          <w:bCs/>
          <w:szCs w:val="21"/>
          <w:highlight w:val="none"/>
        </w:rPr>
        <w:t>2）提供产品开箱或分装的用具；</w:t>
      </w:r>
    </w:p>
    <w:p>
      <w:pPr>
        <w:shd w:val="clear"/>
        <w:ind w:firstLine="480"/>
        <w:rPr>
          <w:rFonts w:hint="eastAsia" w:ascii="宋体" w:hAnsi="宋体"/>
          <w:bCs/>
          <w:szCs w:val="21"/>
          <w:highlight w:val="none"/>
        </w:rPr>
      </w:pPr>
      <w:r>
        <w:rPr>
          <w:rFonts w:hint="eastAsia" w:ascii="宋体" w:hAnsi="宋体"/>
          <w:bCs/>
          <w:szCs w:val="21"/>
          <w:highlight w:val="none"/>
        </w:rPr>
        <w:t>3）对开箱时发现的破损、近效期产品或其他不合格包装产品无条件及时更换；</w:t>
      </w:r>
    </w:p>
    <w:p>
      <w:pPr>
        <w:shd w:val="clear"/>
        <w:ind w:firstLine="480" w:firstLineChars="200"/>
        <w:rPr>
          <w:rFonts w:hint="eastAsia" w:ascii="宋体" w:hAnsi="宋体"/>
          <w:bCs/>
          <w:szCs w:val="21"/>
          <w:highlight w:val="none"/>
        </w:rPr>
      </w:pPr>
      <w:r>
        <w:rPr>
          <w:rFonts w:hint="eastAsia" w:ascii="宋体" w:hAnsi="宋体"/>
          <w:bCs/>
          <w:szCs w:val="21"/>
          <w:highlight w:val="none"/>
        </w:rPr>
        <w:t>4）在甲方指定地点为所供产品的临床应用进行现场讲解或培训；</w:t>
      </w:r>
    </w:p>
    <w:p>
      <w:pPr>
        <w:shd w:val="clear"/>
        <w:ind w:firstLine="480" w:firstLineChars="200"/>
        <w:rPr>
          <w:rFonts w:hint="eastAsia" w:ascii="宋体" w:hAnsi="宋体"/>
          <w:bCs/>
          <w:szCs w:val="21"/>
          <w:highlight w:val="none"/>
        </w:rPr>
      </w:pPr>
      <w:r>
        <w:rPr>
          <w:rFonts w:hint="eastAsia" w:ascii="宋体" w:hAnsi="宋体"/>
          <w:bCs/>
          <w:szCs w:val="21"/>
          <w:highlight w:val="none"/>
        </w:rPr>
        <w:t>5)</w:t>
      </w:r>
      <w:r>
        <w:rPr>
          <w:rFonts w:hint="eastAsia" w:ascii="宋体" w:hAnsi="宋体"/>
          <w:szCs w:val="21"/>
          <w:highlight w:val="none"/>
        </w:rPr>
        <w:t>乙方承诺：在合同期内对甲方使用乙方中标产品配套使用的设备，中标产品为专机专用耗材（试剂），乙方负责维保维修，并提供所需更换的配件。乙方保证提供24小时技术支持。</w:t>
      </w:r>
    </w:p>
    <w:p>
      <w:pPr>
        <w:shd w:val="clear"/>
        <w:ind w:firstLine="480"/>
        <w:rPr>
          <w:rFonts w:hint="eastAsia" w:ascii="宋体" w:hAnsi="宋体"/>
          <w:bCs/>
          <w:szCs w:val="21"/>
          <w:highlight w:val="none"/>
        </w:rPr>
      </w:pPr>
      <w:r>
        <w:rPr>
          <w:rFonts w:hint="eastAsia" w:ascii="宋体" w:hAnsi="宋体"/>
          <w:bCs/>
          <w:szCs w:val="21"/>
          <w:highlight w:val="none"/>
        </w:rPr>
        <w:t>6）其他乙方应提供的相关服务项目。</w:t>
      </w:r>
    </w:p>
    <w:p>
      <w:pPr>
        <w:shd w:val="clear"/>
        <w:ind w:firstLine="480"/>
        <w:rPr>
          <w:rFonts w:hint="eastAsia" w:ascii="宋体" w:hAnsi="宋体"/>
          <w:bCs/>
          <w:szCs w:val="21"/>
          <w:highlight w:val="none"/>
        </w:rPr>
      </w:pPr>
      <w:r>
        <w:rPr>
          <w:rFonts w:hint="eastAsia" w:ascii="宋体" w:hAnsi="宋体"/>
          <w:bCs/>
          <w:szCs w:val="21"/>
          <w:highlight w:val="none"/>
        </w:rPr>
        <w:t>2、乙方应具备解决紧急问题的能力，如甲方在使用货物的过程中发现问题，乙方应及时到甲方现场解决。乙方下单后需及时送货，不得无故推迟。</w:t>
      </w:r>
    </w:p>
    <w:p>
      <w:pPr>
        <w:shd w:val="clear"/>
        <w:ind w:firstLine="477" w:firstLineChars="198"/>
        <w:rPr>
          <w:rFonts w:hint="eastAsia" w:ascii="宋体" w:hAnsi="宋体"/>
          <w:b/>
          <w:szCs w:val="21"/>
          <w:highlight w:val="none"/>
        </w:rPr>
      </w:pPr>
      <w:r>
        <w:rPr>
          <w:rFonts w:hint="eastAsia" w:ascii="宋体" w:hAnsi="宋体"/>
          <w:b/>
          <w:szCs w:val="21"/>
          <w:highlight w:val="none"/>
        </w:rPr>
        <w:t>十、</w:t>
      </w:r>
      <w:r>
        <w:rPr>
          <w:rFonts w:hint="eastAsia" w:ascii="宋体" w:hAnsi="宋体"/>
          <w:b/>
          <w:bCs/>
          <w:szCs w:val="21"/>
          <w:highlight w:val="none"/>
        </w:rPr>
        <w:t>违约责任</w:t>
      </w:r>
    </w:p>
    <w:p>
      <w:pPr>
        <w:shd w:val="clear"/>
        <w:ind w:firstLine="480" w:firstLineChars="200"/>
        <w:rPr>
          <w:rFonts w:hint="eastAsia" w:ascii="宋体" w:hAnsi="宋体"/>
          <w:szCs w:val="21"/>
          <w:highlight w:val="none"/>
        </w:rPr>
      </w:pPr>
      <w:r>
        <w:rPr>
          <w:rFonts w:hint="eastAsia" w:ascii="宋体" w:hAnsi="宋体"/>
          <w:szCs w:val="21"/>
          <w:highlight w:val="none"/>
        </w:rPr>
        <w:t>1、乙方应按照其承诺的时间和合同中规定的时间，配送产品并提供伴随服务。</w:t>
      </w:r>
    </w:p>
    <w:p>
      <w:pPr>
        <w:shd w:val="clear"/>
        <w:ind w:firstLine="472" w:firstLineChars="200"/>
        <w:rPr>
          <w:rFonts w:hint="eastAsia" w:ascii="宋体" w:hAnsi="宋体"/>
          <w:spacing w:val="-2"/>
          <w:szCs w:val="21"/>
          <w:highlight w:val="none"/>
        </w:rPr>
      </w:pPr>
      <w:r>
        <w:rPr>
          <w:rFonts w:hint="eastAsia" w:ascii="宋体" w:hAnsi="宋体"/>
          <w:spacing w:val="-2"/>
          <w:szCs w:val="21"/>
          <w:highlight w:val="none"/>
        </w:rPr>
        <w:t>2、在履行合同的过程中，如乙方遇到妨碍按时配送产品和提供伴随服务的情况时，应及时以书面形式将拖延的事实、可能拖延的时间和原因通知甲方。甲方收到乙方通知后，应尽快对情况进行核实，并由甲方确定是否酌情延长交货时间以及是否收取违约金或终止合同。</w:t>
      </w:r>
    </w:p>
    <w:p>
      <w:pPr>
        <w:shd w:val="clear"/>
        <w:ind w:firstLine="480" w:firstLineChars="200"/>
        <w:rPr>
          <w:rFonts w:hint="eastAsia" w:ascii="宋体" w:hAnsi="宋体"/>
          <w:szCs w:val="21"/>
          <w:highlight w:val="none"/>
        </w:rPr>
      </w:pPr>
      <w:r>
        <w:rPr>
          <w:rFonts w:hint="eastAsia" w:ascii="宋体" w:hAnsi="宋体"/>
          <w:szCs w:val="21"/>
          <w:highlight w:val="none"/>
        </w:rPr>
        <w:t>3、如乙方无正当理由拖延交货，按逾期交货部分货款计算，应向甲方偿付每日</w:t>
      </w:r>
      <w:r>
        <w:rPr>
          <w:rFonts w:ascii="宋体" w:hAnsi="宋体"/>
          <w:szCs w:val="21"/>
          <w:highlight w:val="none"/>
        </w:rPr>
        <w:t>万</w:t>
      </w:r>
      <w:r>
        <w:rPr>
          <w:rFonts w:hint="eastAsia" w:ascii="宋体" w:hAnsi="宋体"/>
          <w:szCs w:val="21"/>
          <w:highlight w:val="none"/>
        </w:rPr>
        <w:t>分之</w:t>
      </w:r>
      <w:r>
        <w:rPr>
          <w:rFonts w:ascii="宋体" w:hAnsi="宋体"/>
          <w:szCs w:val="21"/>
          <w:highlight w:val="none"/>
        </w:rPr>
        <w:t>五</w:t>
      </w:r>
      <w:r>
        <w:rPr>
          <w:rFonts w:hint="eastAsia" w:ascii="宋体" w:hAnsi="宋体"/>
          <w:szCs w:val="21"/>
          <w:highlight w:val="none"/>
        </w:rPr>
        <w:t>的违约金，并承担甲方因此所受的损失费用。</w:t>
      </w:r>
    </w:p>
    <w:p>
      <w:pPr>
        <w:shd w:val="clear"/>
        <w:ind w:firstLine="480" w:firstLineChars="200"/>
        <w:rPr>
          <w:rFonts w:hint="eastAsia" w:ascii="宋体" w:hAnsi="宋体"/>
          <w:szCs w:val="21"/>
          <w:highlight w:val="none"/>
        </w:rPr>
      </w:pPr>
      <w:r>
        <w:rPr>
          <w:rFonts w:hint="eastAsia" w:ascii="宋体" w:hAnsi="宋体"/>
          <w:szCs w:val="21"/>
          <w:highlight w:val="none"/>
        </w:rPr>
        <w:t>4、如乙方提供给科室使用的货物，超出本合同约定的产品范围或未经甲方采购员下单和仓管员验货或合同有效期内未办理入库手续的，乙方原则上应支付货款30%的违约金给甲方，并赔偿甲方由此遭受的其他损失。</w:t>
      </w:r>
    </w:p>
    <w:p>
      <w:pPr>
        <w:shd w:val="clear"/>
        <w:ind w:firstLine="482" w:firstLineChars="200"/>
        <w:rPr>
          <w:rFonts w:hint="eastAsia" w:ascii="宋体" w:hAnsi="宋体"/>
          <w:b/>
          <w:szCs w:val="21"/>
          <w:highlight w:val="none"/>
        </w:rPr>
      </w:pPr>
      <w:r>
        <w:rPr>
          <w:rFonts w:hint="eastAsia" w:ascii="宋体" w:hAnsi="宋体"/>
          <w:b/>
          <w:szCs w:val="21"/>
          <w:highlight w:val="none"/>
        </w:rPr>
        <w:t>十一、不可抗力</w:t>
      </w:r>
    </w:p>
    <w:p>
      <w:pPr>
        <w:shd w:val="clear"/>
        <w:ind w:firstLine="480" w:firstLineChars="200"/>
        <w:rPr>
          <w:rFonts w:hint="eastAsia" w:ascii="宋体" w:hAnsi="宋体"/>
          <w:szCs w:val="21"/>
          <w:highlight w:val="none"/>
        </w:rPr>
      </w:pPr>
      <w:r>
        <w:rPr>
          <w:rFonts w:hint="eastAsia" w:ascii="宋体" w:hAnsi="宋体"/>
          <w:szCs w:val="21"/>
          <w:highlight w:val="none"/>
        </w:rPr>
        <w:t>1、乙方因不可抗力而导致合同实施延误或不能履行合同义务，不应该承担误期赔偿或终止合同的责任。</w:t>
      </w:r>
    </w:p>
    <w:p>
      <w:pPr>
        <w:shd w:val="clear"/>
        <w:ind w:firstLine="480" w:firstLineChars="200"/>
        <w:rPr>
          <w:rFonts w:hint="eastAsia" w:ascii="宋体" w:hAnsi="宋体"/>
          <w:szCs w:val="21"/>
          <w:highlight w:val="none"/>
        </w:rPr>
      </w:pPr>
      <w:r>
        <w:rPr>
          <w:rFonts w:hint="eastAsia" w:ascii="宋体" w:hAnsi="宋体"/>
          <w:szCs w:val="21"/>
          <w:highlight w:val="none"/>
        </w:rPr>
        <w:t>2、所述的“不可抗力”指乙方不能控制、不能克服、不可预见的事件，但不包括乙方的违约或疏忽。这些事件包括但不限于：战争、严重火灾、洪水、台风、地震及其它双方约定的事件。</w:t>
      </w:r>
    </w:p>
    <w:p>
      <w:pPr>
        <w:shd w:val="clear"/>
        <w:ind w:firstLine="480" w:firstLineChars="200"/>
        <w:rPr>
          <w:rFonts w:hint="eastAsia" w:ascii="宋体" w:hAnsi="宋体"/>
          <w:szCs w:val="21"/>
          <w:highlight w:val="none"/>
        </w:rPr>
      </w:pPr>
      <w:r>
        <w:rPr>
          <w:rFonts w:hint="eastAsia" w:ascii="宋体" w:hAnsi="宋体"/>
          <w:szCs w:val="21"/>
          <w:highlight w:val="none"/>
        </w:rPr>
        <w:t>3、不可抗力事件发生后，乙方应尽快以书面形式将不可抗力的情况和原因通知采购人。除甲方另行要求外，乙方应尽实际可能继续履行合同义务，以及寻求采取合理的方案履行不受不可抗力影响的其它事项。不可抗力事件影响消除后，双方可通过协商在合理的时间内达成进一步履行合同的协议。</w:t>
      </w:r>
    </w:p>
    <w:p>
      <w:pPr>
        <w:shd w:val="clear"/>
        <w:tabs>
          <w:tab w:val="right" w:pos="8312"/>
        </w:tabs>
        <w:ind w:firstLine="479" w:firstLineChars="199"/>
        <w:rPr>
          <w:rFonts w:hint="eastAsia" w:ascii="宋体" w:hAnsi="宋体"/>
          <w:b/>
          <w:szCs w:val="21"/>
          <w:highlight w:val="none"/>
        </w:rPr>
      </w:pPr>
      <w:r>
        <w:rPr>
          <w:rFonts w:hint="eastAsia" w:ascii="宋体" w:hAnsi="宋体"/>
          <w:b/>
          <w:szCs w:val="21"/>
          <w:highlight w:val="none"/>
        </w:rPr>
        <w:t>十二、合同有效期</w:t>
      </w:r>
      <w:r>
        <w:rPr>
          <w:rFonts w:ascii="宋体" w:hAnsi="宋体"/>
          <w:b/>
          <w:szCs w:val="21"/>
          <w:highlight w:val="none"/>
        </w:rPr>
        <w:tab/>
      </w:r>
    </w:p>
    <w:p>
      <w:pPr>
        <w:shd w:val="clear"/>
        <w:ind w:firstLine="480" w:firstLineChars="200"/>
        <w:rPr>
          <w:rFonts w:hint="eastAsia" w:ascii="宋体" w:hAnsi="宋体"/>
          <w:szCs w:val="21"/>
          <w:highlight w:val="none"/>
        </w:rPr>
      </w:pPr>
      <w:r>
        <w:rPr>
          <w:rFonts w:hint="eastAsia" w:ascii="宋体" w:hAnsi="宋体"/>
          <w:szCs w:val="21"/>
          <w:highlight w:val="none"/>
        </w:rPr>
        <w:t>本合同有效期</w:t>
      </w:r>
      <w:r>
        <w:rPr>
          <w:rFonts w:hint="eastAsia" w:ascii="宋体" w:hAnsi="宋体"/>
          <w:szCs w:val="21"/>
          <w:highlight w:val="none"/>
          <w:u w:val="none"/>
          <w:lang w:val="en-US" w:eastAsia="zh-CN"/>
        </w:rPr>
        <w:t>24个</w:t>
      </w:r>
      <w:r>
        <w:rPr>
          <w:rFonts w:hint="eastAsia" w:ascii="宋体" w:hAnsi="宋体"/>
          <w:szCs w:val="21"/>
          <w:highlight w:val="none"/>
          <w:lang w:val="en-US" w:eastAsia="zh-CN"/>
        </w:rPr>
        <w:t>月</w:t>
      </w:r>
      <w:r>
        <w:rPr>
          <w:rFonts w:hint="eastAsia" w:ascii="宋体" w:hAnsi="宋体"/>
          <w:szCs w:val="21"/>
          <w:highlight w:val="none"/>
          <w:lang w:eastAsia="zh-CN"/>
        </w:rPr>
        <w:t>：</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月</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日</w:t>
      </w:r>
      <w:r>
        <w:rPr>
          <w:rFonts w:hint="eastAsia" w:ascii="宋体" w:hAnsi="宋体" w:eastAsia="宋体"/>
          <w:szCs w:val="21"/>
          <w:highlight w:val="none"/>
        </w:rPr>
        <w:t>至</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年</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月</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rPr>
        <w:t>日</w:t>
      </w:r>
      <w:r>
        <w:rPr>
          <w:rFonts w:hint="eastAsia" w:ascii="宋体" w:hAnsi="宋体" w:eastAsia="宋体"/>
          <w:szCs w:val="21"/>
          <w:highlight w:val="none"/>
          <w:lang w:eastAsia="zh-CN"/>
        </w:rPr>
        <w:t>。</w:t>
      </w:r>
      <w:r>
        <w:rPr>
          <w:rFonts w:hint="eastAsia" w:ascii="宋体" w:hAnsi="宋体"/>
          <w:szCs w:val="21"/>
          <w:highlight w:val="none"/>
        </w:rPr>
        <w:t>在此期间，如</w:t>
      </w:r>
      <w:r>
        <w:rPr>
          <w:rFonts w:ascii="宋体" w:hAnsi="宋体"/>
          <w:szCs w:val="21"/>
          <w:highlight w:val="none"/>
        </w:rPr>
        <w:t>国家、广东</w:t>
      </w:r>
      <w:r>
        <w:rPr>
          <w:rFonts w:hint="eastAsia" w:ascii="宋体" w:hAnsi="宋体"/>
          <w:szCs w:val="21"/>
          <w:highlight w:val="none"/>
        </w:rPr>
        <w:t>省、</w:t>
      </w:r>
      <w:r>
        <w:rPr>
          <w:rFonts w:ascii="宋体" w:hAnsi="宋体"/>
          <w:szCs w:val="21"/>
          <w:highlight w:val="none"/>
        </w:rPr>
        <w:t>深圳</w:t>
      </w:r>
      <w:r>
        <w:rPr>
          <w:rFonts w:hint="eastAsia" w:ascii="宋体" w:hAnsi="宋体"/>
          <w:szCs w:val="21"/>
          <w:highlight w:val="none"/>
        </w:rPr>
        <w:t>市</w:t>
      </w:r>
      <w:r>
        <w:rPr>
          <w:rFonts w:ascii="宋体" w:hAnsi="宋体"/>
          <w:szCs w:val="21"/>
          <w:highlight w:val="none"/>
        </w:rPr>
        <w:t>、龙岗区</w:t>
      </w:r>
      <w:r>
        <w:rPr>
          <w:rFonts w:hint="eastAsia" w:ascii="宋体" w:hAnsi="宋体"/>
          <w:szCs w:val="21"/>
          <w:highlight w:val="none"/>
        </w:rPr>
        <w:t>集中采购项目中包括该类产品，集中采购合同</w:t>
      </w:r>
      <w:r>
        <w:rPr>
          <w:rFonts w:ascii="宋体" w:hAnsi="宋体"/>
          <w:szCs w:val="21"/>
          <w:highlight w:val="none"/>
        </w:rPr>
        <w:t>生效</w:t>
      </w:r>
      <w:r>
        <w:rPr>
          <w:rFonts w:hint="eastAsia" w:ascii="宋体" w:hAnsi="宋体"/>
          <w:szCs w:val="21"/>
          <w:highlight w:val="none"/>
        </w:rPr>
        <w:t>后，本合同自动终止。</w:t>
      </w:r>
    </w:p>
    <w:p>
      <w:pPr>
        <w:shd w:val="clear"/>
        <w:ind w:firstLine="472" w:firstLineChars="196"/>
        <w:rPr>
          <w:rFonts w:hint="eastAsia" w:ascii="宋体" w:hAnsi="宋体"/>
          <w:b/>
          <w:szCs w:val="21"/>
          <w:highlight w:val="none"/>
        </w:rPr>
      </w:pPr>
      <w:r>
        <w:rPr>
          <w:rFonts w:hint="eastAsia" w:ascii="宋体" w:hAnsi="宋体"/>
          <w:b/>
          <w:szCs w:val="21"/>
          <w:highlight w:val="none"/>
        </w:rPr>
        <w:t>十三、终止合同</w:t>
      </w:r>
    </w:p>
    <w:p>
      <w:pPr>
        <w:shd w:val="clear"/>
        <w:ind w:firstLine="464" w:firstLineChars="200"/>
        <w:rPr>
          <w:rFonts w:hint="eastAsia" w:ascii="宋体" w:hAnsi="宋体"/>
          <w:spacing w:val="-4"/>
          <w:szCs w:val="21"/>
          <w:highlight w:val="none"/>
        </w:rPr>
      </w:pPr>
      <w:r>
        <w:rPr>
          <w:rFonts w:hint="eastAsia" w:ascii="宋体" w:hAnsi="宋体"/>
          <w:spacing w:val="-4"/>
          <w:szCs w:val="21"/>
          <w:highlight w:val="none"/>
        </w:rPr>
        <w:t>1、如果乙方未能在规定期限内或甲方准许的任何延期内交付部分或全部成交产品，或者乙方未能履行合同中规定的其他义务，甲方有权终止全部或部分合同，并有权采购替代产品。乙方应对购买替代产品所超出的部分费用负责，甲方有权要求乙方继续执行合同中未终止的部分。</w:t>
      </w:r>
    </w:p>
    <w:p>
      <w:pPr>
        <w:shd w:val="clear"/>
        <w:ind w:firstLine="480" w:firstLineChars="200"/>
        <w:rPr>
          <w:rFonts w:hint="eastAsia" w:ascii="宋体" w:hAnsi="宋体"/>
          <w:szCs w:val="21"/>
          <w:highlight w:val="none"/>
        </w:rPr>
      </w:pPr>
      <w:r>
        <w:rPr>
          <w:rFonts w:hint="eastAsia" w:ascii="宋体" w:hAnsi="宋体"/>
          <w:szCs w:val="21"/>
          <w:highlight w:val="none"/>
        </w:rPr>
        <w:t>2、合同执行过程中，产品出现产品质量、产品系列完整性、售后服务等方面无法满足</w:t>
      </w:r>
      <w:r>
        <w:rPr>
          <w:rFonts w:ascii="宋体" w:hAnsi="宋体"/>
          <w:szCs w:val="21"/>
          <w:highlight w:val="none"/>
        </w:rPr>
        <w:t>甲方</w:t>
      </w:r>
      <w:r>
        <w:rPr>
          <w:rFonts w:hint="eastAsia" w:ascii="宋体" w:hAnsi="宋体"/>
          <w:szCs w:val="21"/>
          <w:highlight w:val="none"/>
        </w:rPr>
        <w:t>的临床使用要求时，甲方有权终止合同，与</w:t>
      </w:r>
      <w:r>
        <w:rPr>
          <w:rFonts w:ascii="宋体" w:hAnsi="宋体"/>
          <w:szCs w:val="21"/>
          <w:highlight w:val="none"/>
        </w:rPr>
        <w:t>备选</w:t>
      </w:r>
      <w:r>
        <w:rPr>
          <w:rFonts w:hint="eastAsia" w:ascii="宋体" w:hAnsi="宋体"/>
          <w:szCs w:val="21"/>
          <w:highlight w:val="none"/>
        </w:rPr>
        <w:t>中</w:t>
      </w:r>
      <w:r>
        <w:rPr>
          <w:rFonts w:ascii="宋体" w:hAnsi="宋体"/>
          <w:szCs w:val="21"/>
          <w:highlight w:val="none"/>
        </w:rPr>
        <w:t>选</w:t>
      </w:r>
      <w:r>
        <w:rPr>
          <w:rFonts w:hint="eastAsia" w:ascii="宋体" w:hAnsi="宋体"/>
          <w:szCs w:val="21"/>
          <w:highlight w:val="none"/>
        </w:rPr>
        <w:t>人签订合同。</w:t>
      </w:r>
    </w:p>
    <w:p>
      <w:pPr>
        <w:shd w:val="clear"/>
        <w:ind w:firstLine="480" w:firstLineChars="200"/>
        <w:rPr>
          <w:rFonts w:hint="eastAsia" w:ascii="宋体" w:hAnsi="宋体"/>
          <w:szCs w:val="21"/>
          <w:highlight w:val="none"/>
        </w:rPr>
      </w:pPr>
      <w:r>
        <w:rPr>
          <w:rFonts w:hint="eastAsia" w:ascii="宋体" w:hAnsi="宋体"/>
          <w:szCs w:val="21"/>
          <w:highlight w:val="none"/>
        </w:rPr>
        <w:t>3、合同有效期内，如遇到政策调整或政府部门、上级主管部门或龙岗中心医院集团组织集中采购、统一招标或遴选、竞争性谈判、议价等情况，则合同自动终止。</w:t>
      </w:r>
    </w:p>
    <w:p>
      <w:pPr>
        <w:shd w:val="clear"/>
        <w:ind w:firstLine="480" w:firstLineChars="200"/>
        <w:rPr>
          <w:rFonts w:hint="eastAsia" w:ascii="宋体" w:hAnsi="宋体"/>
          <w:szCs w:val="21"/>
          <w:highlight w:val="none"/>
        </w:rPr>
      </w:pPr>
      <w:r>
        <w:rPr>
          <w:rFonts w:hint="eastAsia" w:ascii="宋体" w:hAnsi="宋体"/>
          <w:szCs w:val="21"/>
          <w:highlight w:val="none"/>
        </w:rPr>
        <w:t>4、如乙方产品销售或配送授权到期，未重新获得销售或配送授权；乙方在工商部门注册登记事项发生变更（如注销、经营范围变更等）；乙方经营出现违法违规、质量安全事故等问题；厂家变更阳光平台配送商或经甲方评估后认为乙方配送服务不符合相关要求，严重影响医疗机构医用耗材供应的，甲方有权终止合同。</w:t>
      </w:r>
    </w:p>
    <w:p>
      <w:pPr>
        <w:shd w:val="clear"/>
        <w:ind w:firstLine="480" w:firstLineChars="200"/>
        <w:rPr>
          <w:rFonts w:hint="eastAsia" w:ascii="宋体" w:hAnsi="宋体"/>
          <w:szCs w:val="21"/>
          <w:highlight w:val="none"/>
        </w:rPr>
      </w:pPr>
      <w:r>
        <w:rPr>
          <w:rFonts w:hint="eastAsia" w:ascii="宋体" w:hAnsi="宋体"/>
          <w:szCs w:val="21"/>
          <w:highlight w:val="none"/>
        </w:rPr>
        <w:t>5、乙方服务不到位，经甲方</w:t>
      </w:r>
      <w:r>
        <w:rPr>
          <w:rFonts w:ascii="宋体" w:hAnsi="宋体"/>
          <w:szCs w:val="21"/>
          <w:highlight w:val="none"/>
        </w:rPr>
        <w:t>两次书面</w:t>
      </w:r>
      <w:r>
        <w:rPr>
          <w:rFonts w:hint="eastAsia" w:ascii="宋体" w:hAnsi="宋体"/>
          <w:szCs w:val="21"/>
          <w:highlight w:val="none"/>
        </w:rPr>
        <w:t>警告而无改正迹象，甲方有权终止合同。</w:t>
      </w:r>
    </w:p>
    <w:p>
      <w:pPr>
        <w:shd w:val="clear"/>
        <w:ind w:firstLine="480" w:firstLineChars="200"/>
        <w:rPr>
          <w:rFonts w:hint="eastAsia" w:ascii="宋体" w:hAnsi="宋体"/>
          <w:szCs w:val="21"/>
          <w:highlight w:val="none"/>
        </w:rPr>
      </w:pPr>
      <w:r>
        <w:rPr>
          <w:rFonts w:hint="eastAsia" w:ascii="宋体" w:hAnsi="宋体"/>
          <w:szCs w:val="21"/>
          <w:highlight w:val="none"/>
        </w:rPr>
        <w:t>6、如果乙方破产或无清偿能力，甲方可在任何时候以书面形式通知乙方，提出终止合同而不给乙方补偿。该终止合同将不损害或影响甲方已经采取或将要采取的任何行动或补救措施的权利。</w:t>
      </w:r>
    </w:p>
    <w:p>
      <w:pPr>
        <w:shd w:val="clear"/>
        <w:ind w:firstLine="480" w:firstLineChars="200"/>
        <w:rPr>
          <w:rFonts w:hint="eastAsia" w:ascii="宋体" w:hAnsi="宋体"/>
          <w:szCs w:val="21"/>
          <w:highlight w:val="none"/>
        </w:rPr>
      </w:pPr>
      <w:r>
        <w:rPr>
          <w:rFonts w:hint="eastAsia" w:ascii="宋体" w:hAnsi="宋体"/>
          <w:szCs w:val="21"/>
          <w:highlight w:val="none"/>
        </w:rPr>
        <w:t>7、合同有效期内，因为原材料市场价格大幅度波动造成成本急剧变化，双方可以通过协商，采取临时调价或者终止合同方式予以解决。</w:t>
      </w:r>
    </w:p>
    <w:p>
      <w:pPr>
        <w:shd w:val="clear"/>
        <w:ind w:firstLine="480" w:firstLineChars="200"/>
        <w:rPr>
          <w:rFonts w:hint="eastAsia" w:ascii="宋体" w:hAnsi="宋体"/>
          <w:szCs w:val="21"/>
          <w:highlight w:val="none"/>
        </w:rPr>
      </w:pPr>
      <w:r>
        <w:rPr>
          <w:rFonts w:hint="eastAsia" w:ascii="宋体" w:hAnsi="宋体"/>
          <w:szCs w:val="21"/>
          <w:highlight w:val="none"/>
        </w:rPr>
        <w:t>8、乙方承诺产品价格为对于</w:t>
      </w:r>
      <w:r>
        <w:rPr>
          <w:rFonts w:ascii="宋体" w:hAnsi="宋体"/>
          <w:szCs w:val="21"/>
          <w:highlight w:val="none"/>
        </w:rPr>
        <w:t>产品遴选</w:t>
      </w:r>
      <w:r>
        <w:rPr>
          <w:rFonts w:hint="eastAsia" w:ascii="宋体" w:hAnsi="宋体"/>
          <w:szCs w:val="21"/>
          <w:highlight w:val="none"/>
        </w:rPr>
        <w:t>时深圳市公立医院最低或同低，且合同执行期如有价格变化，主动降至同低价，否则甲方有权要求乙方补偿所采购产品的差价金额。如甲方发现价格与同类产品对比价格虚高，甲方有权单方面终止合同。</w:t>
      </w:r>
    </w:p>
    <w:p>
      <w:pPr>
        <w:pStyle w:val="12"/>
        <w:shd w:val="clear"/>
        <w:ind w:firstLine="413" w:firstLineChars="196"/>
        <w:rPr>
          <w:rFonts w:hint="eastAsia" w:hAnsi="宋体"/>
          <w:b/>
          <w:bCs/>
          <w:szCs w:val="21"/>
          <w:highlight w:val="none"/>
        </w:rPr>
      </w:pPr>
      <w:r>
        <w:rPr>
          <w:rFonts w:hint="eastAsia" w:hAnsi="宋体"/>
          <w:b/>
          <w:bCs/>
          <w:szCs w:val="21"/>
          <w:highlight w:val="none"/>
        </w:rPr>
        <w:t>十四、争议的解决</w:t>
      </w:r>
    </w:p>
    <w:p>
      <w:pPr>
        <w:shd w:val="clear"/>
        <w:ind w:firstLine="480" w:firstLineChars="200"/>
        <w:rPr>
          <w:rFonts w:hint="eastAsia" w:ascii="宋体" w:hAnsi="宋体"/>
          <w:szCs w:val="21"/>
          <w:highlight w:val="none"/>
        </w:rPr>
      </w:pPr>
      <w:r>
        <w:rPr>
          <w:rFonts w:hint="eastAsia" w:ascii="宋体" w:hAnsi="宋体"/>
          <w:szCs w:val="21"/>
          <w:highlight w:val="none"/>
        </w:rPr>
        <w:t>与本合同有关的争议，双方应本着友好协商的方式解决，无法达成一致的，有争议的一方向甲方所在地人民法院起诉。</w:t>
      </w:r>
    </w:p>
    <w:p>
      <w:pPr>
        <w:pStyle w:val="12"/>
        <w:shd w:val="clear"/>
        <w:ind w:firstLine="474" w:firstLineChars="225"/>
        <w:rPr>
          <w:rFonts w:hint="eastAsia" w:hAnsi="宋体"/>
          <w:b/>
          <w:bCs/>
          <w:szCs w:val="21"/>
          <w:highlight w:val="none"/>
        </w:rPr>
      </w:pPr>
      <w:r>
        <w:rPr>
          <w:rFonts w:hint="eastAsia" w:hAnsi="宋体"/>
          <w:b/>
          <w:bCs/>
          <w:szCs w:val="21"/>
          <w:highlight w:val="none"/>
        </w:rPr>
        <w:t>十五、合同修改</w:t>
      </w:r>
    </w:p>
    <w:p>
      <w:pPr>
        <w:pStyle w:val="12"/>
        <w:shd w:val="clear"/>
        <w:ind w:firstLine="472" w:firstLineChars="225"/>
        <w:rPr>
          <w:rFonts w:hint="eastAsia" w:hAnsi="宋体"/>
          <w:bCs/>
          <w:szCs w:val="21"/>
          <w:highlight w:val="none"/>
        </w:rPr>
      </w:pPr>
      <w:r>
        <w:rPr>
          <w:rFonts w:hint="eastAsia" w:hAnsi="宋体"/>
          <w:bCs/>
          <w:szCs w:val="21"/>
          <w:highlight w:val="none"/>
        </w:rPr>
        <w:t>欲对合同条款做出修改，须经双方协商同意，并由买卖双方签署书面的合同修改书。</w:t>
      </w:r>
    </w:p>
    <w:p>
      <w:pPr>
        <w:shd w:val="clear"/>
        <w:ind w:firstLine="0" w:firstLineChars="0"/>
        <w:rPr>
          <w:rFonts w:hint="eastAsia" w:ascii="宋体" w:hAnsi="宋体"/>
          <w:b/>
          <w:bCs/>
          <w:szCs w:val="21"/>
          <w:highlight w:val="none"/>
        </w:rPr>
      </w:pPr>
      <w:r>
        <w:rPr>
          <w:rFonts w:hint="eastAsia" w:ascii="宋体" w:hAnsi="宋体"/>
          <w:b/>
          <w:bCs/>
          <w:szCs w:val="21"/>
          <w:highlight w:val="none"/>
        </w:rPr>
        <w:t>十六、</w:t>
      </w:r>
      <w:r>
        <w:rPr>
          <w:rFonts w:hint="eastAsia" w:ascii="宋体" w:hAnsi="宋体"/>
          <w:szCs w:val="21"/>
          <w:highlight w:val="none"/>
        </w:rPr>
        <w:t>本合同壹式叁份，甲方贰份、乙方壹份，均具有同等法律效力。</w:t>
      </w:r>
    </w:p>
    <w:p>
      <w:pPr>
        <w:shd w:val="clear"/>
        <w:ind w:firstLine="482" w:firstLineChars="200"/>
        <w:rPr>
          <w:rFonts w:hint="eastAsia" w:ascii="宋体" w:hAnsi="宋体"/>
          <w:szCs w:val="21"/>
          <w:highlight w:val="none"/>
        </w:rPr>
      </w:pPr>
      <w:r>
        <w:rPr>
          <w:rFonts w:hint="eastAsia" w:ascii="宋体" w:hAnsi="宋体"/>
          <w:b/>
          <w:szCs w:val="21"/>
          <w:highlight w:val="none"/>
        </w:rPr>
        <w:t>十七</w:t>
      </w:r>
      <w:r>
        <w:rPr>
          <w:rFonts w:hint="eastAsia" w:ascii="宋体" w:hAnsi="宋体"/>
          <w:szCs w:val="21"/>
          <w:highlight w:val="none"/>
        </w:rPr>
        <w:t>、合同未尽事宜，双方协商解决。</w:t>
      </w:r>
    </w:p>
    <w:p>
      <w:pPr>
        <w:shd w:val="clear"/>
        <w:ind w:firstLine="484" w:firstLineChars="201"/>
        <w:rPr>
          <w:rFonts w:hint="eastAsia" w:ascii="宋体" w:hAnsi="宋体"/>
          <w:b/>
          <w:bCs/>
          <w:szCs w:val="21"/>
          <w:highlight w:val="none"/>
        </w:rPr>
      </w:pPr>
      <w:r>
        <w:rPr>
          <w:rFonts w:hint="eastAsia" w:ascii="宋体" w:hAnsi="宋体"/>
          <w:b/>
          <w:bCs/>
          <w:szCs w:val="21"/>
          <w:highlight w:val="none"/>
        </w:rPr>
        <w:t>十八、以下附件作为本合同的补充内容，具有同等法律效力：</w:t>
      </w:r>
    </w:p>
    <w:p>
      <w:pPr>
        <w:shd w:val="clear"/>
        <w:ind w:firstLine="480" w:firstLineChars="200"/>
        <w:rPr>
          <w:rFonts w:hint="eastAsia" w:ascii="宋体" w:hAnsi="宋体"/>
          <w:szCs w:val="21"/>
          <w:highlight w:val="none"/>
        </w:rPr>
      </w:pPr>
      <w:r>
        <w:rPr>
          <w:rFonts w:hint="eastAsia" w:ascii="宋体" w:hAnsi="宋体"/>
          <w:szCs w:val="21"/>
          <w:highlight w:val="none"/>
        </w:rPr>
        <w:t>附件一：售后服务承诺书</w:t>
      </w:r>
    </w:p>
    <w:p>
      <w:pPr>
        <w:shd w:val="clear"/>
        <w:ind w:firstLine="480" w:firstLineChars="200"/>
        <w:rPr>
          <w:rFonts w:ascii="方正小标宋简体" w:hAnsi="等线" w:eastAsia="方正小标宋简体"/>
          <w:sz w:val="44"/>
          <w:szCs w:val="44"/>
          <w:highlight w:val="none"/>
        </w:rPr>
      </w:pPr>
      <w:r>
        <w:rPr>
          <w:rFonts w:ascii="宋体" w:hAnsi="宋体"/>
          <w:szCs w:val="21"/>
          <w:highlight w:val="none"/>
        </w:rPr>
        <w:t>附件</w:t>
      </w:r>
      <w:r>
        <w:rPr>
          <w:rFonts w:hint="eastAsia" w:ascii="宋体" w:hAnsi="宋体"/>
          <w:szCs w:val="21"/>
          <w:highlight w:val="none"/>
        </w:rPr>
        <w:t>二：龙岗区进一步规范政商交往行为告知书</w:t>
      </w:r>
    </w:p>
    <w:p>
      <w:pPr>
        <w:shd w:val="clear"/>
        <w:ind w:firstLine="480" w:firstLineChars="200"/>
        <w:rPr>
          <w:rFonts w:hint="eastAsia" w:ascii="宋体" w:hAnsi="宋体"/>
          <w:szCs w:val="21"/>
          <w:highlight w:val="none"/>
        </w:rPr>
      </w:pPr>
      <w:r>
        <w:rPr>
          <w:rFonts w:hint="eastAsia" w:ascii="宋体" w:hAnsi="宋体"/>
          <w:szCs w:val="21"/>
          <w:highlight w:val="none"/>
        </w:rPr>
        <w:t>附件三：产品价格表</w:t>
      </w:r>
    </w:p>
    <w:p>
      <w:pPr>
        <w:shd w:val="clear"/>
        <w:ind w:firstLine="480" w:firstLineChars="200"/>
        <w:rPr>
          <w:rFonts w:hint="eastAsia" w:ascii="宋体" w:hAnsi="宋体"/>
          <w:szCs w:val="21"/>
          <w:highlight w:val="none"/>
        </w:rPr>
      </w:pPr>
    </w:p>
    <w:p>
      <w:pPr>
        <w:shd w:val="clear"/>
        <w:spacing w:line="360" w:lineRule="auto"/>
        <w:ind w:firstLine="360" w:firstLineChars="150"/>
        <w:rPr>
          <w:rFonts w:hint="eastAsia" w:ascii="宋体" w:hAnsi="宋体"/>
          <w:szCs w:val="21"/>
          <w:highlight w:val="none"/>
        </w:rPr>
      </w:pPr>
      <w:r>
        <w:rPr>
          <w:rFonts w:hint="eastAsia" w:ascii="宋体" w:hAnsi="宋体"/>
          <w:szCs w:val="21"/>
          <w:highlight w:val="none"/>
        </w:rPr>
        <w:t xml:space="preserve">甲方：深圳市龙岗中心医院　　          </w:t>
      </w:r>
      <w:r>
        <w:rPr>
          <w:rFonts w:ascii="宋体" w:hAnsi="宋体"/>
          <w:szCs w:val="21"/>
          <w:highlight w:val="none"/>
        </w:rPr>
        <w:t xml:space="preserve">    </w:t>
      </w:r>
      <w:r>
        <w:rPr>
          <w:rFonts w:hint="eastAsia" w:ascii="宋体" w:hAnsi="宋体"/>
          <w:szCs w:val="21"/>
          <w:highlight w:val="none"/>
        </w:rPr>
        <w:t xml:space="preserve"> 乙方： </w:t>
      </w:r>
    </w:p>
    <w:p>
      <w:pPr>
        <w:shd w:val="clear"/>
        <w:spacing w:line="360" w:lineRule="auto"/>
        <w:ind w:firstLine="360" w:firstLineChars="150"/>
        <w:rPr>
          <w:rFonts w:ascii="宋体" w:hAnsi="宋体"/>
          <w:szCs w:val="21"/>
          <w:highlight w:val="none"/>
        </w:rPr>
      </w:pPr>
      <w:r>
        <w:rPr>
          <w:rFonts w:hint="eastAsia" w:ascii="宋体" w:hAnsi="宋体"/>
          <w:szCs w:val="21"/>
          <w:highlight w:val="none"/>
        </w:rPr>
        <w:t xml:space="preserve">法定代表或授权委托人：                    </w:t>
      </w:r>
      <w:r>
        <w:rPr>
          <w:rFonts w:ascii="宋体" w:hAnsi="宋体"/>
          <w:szCs w:val="21"/>
          <w:highlight w:val="none"/>
        </w:rPr>
        <w:t xml:space="preserve"> </w:t>
      </w:r>
      <w:r>
        <w:rPr>
          <w:rFonts w:hint="eastAsia" w:ascii="宋体" w:hAnsi="宋体"/>
          <w:szCs w:val="21"/>
          <w:highlight w:val="none"/>
        </w:rPr>
        <w:t xml:space="preserve">法定代表或授权委托人：   </w:t>
      </w:r>
    </w:p>
    <w:p>
      <w:pPr>
        <w:shd w:val="clear"/>
        <w:spacing w:line="360" w:lineRule="auto"/>
        <w:rPr>
          <w:rFonts w:hint="eastAsia" w:ascii="宋体" w:hAnsi="宋体"/>
          <w:szCs w:val="21"/>
          <w:highlight w:val="none"/>
        </w:rPr>
      </w:pPr>
    </w:p>
    <w:p>
      <w:pPr>
        <w:shd w:val="clear"/>
        <w:spacing w:line="360" w:lineRule="auto"/>
        <w:rPr>
          <w:rFonts w:hint="eastAsia" w:ascii="宋体" w:hAnsi="宋体"/>
          <w:szCs w:val="21"/>
          <w:highlight w:val="none"/>
        </w:rPr>
      </w:pPr>
    </w:p>
    <w:p>
      <w:pPr>
        <w:shd w:val="clear"/>
        <w:spacing w:line="360" w:lineRule="auto"/>
        <w:rPr>
          <w:rFonts w:ascii="宋体" w:hAnsi="宋体"/>
          <w:szCs w:val="21"/>
          <w:highlight w:val="none"/>
        </w:rPr>
      </w:pPr>
      <w:r>
        <w:rPr>
          <w:rFonts w:hint="eastAsia" w:ascii="宋体" w:hAnsi="宋体"/>
          <w:szCs w:val="21"/>
          <w:highlight w:val="none"/>
        </w:rPr>
        <w:t xml:space="preserve">签署日期：      年  </w:t>
      </w:r>
      <w:r>
        <w:rPr>
          <w:rFonts w:ascii="宋体" w:hAnsi="宋体"/>
          <w:szCs w:val="21"/>
          <w:highlight w:val="none"/>
        </w:rPr>
        <w:t xml:space="preserve">  </w:t>
      </w:r>
      <w:r>
        <w:rPr>
          <w:rFonts w:hint="eastAsia" w:ascii="宋体" w:hAnsi="宋体"/>
          <w:szCs w:val="21"/>
          <w:highlight w:val="none"/>
        </w:rPr>
        <w:t xml:space="preserve"> 月  </w:t>
      </w:r>
      <w:r>
        <w:rPr>
          <w:rFonts w:ascii="宋体" w:hAnsi="宋体"/>
          <w:szCs w:val="21"/>
          <w:highlight w:val="none"/>
        </w:rPr>
        <w:t xml:space="preserve">  </w:t>
      </w:r>
      <w:r>
        <w:rPr>
          <w:rFonts w:hint="eastAsia" w:ascii="宋体" w:hAnsi="宋体"/>
          <w:szCs w:val="21"/>
          <w:highlight w:val="none"/>
        </w:rPr>
        <w:t xml:space="preserve"> 日                 签署时间：      年 </w:t>
      </w:r>
      <w:r>
        <w:rPr>
          <w:rFonts w:ascii="宋体" w:hAnsi="宋体"/>
          <w:szCs w:val="21"/>
          <w:highlight w:val="none"/>
        </w:rPr>
        <w:t xml:space="preserve">  </w:t>
      </w:r>
      <w:r>
        <w:rPr>
          <w:rFonts w:hint="eastAsia" w:ascii="宋体" w:hAnsi="宋体"/>
          <w:szCs w:val="21"/>
          <w:highlight w:val="none"/>
        </w:rPr>
        <w:t xml:space="preserve">  月  </w:t>
      </w:r>
      <w:r>
        <w:rPr>
          <w:rFonts w:ascii="宋体" w:hAnsi="宋体"/>
          <w:szCs w:val="21"/>
          <w:highlight w:val="none"/>
        </w:rPr>
        <w:t xml:space="preserve">  </w:t>
      </w:r>
      <w:r>
        <w:rPr>
          <w:rFonts w:hint="eastAsia" w:ascii="宋体" w:hAnsi="宋体"/>
          <w:szCs w:val="21"/>
          <w:highlight w:val="none"/>
        </w:rPr>
        <w:t xml:space="preserve"> 日</w:t>
      </w:r>
    </w:p>
    <w:p>
      <w:pPr>
        <w:shd w:val="clear"/>
        <w:rPr>
          <w:rFonts w:ascii="宋体" w:hAnsi="宋体"/>
          <w:szCs w:val="21"/>
          <w:highlight w:val="none"/>
        </w:rPr>
      </w:pPr>
      <w:r>
        <w:rPr>
          <w:rFonts w:hint="eastAsia" w:ascii="宋体" w:hAnsi="宋体"/>
          <w:szCs w:val="21"/>
          <w:highlight w:val="none"/>
        </w:rPr>
        <w:t xml:space="preserve">开户银行：深圳农村商业银行大和支行      </w:t>
      </w:r>
      <w:r>
        <w:rPr>
          <w:rFonts w:ascii="宋体" w:hAnsi="宋体"/>
          <w:szCs w:val="21"/>
          <w:highlight w:val="none"/>
        </w:rPr>
        <w:t xml:space="preserve">         </w:t>
      </w:r>
      <w:r>
        <w:rPr>
          <w:rFonts w:hint="eastAsia" w:ascii="宋体" w:hAnsi="宋体"/>
          <w:szCs w:val="21"/>
          <w:highlight w:val="none"/>
        </w:rPr>
        <w:t>开户银行：</w:t>
      </w:r>
    </w:p>
    <w:p>
      <w:pPr>
        <w:shd w:val="clear"/>
        <w:rPr>
          <w:rFonts w:ascii="宋体" w:hAnsi="宋体"/>
          <w:szCs w:val="21"/>
          <w:highlight w:val="none"/>
        </w:rPr>
      </w:pPr>
      <w:r>
        <w:rPr>
          <w:rFonts w:hint="eastAsia" w:ascii="宋体" w:hAnsi="宋体"/>
          <w:szCs w:val="21"/>
          <w:highlight w:val="none"/>
          <w:lang w:val="en-US" w:eastAsia="zh-CN"/>
        </w:rPr>
        <w:t>账</w:t>
      </w:r>
      <w:r>
        <w:rPr>
          <w:rFonts w:hint="eastAsia" w:ascii="宋体" w:hAnsi="宋体"/>
          <w:szCs w:val="21"/>
          <w:highlight w:val="none"/>
        </w:rPr>
        <w:t xml:space="preserve">    号：000070583741                   </w:t>
      </w:r>
      <w:r>
        <w:rPr>
          <w:rFonts w:ascii="宋体" w:hAnsi="宋体"/>
          <w:szCs w:val="21"/>
          <w:highlight w:val="none"/>
        </w:rPr>
        <w:t xml:space="preserve">        </w:t>
      </w:r>
      <w:r>
        <w:rPr>
          <w:rFonts w:hint="eastAsia" w:ascii="宋体" w:hAnsi="宋体"/>
          <w:szCs w:val="21"/>
          <w:highlight w:val="none"/>
          <w:lang w:val="en-US" w:eastAsia="zh-CN"/>
        </w:rPr>
        <w:t>账</w:t>
      </w:r>
      <w:r>
        <w:rPr>
          <w:rFonts w:hint="eastAsia" w:ascii="宋体" w:hAnsi="宋体"/>
          <w:szCs w:val="21"/>
          <w:highlight w:val="none"/>
        </w:rPr>
        <w:t xml:space="preserve">    号：</w:t>
      </w:r>
    </w:p>
    <w:p>
      <w:pPr>
        <w:shd w:val="clear"/>
        <w:rPr>
          <w:rFonts w:ascii="宋体" w:hAnsi="宋体"/>
          <w:szCs w:val="21"/>
          <w:highlight w:val="none"/>
        </w:rPr>
      </w:pPr>
      <w:r>
        <w:rPr>
          <w:rFonts w:hint="eastAsia" w:ascii="宋体" w:hAnsi="宋体"/>
          <w:szCs w:val="21"/>
          <w:highlight w:val="none"/>
        </w:rPr>
        <w:t xml:space="preserve">统一社会信用代码：124403074558354773    </w:t>
      </w:r>
      <w:r>
        <w:rPr>
          <w:rFonts w:ascii="宋体" w:hAnsi="宋体"/>
          <w:szCs w:val="21"/>
          <w:highlight w:val="none"/>
        </w:rPr>
        <w:t xml:space="preserve">         </w:t>
      </w:r>
      <w:r>
        <w:rPr>
          <w:rFonts w:hint="eastAsia" w:ascii="宋体" w:hAnsi="宋体"/>
          <w:szCs w:val="21"/>
          <w:highlight w:val="none"/>
        </w:rPr>
        <w:t>统一社会信用代码：</w:t>
      </w:r>
    </w:p>
    <w:p>
      <w:pPr>
        <w:pStyle w:val="12"/>
        <w:shd w:val="clear"/>
        <w:spacing w:line="600" w:lineRule="exact"/>
        <w:ind w:firstLine="480"/>
        <w:rPr>
          <w:rFonts w:hint="eastAsia"/>
          <w:highlight w:val="none"/>
        </w:rPr>
      </w:pPr>
      <w:r>
        <w:rPr>
          <w:rFonts w:hint="eastAsia" w:hAnsi="宋体"/>
          <w:szCs w:val="21"/>
          <w:highlight w:val="none"/>
        </w:rPr>
        <w:t xml:space="preserve">纳税识别号：440307455835477     </w:t>
      </w:r>
      <w:r>
        <w:rPr>
          <w:rFonts w:hAnsi="宋体"/>
          <w:szCs w:val="21"/>
          <w:highlight w:val="none"/>
        </w:rPr>
        <w:t xml:space="preserve">                 </w:t>
      </w:r>
      <w:r>
        <w:rPr>
          <w:rFonts w:hint="eastAsia" w:hAnsi="宋体"/>
          <w:szCs w:val="21"/>
          <w:highlight w:val="none"/>
        </w:rPr>
        <w:t xml:space="preserve">纳税识别号：         </w:t>
      </w:r>
      <w:r>
        <w:rPr>
          <w:rFonts w:hAnsi="宋体"/>
          <w:szCs w:val="21"/>
          <w:highlight w:val="none"/>
        </w:rPr>
        <w:t xml:space="preserve">                   </w:t>
      </w:r>
      <w:r>
        <w:rPr>
          <w:rFonts w:hAnsi="宋体"/>
          <w:szCs w:val="21"/>
          <w:highlight w:val="none"/>
        </w:rPr>
        <w:br w:type="page"/>
      </w:r>
      <w:r>
        <w:rPr>
          <w:rFonts w:hint="eastAsia"/>
          <w:highlight w:val="none"/>
        </w:rPr>
        <w:t xml:space="preserve">附件一        </w:t>
      </w:r>
    </w:p>
    <w:p>
      <w:pPr>
        <w:shd w:val="clear"/>
        <w:spacing w:line="560" w:lineRule="exact"/>
        <w:jc w:val="center"/>
        <w:rPr>
          <w:rFonts w:hint="eastAsia" w:ascii="方正小标宋简体" w:hAnsi="等线" w:eastAsia="方正小标宋简体"/>
          <w:sz w:val="44"/>
          <w:szCs w:val="44"/>
          <w:highlight w:val="none"/>
        </w:rPr>
      </w:pPr>
      <w:r>
        <w:rPr>
          <w:rFonts w:hint="eastAsia" w:ascii="方正小标宋简体" w:hAnsi="等线" w:eastAsia="方正小标宋简体"/>
          <w:sz w:val="44"/>
          <w:szCs w:val="44"/>
          <w:highlight w:val="none"/>
        </w:rPr>
        <w:t>售后服务承诺</w:t>
      </w:r>
    </w:p>
    <w:p>
      <w:pPr>
        <w:shd w:val="clear"/>
        <w:spacing w:line="560" w:lineRule="exact"/>
        <w:ind w:firstLine="560" w:firstLineChars="200"/>
        <w:rPr>
          <w:sz w:val="28"/>
          <w:szCs w:val="28"/>
          <w:highlight w:val="none"/>
        </w:rPr>
      </w:pPr>
    </w:p>
    <w:p>
      <w:pPr>
        <w:shd w:val="clea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我司作为</w:t>
      </w:r>
      <w:r>
        <w:rPr>
          <w:rFonts w:ascii="仿宋" w:hAnsi="仿宋" w:eastAsia="仿宋" w:cs="仿宋"/>
          <w:sz w:val="32"/>
          <w:szCs w:val="32"/>
          <w:highlight w:val="none"/>
          <w:u w:val="none"/>
        </w:rPr>
        <w:t>深圳市</w:t>
      </w:r>
      <w:r>
        <w:rPr>
          <w:rFonts w:hint="eastAsia" w:ascii="仿宋" w:hAnsi="仿宋" w:eastAsia="仿宋" w:cs="仿宋"/>
          <w:sz w:val="32"/>
          <w:szCs w:val="32"/>
          <w:highlight w:val="none"/>
          <w:u w:val="none"/>
        </w:rPr>
        <w:t>龙岗中心医院</w:t>
      </w:r>
      <w:r>
        <w:rPr>
          <w:rFonts w:hint="eastAsia" w:ascii="仿宋" w:hAnsi="仿宋" w:eastAsia="仿宋" w:cs="仿宋"/>
          <w:sz w:val="32"/>
          <w:szCs w:val="32"/>
          <w:highlight w:val="none"/>
        </w:rPr>
        <w:t>的供应商，对本公司提供的产品做出服务质量承诺：</w:t>
      </w:r>
    </w:p>
    <w:p>
      <w:pPr>
        <w:shd w:val="clea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1、我公司提供的所有产品有效期保证在六个月以上，并且具备完整的相关文件，如有近效期产品无条件退换。</w:t>
      </w:r>
    </w:p>
    <w:p>
      <w:pPr>
        <w:shd w:val="clea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2、我公司提供的产品必须是满足临床需求的全新产品并定期随访医院科室进行产品使用跟踪。国产产品符合国家有关质量标准，符合国家相关政策及法规。进口产品符合产品的原厂标准及有关国际标准。</w:t>
      </w:r>
    </w:p>
    <w:p>
      <w:pPr>
        <w:shd w:val="clea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3、我公司提供的产品如出现破损情况，我公司予以无条件更换。我公司根据贵院需要，将产品在规定时间内送到指定地点。如有产品不能及时满足贵院要求，我公司将及时通知贵院。</w:t>
      </w:r>
    </w:p>
    <w:p>
      <w:pPr>
        <w:shd w:val="clea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4、产品有质量问题或不符合使用要求，中选方无条件予以更换或退货，直至取消供货资格。</w:t>
      </w:r>
    </w:p>
    <w:p>
      <w:pPr>
        <w:shd w:val="clea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5、节假日照常配送，并按照医院流程办理相关手续。</w:t>
      </w:r>
    </w:p>
    <w:p>
      <w:pPr>
        <w:shd w:val="clear"/>
        <w:spacing w:line="56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6、在合同期内严格按谈判当天结果执行，满足医院需求。</w:t>
      </w:r>
    </w:p>
    <w:p>
      <w:pPr>
        <w:shd w:val="clea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7、公司地址：</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，公司座机：</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，联系人：</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，电话：</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w:t>
      </w:r>
    </w:p>
    <w:p>
      <w:pPr>
        <w:shd w:val="clear"/>
        <w:spacing w:line="560" w:lineRule="exact"/>
        <w:rPr>
          <w:rFonts w:hint="eastAsia" w:ascii="仿宋" w:hAnsi="仿宋" w:eastAsia="仿宋" w:cs="仿宋"/>
          <w:sz w:val="32"/>
          <w:szCs w:val="32"/>
          <w:highlight w:val="none"/>
        </w:rPr>
      </w:pPr>
    </w:p>
    <w:p>
      <w:pPr>
        <w:shd w:val="clear"/>
        <w:ind w:firstLine="3080" w:firstLineChars="1100"/>
        <w:rPr>
          <w:rFonts w:hint="eastAsia" w:ascii="仿宋_GB2312" w:eastAsia="仿宋_GB2312"/>
          <w:sz w:val="32"/>
          <w:szCs w:val="32"/>
          <w:highlight w:val="none"/>
        </w:rPr>
      </w:pPr>
      <w:r>
        <w:rPr>
          <w:rFonts w:ascii="仿宋_GB2312" w:eastAsia="仿宋_GB2312"/>
          <w:sz w:val="28"/>
          <w:szCs w:val="28"/>
          <w:highlight w:val="none"/>
        </w:rPr>
        <w:t xml:space="preserve">      </w:t>
      </w:r>
      <w:r>
        <w:rPr>
          <w:rFonts w:ascii="仿宋_GB2312" w:eastAsia="仿宋_GB2312"/>
          <w:sz w:val="32"/>
          <w:szCs w:val="32"/>
          <w:highlight w:val="none"/>
        </w:rPr>
        <w:t xml:space="preserve"> </w:t>
      </w:r>
      <w:r>
        <w:rPr>
          <w:rFonts w:hint="eastAsia" w:ascii="仿宋_GB2312" w:eastAsia="仿宋_GB2312"/>
          <w:sz w:val="32"/>
          <w:szCs w:val="32"/>
          <w:highlight w:val="none"/>
        </w:rPr>
        <w:t>供应商（盖章）：</w:t>
      </w:r>
    </w:p>
    <w:p>
      <w:pPr>
        <w:shd w:val="clear"/>
        <w:ind w:firstLine="3520" w:firstLineChars="11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p>
    <w:p>
      <w:pPr>
        <w:shd w:val="clear"/>
        <w:rPr>
          <w:rFonts w:hint="eastAsia"/>
          <w:highlight w:val="none"/>
        </w:rPr>
      </w:pPr>
      <w:r>
        <w:rPr>
          <w:rFonts w:hint="eastAsia"/>
          <w:highlight w:val="none"/>
        </w:rPr>
        <w:t>附件二</w:t>
      </w:r>
    </w:p>
    <w:p>
      <w:pPr>
        <w:shd w:val="clear"/>
        <w:spacing w:line="560" w:lineRule="exact"/>
        <w:jc w:val="center"/>
        <w:rPr>
          <w:rFonts w:ascii="方正小标宋简体" w:hAnsi="等线" w:eastAsia="方正小标宋简体"/>
          <w:sz w:val="44"/>
          <w:szCs w:val="44"/>
          <w:highlight w:val="none"/>
        </w:rPr>
      </w:pPr>
      <w:r>
        <w:rPr>
          <w:rFonts w:hint="eastAsia" w:ascii="方正小标宋简体" w:hAnsi="等线" w:eastAsia="方正小标宋简体"/>
          <w:sz w:val="44"/>
          <w:szCs w:val="44"/>
          <w:highlight w:val="none"/>
        </w:rPr>
        <w:t>龙岗区进一步规范政商交往行为告知书</w:t>
      </w:r>
    </w:p>
    <w:p>
      <w:pPr>
        <w:shd w:val="clear"/>
        <w:spacing w:line="560" w:lineRule="exact"/>
        <w:ind w:firstLine="640" w:firstLineChars="200"/>
        <w:rPr>
          <w:rFonts w:ascii="宋体" w:hAnsi="宋体"/>
          <w:sz w:val="32"/>
          <w:szCs w:val="32"/>
          <w:highlight w:val="none"/>
        </w:rPr>
      </w:pPr>
    </w:p>
    <w:p>
      <w:pPr>
        <w:shd w:val="clear"/>
        <w:spacing w:line="480" w:lineRule="exact"/>
        <w:ind w:firstLine="640" w:firstLineChars="200"/>
        <w:rPr>
          <w:rFonts w:ascii="仿宋_GB2312" w:hAnsi="等线" w:eastAsia="仿宋_GB2312"/>
          <w:sz w:val="32"/>
          <w:szCs w:val="32"/>
          <w:highlight w:val="none"/>
        </w:rPr>
      </w:pPr>
      <w:r>
        <w:rPr>
          <w:rFonts w:hint="eastAsia" w:ascii="仿宋_GB2312" w:hAnsi="等线" w:eastAsia="仿宋_GB2312"/>
          <w:sz w:val="32"/>
          <w:szCs w:val="32"/>
          <w:highlight w:val="none"/>
        </w:rPr>
        <w:t>为深入构建“亲”“清”新型政商关系</w:t>
      </w:r>
      <w:bookmarkStart w:id="10" w:name="_GoBack"/>
      <w:bookmarkEnd w:id="10"/>
      <w:r>
        <w:rPr>
          <w:rFonts w:hint="eastAsia" w:ascii="仿宋_GB2312" w:hAnsi="等线" w:eastAsia="仿宋_GB2312"/>
          <w:sz w:val="32"/>
          <w:szCs w:val="32"/>
          <w:highlight w:val="none"/>
        </w:rPr>
        <w:t>，努力打造尊商、亲商、助商、 安商良好营商环境，龙岗区委区政府制定了《龙岗区公职人员政 商交往“十个不准”》，严明公职人员在政商交往中的纪律要求。 请参与龙岗建设的广大企业及其从业人员，严格监督我区公职人 员落实“十个不准”，并在与我区公职人员交往中切实做到“十个不得”。</w:t>
      </w:r>
    </w:p>
    <w:p>
      <w:pPr>
        <w:shd w:val="clear"/>
        <w:spacing w:line="480" w:lineRule="exact"/>
        <w:ind w:firstLine="640" w:firstLineChars="200"/>
        <w:rPr>
          <w:rFonts w:ascii="仿宋_GB2312" w:hAnsi="等线" w:eastAsia="仿宋_GB2312"/>
          <w:sz w:val="32"/>
          <w:szCs w:val="32"/>
          <w:highlight w:val="none"/>
        </w:rPr>
      </w:pPr>
      <w:r>
        <w:rPr>
          <w:rFonts w:hint="eastAsia" w:ascii="仿宋_GB2312" w:hAnsi="等线" w:eastAsia="仿宋_GB2312"/>
          <w:sz w:val="32"/>
          <w:szCs w:val="32"/>
          <w:highlight w:val="none"/>
        </w:rPr>
        <w:t xml:space="preserve">一、不得向公职人员赠送礼品、礼金、消费卡等财物。 </w:t>
      </w:r>
    </w:p>
    <w:p>
      <w:pPr>
        <w:shd w:val="clear"/>
        <w:spacing w:line="480" w:lineRule="exact"/>
        <w:ind w:firstLine="640" w:firstLineChars="200"/>
        <w:rPr>
          <w:rFonts w:ascii="仿宋_GB2312" w:hAnsi="等线" w:eastAsia="仿宋_GB2312"/>
          <w:sz w:val="32"/>
          <w:szCs w:val="32"/>
          <w:highlight w:val="none"/>
        </w:rPr>
      </w:pPr>
      <w:r>
        <w:rPr>
          <w:rFonts w:hint="eastAsia" w:ascii="仿宋_GB2312" w:hAnsi="等线" w:eastAsia="仿宋_GB2312"/>
          <w:sz w:val="32"/>
          <w:szCs w:val="32"/>
          <w:highlight w:val="none"/>
        </w:rPr>
        <w:t>二、不得违规向公职人员提供宴请、旅游、娱乐等安排。</w:t>
      </w:r>
    </w:p>
    <w:p>
      <w:pPr>
        <w:shd w:val="clear"/>
        <w:spacing w:line="480" w:lineRule="exact"/>
        <w:ind w:firstLine="640" w:firstLineChars="200"/>
        <w:rPr>
          <w:rFonts w:ascii="仿宋_GB2312" w:hAnsi="等线" w:eastAsia="仿宋_GB2312"/>
          <w:sz w:val="32"/>
          <w:szCs w:val="32"/>
          <w:highlight w:val="none"/>
        </w:rPr>
      </w:pPr>
      <w:r>
        <w:rPr>
          <w:rFonts w:hint="eastAsia" w:ascii="仿宋_GB2312" w:hAnsi="等线" w:eastAsia="仿宋_GB2312"/>
          <w:sz w:val="32"/>
          <w:szCs w:val="32"/>
          <w:highlight w:val="none"/>
        </w:rPr>
        <w:t xml:space="preserve">三、不得通过打麻将等形式向公职人员输送利益。 </w:t>
      </w:r>
    </w:p>
    <w:p>
      <w:pPr>
        <w:shd w:val="clear"/>
        <w:spacing w:line="480" w:lineRule="exact"/>
        <w:ind w:firstLine="640" w:firstLineChars="200"/>
        <w:rPr>
          <w:rFonts w:ascii="仿宋_GB2312" w:hAnsi="等线" w:eastAsia="仿宋_GB2312"/>
          <w:sz w:val="32"/>
          <w:szCs w:val="32"/>
          <w:highlight w:val="none"/>
        </w:rPr>
      </w:pPr>
      <w:r>
        <w:rPr>
          <w:rFonts w:hint="eastAsia" w:ascii="仿宋_GB2312" w:hAnsi="等线" w:eastAsia="仿宋_GB2312"/>
          <w:sz w:val="32"/>
          <w:szCs w:val="32"/>
          <w:highlight w:val="none"/>
        </w:rPr>
        <w:t xml:space="preserve">四、不得为公职人员报销应由其个人支付的费用。 </w:t>
      </w:r>
    </w:p>
    <w:p>
      <w:pPr>
        <w:shd w:val="clear"/>
        <w:spacing w:line="480" w:lineRule="exact"/>
        <w:ind w:firstLine="640" w:firstLineChars="200"/>
        <w:rPr>
          <w:rFonts w:ascii="仿宋_GB2312" w:hAnsi="等线" w:eastAsia="仿宋_GB2312"/>
          <w:sz w:val="32"/>
          <w:szCs w:val="32"/>
          <w:highlight w:val="none"/>
        </w:rPr>
      </w:pPr>
      <w:r>
        <w:rPr>
          <w:rFonts w:hint="eastAsia" w:ascii="仿宋_GB2312" w:hAnsi="等线" w:eastAsia="仿宋_GB2312"/>
          <w:sz w:val="32"/>
          <w:szCs w:val="32"/>
          <w:highlight w:val="none"/>
        </w:rPr>
        <w:t xml:space="preserve">五、不得违规向公职人员及其亲友借贷款。 </w:t>
      </w:r>
    </w:p>
    <w:p>
      <w:pPr>
        <w:shd w:val="clear"/>
        <w:spacing w:line="480" w:lineRule="exact"/>
        <w:ind w:firstLine="640" w:firstLineChars="200"/>
        <w:rPr>
          <w:rFonts w:ascii="仿宋_GB2312" w:hAnsi="等线" w:eastAsia="仿宋_GB2312"/>
          <w:sz w:val="32"/>
          <w:szCs w:val="32"/>
          <w:highlight w:val="none"/>
        </w:rPr>
      </w:pPr>
      <w:r>
        <w:rPr>
          <w:rFonts w:hint="eastAsia" w:ascii="仿宋_GB2312" w:hAnsi="等线" w:eastAsia="仿宋_GB2312"/>
          <w:sz w:val="32"/>
          <w:szCs w:val="32"/>
          <w:highlight w:val="none"/>
        </w:rPr>
        <w:t>六、不得违规将车辆、住房等借给公职人员使用。</w:t>
      </w:r>
    </w:p>
    <w:p>
      <w:pPr>
        <w:shd w:val="clear"/>
        <w:spacing w:line="480" w:lineRule="exact"/>
        <w:ind w:firstLine="640" w:firstLineChars="200"/>
        <w:rPr>
          <w:rFonts w:ascii="仿宋_GB2312" w:hAnsi="等线" w:eastAsia="仿宋_GB2312"/>
          <w:sz w:val="32"/>
          <w:szCs w:val="32"/>
          <w:highlight w:val="none"/>
        </w:rPr>
      </w:pPr>
      <w:r>
        <w:rPr>
          <w:rFonts w:hint="eastAsia" w:ascii="仿宋_GB2312" w:hAnsi="等线" w:eastAsia="仿宋_GB2312"/>
          <w:sz w:val="32"/>
          <w:szCs w:val="32"/>
          <w:highlight w:val="none"/>
        </w:rPr>
        <w:t xml:space="preserve">七、不得在招投标中与公职人员搞暗箱操作、围标串标。 </w:t>
      </w:r>
    </w:p>
    <w:p>
      <w:pPr>
        <w:shd w:val="clear"/>
        <w:spacing w:line="480" w:lineRule="exact"/>
        <w:ind w:firstLine="640" w:firstLineChars="200"/>
        <w:rPr>
          <w:rFonts w:ascii="仿宋_GB2312" w:hAnsi="等线" w:eastAsia="仿宋_GB2312"/>
          <w:sz w:val="32"/>
          <w:szCs w:val="32"/>
          <w:highlight w:val="none"/>
        </w:rPr>
      </w:pPr>
      <w:r>
        <w:rPr>
          <w:rFonts w:hint="eastAsia" w:ascii="仿宋_GB2312" w:hAnsi="等线" w:eastAsia="仿宋_GB2312"/>
          <w:sz w:val="32"/>
          <w:szCs w:val="32"/>
          <w:highlight w:val="none"/>
        </w:rPr>
        <w:t xml:space="preserve">八、不得为利益相关人和公职人员牵线搭桥或者代为传递信 息、传递财物。 </w:t>
      </w:r>
    </w:p>
    <w:p>
      <w:pPr>
        <w:shd w:val="clear"/>
        <w:spacing w:line="480" w:lineRule="exact"/>
        <w:ind w:firstLine="640" w:firstLineChars="200"/>
        <w:rPr>
          <w:rFonts w:ascii="仿宋_GB2312" w:hAnsi="等线" w:eastAsia="仿宋_GB2312"/>
          <w:sz w:val="32"/>
          <w:szCs w:val="32"/>
          <w:highlight w:val="none"/>
        </w:rPr>
      </w:pPr>
      <w:r>
        <w:rPr>
          <w:rFonts w:hint="eastAsia" w:ascii="仿宋_GB2312" w:hAnsi="等线" w:eastAsia="仿宋_GB2312"/>
          <w:sz w:val="32"/>
          <w:szCs w:val="32"/>
          <w:highlight w:val="none"/>
        </w:rPr>
        <w:t>九、不得让公职人员在企业违规兼职取酬。</w:t>
      </w:r>
    </w:p>
    <w:p>
      <w:pPr>
        <w:shd w:val="clear"/>
        <w:spacing w:line="480" w:lineRule="exact"/>
        <w:ind w:firstLine="640" w:firstLineChars="200"/>
        <w:rPr>
          <w:rFonts w:ascii="仿宋_GB2312" w:hAnsi="等线" w:eastAsia="仿宋_GB2312"/>
          <w:sz w:val="32"/>
          <w:szCs w:val="32"/>
          <w:highlight w:val="none"/>
        </w:rPr>
      </w:pPr>
      <w:r>
        <w:rPr>
          <w:rFonts w:hint="eastAsia" w:ascii="仿宋_GB2312" w:hAnsi="等线" w:eastAsia="仿宋_GB2312"/>
          <w:sz w:val="32"/>
          <w:szCs w:val="32"/>
          <w:highlight w:val="none"/>
        </w:rPr>
        <w:t>十、不得为公职人员亲友违规承揽业务提供便利。</w:t>
      </w:r>
    </w:p>
    <w:p>
      <w:pPr>
        <w:shd w:val="clear"/>
        <w:spacing w:line="480" w:lineRule="exact"/>
        <w:ind w:firstLine="640" w:firstLineChars="200"/>
        <w:rPr>
          <w:rFonts w:ascii="仿宋_GB2312" w:hAnsi="等线" w:eastAsia="仿宋_GB2312"/>
          <w:sz w:val="32"/>
          <w:szCs w:val="32"/>
          <w:highlight w:val="none"/>
        </w:rPr>
      </w:pPr>
      <w:r>
        <w:rPr>
          <w:rFonts w:hint="eastAsia" w:ascii="仿宋_GB2312" w:hAnsi="等线" w:eastAsia="仿宋_GB2312"/>
          <w:sz w:val="32"/>
          <w:szCs w:val="32"/>
          <w:highlight w:val="none"/>
        </w:rPr>
        <w:t>上述“十个不得”，请您严格遵守。同时，在政商交往中， 如有发现我区公职人员存在违反“十个不准”的问题，请及时通过网络举报平台或者 12388 举报电话等方式，向纪检监察机关反映举报，我们将一律严格保密、一律优先处置、一律严肃查处。</w:t>
      </w:r>
    </w:p>
    <w:p>
      <w:pPr>
        <w:shd w:val="clear"/>
        <w:spacing w:line="500" w:lineRule="exact"/>
        <w:rPr>
          <w:rFonts w:ascii="仿宋_GB2312" w:hAnsi="等线" w:eastAsia="仿宋_GB2312"/>
          <w:b/>
          <w:sz w:val="32"/>
          <w:szCs w:val="32"/>
          <w:highlight w:val="none"/>
        </w:rPr>
      </w:pPr>
      <w:r>
        <w:rPr>
          <w:rFonts w:hint="eastAsia" w:ascii="仿宋_GB2312" w:hAnsi="等线" w:eastAsia="仿宋_GB2312"/>
          <w:b/>
          <w:sz w:val="32"/>
          <w:szCs w:val="32"/>
          <w:highlight w:val="none"/>
        </w:rPr>
        <w:t>本人已知晓上述告知内容，并愿意遵照执行（签名盖章）：</w:t>
      </w:r>
    </w:p>
    <w:p>
      <w:pPr>
        <w:shd w:val="clear"/>
        <w:spacing w:line="500" w:lineRule="exact"/>
        <w:ind w:firstLine="643" w:firstLineChars="200"/>
        <w:rPr>
          <w:rFonts w:ascii="仿宋_GB2312" w:hAnsi="等线" w:eastAsia="仿宋_GB2312"/>
          <w:b/>
          <w:sz w:val="32"/>
          <w:szCs w:val="32"/>
          <w:highlight w:val="none"/>
        </w:rPr>
      </w:pPr>
      <w:r>
        <w:rPr>
          <w:rFonts w:hint="eastAsia" w:ascii="仿宋_GB2312" w:hAnsi="等线" w:eastAsia="仿宋_GB2312"/>
          <w:b/>
          <w:sz w:val="32"/>
          <w:szCs w:val="32"/>
          <w:highlight w:val="none"/>
        </w:rPr>
        <w:t xml:space="preserve">                              年 月 日</w:t>
      </w:r>
    </w:p>
    <w:p>
      <w:pPr>
        <w:shd w:val="clear"/>
        <w:spacing w:line="500" w:lineRule="exact"/>
        <w:ind w:firstLine="480" w:firstLineChars="200"/>
        <w:rPr>
          <w:rFonts w:ascii="仿宋_GB2312" w:hAnsi="等线" w:eastAsia="仿宋_GB2312"/>
          <w:sz w:val="24"/>
          <w:highlight w:val="none"/>
        </w:rPr>
      </w:pPr>
      <w:r>
        <w:rPr>
          <w:rFonts w:hint="eastAsia" w:ascii="仿宋_GB2312" w:hAnsi="等线" w:eastAsia="仿宋_GB2312"/>
          <w:sz w:val="24"/>
          <w:highlight w:val="none"/>
        </w:rPr>
        <w:t>（本告知书一式两份，一份由被告知人保存，一份由告知人所在单位留存。）</w:t>
      </w:r>
    </w:p>
    <w:p>
      <w:pPr>
        <w:shd w:val="clear"/>
        <w:rPr>
          <w:rFonts w:hint="eastAsia"/>
          <w:highlight w:val="none"/>
        </w:rPr>
      </w:pPr>
      <w:r>
        <w:rPr>
          <w:rFonts w:ascii="仿宋_GB2312" w:eastAsia="仿宋_GB2312"/>
          <w:sz w:val="28"/>
          <w:szCs w:val="28"/>
          <w:highlight w:val="none"/>
        </w:rPr>
        <w:br w:type="page"/>
      </w:r>
      <w:r>
        <w:rPr>
          <w:rFonts w:hint="eastAsia"/>
          <w:highlight w:val="none"/>
        </w:rPr>
        <w:t>附件三</w:t>
      </w:r>
    </w:p>
    <w:p>
      <w:pPr>
        <w:widowControl w:val="0"/>
        <w:shd w:val="clear"/>
        <w:spacing w:line="560" w:lineRule="exact"/>
        <w:jc w:val="center"/>
        <w:rPr>
          <w:rFonts w:hint="eastAsia" w:ascii="方正小标宋简体" w:hAnsi="等线" w:eastAsia="方正小标宋简体" w:cs="Times New Roman"/>
          <w:kern w:val="2"/>
          <w:sz w:val="44"/>
          <w:szCs w:val="44"/>
          <w:highlight w:val="none"/>
        </w:rPr>
      </w:pPr>
      <w:r>
        <w:rPr>
          <w:rFonts w:hint="eastAsia" w:ascii="方正小标宋简体" w:hAnsi="等线" w:eastAsia="方正小标宋简体" w:cs="Times New Roman"/>
          <w:kern w:val="2"/>
          <w:sz w:val="44"/>
          <w:szCs w:val="44"/>
          <w:highlight w:val="none"/>
        </w:rPr>
        <w:t>产品价格表</w:t>
      </w:r>
    </w:p>
    <w:tbl>
      <w:tblPr>
        <w:tblStyle w:val="21"/>
        <w:tblW w:w="10530" w:type="dxa"/>
        <w:jc w:val="center"/>
        <w:tblLayout w:type="fixed"/>
        <w:tblCellMar>
          <w:top w:w="0" w:type="dxa"/>
          <w:left w:w="108" w:type="dxa"/>
          <w:bottom w:w="0" w:type="dxa"/>
          <w:right w:w="108" w:type="dxa"/>
        </w:tblCellMar>
      </w:tblPr>
      <w:tblGrid>
        <w:gridCol w:w="642"/>
        <w:gridCol w:w="822"/>
        <w:gridCol w:w="1079"/>
        <w:gridCol w:w="1125"/>
        <w:gridCol w:w="1170"/>
        <w:gridCol w:w="975"/>
        <w:gridCol w:w="1320"/>
        <w:gridCol w:w="690"/>
        <w:gridCol w:w="825"/>
        <w:gridCol w:w="570"/>
        <w:gridCol w:w="675"/>
        <w:gridCol w:w="637"/>
      </w:tblGrid>
      <w:tr>
        <w:tblPrEx>
          <w:tblCellMar>
            <w:top w:w="0" w:type="dxa"/>
            <w:left w:w="108" w:type="dxa"/>
            <w:bottom w:w="0" w:type="dxa"/>
            <w:right w:w="108" w:type="dxa"/>
          </w:tblCellMar>
        </w:tblPrEx>
        <w:trPr>
          <w:trHeight w:val="1690" w:hRule="atLeast"/>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仿宋"/>
                <w:sz w:val="18"/>
                <w:szCs w:val="18"/>
                <w:highlight w:val="none"/>
              </w:rPr>
            </w:pPr>
            <w:r>
              <w:rPr>
                <w:rFonts w:hint="eastAsia" w:ascii="仿宋" w:hAnsi="仿宋" w:eastAsia="仿宋" w:cs="仿宋"/>
                <w:kern w:val="0"/>
                <w:sz w:val="18"/>
                <w:szCs w:val="18"/>
                <w:highlight w:val="none"/>
                <w:lang w:bidi="ar"/>
              </w:rPr>
              <w:t>序号</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sz w:val="18"/>
                <w:szCs w:val="18"/>
                <w:highlight w:val="none"/>
              </w:rPr>
            </w:pPr>
            <w:r>
              <w:rPr>
                <w:rFonts w:hint="eastAsia" w:ascii="仿宋" w:hAnsi="仿宋" w:eastAsia="仿宋" w:cs="仿宋"/>
                <w:kern w:val="0"/>
                <w:sz w:val="18"/>
                <w:szCs w:val="18"/>
                <w:highlight w:val="none"/>
                <w:lang w:bidi="ar"/>
              </w:rPr>
              <w:t>阳光平台交易产品代码</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sz w:val="18"/>
                <w:szCs w:val="18"/>
                <w:highlight w:val="none"/>
              </w:rPr>
            </w:pPr>
            <w:r>
              <w:rPr>
                <w:rFonts w:hint="eastAsia" w:ascii="仿宋" w:hAnsi="仿宋" w:eastAsia="仿宋" w:cs="仿宋"/>
                <w:kern w:val="0"/>
                <w:sz w:val="18"/>
                <w:szCs w:val="18"/>
                <w:highlight w:val="none"/>
                <w:lang w:bidi="ar"/>
              </w:rPr>
              <w:t>规格型号编码</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sz w:val="18"/>
                <w:szCs w:val="18"/>
                <w:highlight w:val="none"/>
              </w:rPr>
            </w:pPr>
            <w:r>
              <w:rPr>
                <w:rFonts w:hint="eastAsia" w:ascii="仿宋" w:hAnsi="仿宋" w:eastAsia="仿宋" w:cs="仿宋"/>
                <w:kern w:val="0"/>
                <w:sz w:val="18"/>
                <w:szCs w:val="18"/>
                <w:highlight w:val="none"/>
                <w:lang w:bidi="ar"/>
              </w:rPr>
              <w:t>耗材分类代码（国家编码）</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sz w:val="18"/>
                <w:szCs w:val="18"/>
                <w:highlight w:val="none"/>
              </w:rPr>
            </w:pPr>
            <w:r>
              <w:rPr>
                <w:rFonts w:hint="eastAsia" w:ascii="仿宋" w:hAnsi="仿宋" w:eastAsia="仿宋" w:cs="仿宋"/>
                <w:kern w:val="0"/>
                <w:sz w:val="18"/>
                <w:szCs w:val="18"/>
                <w:highlight w:val="none"/>
                <w:lang w:bidi="ar"/>
              </w:rPr>
              <w:t>注册证名称</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sz w:val="18"/>
                <w:szCs w:val="18"/>
                <w:highlight w:val="none"/>
              </w:rPr>
            </w:pPr>
            <w:r>
              <w:rPr>
                <w:rFonts w:hint="eastAsia" w:ascii="仿宋" w:hAnsi="仿宋" w:eastAsia="仿宋" w:cs="仿宋"/>
                <w:kern w:val="0"/>
                <w:sz w:val="18"/>
                <w:szCs w:val="18"/>
                <w:highlight w:val="none"/>
                <w:lang w:bidi="ar"/>
              </w:rPr>
              <w:t>注册证号</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sz w:val="18"/>
                <w:szCs w:val="18"/>
                <w:highlight w:val="none"/>
              </w:rPr>
            </w:pPr>
            <w:r>
              <w:rPr>
                <w:rFonts w:hint="eastAsia" w:ascii="仿宋" w:hAnsi="仿宋" w:eastAsia="仿宋" w:cs="仿宋"/>
                <w:kern w:val="0"/>
                <w:sz w:val="18"/>
                <w:szCs w:val="18"/>
                <w:highlight w:val="none"/>
                <w:lang w:bidi="ar"/>
              </w:rPr>
              <w:t>生产企业</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sz w:val="18"/>
                <w:szCs w:val="18"/>
                <w:highlight w:val="none"/>
              </w:rPr>
            </w:pPr>
            <w:r>
              <w:rPr>
                <w:rFonts w:hint="eastAsia" w:ascii="仿宋" w:hAnsi="仿宋" w:eastAsia="仿宋" w:cs="仿宋"/>
                <w:kern w:val="0"/>
                <w:sz w:val="18"/>
                <w:szCs w:val="18"/>
                <w:highlight w:val="none"/>
                <w:lang w:bidi="ar"/>
              </w:rPr>
              <w:t>产地/品牌</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sz w:val="18"/>
                <w:szCs w:val="18"/>
                <w:highlight w:val="none"/>
              </w:rPr>
            </w:pPr>
            <w:r>
              <w:rPr>
                <w:rFonts w:hint="eastAsia" w:ascii="仿宋" w:hAnsi="仿宋" w:eastAsia="仿宋" w:cs="仿宋"/>
                <w:kern w:val="0"/>
                <w:sz w:val="18"/>
                <w:szCs w:val="18"/>
                <w:highlight w:val="none"/>
                <w:lang w:bidi="ar"/>
              </w:rPr>
              <w:t>注册证规格型号</w:t>
            </w: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sz w:val="18"/>
                <w:szCs w:val="18"/>
                <w:highlight w:val="none"/>
              </w:rPr>
            </w:pPr>
            <w:r>
              <w:rPr>
                <w:rFonts w:hint="eastAsia" w:ascii="仿宋" w:hAnsi="仿宋" w:eastAsia="仿宋" w:cs="仿宋"/>
                <w:kern w:val="0"/>
                <w:sz w:val="18"/>
                <w:szCs w:val="18"/>
                <w:highlight w:val="none"/>
                <w:lang w:bidi="ar"/>
              </w:rPr>
              <w:t>计量单位</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kern w:val="0"/>
                <w:sz w:val="18"/>
                <w:szCs w:val="18"/>
                <w:highlight w:val="none"/>
                <w:lang w:bidi="ar"/>
              </w:rPr>
            </w:pPr>
          </w:p>
          <w:p>
            <w:pPr>
              <w:keepNext w:val="0"/>
              <w:keepLines w:val="0"/>
              <w:widowControl/>
              <w:suppressLineNumbers w:val="0"/>
              <w:shd w:val="clear"/>
              <w:spacing w:before="0" w:beforeAutospacing="0" w:after="0" w:afterAutospacing="0"/>
              <w:ind w:left="0" w:right="0"/>
              <w:jc w:val="center"/>
              <w:textAlignment w:val="center"/>
              <w:rPr>
                <w:rFonts w:hint="default" w:ascii="Calibri" w:hAnsi="Calibri"/>
                <w:szCs w:val="22"/>
                <w:highlight w:val="none"/>
              </w:rPr>
            </w:pPr>
            <w:r>
              <w:rPr>
                <w:rFonts w:hint="eastAsia" w:ascii="仿宋" w:hAnsi="仿宋" w:eastAsia="仿宋" w:cs="仿宋"/>
                <w:kern w:val="0"/>
                <w:sz w:val="18"/>
                <w:szCs w:val="18"/>
                <w:highlight w:val="none"/>
                <w:lang w:bidi="ar"/>
              </w:rPr>
              <w:t>计量单位中选价（元）</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仿宋" w:hAnsi="仿宋" w:eastAsia="仿宋" w:cs="仿宋"/>
                <w:kern w:val="0"/>
                <w:sz w:val="18"/>
                <w:szCs w:val="18"/>
                <w:highlight w:val="none"/>
                <w:lang w:bidi="ar"/>
              </w:rPr>
            </w:pPr>
            <w:r>
              <w:rPr>
                <w:rFonts w:hint="eastAsia" w:ascii="仿宋" w:hAnsi="仿宋" w:eastAsia="仿宋" w:cs="仿宋"/>
                <w:kern w:val="0"/>
                <w:sz w:val="18"/>
                <w:szCs w:val="18"/>
                <w:highlight w:val="none"/>
                <w:lang w:bidi="ar"/>
              </w:rPr>
              <w:t>最小包装规格</w:t>
            </w:r>
          </w:p>
        </w:tc>
      </w:tr>
      <w:tr>
        <w:tblPrEx>
          <w:tblCellMar>
            <w:top w:w="0" w:type="dxa"/>
            <w:left w:w="108" w:type="dxa"/>
            <w:bottom w:w="0" w:type="dxa"/>
            <w:right w:w="108" w:type="dxa"/>
          </w:tblCellMar>
        </w:tblPrEx>
        <w:trPr>
          <w:trHeight w:val="566" w:hRule="atLeast"/>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1</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default" w:ascii="仿宋" w:hAnsi="仿宋" w:eastAsia="仿宋" w:cs="仿宋"/>
                <w:kern w:val="0"/>
                <w:sz w:val="18"/>
                <w:szCs w:val="18"/>
                <w:highlight w:val="none"/>
                <w:lang w:bidi="ar"/>
              </w:rPr>
            </w:pPr>
          </w:p>
        </w:tc>
      </w:tr>
      <w:tr>
        <w:tblPrEx>
          <w:tblCellMar>
            <w:top w:w="0" w:type="dxa"/>
            <w:left w:w="108" w:type="dxa"/>
            <w:bottom w:w="0" w:type="dxa"/>
            <w:right w:w="108" w:type="dxa"/>
          </w:tblCellMar>
        </w:tblPrEx>
        <w:trPr>
          <w:trHeight w:val="527" w:hRule="atLeast"/>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2</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r>
      <w:tr>
        <w:tblPrEx>
          <w:tblCellMar>
            <w:top w:w="0" w:type="dxa"/>
            <w:left w:w="108" w:type="dxa"/>
            <w:bottom w:w="0" w:type="dxa"/>
            <w:right w:w="108" w:type="dxa"/>
          </w:tblCellMar>
        </w:tblPrEx>
        <w:trPr>
          <w:trHeight w:val="594" w:hRule="atLeast"/>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3</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r>
      <w:tr>
        <w:tblPrEx>
          <w:tblCellMar>
            <w:top w:w="0" w:type="dxa"/>
            <w:left w:w="108" w:type="dxa"/>
            <w:bottom w:w="0" w:type="dxa"/>
            <w:right w:w="108" w:type="dxa"/>
          </w:tblCellMar>
        </w:tblPrEx>
        <w:trPr>
          <w:trHeight w:val="544" w:hRule="atLeast"/>
          <w:jc w:val="center"/>
        </w:trPr>
        <w:tc>
          <w:tcPr>
            <w:tcW w:w="6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r>
              <w:rPr>
                <w:rFonts w:hint="eastAsia" w:ascii="宋体" w:hAnsi="宋体" w:cs="宋体"/>
                <w:kern w:val="0"/>
                <w:sz w:val="18"/>
                <w:szCs w:val="18"/>
                <w:highlight w:val="none"/>
                <w:lang w:bidi="ar"/>
              </w:rPr>
              <w:t>4</w:t>
            </w:r>
          </w:p>
        </w:tc>
        <w:tc>
          <w:tcPr>
            <w:tcW w:w="8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5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spacing w:before="0" w:beforeAutospacing="0" w:after="0" w:afterAutospacing="0"/>
              <w:ind w:left="0" w:right="0"/>
              <w:jc w:val="center"/>
              <w:textAlignment w:val="center"/>
              <w:rPr>
                <w:rFonts w:hint="eastAsia" w:ascii="宋体" w:hAnsi="宋体" w:cs="宋体"/>
                <w:kern w:val="0"/>
                <w:sz w:val="18"/>
                <w:szCs w:val="18"/>
                <w:highlight w:val="none"/>
                <w:lang w:bidi="ar"/>
              </w:rPr>
            </w:pPr>
          </w:p>
        </w:tc>
      </w:tr>
    </w:tbl>
    <w:p>
      <w:pPr>
        <w:shd w:val="clear"/>
        <w:ind w:firstLine="2400" w:firstLineChars="800"/>
        <w:rPr>
          <w:rFonts w:ascii="仿宋_GB2312" w:eastAsia="仿宋_GB2312"/>
          <w:sz w:val="30"/>
          <w:szCs w:val="30"/>
          <w:highlight w:val="none"/>
        </w:rPr>
      </w:pPr>
    </w:p>
    <w:p>
      <w:pPr>
        <w:shd w:val="clear"/>
        <w:ind w:firstLine="3520" w:firstLineChars="1100"/>
        <w:rPr>
          <w:rFonts w:hint="eastAsia" w:ascii="仿宋_GB2312" w:eastAsia="仿宋_GB2312"/>
          <w:sz w:val="32"/>
          <w:szCs w:val="32"/>
          <w:highlight w:val="none"/>
        </w:rPr>
      </w:pPr>
      <w:r>
        <w:rPr>
          <w:rFonts w:hint="eastAsia" w:ascii="仿宋_GB2312" w:eastAsia="仿宋_GB2312"/>
          <w:sz w:val="32"/>
          <w:szCs w:val="32"/>
          <w:highlight w:val="none"/>
        </w:rPr>
        <w:t>供应商（盖章）：</w:t>
      </w:r>
    </w:p>
    <w:p>
      <w:pPr>
        <w:shd w:val="clear"/>
        <w:rPr>
          <w:rFonts w:hint="eastAsia" w:ascii="仿宋" w:hAnsi="仿宋" w:eastAsia="仿宋" w:cs="仿宋"/>
          <w:b/>
          <w:bCs/>
          <w:kern w:val="2"/>
          <w:sz w:val="28"/>
          <w:highlight w:val="none"/>
        </w:rPr>
      </w:pPr>
    </w:p>
    <w:p>
      <w:pPr>
        <w:shd w:val="clea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br w:type="page"/>
      </w:r>
    </w:p>
    <w:p>
      <w:pPr>
        <w:shd w:val="clear"/>
        <w:rPr>
          <w:rFonts w:hint="eastAsia" w:ascii="仿宋" w:hAnsi="仿宋" w:eastAsia="仿宋" w:cs="仿宋"/>
          <w:b/>
          <w:bCs/>
          <w:kern w:val="2"/>
          <w:sz w:val="24"/>
          <w:szCs w:val="24"/>
          <w:highlight w:val="none"/>
          <w:lang w:val="en-US" w:eastAsia="zh-CN"/>
        </w:rPr>
      </w:pPr>
      <w:r>
        <w:rPr>
          <w:rFonts w:hint="eastAsia" w:ascii="仿宋" w:hAnsi="仿宋" w:eastAsia="仿宋" w:cs="仿宋"/>
          <w:b/>
          <w:bCs/>
          <w:kern w:val="2"/>
          <w:sz w:val="24"/>
          <w:szCs w:val="24"/>
          <w:highlight w:val="none"/>
          <w:lang w:val="en-US" w:eastAsia="zh-CN"/>
        </w:rPr>
        <w:t>九、投标人认为需要加以说明的其他内容的格式</w:t>
      </w:r>
    </w:p>
    <w:p>
      <w:pPr>
        <w:pStyle w:val="8"/>
        <w:shd w:val="clear"/>
        <w:rPr>
          <w:rFonts w:hint="eastAsia"/>
          <w:highlight w:val="none"/>
        </w:rPr>
      </w:pPr>
    </w:p>
    <w:p>
      <w:pPr>
        <w:shd w:val="clear"/>
        <w:outlineLvl w:val="3"/>
        <w:rPr>
          <w:rFonts w:hint="eastAsia" w:ascii="仿宋" w:hAnsi="仿宋" w:eastAsia="仿宋" w:cs="仿宋"/>
          <w:b/>
          <w:szCs w:val="21"/>
          <w:highlight w:val="none"/>
        </w:rPr>
      </w:pPr>
    </w:p>
    <w:p>
      <w:pPr>
        <w:pStyle w:val="20"/>
        <w:shd w:val="clear"/>
        <w:spacing w:after="60"/>
        <w:ind w:left="0" w:leftChars="0" w:firstLine="0" w:firstLineChars="0"/>
        <w:jc w:val="both"/>
        <w:rPr>
          <w:rFonts w:hint="eastAsia" w:ascii="仿宋" w:hAnsi="仿宋" w:eastAsia="仿宋" w:cs="仿宋"/>
          <w:b/>
          <w:bCs/>
          <w:color w:val="auto"/>
          <w:sz w:val="24"/>
          <w:szCs w:val="24"/>
          <w:highlight w:val="none"/>
        </w:rPr>
      </w:pPr>
    </w:p>
    <w:p>
      <w:pPr>
        <w:pStyle w:val="20"/>
        <w:shd w:val="clear"/>
        <w:spacing w:after="60"/>
        <w:ind w:firstLine="422"/>
        <w:jc w:val="both"/>
        <w:rPr>
          <w:rFonts w:hint="eastAsia" w:ascii="仿宋" w:hAnsi="仿宋" w:eastAsia="仿宋" w:cs="仿宋"/>
          <w:b/>
          <w:bCs/>
          <w:color w:val="auto"/>
          <w:sz w:val="24"/>
          <w:szCs w:val="24"/>
          <w:highlight w:val="none"/>
        </w:rPr>
      </w:pPr>
    </w:p>
    <w:p>
      <w:pPr>
        <w:pStyle w:val="20"/>
        <w:shd w:val="clear"/>
        <w:spacing w:after="60"/>
        <w:ind w:firstLine="422"/>
        <w:jc w:val="both"/>
        <w:rPr>
          <w:rFonts w:hint="eastAsia" w:ascii="仿宋" w:hAnsi="仿宋" w:eastAsia="仿宋" w:cs="仿宋"/>
          <w:b/>
          <w:bCs/>
          <w:color w:val="auto"/>
          <w:sz w:val="24"/>
          <w:szCs w:val="24"/>
          <w:highlight w:val="none"/>
        </w:rPr>
      </w:pPr>
    </w:p>
    <w:p>
      <w:pPr>
        <w:shd w:val="clear"/>
        <w:rPr>
          <w:rFonts w:hint="eastAsia" w:ascii="仿宋" w:hAnsi="仿宋" w:eastAsia="仿宋" w:cs="仿宋"/>
          <w:color w:val="auto"/>
          <w:highlight w:val="none"/>
        </w:rPr>
      </w:pPr>
    </w:p>
    <w:sectPr>
      <w:headerReference r:id="rId3" w:type="default"/>
      <w:footerReference r:id="rId4" w:type="default"/>
      <w:pgSz w:w="11906" w:h="16838"/>
      <w:pgMar w:top="1440" w:right="1800" w:bottom="1440" w:left="1800" w:header="720" w:footer="720"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auto"/>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宋体-18030">
    <w:altName w:val="微软雅黑"/>
    <w:panose1 w:val="02010609060101010101"/>
    <w:charset w:val="00"/>
    <w:family w:val="modern"/>
    <w:pitch w:val="default"/>
    <w:sig w:usb0="00000000" w:usb1="00000000" w:usb2="000A005E" w:usb3="00000000" w:csb0="00040001"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43E2C"/>
    <w:multiLevelType w:val="singleLevel"/>
    <w:tmpl w:val="9BA43E2C"/>
    <w:lvl w:ilvl="0" w:tentative="0">
      <w:start w:val="3"/>
      <w:numFmt w:val="chineseCounting"/>
      <w:suff w:val="nothing"/>
      <w:lvlText w:val="%1、"/>
      <w:lvlJc w:val="left"/>
      <w:rPr>
        <w:rFonts w:hint="eastAsia"/>
      </w:rPr>
    </w:lvl>
  </w:abstractNum>
  <w:abstractNum w:abstractNumId="1">
    <w:nsid w:val="AB11625B"/>
    <w:multiLevelType w:val="singleLevel"/>
    <w:tmpl w:val="AB11625B"/>
    <w:lvl w:ilvl="0" w:tentative="0">
      <w:start w:val="10"/>
      <w:numFmt w:val="chineseCounting"/>
      <w:suff w:val="nothing"/>
      <w:lvlText w:val="%1、"/>
      <w:lvlJc w:val="left"/>
      <w:rPr>
        <w:rFonts w:hint="eastAsia"/>
      </w:rPr>
    </w:lvl>
  </w:abstractNum>
  <w:abstractNum w:abstractNumId="2">
    <w:nsid w:val="B37B4641"/>
    <w:multiLevelType w:val="singleLevel"/>
    <w:tmpl w:val="B37B4641"/>
    <w:lvl w:ilvl="0" w:tentative="0">
      <w:start w:val="2"/>
      <w:numFmt w:val="decimal"/>
      <w:lvlText w:val="%1."/>
      <w:lvlJc w:val="left"/>
      <w:pPr>
        <w:tabs>
          <w:tab w:val="left" w:pos="312"/>
        </w:tabs>
      </w:pPr>
    </w:lvl>
  </w:abstractNum>
  <w:abstractNum w:abstractNumId="3">
    <w:nsid w:val="E823489C"/>
    <w:multiLevelType w:val="singleLevel"/>
    <w:tmpl w:val="E823489C"/>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OTYxMGNjZWQ2NWRkNDIxZWM1ZDAxODQ5MTg2MjAifQ=="/>
  </w:docVars>
  <w:rsids>
    <w:rsidRoot w:val="008B7703"/>
    <w:rsid w:val="000264F9"/>
    <w:rsid w:val="001651D7"/>
    <w:rsid w:val="001C5E54"/>
    <w:rsid w:val="00405140"/>
    <w:rsid w:val="0045483F"/>
    <w:rsid w:val="00472261"/>
    <w:rsid w:val="004A1F14"/>
    <w:rsid w:val="004F677E"/>
    <w:rsid w:val="006454AC"/>
    <w:rsid w:val="00732078"/>
    <w:rsid w:val="007D64AF"/>
    <w:rsid w:val="008675C6"/>
    <w:rsid w:val="008B7703"/>
    <w:rsid w:val="008F25EE"/>
    <w:rsid w:val="00921F9E"/>
    <w:rsid w:val="00927F54"/>
    <w:rsid w:val="00953D9C"/>
    <w:rsid w:val="00A17694"/>
    <w:rsid w:val="00AD1669"/>
    <w:rsid w:val="00CF7117"/>
    <w:rsid w:val="00D9595A"/>
    <w:rsid w:val="00DB1095"/>
    <w:rsid w:val="00DF718C"/>
    <w:rsid w:val="00E16FE2"/>
    <w:rsid w:val="00F554D0"/>
    <w:rsid w:val="00F77138"/>
    <w:rsid w:val="00FB43C6"/>
    <w:rsid w:val="00FB717B"/>
    <w:rsid w:val="013435B5"/>
    <w:rsid w:val="013823C7"/>
    <w:rsid w:val="01934780"/>
    <w:rsid w:val="0193600E"/>
    <w:rsid w:val="01D86DDC"/>
    <w:rsid w:val="023B4C37"/>
    <w:rsid w:val="024F53D7"/>
    <w:rsid w:val="026A42C4"/>
    <w:rsid w:val="02A62291"/>
    <w:rsid w:val="02BD45BB"/>
    <w:rsid w:val="02EE5DE9"/>
    <w:rsid w:val="02FE20CD"/>
    <w:rsid w:val="03200295"/>
    <w:rsid w:val="033C0EA6"/>
    <w:rsid w:val="03635F1B"/>
    <w:rsid w:val="03896F26"/>
    <w:rsid w:val="03CA1FAF"/>
    <w:rsid w:val="040303AF"/>
    <w:rsid w:val="04223B99"/>
    <w:rsid w:val="04277401"/>
    <w:rsid w:val="045954E7"/>
    <w:rsid w:val="047824B4"/>
    <w:rsid w:val="04E92909"/>
    <w:rsid w:val="04F632A9"/>
    <w:rsid w:val="04FE45CA"/>
    <w:rsid w:val="053064E3"/>
    <w:rsid w:val="05BD6DC3"/>
    <w:rsid w:val="05DE40B7"/>
    <w:rsid w:val="0604513F"/>
    <w:rsid w:val="06190FCC"/>
    <w:rsid w:val="06256A2A"/>
    <w:rsid w:val="06297449"/>
    <w:rsid w:val="06A27213"/>
    <w:rsid w:val="06B156A8"/>
    <w:rsid w:val="06CB49BC"/>
    <w:rsid w:val="0722232E"/>
    <w:rsid w:val="07746E01"/>
    <w:rsid w:val="077B678F"/>
    <w:rsid w:val="0797489E"/>
    <w:rsid w:val="07D27B88"/>
    <w:rsid w:val="07E06062"/>
    <w:rsid w:val="07E85308"/>
    <w:rsid w:val="07F65A68"/>
    <w:rsid w:val="084230FC"/>
    <w:rsid w:val="08481A1D"/>
    <w:rsid w:val="089B76C1"/>
    <w:rsid w:val="08E25FED"/>
    <w:rsid w:val="0922522E"/>
    <w:rsid w:val="092F6DC4"/>
    <w:rsid w:val="095962AF"/>
    <w:rsid w:val="09644C54"/>
    <w:rsid w:val="097D1872"/>
    <w:rsid w:val="09BE6112"/>
    <w:rsid w:val="0A261F09"/>
    <w:rsid w:val="0A4F4A4D"/>
    <w:rsid w:val="0A8C4C8E"/>
    <w:rsid w:val="0AB13EC9"/>
    <w:rsid w:val="0AB75BB7"/>
    <w:rsid w:val="0ABB6AF5"/>
    <w:rsid w:val="0ADA778B"/>
    <w:rsid w:val="0B1B6C03"/>
    <w:rsid w:val="0B223109"/>
    <w:rsid w:val="0B275F39"/>
    <w:rsid w:val="0B723658"/>
    <w:rsid w:val="0B957346"/>
    <w:rsid w:val="0C204616"/>
    <w:rsid w:val="0C444F67"/>
    <w:rsid w:val="0CB677F4"/>
    <w:rsid w:val="0CC56C31"/>
    <w:rsid w:val="0CE560AB"/>
    <w:rsid w:val="0CEC568C"/>
    <w:rsid w:val="0D166265"/>
    <w:rsid w:val="0D335069"/>
    <w:rsid w:val="0D445C35"/>
    <w:rsid w:val="0D71387D"/>
    <w:rsid w:val="0DA10224"/>
    <w:rsid w:val="0DE648D9"/>
    <w:rsid w:val="0E58794B"/>
    <w:rsid w:val="0E884F40"/>
    <w:rsid w:val="0E896B15"/>
    <w:rsid w:val="0EB9159E"/>
    <w:rsid w:val="0ED231E9"/>
    <w:rsid w:val="0EE228A3"/>
    <w:rsid w:val="0F223027"/>
    <w:rsid w:val="0F826DE8"/>
    <w:rsid w:val="0F8D1286"/>
    <w:rsid w:val="0FA22032"/>
    <w:rsid w:val="0FAC0586"/>
    <w:rsid w:val="0FB56209"/>
    <w:rsid w:val="0FB6788B"/>
    <w:rsid w:val="0FD25B44"/>
    <w:rsid w:val="0FFC1742"/>
    <w:rsid w:val="10044A9B"/>
    <w:rsid w:val="10784B54"/>
    <w:rsid w:val="10A5627E"/>
    <w:rsid w:val="10C8712C"/>
    <w:rsid w:val="10DF6C28"/>
    <w:rsid w:val="10F43BB6"/>
    <w:rsid w:val="11074FD5"/>
    <w:rsid w:val="110C1CCA"/>
    <w:rsid w:val="111D7BC2"/>
    <w:rsid w:val="119C53FC"/>
    <w:rsid w:val="12082CCB"/>
    <w:rsid w:val="12152F8F"/>
    <w:rsid w:val="12CA1FCB"/>
    <w:rsid w:val="131F5FC8"/>
    <w:rsid w:val="136F4921"/>
    <w:rsid w:val="13A4385E"/>
    <w:rsid w:val="13CC66FB"/>
    <w:rsid w:val="144B713C"/>
    <w:rsid w:val="14524026"/>
    <w:rsid w:val="14685B7F"/>
    <w:rsid w:val="146F1229"/>
    <w:rsid w:val="149363ED"/>
    <w:rsid w:val="14952B42"/>
    <w:rsid w:val="14CA300E"/>
    <w:rsid w:val="150D43F1"/>
    <w:rsid w:val="158D0DF1"/>
    <w:rsid w:val="159A1EE1"/>
    <w:rsid w:val="15C2771C"/>
    <w:rsid w:val="15F929B8"/>
    <w:rsid w:val="16314110"/>
    <w:rsid w:val="166C2E8F"/>
    <w:rsid w:val="16876DA5"/>
    <w:rsid w:val="1697360A"/>
    <w:rsid w:val="16C580A6"/>
    <w:rsid w:val="16EA4CA2"/>
    <w:rsid w:val="16F1568A"/>
    <w:rsid w:val="17AA3C57"/>
    <w:rsid w:val="18876269"/>
    <w:rsid w:val="189E1288"/>
    <w:rsid w:val="192817FA"/>
    <w:rsid w:val="19AA0E85"/>
    <w:rsid w:val="19B5268C"/>
    <w:rsid w:val="19DB686C"/>
    <w:rsid w:val="1A046141"/>
    <w:rsid w:val="1A1F0EDB"/>
    <w:rsid w:val="1A226249"/>
    <w:rsid w:val="1ABF4452"/>
    <w:rsid w:val="1B1B4D53"/>
    <w:rsid w:val="1BC3247D"/>
    <w:rsid w:val="1BC91015"/>
    <w:rsid w:val="1BF73705"/>
    <w:rsid w:val="1C2716CB"/>
    <w:rsid w:val="1C424981"/>
    <w:rsid w:val="1CA52637"/>
    <w:rsid w:val="1CBC50AC"/>
    <w:rsid w:val="1CFD4D4B"/>
    <w:rsid w:val="1D552DD9"/>
    <w:rsid w:val="1D872AF2"/>
    <w:rsid w:val="1DA545DF"/>
    <w:rsid w:val="1DDE692B"/>
    <w:rsid w:val="1DF443A0"/>
    <w:rsid w:val="1E3C04C7"/>
    <w:rsid w:val="1E7F4B2B"/>
    <w:rsid w:val="1EAE10B2"/>
    <w:rsid w:val="1EC06306"/>
    <w:rsid w:val="1EDB1A02"/>
    <w:rsid w:val="1F01713F"/>
    <w:rsid w:val="1F301408"/>
    <w:rsid w:val="1F41519C"/>
    <w:rsid w:val="1F42113B"/>
    <w:rsid w:val="1F93245F"/>
    <w:rsid w:val="1FA464F7"/>
    <w:rsid w:val="1FC5173F"/>
    <w:rsid w:val="1FC72148"/>
    <w:rsid w:val="1FE67D19"/>
    <w:rsid w:val="204A64FA"/>
    <w:rsid w:val="21007857"/>
    <w:rsid w:val="210D1CA0"/>
    <w:rsid w:val="21244F9D"/>
    <w:rsid w:val="21470C8B"/>
    <w:rsid w:val="222039B6"/>
    <w:rsid w:val="22236F8E"/>
    <w:rsid w:val="224B0307"/>
    <w:rsid w:val="22625D7D"/>
    <w:rsid w:val="227A74CB"/>
    <w:rsid w:val="232F19D7"/>
    <w:rsid w:val="236945BF"/>
    <w:rsid w:val="239F6B5C"/>
    <w:rsid w:val="23DE5B0F"/>
    <w:rsid w:val="23F4299D"/>
    <w:rsid w:val="245242FF"/>
    <w:rsid w:val="24577437"/>
    <w:rsid w:val="245C52E2"/>
    <w:rsid w:val="24997006"/>
    <w:rsid w:val="255B38FD"/>
    <w:rsid w:val="261717CA"/>
    <w:rsid w:val="26606A77"/>
    <w:rsid w:val="26654E5A"/>
    <w:rsid w:val="26C07516"/>
    <w:rsid w:val="276C6CBB"/>
    <w:rsid w:val="27C804BE"/>
    <w:rsid w:val="27E64DA1"/>
    <w:rsid w:val="28304227"/>
    <w:rsid w:val="285A2A84"/>
    <w:rsid w:val="28FB2991"/>
    <w:rsid w:val="29115E06"/>
    <w:rsid w:val="293C5407"/>
    <w:rsid w:val="29C70BBB"/>
    <w:rsid w:val="29F348CB"/>
    <w:rsid w:val="2A0C2A72"/>
    <w:rsid w:val="2A681D16"/>
    <w:rsid w:val="2A7A0A6A"/>
    <w:rsid w:val="2A8F792B"/>
    <w:rsid w:val="2A92446A"/>
    <w:rsid w:val="2ACA2711"/>
    <w:rsid w:val="2ACB77CC"/>
    <w:rsid w:val="2AEB4562"/>
    <w:rsid w:val="2B5E7831"/>
    <w:rsid w:val="2B760317"/>
    <w:rsid w:val="2B7B3A0B"/>
    <w:rsid w:val="2BB37649"/>
    <w:rsid w:val="2BB74462"/>
    <w:rsid w:val="2C70332B"/>
    <w:rsid w:val="2CC74307"/>
    <w:rsid w:val="2CDE24A4"/>
    <w:rsid w:val="2D746964"/>
    <w:rsid w:val="2DD92C6B"/>
    <w:rsid w:val="2E1F71AB"/>
    <w:rsid w:val="2E4E3659"/>
    <w:rsid w:val="2E6036CA"/>
    <w:rsid w:val="2E693FEF"/>
    <w:rsid w:val="2EC14518"/>
    <w:rsid w:val="2FB76FDC"/>
    <w:rsid w:val="2FD41945"/>
    <w:rsid w:val="30142680"/>
    <w:rsid w:val="305A2CE0"/>
    <w:rsid w:val="306D28FA"/>
    <w:rsid w:val="30937A49"/>
    <w:rsid w:val="30CC3AB3"/>
    <w:rsid w:val="30EC0F07"/>
    <w:rsid w:val="30F450FB"/>
    <w:rsid w:val="30F97AD8"/>
    <w:rsid w:val="31061FC9"/>
    <w:rsid w:val="31332175"/>
    <w:rsid w:val="31440618"/>
    <w:rsid w:val="31E90981"/>
    <w:rsid w:val="323E4BF6"/>
    <w:rsid w:val="324C7EAF"/>
    <w:rsid w:val="325D20BC"/>
    <w:rsid w:val="326B676C"/>
    <w:rsid w:val="32B00E4F"/>
    <w:rsid w:val="32D85BE7"/>
    <w:rsid w:val="330156F4"/>
    <w:rsid w:val="34180991"/>
    <w:rsid w:val="34394748"/>
    <w:rsid w:val="34692F9B"/>
    <w:rsid w:val="346E05B1"/>
    <w:rsid w:val="348A6712"/>
    <w:rsid w:val="34A856BF"/>
    <w:rsid w:val="34DD6EDA"/>
    <w:rsid w:val="34E268A9"/>
    <w:rsid w:val="351D33EB"/>
    <w:rsid w:val="353D10BD"/>
    <w:rsid w:val="355A0FBB"/>
    <w:rsid w:val="356B7047"/>
    <w:rsid w:val="35CF6E03"/>
    <w:rsid w:val="35CF70BE"/>
    <w:rsid w:val="35D73F34"/>
    <w:rsid w:val="36211822"/>
    <w:rsid w:val="36A44F42"/>
    <w:rsid w:val="36FB00F6"/>
    <w:rsid w:val="373830F8"/>
    <w:rsid w:val="37824373"/>
    <w:rsid w:val="37B97A75"/>
    <w:rsid w:val="37E40B8A"/>
    <w:rsid w:val="382A4443"/>
    <w:rsid w:val="38375905"/>
    <w:rsid w:val="384C2AA9"/>
    <w:rsid w:val="390B29D4"/>
    <w:rsid w:val="39276B97"/>
    <w:rsid w:val="392B222A"/>
    <w:rsid w:val="39842625"/>
    <w:rsid w:val="39C62C3D"/>
    <w:rsid w:val="3A156792"/>
    <w:rsid w:val="3A2A4C35"/>
    <w:rsid w:val="3A886145"/>
    <w:rsid w:val="3B1648F3"/>
    <w:rsid w:val="3B194762"/>
    <w:rsid w:val="3B356AB4"/>
    <w:rsid w:val="3C2D474D"/>
    <w:rsid w:val="3C730FF2"/>
    <w:rsid w:val="3CAD771B"/>
    <w:rsid w:val="3D5567B2"/>
    <w:rsid w:val="3D965098"/>
    <w:rsid w:val="3DD025B7"/>
    <w:rsid w:val="3DF5764D"/>
    <w:rsid w:val="3E616B30"/>
    <w:rsid w:val="3E752BF6"/>
    <w:rsid w:val="3EB76659"/>
    <w:rsid w:val="3ECE4611"/>
    <w:rsid w:val="3EF5367D"/>
    <w:rsid w:val="3F6C4A8B"/>
    <w:rsid w:val="3F786788"/>
    <w:rsid w:val="3F8E29AA"/>
    <w:rsid w:val="3F9B2476"/>
    <w:rsid w:val="3FC20553"/>
    <w:rsid w:val="3FF74016"/>
    <w:rsid w:val="401A783F"/>
    <w:rsid w:val="405C3984"/>
    <w:rsid w:val="406B4F1E"/>
    <w:rsid w:val="40827192"/>
    <w:rsid w:val="409075E8"/>
    <w:rsid w:val="409969B6"/>
    <w:rsid w:val="41826BAD"/>
    <w:rsid w:val="41ED7E29"/>
    <w:rsid w:val="42291FBB"/>
    <w:rsid w:val="425E36EE"/>
    <w:rsid w:val="426506CF"/>
    <w:rsid w:val="430C6D7D"/>
    <w:rsid w:val="431C567C"/>
    <w:rsid w:val="435874BD"/>
    <w:rsid w:val="43E13922"/>
    <w:rsid w:val="43E44C93"/>
    <w:rsid w:val="43F860E9"/>
    <w:rsid w:val="44041170"/>
    <w:rsid w:val="44253398"/>
    <w:rsid w:val="443A3C08"/>
    <w:rsid w:val="44944F45"/>
    <w:rsid w:val="44995728"/>
    <w:rsid w:val="44D95C3A"/>
    <w:rsid w:val="44EB17AA"/>
    <w:rsid w:val="45033DB1"/>
    <w:rsid w:val="46130FB8"/>
    <w:rsid w:val="46D564BC"/>
    <w:rsid w:val="47760AFD"/>
    <w:rsid w:val="478F0B12"/>
    <w:rsid w:val="47C00CCC"/>
    <w:rsid w:val="47D90183"/>
    <w:rsid w:val="48217291"/>
    <w:rsid w:val="4841202F"/>
    <w:rsid w:val="485062A5"/>
    <w:rsid w:val="488F640E"/>
    <w:rsid w:val="48971DA8"/>
    <w:rsid w:val="48F11ADE"/>
    <w:rsid w:val="4913710F"/>
    <w:rsid w:val="49276B29"/>
    <w:rsid w:val="49380D49"/>
    <w:rsid w:val="49583186"/>
    <w:rsid w:val="49B67D09"/>
    <w:rsid w:val="49E669E4"/>
    <w:rsid w:val="49EA0BB5"/>
    <w:rsid w:val="4A414E31"/>
    <w:rsid w:val="4A565917"/>
    <w:rsid w:val="4A8B04AD"/>
    <w:rsid w:val="4AB340D2"/>
    <w:rsid w:val="4ACC041B"/>
    <w:rsid w:val="4B39493D"/>
    <w:rsid w:val="4BC95301"/>
    <w:rsid w:val="4BD72A88"/>
    <w:rsid w:val="4BF3029F"/>
    <w:rsid w:val="4C3954F1"/>
    <w:rsid w:val="4C411D1E"/>
    <w:rsid w:val="4C556F09"/>
    <w:rsid w:val="4C817EEC"/>
    <w:rsid w:val="4CC6195C"/>
    <w:rsid w:val="4DB7438A"/>
    <w:rsid w:val="4E3441C2"/>
    <w:rsid w:val="4E4E1D31"/>
    <w:rsid w:val="4EBD77B5"/>
    <w:rsid w:val="4EC9052F"/>
    <w:rsid w:val="4EE44E41"/>
    <w:rsid w:val="4EE82712"/>
    <w:rsid w:val="4EFF8A2A"/>
    <w:rsid w:val="4F1E452A"/>
    <w:rsid w:val="4F241582"/>
    <w:rsid w:val="4F7B197C"/>
    <w:rsid w:val="4FED287A"/>
    <w:rsid w:val="502441F9"/>
    <w:rsid w:val="504F0E3F"/>
    <w:rsid w:val="50C55AAC"/>
    <w:rsid w:val="510F6820"/>
    <w:rsid w:val="51192322"/>
    <w:rsid w:val="516C05B4"/>
    <w:rsid w:val="51A76A58"/>
    <w:rsid w:val="521C02F9"/>
    <w:rsid w:val="523429E2"/>
    <w:rsid w:val="5249616C"/>
    <w:rsid w:val="52701540"/>
    <w:rsid w:val="52E62BD0"/>
    <w:rsid w:val="52F474CB"/>
    <w:rsid w:val="531223D7"/>
    <w:rsid w:val="533125DD"/>
    <w:rsid w:val="5333709F"/>
    <w:rsid w:val="533A58B8"/>
    <w:rsid w:val="533E519B"/>
    <w:rsid w:val="537F7C8D"/>
    <w:rsid w:val="54001ABA"/>
    <w:rsid w:val="542D032A"/>
    <w:rsid w:val="542F2303"/>
    <w:rsid w:val="544669FD"/>
    <w:rsid w:val="54736848"/>
    <w:rsid w:val="54A159E1"/>
    <w:rsid w:val="54B27EE3"/>
    <w:rsid w:val="54E63765"/>
    <w:rsid w:val="550D4B37"/>
    <w:rsid w:val="551B5793"/>
    <w:rsid w:val="552A3C28"/>
    <w:rsid w:val="5536081F"/>
    <w:rsid w:val="553B5E36"/>
    <w:rsid w:val="55876E05"/>
    <w:rsid w:val="55DD6D93"/>
    <w:rsid w:val="56332FB1"/>
    <w:rsid w:val="56335624"/>
    <w:rsid w:val="563434CB"/>
    <w:rsid w:val="56352885"/>
    <w:rsid w:val="56443BC1"/>
    <w:rsid w:val="564D790B"/>
    <w:rsid w:val="569843AD"/>
    <w:rsid w:val="56AC3ADE"/>
    <w:rsid w:val="56F46363"/>
    <w:rsid w:val="56FC7846"/>
    <w:rsid w:val="57004D88"/>
    <w:rsid w:val="57034731"/>
    <w:rsid w:val="57203535"/>
    <w:rsid w:val="57285E7C"/>
    <w:rsid w:val="577365E1"/>
    <w:rsid w:val="578B6BB3"/>
    <w:rsid w:val="57AC6B77"/>
    <w:rsid w:val="57BC5DCA"/>
    <w:rsid w:val="582F1942"/>
    <w:rsid w:val="582F707B"/>
    <w:rsid w:val="58907F4D"/>
    <w:rsid w:val="58E400F2"/>
    <w:rsid w:val="58F34B1C"/>
    <w:rsid w:val="5938349F"/>
    <w:rsid w:val="59480B21"/>
    <w:rsid w:val="59C83A10"/>
    <w:rsid w:val="59F41478"/>
    <w:rsid w:val="59FF5F31"/>
    <w:rsid w:val="5AB14005"/>
    <w:rsid w:val="5AD94DDD"/>
    <w:rsid w:val="5B403D41"/>
    <w:rsid w:val="5B420959"/>
    <w:rsid w:val="5B7F63DF"/>
    <w:rsid w:val="5BD11E24"/>
    <w:rsid w:val="5BDD7C46"/>
    <w:rsid w:val="5BF85326"/>
    <w:rsid w:val="5BFD93D0"/>
    <w:rsid w:val="5C144744"/>
    <w:rsid w:val="5C2F421A"/>
    <w:rsid w:val="5C427AAA"/>
    <w:rsid w:val="5C5919EC"/>
    <w:rsid w:val="5CA73DB1"/>
    <w:rsid w:val="5CDD7788"/>
    <w:rsid w:val="5CF92D74"/>
    <w:rsid w:val="5D344D5D"/>
    <w:rsid w:val="5DB42C29"/>
    <w:rsid w:val="5DB449FE"/>
    <w:rsid w:val="5DEA7D23"/>
    <w:rsid w:val="5E4428C3"/>
    <w:rsid w:val="5E602469"/>
    <w:rsid w:val="5E615827"/>
    <w:rsid w:val="5E700981"/>
    <w:rsid w:val="5E9F5687"/>
    <w:rsid w:val="5F036F0D"/>
    <w:rsid w:val="5F13397F"/>
    <w:rsid w:val="5F526256"/>
    <w:rsid w:val="5F6C601F"/>
    <w:rsid w:val="5F6E6C76"/>
    <w:rsid w:val="5FC30F01"/>
    <w:rsid w:val="5FD50C35"/>
    <w:rsid w:val="5FF92B75"/>
    <w:rsid w:val="602A5424"/>
    <w:rsid w:val="603F5AB0"/>
    <w:rsid w:val="60AC578B"/>
    <w:rsid w:val="60CE5DB0"/>
    <w:rsid w:val="60D37986"/>
    <w:rsid w:val="6122383B"/>
    <w:rsid w:val="618E3A4F"/>
    <w:rsid w:val="624438CC"/>
    <w:rsid w:val="62517B6C"/>
    <w:rsid w:val="6254022A"/>
    <w:rsid w:val="62647AC2"/>
    <w:rsid w:val="62C90F25"/>
    <w:rsid w:val="630A5A49"/>
    <w:rsid w:val="633C08FC"/>
    <w:rsid w:val="6377272F"/>
    <w:rsid w:val="63D701A9"/>
    <w:rsid w:val="63E1229E"/>
    <w:rsid w:val="643F0D73"/>
    <w:rsid w:val="644E7584"/>
    <w:rsid w:val="646C4501"/>
    <w:rsid w:val="64F06423"/>
    <w:rsid w:val="653F3ADF"/>
    <w:rsid w:val="654C7BEB"/>
    <w:rsid w:val="65666267"/>
    <w:rsid w:val="65B4742E"/>
    <w:rsid w:val="65BD4645"/>
    <w:rsid w:val="65D46540"/>
    <w:rsid w:val="662A6163"/>
    <w:rsid w:val="663012BB"/>
    <w:rsid w:val="66560D21"/>
    <w:rsid w:val="66860EDB"/>
    <w:rsid w:val="66C059AC"/>
    <w:rsid w:val="675E6213"/>
    <w:rsid w:val="67697CEB"/>
    <w:rsid w:val="67871622"/>
    <w:rsid w:val="67AB67F4"/>
    <w:rsid w:val="67CE67E4"/>
    <w:rsid w:val="67E91F08"/>
    <w:rsid w:val="67FC5164"/>
    <w:rsid w:val="682269E1"/>
    <w:rsid w:val="687234C5"/>
    <w:rsid w:val="68C301C4"/>
    <w:rsid w:val="68E06B3D"/>
    <w:rsid w:val="695A0B28"/>
    <w:rsid w:val="697E6823"/>
    <w:rsid w:val="6A0567ED"/>
    <w:rsid w:val="6A0C7949"/>
    <w:rsid w:val="6A5512F0"/>
    <w:rsid w:val="6AB9187F"/>
    <w:rsid w:val="6AF428B7"/>
    <w:rsid w:val="6AF464F8"/>
    <w:rsid w:val="6B265408"/>
    <w:rsid w:val="6B4013A1"/>
    <w:rsid w:val="6B4B4842"/>
    <w:rsid w:val="6B7B799C"/>
    <w:rsid w:val="6B855C05"/>
    <w:rsid w:val="6BD936B7"/>
    <w:rsid w:val="6C447F32"/>
    <w:rsid w:val="6C5D1BA3"/>
    <w:rsid w:val="6D3C3192"/>
    <w:rsid w:val="6D851682"/>
    <w:rsid w:val="6DAF5987"/>
    <w:rsid w:val="6DB51873"/>
    <w:rsid w:val="6DB63E53"/>
    <w:rsid w:val="6DB66549"/>
    <w:rsid w:val="6E056B89"/>
    <w:rsid w:val="6E414065"/>
    <w:rsid w:val="6EC5063F"/>
    <w:rsid w:val="6FB70C48"/>
    <w:rsid w:val="6FC14BE6"/>
    <w:rsid w:val="6FE253D4"/>
    <w:rsid w:val="6FF588E5"/>
    <w:rsid w:val="70020C88"/>
    <w:rsid w:val="701D01BA"/>
    <w:rsid w:val="70223A22"/>
    <w:rsid w:val="702D5C87"/>
    <w:rsid w:val="70A822E3"/>
    <w:rsid w:val="70AB0BA4"/>
    <w:rsid w:val="71215C56"/>
    <w:rsid w:val="714D6ECA"/>
    <w:rsid w:val="715C7408"/>
    <w:rsid w:val="71BB5EDC"/>
    <w:rsid w:val="71CC633B"/>
    <w:rsid w:val="71F15DA2"/>
    <w:rsid w:val="71F5068D"/>
    <w:rsid w:val="72113726"/>
    <w:rsid w:val="72240607"/>
    <w:rsid w:val="728666EF"/>
    <w:rsid w:val="72A526E9"/>
    <w:rsid w:val="72FA0C86"/>
    <w:rsid w:val="72FC415E"/>
    <w:rsid w:val="733B7FF4"/>
    <w:rsid w:val="736E51D0"/>
    <w:rsid w:val="74122000"/>
    <w:rsid w:val="742C3222"/>
    <w:rsid w:val="744E0782"/>
    <w:rsid w:val="74B84955"/>
    <w:rsid w:val="750D2EF3"/>
    <w:rsid w:val="75254D8A"/>
    <w:rsid w:val="75295853"/>
    <w:rsid w:val="75611A86"/>
    <w:rsid w:val="75812F99"/>
    <w:rsid w:val="75B65D85"/>
    <w:rsid w:val="75DD66A1"/>
    <w:rsid w:val="7611138F"/>
    <w:rsid w:val="76514F47"/>
    <w:rsid w:val="765379C9"/>
    <w:rsid w:val="766528BB"/>
    <w:rsid w:val="76BD07CB"/>
    <w:rsid w:val="76CC293A"/>
    <w:rsid w:val="76F50095"/>
    <w:rsid w:val="7753237A"/>
    <w:rsid w:val="77F04406"/>
    <w:rsid w:val="785E00B5"/>
    <w:rsid w:val="787F7564"/>
    <w:rsid w:val="7891516A"/>
    <w:rsid w:val="79B7167F"/>
    <w:rsid w:val="79DD26C4"/>
    <w:rsid w:val="79F92575"/>
    <w:rsid w:val="7A984AE6"/>
    <w:rsid w:val="7AF552F9"/>
    <w:rsid w:val="7B195F1B"/>
    <w:rsid w:val="7B675A2C"/>
    <w:rsid w:val="7B7C2A95"/>
    <w:rsid w:val="7B856CEB"/>
    <w:rsid w:val="7B8B4B71"/>
    <w:rsid w:val="7BC31525"/>
    <w:rsid w:val="7BDD2EF3"/>
    <w:rsid w:val="7D5F1198"/>
    <w:rsid w:val="7D7358BD"/>
    <w:rsid w:val="7D9B22ED"/>
    <w:rsid w:val="7E52677F"/>
    <w:rsid w:val="7E5576B9"/>
    <w:rsid w:val="7ED52322"/>
    <w:rsid w:val="7F2C58E5"/>
    <w:rsid w:val="7F7D6EC7"/>
    <w:rsid w:val="7F7EE63D"/>
    <w:rsid w:val="7F855747"/>
    <w:rsid w:val="7F8FA166"/>
    <w:rsid w:val="7F9F540C"/>
    <w:rsid w:val="7FAA0C7F"/>
    <w:rsid w:val="7FC44AF6"/>
    <w:rsid w:val="B6C7F16D"/>
    <w:rsid w:val="DAB35A05"/>
    <w:rsid w:val="E3FF3B83"/>
    <w:rsid w:val="EF767127"/>
    <w:rsid w:val="FAFF3BBB"/>
    <w:rsid w:val="FBDFFB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32"/>
    <w:qFormat/>
    <w:uiPriority w:val="9"/>
    <w:pPr>
      <w:spacing w:before="340" w:after="330" w:line="360" w:lineRule="auto"/>
      <w:jc w:val="center"/>
      <w:outlineLvl w:val="0"/>
    </w:pPr>
    <w:rPr>
      <w:rFonts w:eastAsia="黑体"/>
      <w:kern w:val="44"/>
      <w:szCs w:val="44"/>
    </w:rPr>
  </w:style>
  <w:style w:type="paragraph" w:styleId="3">
    <w:name w:val="heading 2"/>
    <w:basedOn w:val="4"/>
    <w:next w:val="5"/>
    <w:link w:val="31"/>
    <w:qFormat/>
    <w:uiPriority w:val="0"/>
    <w:pPr>
      <w:adjustRightInd w:val="0"/>
      <w:jc w:val="center"/>
      <w:textAlignment w:val="baseline"/>
      <w:outlineLvl w:val="1"/>
    </w:pPr>
    <w:rPr>
      <w:sz w:val="24"/>
      <w:szCs w:val="20"/>
    </w:rPr>
  </w:style>
  <w:style w:type="paragraph" w:styleId="4">
    <w:name w:val="heading 3"/>
    <w:basedOn w:val="5"/>
    <w:next w:val="1"/>
    <w:link w:val="30"/>
    <w:qFormat/>
    <w:uiPriority w:val="9"/>
    <w:pPr>
      <w:spacing w:before="260" w:after="260" w:line="240" w:lineRule="auto"/>
      <w:outlineLvl w:val="2"/>
    </w:pPr>
    <w:rPr>
      <w:rFonts w:ascii="宋体" w:hAnsi="宋体" w:eastAsia="宋体"/>
      <w:szCs w:val="32"/>
    </w:rPr>
  </w:style>
  <w:style w:type="paragraph" w:styleId="5">
    <w:name w:val="heading 4"/>
    <w:basedOn w:val="1"/>
    <w:next w:val="1"/>
    <w:link w:val="29"/>
    <w:qFormat/>
    <w:uiPriority w:val="9"/>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szCs w:val="21"/>
    </w:rPr>
  </w:style>
  <w:style w:type="paragraph" w:styleId="7">
    <w:name w:val="annotation text"/>
    <w:basedOn w:val="1"/>
    <w:link w:val="36"/>
    <w:qFormat/>
    <w:uiPriority w:val="0"/>
  </w:style>
  <w:style w:type="paragraph" w:styleId="8">
    <w:name w:val="Body Text"/>
    <w:basedOn w:val="1"/>
    <w:next w:val="9"/>
    <w:unhideWhenUsed/>
    <w:qFormat/>
    <w:uiPriority w:val="99"/>
    <w:rPr>
      <w:rFonts w:asciiTheme="minorHAnsi" w:hAnsiTheme="minorHAnsi" w:cstheme="minorBidi"/>
      <w:szCs w:val="22"/>
    </w:rPr>
  </w:style>
  <w:style w:type="paragraph" w:styleId="9">
    <w:name w:val="Body Text 2"/>
    <w:basedOn w:val="1"/>
    <w:qFormat/>
    <w:uiPriority w:val="0"/>
    <w:pPr>
      <w:tabs>
        <w:tab w:val="left" w:pos="426"/>
      </w:tabs>
      <w:autoSpaceDE w:val="0"/>
      <w:autoSpaceDN w:val="0"/>
    </w:pPr>
    <w:rPr>
      <w:rFonts w:hint="eastAsia"/>
      <w:sz w:val="28"/>
      <w:szCs w:val="20"/>
    </w:rPr>
  </w:style>
  <w:style w:type="paragraph" w:styleId="10">
    <w:name w:val="Body Text Indent"/>
    <w:basedOn w:val="1"/>
    <w:qFormat/>
    <w:uiPriority w:val="0"/>
    <w:pPr>
      <w:spacing w:line="360" w:lineRule="auto"/>
      <w:ind w:firstLine="420" w:firstLineChars="200"/>
    </w:pPr>
  </w:style>
  <w:style w:type="paragraph" w:styleId="11">
    <w:name w:val="Block Text"/>
    <w:basedOn w:val="1"/>
    <w:qFormat/>
    <w:uiPriority w:val="0"/>
    <w:pPr>
      <w:spacing w:line="360" w:lineRule="auto"/>
      <w:ind w:left="-85" w:right="-244" w:firstLine="435"/>
    </w:pPr>
  </w:style>
  <w:style w:type="paragraph" w:styleId="12">
    <w:name w:val="Plain Text"/>
    <w:basedOn w:val="1"/>
    <w:link w:val="38"/>
    <w:semiHidden/>
    <w:unhideWhenUsed/>
    <w:qFormat/>
    <w:uiPriority w:val="99"/>
    <w:pPr>
      <w:widowControl w:val="0"/>
      <w:jc w:val="both"/>
    </w:pPr>
    <w:rPr>
      <w:rFonts w:ascii="宋体" w:hAnsi="Courier New" w:eastAsia="宋体"/>
      <w:kern w:val="2"/>
      <w:sz w:val="21"/>
      <w:szCs w:val="20"/>
    </w:rPr>
  </w:style>
  <w:style w:type="paragraph" w:styleId="13">
    <w:name w:val="endnote text"/>
    <w:basedOn w:val="1"/>
    <w:qFormat/>
    <w:uiPriority w:val="0"/>
    <w:pPr>
      <w:snapToGrid w:val="0"/>
      <w:jc w:val="left"/>
    </w:pPr>
    <w:rPr>
      <w:rFonts w:ascii="宋体" w:hAnsi="宋体"/>
      <w:kern w:val="0"/>
      <w:sz w:val="28"/>
    </w:rPr>
  </w:style>
  <w:style w:type="paragraph" w:styleId="14">
    <w:name w:val="Balloon Text"/>
    <w:basedOn w:val="1"/>
    <w:link w:val="33"/>
    <w:qFormat/>
    <w:uiPriority w:val="0"/>
    <w:rPr>
      <w:sz w:val="18"/>
      <w:szCs w:val="18"/>
    </w:rPr>
  </w:style>
  <w:style w:type="paragraph" w:styleId="15">
    <w:name w:val="footer"/>
    <w:basedOn w:val="1"/>
    <w:link w:val="35"/>
    <w:qFormat/>
    <w:uiPriority w:val="0"/>
    <w:pPr>
      <w:tabs>
        <w:tab w:val="center" w:pos="4153"/>
        <w:tab w:val="right" w:pos="8306"/>
      </w:tabs>
      <w:snapToGrid w:val="0"/>
    </w:pPr>
    <w:rPr>
      <w:sz w:val="18"/>
      <w:szCs w:val="18"/>
    </w:rPr>
  </w:style>
  <w:style w:type="paragraph" w:styleId="16">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7">
    <w:name w:val="Normal (Web)"/>
    <w:basedOn w:val="1"/>
    <w:link w:val="28"/>
    <w:qFormat/>
    <w:uiPriority w:val="99"/>
  </w:style>
  <w:style w:type="paragraph" w:styleId="18">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19">
    <w:name w:val="annotation subject"/>
    <w:basedOn w:val="7"/>
    <w:next w:val="7"/>
    <w:link w:val="37"/>
    <w:qFormat/>
    <w:uiPriority w:val="0"/>
    <w:rPr>
      <w:b/>
      <w:bCs/>
    </w:rPr>
  </w:style>
  <w:style w:type="paragraph" w:styleId="20">
    <w:name w:val="Body Text First Indent 2"/>
    <w:basedOn w:val="10"/>
    <w:semiHidden/>
    <w:unhideWhenUsed/>
    <w:qFormat/>
    <w:uiPriority w:val="99"/>
    <w:pPr>
      <w:spacing w:afterLines="25"/>
    </w:pPr>
  </w:style>
  <w:style w:type="table" w:styleId="22">
    <w:name w:val="Table Grid"/>
    <w:basedOn w:val="21"/>
    <w:qFormat/>
    <w:uiPriority w:val="0"/>
    <w:rPr>
      <w:rFonts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rFonts w:ascii="Tahoma" w:hAnsi="Tahoma" w:eastAsia="宋体"/>
      <w:b/>
      <w:bCs/>
      <w:spacing w:val="10"/>
      <w:kern w:val="2"/>
      <w:sz w:val="24"/>
      <w:szCs w:val="24"/>
      <w:lang w:val="en-US" w:eastAsia="zh-CN" w:bidi="ar-SA"/>
    </w:rPr>
  </w:style>
  <w:style w:type="character" w:styleId="25">
    <w:name w:val="Hyperlink"/>
    <w:qFormat/>
    <w:uiPriority w:val="0"/>
    <w:rPr>
      <w:rFonts w:eastAsia="宋体"/>
      <w:color w:val="0000FF"/>
      <w:kern w:val="2"/>
      <w:sz w:val="24"/>
      <w:szCs w:val="24"/>
      <w:u w:val="single"/>
      <w:lang w:val="en-US" w:eastAsia="zh-CN" w:bidi="ar-SA"/>
    </w:rPr>
  </w:style>
  <w:style w:type="character" w:styleId="26">
    <w:name w:val="annotation reference"/>
    <w:basedOn w:val="23"/>
    <w:qFormat/>
    <w:uiPriority w:val="0"/>
    <w:rPr>
      <w:sz w:val="21"/>
      <w:szCs w:val="21"/>
    </w:rPr>
  </w:style>
  <w:style w:type="paragraph" w:customStyle="1" w:styleId="27">
    <w:name w:val="表格文字"/>
    <w:basedOn w:val="1"/>
    <w:qFormat/>
    <w:uiPriority w:val="99"/>
    <w:pPr>
      <w:spacing w:before="25" w:after="25"/>
    </w:pPr>
    <w:rPr>
      <w:spacing w:val="10"/>
      <w:sz w:val="24"/>
    </w:rPr>
  </w:style>
  <w:style w:type="character" w:customStyle="1" w:styleId="28">
    <w:name w:val="普通(网站) Char"/>
    <w:link w:val="17"/>
    <w:qFormat/>
    <w:uiPriority w:val="0"/>
    <w:rPr>
      <w:kern w:val="2"/>
      <w:sz w:val="24"/>
      <w:szCs w:val="24"/>
    </w:rPr>
  </w:style>
  <w:style w:type="character" w:customStyle="1" w:styleId="29">
    <w:name w:val="标题 4 Char"/>
    <w:link w:val="5"/>
    <w:qFormat/>
    <w:uiPriority w:val="9"/>
    <w:rPr>
      <w:rFonts w:ascii="Arial" w:hAnsi="Arial" w:eastAsia="黑体"/>
      <w:b/>
      <w:bCs/>
      <w:kern w:val="2"/>
      <w:sz w:val="28"/>
      <w:szCs w:val="28"/>
      <w:lang w:val="en-US" w:eastAsia="zh-CN" w:bidi="ar-SA"/>
    </w:rPr>
  </w:style>
  <w:style w:type="character" w:customStyle="1" w:styleId="30">
    <w:name w:val="标题 3 Char"/>
    <w:link w:val="4"/>
    <w:qFormat/>
    <w:uiPriority w:val="9"/>
    <w:rPr>
      <w:rFonts w:ascii="宋体" w:hAnsi="宋体" w:eastAsia="宋体"/>
      <w:b/>
      <w:bCs/>
      <w:kern w:val="2"/>
      <w:sz w:val="28"/>
      <w:szCs w:val="32"/>
      <w:lang w:val="en-US" w:eastAsia="zh-CN" w:bidi="ar-SA"/>
    </w:rPr>
  </w:style>
  <w:style w:type="character" w:customStyle="1" w:styleId="31">
    <w:name w:val="标题 2 Char"/>
    <w:link w:val="3"/>
    <w:qFormat/>
    <w:uiPriority w:val="0"/>
    <w:rPr>
      <w:rFonts w:ascii="宋体" w:hAnsi="宋体" w:eastAsia="宋体"/>
      <w:b/>
      <w:bCs/>
      <w:sz w:val="24"/>
      <w:lang w:val="en-US" w:eastAsia="zh-CN" w:bidi="ar-SA"/>
    </w:rPr>
  </w:style>
  <w:style w:type="character" w:customStyle="1" w:styleId="32">
    <w:name w:val="标题 1 Char"/>
    <w:link w:val="2"/>
    <w:qFormat/>
    <w:uiPriority w:val="9"/>
    <w:rPr>
      <w:rFonts w:ascii="宋体" w:hAnsi="宋体" w:eastAsia="黑体"/>
      <w:b/>
      <w:bCs/>
      <w:kern w:val="44"/>
      <w:sz w:val="28"/>
      <w:szCs w:val="44"/>
      <w:lang w:val="en-US" w:eastAsia="zh-CN" w:bidi="ar-SA"/>
    </w:rPr>
  </w:style>
  <w:style w:type="character" w:customStyle="1" w:styleId="33">
    <w:name w:val="批注框文本 Char"/>
    <w:basedOn w:val="23"/>
    <w:link w:val="14"/>
    <w:qFormat/>
    <w:uiPriority w:val="0"/>
    <w:rPr>
      <w:sz w:val="18"/>
      <w:szCs w:val="18"/>
    </w:rPr>
  </w:style>
  <w:style w:type="character" w:customStyle="1" w:styleId="34">
    <w:name w:val="页眉 Char"/>
    <w:basedOn w:val="23"/>
    <w:link w:val="16"/>
    <w:qFormat/>
    <w:uiPriority w:val="0"/>
    <w:rPr>
      <w:sz w:val="18"/>
      <w:szCs w:val="18"/>
    </w:rPr>
  </w:style>
  <w:style w:type="character" w:customStyle="1" w:styleId="35">
    <w:name w:val="页脚 Char"/>
    <w:basedOn w:val="23"/>
    <w:link w:val="15"/>
    <w:qFormat/>
    <w:uiPriority w:val="0"/>
    <w:rPr>
      <w:sz w:val="18"/>
      <w:szCs w:val="18"/>
    </w:rPr>
  </w:style>
  <w:style w:type="character" w:customStyle="1" w:styleId="36">
    <w:name w:val="批注文字 Char"/>
    <w:basedOn w:val="23"/>
    <w:link w:val="7"/>
    <w:qFormat/>
    <w:uiPriority w:val="0"/>
    <w:rPr>
      <w:sz w:val="24"/>
      <w:szCs w:val="24"/>
    </w:rPr>
  </w:style>
  <w:style w:type="character" w:customStyle="1" w:styleId="37">
    <w:name w:val="批注主题 Char"/>
    <w:basedOn w:val="36"/>
    <w:link w:val="19"/>
    <w:qFormat/>
    <w:uiPriority w:val="0"/>
    <w:rPr>
      <w:b/>
      <w:bCs/>
      <w:sz w:val="24"/>
      <w:szCs w:val="24"/>
    </w:rPr>
  </w:style>
  <w:style w:type="character" w:customStyle="1" w:styleId="38">
    <w:name w:val="纯文本 Char"/>
    <w:basedOn w:val="23"/>
    <w:link w:val="12"/>
    <w:semiHidden/>
    <w:qFormat/>
    <w:uiPriority w:val="99"/>
    <w:rPr>
      <w:rFonts w:ascii="宋体" w:hAnsi="Courier New" w:eastAsia="宋体"/>
      <w:kern w:val="2"/>
      <w:sz w:val="21"/>
    </w:rPr>
  </w:style>
  <w:style w:type="paragraph" w:styleId="39">
    <w:name w:val="List Paragraph"/>
    <w:basedOn w:val="1"/>
    <w:qFormat/>
    <w:uiPriority w:val="34"/>
    <w:pPr>
      <w:widowControl w:val="0"/>
      <w:ind w:firstLine="420" w:firstLineChars="200"/>
      <w:jc w:val="both"/>
    </w:pPr>
    <w:rPr>
      <w:rFonts w:ascii="Calibri" w:hAnsi="Calibri" w:eastAsia="宋体"/>
      <w:kern w:val="2"/>
      <w:sz w:val="21"/>
    </w:rPr>
  </w:style>
  <w:style w:type="paragraph" w:customStyle="1" w:styleId="40">
    <w:name w:val="Default"/>
    <w:qFormat/>
    <w:uiPriority w:val="0"/>
    <w:pPr>
      <w:widowControl w:val="0"/>
    </w:pPr>
    <w:rPr>
      <w:rFonts w:ascii="Arial Narrow" w:hAnsi="Arial Narrow" w:eastAsia="宋体" w:cs="Arial Narrow"/>
      <w:color w:val="000000"/>
      <w:kern w:val="2"/>
      <w:sz w:val="24"/>
    </w:rPr>
  </w:style>
  <w:style w:type="paragraph" w:customStyle="1" w:styleId="41">
    <w:name w:val="Table Paragraph"/>
    <w:basedOn w:val="1"/>
    <w:qFormat/>
    <w:uiPriority w:val="1"/>
    <w:rPr>
      <w:rFonts w:ascii="宋体" w:hAnsi="宋体" w:cs="宋体"/>
      <w:lang w:val="zh-CN" w:bidi="zh-CN"/>
    </w:rPr>
  </w:style>
  <w:style w:type="character" w:customStyle="1" w:styleId="42">
    <w:name w:val="font51"/>
    <w:basedOn w:val="23"/>
    <w:qFormat/>
    <w:uiPriority w:val="0"/>
    <w:rPr>
      <w:rFonts w:hint="eastAsia" w:ascii="仿宋" w:hAnsi="仿宋" w:eastAsia="仿宋" w:cs="仿宋"/>
      <w:color w:val="000000"/>
      <w:sz w:val="24"/>
      <w:szCs w:val="24"/>
      <w:u w:val="none"/>
    </w:rPr>
  </w:style>
  <w:style w:type="character" w:customStyle="1" w:styleId="43">
    <w:name w:val="font71"/>
    <w:basedOn w:val="23"/>
    <w:qFormat/>
    <w:uiPriority w:val="0"/>
    <w:rPr>
      <w:rFonts w:hint="eastAsia" w:ascii="仿宋" w:hAnsi="仿宋" w:eastAsia="仿宋" w:cs="仿宋"/>
      <w:color w:val="000000"/>
      <w:sz w:val="24"/>
      <w:szCs w:val="24"/>
      <w:u w:val="none"/>
    </w:rPr>
  </w:style>
  <w:style w:type="character" w:customStyle="1" w:styleId="44">
    <w:name w:val="font41"/>
    <w:basedOn w:val="23"/>
    <w:qFormat/>
    <w:uiPriority w:val="0"/>
    <w:rPr>
      <w:rFonts w:hint="eastAsia" w:ascii="仿宋" w:hAnsi="仿宋" w:eastAsia="仿宋" w:cs="仿宋"/>
      <w:color w:val="000000"/>
      <w:sz w:val="24"/>
      <w:szCs w:val="24"/>
      <w:u w:val="none"/>
    </w:rPr>
  </w:style>
  <w:style w:type="character" w:customStyle="1" w:styleId="45">
    <w:name w:val="font21"/>
    <w:basedOn w:val="23"/>
    <w:qFormat/>
    <w:uiPriority w:val="0"/>
    <w:rPr>
      <w:rFonts w:hint="eastAsia" w:ascii="仿宋" w:hAnsi="仿宋" w:eastAsia="仿宋" w:cs="仿宋"/>
      <w:b/>
      <w:bCs/>
      <w:color w:val="000000"/>
      <w:sz w:val="24"/>
      <w:szCs w:val="24"/>
      <w:u w:val="none"/>
    </w:rPr>
  </w:style>
  <w:style w:type="character" w:customStyle="1" w:styleId="46">
    <w:name w:val="font31"/>
    <w:basedOn w:val="23"/>
    <w:qFormat/>
    <w:uiPriority w:val="0"/>
    <w:rPr>
      <w:rFonts w:hint="eastAsia" w:ascii="仿宋" w:hAnsi="仿宋" w:eastAsia="仿宋" w:cs="仿宋"/>
      <w:color w:val="000000"/>
      <w:sz w:val="24"/>
      <w:szCs w:val="24"/>
      <w:u w:val="none"/>
    </w:rPr>
  </w:style>
  <w:style w:type="character" w:customStyle="1" w:styleId="47">
    <w:name w:val="font61"/>
    <w:basedOn w:val="23"/>
    <w:qFormat/>
    <w:uiPriority w:val="0"/>
    <w:rPr>
      <w:rFonts w:hint="eastAsia" w:ascii="仿宋" w:hAnsi="仿宋" w:eastAsia="仿宋" w:cs="仿宋"/>
      <w:color w:val="000000"/>
      <w:sz w:val="24"/>
      <w:szCs w:val="24"/>
      <w:u w:val="single"/>
    </w:rPr>
  </w:style>
  <w:style w:type="paragraph" w:customStyle="1" w:styleId="48">
    <w:name w:val="列出段落1"/>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25A80B-8742-4FA9-8E8E-B1222D6ED2BB}">
  <ds:schemaRefs/>
</ds:datastoreItem>
</file>

<file path=docProps/app.xml><?xml version="1.0" encoding="utf-8"?>
<Properties xmlns="http://schemas.openxmlformats.org/officeDocument/2006/extended-properties" xmlns:vt="http://schemas.openxmlformats.org/officeDocument/2006/docPropsVTypes">
  <Pages>43</Pages>
  <Words>22147</Words>
  <Characters>24282</Characters>
  <Lines>114</Lines>
  <Paragraphs>32</Paragraphs>
  <TotalTime>12</TotalTime>
  <ScaleCrop>false</ScaleCrop>
  <LinksUpToDate>false</LinksUpToDate>
  <CharactersWithSpaces>25348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2022-08-21T05:50:00Z</dcterms:created>
  <dc:creator>office</dc:creator>
  <cp:lastModifiedBy>Gao</cp:lastModifiedBy>
  <cp:lastPrinted>2024-05-14T09:36:00Z</cp:lastPrinted>
  <dcterms:modified xsi:type="dcterms:W3CDTF">2024-09-20T00:15:22Z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DAD63F4645384AA4A7D1929DDB273801_13</vt:lpwstr>
  </property>
</Properties>
</file>