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25C54">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hint="eastAsia" w:eastAsia="PingFang SC Regular"/>
          <w:b/>
          <w:bCs/>
          <w:sz w:val="36"/>
          <w:szCs w:val="36"/>
          <w:u w:color="000000"/>
          <w:lang w:val="zh-CN" w:eastAsia="zh-CN"/>
        </w:rPr>
      </w:pPr>
      <w:r>
        <w:rPr>
          <w:rFonts w:hint="eastAsia" w:eastAsia="PingFang SC Regular"/>
          <w:b/>
          <w:bCs/>
          <w:sz w:val="36"/>
          <w:szCs w:val="36"/>
          <w:u w:color="000000"/>
          <w:lang w:val="zh-CN" w:eastAsia="zh-CN"/>
        </w:rPr>
        <w:t>园区电力负荷聚合响应服务采购项目</w:t>
      </w:r>
    </w:p>
    <w:p w14:paraId="323A089C">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eastAsia="PingFang SC Regular"/>
          <w:kern w:val="2"/>
          <w:sz w:val="36"/>
          <w:szCs w:val="36"/>
          <w:u w:color="000000"/>
        </w:rPr>
      </w:pPr>
      <w:r>
        <w:rPr>
          <w:rFonts w:hint="eastAsia" w:eastAsia="PingFang SC Regular"/>
          <w:sz w:val="36"/>
          <w:szCs w:val="36"/>
          <w:u w:color="000000"/>
          <w:lang w:val="en-US" w:eastAsia="zh-CN"/>
        </w:rPr>
        <w:t xml:space="preserve">   </w:t>
      </w:r>
      <w:r>
        <w:rPr>
          <w:rFonts w:eastAsia="PingFang SC Regular"/>
          <w:kern w:val="2"/>
          <w:sz w:val="36"/>
          <w:szCs w:val="36"/>
          <w:u w:color="000000"/>
        </w:rPr>
        <w:t>综合评分表</w:t>
      </w:r>
    </w:p>
    <w:p w14:paraId="2B37D2EC">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hint="default" w:eastAsia="PingFang SC Regular"/>
          <w:kern w:val="2"/>
          <w:sz w:val="36"/>
          <w:szCs w:val="36"/>
          <w:u w:color="000000"/>
        </w:rPr>
      </w:pPr>
    </w:p>
    <w:tbl>
      <w:tblPr>
        <w:tblStyle w:val="5"/>
        <w:tblW w:w="1078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Layout w:type="fixed"/>
        <w:tblCellMar>
          <w:top w:w="0" w:type="dxa"/>
          <w:left w:w="0" w:type="dxa"/>
          <w:bottom w:w="0" w:type="dxa"/>
          <w:right w:w="0" w:type="dxa"/>
        </w:tblCellMar>
      </w:tblPr>
      <w:tblGrid>
        <w:gridCol w:w="556"/>
        <w:gridCol w:w="795"/>
        <w:gridCol w:w="3751"/>
        <w:gridCol w:w="1420"/>
        <w:gridCol w:w="810"/>
        <w:gridCol w:w="840"/>
        <w:gridCol w:w="956"/>
        <w:gridCol w:w="827"/>
        <w:gridCol w:w="827"/>
      </w:tblGrid>
      <w:tr w14:paraId="59023E2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CellMar>
            <w:top w:w="0" w:type="dxa"/>
            <w:left w:w="0" w:type="dxa"/>
            <w:bottom w:w="0" w:type="dxa"/>
            <w:right w:w="0" w:type="dxa"/>
          </w:tblCellMar>
        </w:tblPrEx>
        <w:trPr>
          <w:trHeight w:val="620" w:hRule="atLeast"/>
          <w:tblHeader/>
          <w:jc w:val="center"/>
        </w:trPr>
        <w:tc>
          <w:tcPr>
            <w:tcW w:w="556" w:type="dxa"/>
            <w:tcBorders>
              <w:top w:val="single" w:color="000000" w:sz="12" w:space="0"/>
              <w:left w:val="single" w:color="000000" w:sz="12"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02ED81D6">
            <w:pPr>
              <w:tabs>
                <w:tab w:val="left" w:pos="420"/>
              </w:tabs>
              <w:spacing w:before="0" w:line="20" w:lineRule="atLeast"/>
              <w:jc w:val="center"/>
              <w:rPr>
                <w:rFonts w:hint="default"/>
              </w:rPr>
            </w:pPr>
            <w:r>
              <w:rPr>
                <w:rFonts w:ascii="宋体" w:hAnsi="宋体" w:eastAsia="宋体" w:cs="宋体"/>
                <w:b/>
                <w:bCs/>
                <w:kern w:val="2"/>
                <w:sz w:val="21"/>
                <w:szCs w:val="21"/>
                <w:u w:color="000000"/>
              </w:rPr>
              <w:t>序号</w:t>
            </w:r>
          </w:p>
        </w:tc>
        <w:tc>
          <w:tcPr>
            <w:tcW w:w="795"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02998B1A">
            <w:pPr>
              <w:tabs>
                <w:tab w:val="left" w:pos="420"/>
              </w:tabs>
              <w:spacing w:before="0" w:line="20" w:lineRule="atLeast"/>
              <w:jc w:val="center"/>
              <w:rPr>
                <w:rFonts w:hint="default" w:ascii="宋体" w:hAnsi="宋体" w:eastAsia="宋体" w:cs="宋体"/>
                <w:b/>
                <w:bCs/>
                <w:kern w:val="2"/>
                <w:sz w:val="21"/>
                <w:szCs w:val="21"/>
                <w:u w:color="000000"/>
              </w:rPr>
            </w:pPr>
            <w:r>
              <w:rPr>
                <w:rFonts w:ascii="宋体" w:hAnsi="宋体" w:eastAsia="宋体" w:cs="宋体"/>
                <w:b/>
                <w:bCs/>
                <w:kern w:val="2"/>
                <w:sz w:val="21"/>
                <w:szCs w:val="21"/>
                <w:u w:color="000000"/>
              </w:rPr>
              <w:t>评审</w:t>
            </w:r>
          </w:p>
          <w:p w14:paraId="49491C98">
            <w:pPr>
              <w:tabs>
                <w:tab w:val="left" w:pos="420"/>
              </w:tabs>
              <w:spacing w:before="0" w:line="20" w:lineRule="atLeast"/>
              <w:jc w:val="center"/>
              <w:rPr>
                <w:rFonts w:hint="default"/>
              </w:rPr>
            </w:pPr>
            <w:r>
              <w:rPr>
                <w:rFonts w:ascii="宋体" w:hAnsi="宋体" w:eastAsia="宋体" w:cs="宋体"/>
                <w:b/>
                <w:bCs/>
                <w:kern w:val="2"/>
                <w:sz w:val="21"/>
                <w:szCs w:val="21"/>
                <w:u w:color="000000"/>
              </w:rPr>
              <w:t>项目</w:t>
            </w:r>
          </w:p>
        </w:tc>
        <w:tc>
          <w:tcPr>
            <w:tcW w:w="3751"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7A96227C">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u w:color="000000"/>
              </w:rPr>
              <w:t>评审标准</w:t>
            </w:r>
          </w:p>
        </w:tc>
        <w:tc>
          <w:tcPr>
            <w:tcW w:w="1420"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7E12AE7D">
            <w:pPr>
              <w:tabs>
                <w:tab w:val="left" w:pos="420"/>
                <w:tab w:val="left" w:pos="840"/>
                <w:tab w:val="left" w:pos="1260"/>
              </w:tabs>
              <w:spacing w:before="0" w:line="20" w:lineRule="atLeast"/>
              <w:jc w:val="center"/>
              <w:rPr>
                <w:rFonts w:hint="default"/>
              </w:rPr>
            </w:pPr>
            <w:r>
              <w:rPr>
                <w:rFonts w:ascii="宋体" w:hAnsi="宋体" w:eastAsia="宋体" w:cs="宋体"/>
                <w:b/>
                <w:bCs/>
                <w:kern w:val="2"/>
                <w:sz w:val="21"/>
                <w:szCs w:val="21"/>
                <w:u w:color="000000"/>
              </w:rPr>
              <w:t>证明材料</w:t>
            </w:r>
          </w:p>
        </w:tc>
        <w:tc>
          <w:tcPr>
            <w:tcW w:w="810"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51E958AB">
            <w:pPr>
              <w:tabs>
                <w:tab w:val="left" w:pos="420"/>
              </w:tabs>
              <w:spacing w:before="0" w:line="20" w:lineRule="atLeast"/>
              <w:jc w:val="center"/>
              <w:rPr>
                <w:rFonts w:hint="default"/>
              </w:rPr>
            </w:pPr>
            <w:r>
              <w:rPr>
                <w:rFonts w:ascii="宋体" w:hAnsi="宋体" w:eastAsia="宋体" w:cs="宋体"/>
                <w:b/>
                <w:bCs/>
                <w:kern w:val="2"/>
                <w:sz w:val="21"/>
                <w:szCs w:val="21"/>
                <w:u w:color="000000"/>
              </w:rPr>
              <w:t>分值</w:t>
            </w:r>
          </w:p>
        </w:tc>
        <w:tc>
          <w:tcPr>
            <w:tcW w:w="840"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0958A370">
            <w:pPr>
              <w:tabs>
                <w:tab w:val="left" w:pos="420"/>
                <w:tab w:val="left" w:pos="84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A</w:t>
            </w:r>
          </w:p>
        </w:tc>
        <w:tc>
          <w:tcPr>
            <w:tcW w:w="956"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3E101FA2">
            <w:pPr>
              <w:tabs>
                <w:tab w:val="left" w:pos="420"/>
                <w:tab w:val="left" w:pos="84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B</w:t>
            </w:r>
          </w:p>
        </w:tc>
        <w:tc>
          <w:tcPr>
            <w:tcW w:w="827" w:type="dxa"/>
            <w:tcBorders>
              <w:top w:val="single" w:color="000000" w:sz="12" w:space="0"/>
              <w:left w:val="single" w:color="000000" w:sz="4" w:space="0"/>
              <w:bottom w:val="single" w:color="000000" w:sz="4" w:space="0"/>
              <w:right w:val="single" w:color="000000" w:sz="12" w:space="0"/>
            </w:tcBorders>
            <w:shd w:val="clear" w:color="auto" w:fill="DEEAF6"/>
            <w:tcMar>
              <w:top w:w="80" w:type="dxa"/>
              <w:left w:w="80" w:type="dxa"/>
              <w:bottom w:w="80" w:type="dxa"/>
              <w:right w:w="80" w:type="dxa"/>
            </w:tcMar>
            <w:vAlign w:val="center"/>
          </w:tcPr>
          <w:p w14:paraId="25C145AB">
            <w:pPr>
              <w:tabs>
                <w:tab w:val="left" w:pos="42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C</w:t>
            </w:r>
          </w:p>
        </w:tc>
        <w:tc>
          <w:tcPr>
            <w:tcW w:w="827" w:type="dxa"/>
            <w:tcBorders>
              <w:top w:val="single" w:color="000000" w:sz="12" w:space="0"/>
              <w:left w:val="single" w:color="000000" w:sz="4" w:space="0"/>
              <w:bottom w:val="single" w:color="000000" w:sz="4" w:space="0"/>
              <w:right w:val="single" w:color="000000" w:sz="12" w:space="0"/>
            </w:tcBorders>
            <w:shd w:val="clear" w:color="auto" w:fill="DEEAF6"/>
            <w:tcMar>
              <w:top w:w="80" w:type="dxa"/>
              <w:left w:w="80" w:type="dxa"/>
              <w:bottom w:w="80" w:type="dxa"/>
              <w:right w:w="80" w:type="dxa"/>
            </w:tcMar>
            <w:vAlign w:val="center"/>
          </w:tcPr>
          <w:p w14:paraId="4B84AAC4">
            <w:pPr>
              <w:tabs>
                <w:tab w:val="left" w:pos="420"/>
              </w:tabs>
              <w:spacing w:before="0" w:line="20" w:lineRule="atLeast"/>
              <w:jc w:val="center"/>
              <w:rPr>
                <w:rFonts w:hint="default" w:ascii="宋体" w:hAnsi="宋体" w:eastAsia="宋体" w:cs="宋体"/>
                <w:b/>
                <w:bCs/>
                <w:kern w:val="2"/>
                <w:sz w:val="21"/>
                <w:szCs w:val="21"/>
                <w:u w:color="000000"/>
                <w:lang w:val="en-US" w:eastAsia="zh-CN"/>
              </w:rPr>
            </w:pPr>
            <w:r>
              <w:rPr>
                <w:rFonts w:hint="eastAsia" w:ascii="宋体" w:hAnsi="宋体" w:eastAsia="宋体" w:cs="宋体"/>
                <w:b/>
                <w:bCs/>
                <w:kern w:val="2"/>
                <w:sz w:val="21"/>
                <w:szCs w:val="21"/>
                <w:u w:color="000000"/>
                <w:lang w:val="en-US" w:eastAsia="zh-CN"/>
              </w:rPr>
              <w:t>....</w:t>
            </w:r>
          </w:p>
        </w:tc>
      </w:tr>
      <w:tr w14:paraId="53FAA3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3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40F9E82E">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1CFB6CDB">
            <w:pPr>
              <w:widowControl w:val="0"/>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聚合能力</w:t>
            </w:r>
          </w:p>
        </w:tc>
        <w:tc>
          <w:tcPr>
            <w:tcW w:w="375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9659F68">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截止采购公告日，响应单位聚合可调负荷量（以接入深圳市虚拟电厂数据为准）。排第一的得10分</w:t>
            </w:r>
            <w:bookmarkStart w:id="0" w:name="_GoBack"/>
            <w:bookmarkEnd w:id="0"/>
            <w:r>
              <w:rPr>
                <w:rFonts w:hint="eastAsia" w:ascii="宋体" w:hAnsi="宋体" w:eastAsia="宋体" w:cs="宋体"/>
                <w:kern w:val="2"/>
                <w:sz w:val="21"/>
                <w:szCs w:val="21"/>
                <w:u w:color="000000"/>
                <w:lang w:val="en-US" w:eastAsia="zh-CN"/>
              </w:rPr>
              <w:t>，排第二的得6分，排第三的得2分，其余不得分。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15A84E5">
            <w:pPr>
              <w:widowControl w:val="0"/>
              <w:tabs>
                <w:tab w:val="left" w:pos="420"/>
                <w:tab w:val="left" w:pos="840"/>
                <w:tab w:val="left" w:pos="126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提供接入深圳市虚拟电厂的证明</w:t>
            </w:r>
          </w:p>
        </w:tc>
        <w:tc>
          <w:tcPr>
            <w:tcW w:w="81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330E328">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10分</w:t>
            </w:r>
          </w:p>
        </w:tc>
        <w:tc>
          <w:tcPr>
            <w:tcW w:w="84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48FEADFB">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42278EE">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67373C6E">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0A6C7232">
            <w:pPr>
              <w:rPr>
                <w:rFonts w:hint="default"/>
              </w:rPr>
            </w:pPr>
          </w:p>
        </w:tc>
      </w:tr>
      <w:tr w14:paraId="3D061A0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3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23267FDE">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2</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21E6C5B9">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企业资信</w:t>
            </w:r>
          </w:p>
        </w:tc>
        <w:tc>
          <w:tcPr>
            <w:tcW w:w="375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19DE8A53">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eastAsia="zh-CN"/>
              </w:rPr>
              <w:t>近</w:t>
            </w:r>
            <w:r>
              <w:rPr>
                <w:rFonts w:hint="eastAsia" w:ascii="宋体" w:hAnsi="宋体" w:eastAsia="宋体" w:cs="宋体"/>
                <w:kern w:val="2"/>
                <w:sz w:val="21"/>
                <w:szCs w:val="21"/>
                <w:u w:color="000000"/>
                <w:lang w:val="en-US" w:eastAsia="zh-CN"/>
              </w:rPr>
              <w:t>2年，企业无行政处罚记录及合同纠纷的得10分，每出现一例行政处罚或合同被告方的，扣5分，直到该项不得分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7AE839F">
            <w:pPr>
              <w:widowControl w:val="0"/>
              <w:tabs>
                <w:tab w:val="left" w:pos="420"/>
                <w:tab w:val="left" w:pos="840"/>
                <w:tab w:val="left" w:pos="126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提供国家企业信息公示系统或企查查中提供企业信用信息</w:t>
            </w:r>
          </w:p>
        </w:tc>
        <w:tc>
          <w:tcPr>
            <w:tcW w:w="81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03E93CD4">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10分</w:t>
            </w:r>
          </w:p>
        </w:tc>
        <w:tc>
          <w:tcPr>
            <w:tcW w:w="84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0B3DF96E">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0785C1F">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68A9BC45">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5F96BC9B">
            <w:pPr>
              <w:rPr>
                <w:rFonts w:hint="default"/>
              </w:rPr>
            </w:pPr>
          </w:p>
        </w:tc>
      </w:tr>
      <w:tr w14:paraId="25F2C41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3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43F1DD3">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3</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1EB00308">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响应盈利能力</w:t>
            </w:r>
          </w:p>
        </w:tc>
        <w:tc>
          <w:tcPr>
            <w:tcW w:w="375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79438525">
            <w:pPr>
              <w:widowControl w:val="0"/>
              <w:tabs>
                <w:tab w:val="left" w:pos="420"/>
                <w:tab w:val="left" w:pos="840"/>
                <w:tab w:val="left" w:pos="1260"/>
              </w:tabs>
              <w:spacing w:before="0" w:line="20" w:lineRule="atLeast"/>
              <w:jc w:val="left"/>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w:t>
            </w:r>
            <w:r>
              <w:rPr>
                <w:rFonts w:hint="eastAsia" w:ascii="宋体" w:hAnsi="宋体" w:eastAsia="宋体" w:cs="宋体"/>
                <w:kern w:val="2"/>
                <w:sz w:val="21"/>
                <w:szCs w:val="21"/>
                <w:u w:color="000000"/>
                <w:lang w:eastAsia="zh-CN"/>
              </w:rPr>
              <w:t>响应单位自</w:t>
            </w:r>
            <w:r>
              <w:rPr>
                <w:rFonts w:hint="eastAsia" w:ascii="宋体" w:hAnsi="宋体" w:eastAsia="宋体" w:cs="宋体"/>
                <w:kern w:val="2"/>
                <w:sz w:val="21"/>
                <w:szCs w:val="21"/>
                <w:u w:color="000000"/>
                <w:lang w:val="en-US" w:eastAsia="zh-CN"/>
              </w:rPr>
              <w:t>2023年以来</w:t>
            </w:r>
            <w:r>
              <w:rPr>
                <w:rFonts w:hint="eastAsia" w:ascii="宋体" w:hAnsi="宋体" w:eastAsia="宋体" w:cs="宋体"/>
                <w:kern w:val="2"/>
                <w:sz w:val="21"/>
                <w:szCs w:val="21"/>
                <w:u w:color="000000"/>
                <w:lang w:eastAsia="zh-CN"/>
              </w:rPr>
              <w:t>参与深圳市虚拟电厂响应的次数，从多到少排序，排第一的得</w:t>
            </w:r>
            <w:r>
              <w:rPr>
                <w:rFonts w:hint="eastAsia" w:ascii="宋体" w:hAnsi="宋体" w:eastAsia="宋体" w:cs="宋体"/>
                <w:kern w:val="2"/>
                <w:sz w:val="21"/>
                <w:szCs w:val="21"/>
                <w:u w:color="000000"/>
                <w:lang w:val="en-US" w:eastAsia="zh-CN"/>
              </w:rPr>
              <w:t>10分，第二得6分，第三得2分，其余不得分；</w:t>
            </w:r>
            <w:r>
              <w:rPr>
                <w:rFonts w:hint="eastAsia" w:ascii="宋体" w:hAnsi="宋体" w:eastAsia="宋体" w:cs="宋体"/>
                <w:kern w:val="2"/>
                <w:sz w:val="21"/>
                <w:szCs w:val="21"/>
                <w:u w:color="000000"/>
                <w:lang w:val="en-US" w:eastAsia="zh-CN"/>
              </w:rPr>
              <w:br w:type="textWrapping"/>
            </w:r>
            <w:r>
              <w:rPr>
                <w:rFonts w:hint="eastAsia" w:ascii="宋体" w:hAnsi="宋体" w:eastAsia="宋体" w:cs="宋体"/>
                <w:kern w:val="2"/>
                <w:sz w:val="21"/>
                <w:szCs w:val="21"/>
                <w:u w:color="000000"/>
                <w:lang w:val="en-US" w:eastAsia="zh-CN"/>
              </w:rPr>
              <w:t>2、响应单位自2023年以来，参与深圳市虚拟电厂日前响应为有效响应的次数（实际调节量大于中标量的80%的次数），</w:t>
            </w:r>
            <w:r>
              <w:rPr>
                <w:rFonts w:hint="eastAsia" w:ascii="宋体" w:hAnsi="宋体" w:eastAsia="宋体" w:cs="宋体"/>
                <w:kern w:val="2"/>
                <w:sz w:val="21"/>
                <w:szCs w:val="21"/>
                <w:u w:color="000000"/>
                <w:lang w:eastAsia="zh-CN"/>
              </w:rPr>
              <w:t>从多到少排序，</w:t>
            </w:r>
            <w:r>
              <w:rPr>
                <w:rFonts w:hint="eastAsia" w:ascii="宋体" w:hAnsi="宋体" w:eastAsia="宋体" w:cs="宋体"/>
                <w:kern w:val="2"/>
                <w:sz w:val="21"/>
                <w:szCs w:val="21"/>
                <w:u w:color="000000"/>
                <w:lang w:val="en-US" w:eastAsia="zh-CN"/>
              </w:rPr>
              <w:t>排第一的得10分，第二得6分，第三得2分，其余不得分。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4163A699">
            <w:pPr>
              <w:widowControl w:val="0"/>
              <w:tabs>
                <w:tab w:val="left" w:pos="420"/>
                <w:tab w:val="left" w:pos="840"/>
                <w:tab w:val="left" w:pos="126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提供参与响应的佐证材料</w:t>
            </w:r>
          </w:p>
        </w:tc>
        <w:tc>
          <w:tcPr>
            <w:tcW w:w="81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BBBDBE2">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20分</w:t>
            </w:r>
          </w:p>
        </w:tc>
        <w:tc>
          <w:tcPr>
            <w:tcW w:w="84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5E760F42">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4761A4F0">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098C8150">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426AEF64">
            <w:pPr>
              <w:rPr>
                <w:rFonts w:hint="default"/>
              </w:rPr>
            </w:pPr>
          </w:p>
        </w:tc>
      </w:tr>
      <w:tr w14:paraId="7D2E926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3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784A8685">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4</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22EF3B49">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分成比例</w:t>
            </w:r>
          </w:p>
        </w:tc>
        <w:tc>
          <w:tcPr>
            <w:tcW w:w="375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3A1F6CD">
            <w:pPr>
              <w:widowControl w:val="0"/>
              <w:tabs>
                <w:tab w:val="left" w:pos="420"/>
                <w:tab w:val="left" w:pos="840"/>
                <w:tab w:val="left" w:pos="1260"/>
              </w:tabs>
              <w:spacing w:before="0" w:line="20" w:lineRule="atLeast"/>
              <w:jc w:val="left"/>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响应单位从参与需求侧响应及深圳市虚拟电厂响应所获得总收益的分成比例，分成比例最低的，为基准分成比例，得40分，其余响应单位得分=基准分成比例/响应单位所报分成比例*40</w:t>
            </w:r>
          </w:p>
        </w:tc>
        <w:tc>
          <w:tcPr>
            <w:tcW w:w="142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A4BA027">
            <w:pPr>
              <w:widowControl w:val="0"/>
              <w:tabs>
                <w:tab w:val="left" w:pos="420"/>
                <w:tab w:val="left" w:pos="840"/>
                <w:tab w:val="left" w:pos="126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提供分成比例承诺（格式不限）</w:t>
            </w:r>
          </w:p>
        </w:tc>
        <w:tc>
          <w:tcPr>
            <w:tcW w:w="81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B0F4106">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40分</w:t>
            </w:r>
          </w:p>
        </w:tc>
        <w:tc>
          <w:tcPr>
            <w:tcW w:w="84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061AA3B6">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CCD8049">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5D1C6AD2">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76782B3E">
            <w:pPr>
              <w:rPr>
                <w:rFonts w:hint="default"/>
              </w:rPr>
            </w:pPr>
          </w:p>
        </w:tc>
      </w:tr>
      <w:tr w14:paraId="0AB3BE6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3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96DEDA9">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5EEFE20B">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企业资质</w:t>
            </w:r>
          </w:p>
        </w:tc>
        <w:tc>
          <w:tcPr>
            <w:tcW w:w="375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1D978CE7">
            <w:pPr>
              <w:widowControl w:val="0"/>
              <w:tabs>
                <w:tab w:val="left" w:pos="420"/>
                <w:tab w:val="left" w:pos="840"/>
                <w:tab w:val="left" w:pos="1260"/>
              </w:tabs>
              <w:spacing w:before="0" w:line="20" w:lineRule="atLeast"/>
              <w:jc w:val="left"/>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企业拥有承装修试承修类和承试类五级及以上等级证书的，得5分。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3FB13DE">
            <w:pPr>
              <w:widowControl w:val="0"/>
              <w:tabs>
                <w:tab w:val="left" w:pos="420"/>
                <w:tab w:val="left" w:pos="840"/>
                <w:tab w:val="left" w:pos="126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提供证书</w:t>
            </w:r>
          </w:p>
        </w:tc>
        <w:tc>
          <w:tcPr>
            <w:tcW w:w="81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2D06AE42">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5分</w:t>
            </w:r>
          </w:p>
        </w:tc>
        <w:tc>
          <w:tcPr>
            <w:tcW w:w="84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033A1E3D">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25DA5234">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5FDC9748">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7B7762C5">
            <w:pPr>
              <w:rPr>
                <w:rFonts w:hint="default"/>
              </w:rPr>
            </w:pPr>
          </w:p>
        </w:tc>
      </w:tr>
      <w:tr w14:paraId="2389108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832"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auto"/>
            <w:tcMar>
              <w:top w:w="80" w:type="dxa"/>
              <w:left w:w="80" w:type="dxa"/>
              <w:bottom w:w="80" w:type="dxa"/>
              <w:right w:w="80" w:type="dxa"/>
            </w:tcMar>
            <w:vAlign w:val="center"/>
          </w:tcPr>
          <w:p w14:paraId="5884B8D8">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80A0168">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服务方案</w:t>
            </w:r>
          </w:p>
        </w:tc>
        <w:tc>
          <w:tcPr>
            <w:tcW w:w="37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3367358">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eastAsia="zh-CN"/>
              </w:rPr>
              <w:t>评审人员根据响应单位提供的服务方案进行独立打分。</w:t>
            </w:r>
            <w:r>
              <w:rPr>
                <w:rFonts w:ascii="宋体" w:hAnsi="宋体" w:eastAsia="宋体" w:cs="宋体"/>
                <w:kern w:val="2"/>
                <w:sz w:val="21"/>
                <w:szCs w:val="21"/>
                <w:u w:color="000000"/>
              </w:rPr>
              <w:t>打分参考：</w:t>
            </w:r>
            <w:r>
              <w:rPr>
                <w:rFonts w:hint="eastAsia" w:ascii="宋体" w:hAnsi="宋体" w:eastAsia="宋体" w:cs="宋体"/>
                <w:kern w:val="2"/>
                <w:sz w:val="21"/>
                <w:szCs w:val="21"/>
                <w:u w:color="000000"/>
                <w:lang w:eastAsia="zh-CN"/>
              </w:rPr>
              <w:t>横向对比服务商改造方案、改造工期、接入虚拟电厂方案、相关承诺等。优得</w:t>
            </w:r>
            <w:r>
              <w:rPr>
                <w:rFonts w:hint="eastAsia" w:ascii="宋体" w:hAnsi="宋体" w:eastAsia="宋体" w:cs="宋体"/>
                <w:kern w:val="2"/>
                <w:sz w:val="21"/>
                <w:szCs w:val="21"/>
                <w:u w:color="000000"/>
                <w:lang w:val="en-US" w:eastAsia="zh-CN"/>
              </w:rPr>
              <w:t>11-15分，良好的6-10分，一般得1-5分，差不得分。</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177CA90">
            <w:pPr>
              <w:widowControl w:val="0"/>
              <w:tabs>
                <w:tab w:val="left" w:pos="420"/>
                <w:tab w:val="left" w:pos="840"/>
                <w:tab w:val="left" w:pos="1260"/>
              </w:tabs>
              <w:spacing w:before="0" w:line="20" w:lineRule="atLeast"/>
              <w:jc w:val="center"/>
              <w:rPr>
                <w:rFonts w:hint="default" w:ascii="Arial Unicode MS" w:hAnsi="Arial Unicode MS" w:eastAsia="Helvetica Neue" w:cs="Arial Unicode MS"/>
                <w:color w:val="000000"/>
                <w:sz w:val="24"/>
                <w:szCs w:val="24"/>
                <w:lang w:val="zh-TW" w:eastAsia="zh-TW" w:bidi="ar-SA"/>
              </w:rPr>
            </w:pPr>
            <w:r>
              <w:rPr>
                <w:rFonts w:ascii="宋体" w:hAnsi="宋体" w:eastAsia="宋体" w:cs="宋体"/>
                <w:kern w:val="2"/>
                <w:sz w:val="21"/>
                <w:szCs w:val="21"/>
                <w:u w:color="000000"/>
              </w:rPr>
              <w:t>提供技术服务方案，并加盖公章</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E009981">
            <w:pPr>
              <w:widowControl w:val="0"/>
              <w:tabs>
                <w:tab w:val="left" w:pos="420"/>
              </w:tabs>
              <w:spacing w:before="0" w:line="20" w:lineRule="atLeast"/>
              <w:jc w:val="center"/>
              <w:rPr>
                <w:rFonts w:hint="eastAsia" w:ascii="Arial Unicode MS" w:hAnsi="Arial Unicode MS" w:eastAsia="Helvetica Neue" w:cs="Arial Unicode MS"/>
                <w:color w:val="000000"/>
                <w:sz w:val="24"/>
                <w:szCs w:val="24"/>
                <w:lang w:val="en-US" w:eastAsia="zh-CN" w:bidi="ar-SA"/>
              </w:rPr>
            </w:pPr>
            <w:r>
              <w:rPr>
                <w:rFonts w:hint="eastAsia" w:ascii="宋体" w:hAnsi="宋体" w:eastAsia="宋体" w:cs="宋体"/>
                <w:kern w:val="2"/>
                <w:sz w:val="21"/>
                <w:szCs w:val="21"/>
                <w:u w:color="000000"/>
                <w:lang w:val="en-US" w:eastAsia="zh-CN"/>
              </w:rPr>
              <w:t>15</w:t>
            </w:r>
            <w:r>
              <w:rPr>
                <w:rFonts w:ascii="宋体" w:hAnsi="宋体" w:eastAsia="宋体" w:cs="宋体"/>
                <w:kern w:val="2"/>
                <w:sz w:val="21"/>
                <w:szCs w:val="21"/>
                <w:u w:color="000000"/>
              </w:rPr>
              <w:t>分</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E904D1D">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EE79526">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14:paraId="0379A01C">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14:paraId="5000F9CE">
            <w:pPr>
              <w:rPr>
                <w:rFonts w:hint="default"/>
              </w:rPr>
            </w:pPr>
          </w:p>
        </w:tc>
      </w:tr>
      <w:tr w14:paraId="1520A2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47" w:hRule="atLeast"/>
          <w:jc w:val="center"/>
        </w:trPr>
        <w:tc>
          <w:tcPr>
            <w:tcW w:w="6522" w:type="dxa"/>
            <w:gridSpan w:val="4"/>
            <w:tcBorders>
              <w:top w:val="single" w:color="000000" w:sz="4" w:space="0"/>
              <w:left w:val="single" w:color="000000" w:sz="12"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14:paraId="560CDEF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kern w:val="2"/>
                <w:sz w:val="21"/>
                <w:szCs w:val="21"/>
                <w:u w:color="000000"/>
              </w:rPr>
              <w:t>合计</w:t>
            </w:r>
          </w:p>
        </w:tc>
        <w:tc>
          <w:tcPr>
            <w:tcW w:w="810" w:type="dxa"/>
            <w:tcBorders>
              <w:top w:val="single" w:color="000000" w:sz="4" w:space="0"/>
              <w:left w:val="single" w:color="000000" w:sz="4"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14:paraId="5BA97D8A">
            <w:pPr>
              <w:tabs>
                <w:tab w:val="left" w:pos="420"/>
              </w:tabs>
              <w:spacing w:before="0" w:line="20" w:lineRule="atLeast"/>
              <w:jc w:val="center"/>
              <w:rPr>
                <w:rFonts w:hint="default"/>
              </w:rPr>
            </w:pPr>
            <w:r>
              <w:rPr>
                <w:rFonts w:ascii="宋体" w:hAnsi="宋体" w:eastAsia="宋体" w:cs="宋体"/>
                <w:kern w:val="2"/>
                <w:sz w:val="21"/>
                <w:szCs w:val="21"/>
                <w:u w:color="000000"/>
                <w:lang w:val="en-US"/>
              </w:rPr>
              <w:t>100</w:t>
            </w:r>
            <w:r>
              <w:rPr>
                <w:rFonts w:ascii="宋体" w:hAnsi="宋体" w:eastAsia="宋体" w:cs="宋体"/>
                <w:kern w:val="2"/>
                <w:sz w:val="21"/>
                <w:szCs w:val="21"/>
                <w:u w:color="000000"/>
              </w:rPr>
              <w:t>分</w:t>
            </w:r>
          </w:p>
        </w:tc>
        <w:tc>
          <w:tcPr>
            <w:tcW w:w="840" w:type="dxa"/>
            <w:tcBorders>
              <w:top w:val="single" w:color="000000" w:sz="4" w:space="0"/>
              <w:left w:val="single" w:color="000000" w:sz="4"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14:paraId="58CC6855">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14:paraId="633CA111">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CCECFE" w:themeFill="accent1" w:themeFillTint="33"/>
            <w:tcMar>
              <w:top w:w="80" w:type="dxa"/>
              <w:left w:w="80" w:type="dxa"/>
              <w:bottom w:w="80" w:type="dxa"/>
              <w:right w:w="80" w:type="dxa"/>
            </w:tcMar>
            <w:vAlign w:val="center"/>
          </w:tcPr>
          <w:p w14:paraId="181B3826">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CCECFE" w:themeFill="accent1" w:themeFillTint="33"/>
            <w:tcMar>
              <w:top w:w="80" w:type="dxa"/>
              <w:left w:w="80" w:type="dxa"/>
              <w:bottom w:w="80" w:type="dxa"/>
              <w:right w:w="80" w:type="dxa"/>
            </w:tcMar>
            <w:vAlign w:val="center"/>
          </w:tcPr>
          <w:p w14:paraId="2AA3AD11">
            <w:pPr>
              <w:rPr>
                <w:rFonts w:hint="default"/>
              </w:rPr>
            </w:pPr>
          </w:p>
        </w:tc>
      </w:tr>
      <w:tr w14:paraId="67AFF20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47" w:hRule="atLeast"/>
          <w:jc w:val="center"/>
        </w:trPr>
        <w:tc>
          <w:tcPr>
            <w:tcW w:w="6522" w:type="dxa"/>
            <w:gridSpan w:val="4"/>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015437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b/>
                <w:bCs/>
                <w:kern w:val="2"/>
                <w:sz w:val="21"/>
                <w:szCs w:val="21"/>
                <w:u w:color="000000"/>
              </w:rPr>
              <w:t>拟推荐成交候选供应商（原则推荐评审综合得分最高的单位）</w:t>
            </w:r>
          </w:p>
        </w:tc>
        <w:tc>
          <w:tcPr>
            <w:tcW w:w="3433" w:type="dxa"/>
            <w:gridSpan w:val="4"/>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58C769DD">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7A4E6ED0">
            <w:pPr>
              <w:rPr>
                <w:rFonts w:hint="default"/>
              </w:rPr>
            </w:pPr>
          </w:p>
        </w:tc>
      </w:tr>
    </w:tbl>
    <w:p w14:paraId="349A9B96">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jc w:val="center"/>
        <w:rPr>
          <w:rFonts w:hint="default" w:ascii="宋体" w:hAnsi="宋体" w:eastAsia="宋体" w:cs="宋体"/>
          <w:kern w:val="2"/>
          <w:sz w:val="36"/>
          <w:szCs w:val="36"/>
          <w:u w:color="000000"/>
        </w:rPr>
      </w:pPr>
    </w:p>
    <w:p w14:paraId="31427818">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firstLine="420"/>
        <w:jc w:val="both"/>
        <w:rPr>
          <w:rFonts w:hint="default" w:ascii="黑体" w:hAnsi="黑体" w:eastAsia="黑体" w:cs="黑体"/>
          <w:kern w:val="2"/>
          <w:sz w:val="21"/>
          <w:szCs w:val="21"/>
          <w:u w:color="000000"/>
        </w:rPr>
      </w:pPr>
      <w:r>
        <w:rPr>
          <w:rFonts w:ascii="黑体" w:hAnsi="黑体" w:eastAsia="黑体" w:cs="黑体"/>
          <w:kern w:val="2"/>
          <w:sz w:val="21"/>
          <w:szCs w:val="21"/>
          <w:u w:color="000000"/>
        </w:rPr>
        <w:t>备注：</w:t>
      </w:r>
      <w:r>
        <w:rPr>
          <w:rFonts w:ascii="黑体" w:hAnsi="黑体" w:eastAsia="黑体" w:cs="黑体"/>
          <w:kern w:val="2"/>
          <w:sz w:val="21"/>
          <w:szCs w:val="21"/>
          <w:u w:color="000000"/>
          <w:lang w:val="en-US"/>
        </w:rPr>
        <w:t>1.</w:t>
      </w:r>
      <w:r>
        <w:rPr>
          <w:rFonts w:ascii="黑体" w:hAnsi="黑体" w:eastAsia="黑体" w:cs="黑体"/>
          <w:kern w:val="2"/>
          <w:sz w:val="21"/>
          <w:szCs w:val="21"/>
          <w:u w:color="000000"/>
        </w:rPr>
        <w:t>各项评审打分按照四舍五入，小数点后保留</w:t>
      </w:r>
      <w:r>
        <w:rPr>
          <w:rFonts w:ascii="黑体" w:hAnsi="黑体" w:eastAsia="黑体" w:cs="黑体"/>
          <w:kern w:val="2"/>
          <w:sz w:val="21"/>
          <w:szCs w:val="21"/>
          <w:u w:color="000000"/>
          <w:lang w:val="en-US"/>
        </w:rPr>
        <w:t>2</w:t>
      </w:r>
      <w:r>
        <w:rPr>
          <w:rFonts w:ascii="黑体" w:hAnsi="黑体" w:eastAsia="黑体" w:cs="黑体"/>
          <w:kern w:val="2"/>
          <w:sz w:val="21"/>
          <w:szCs w:val="21"/>
          <w:u w:color="000000"/>
        </w:rPr>
        <w:t>位进行计算；</w:t>
      </w:r>
    </w:p>
    <w:p w14:paraId="61AEE090">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rPr>
          <w:rFonts w:hint="default"/>
        </w:rPr>
      </w:pPr>
      <w:r>
        <w:rPr>
          <w:rFonts w:ascii="黑体" w:hAnsi="黑体" w:eastAsia="黑体" w:cs="黑体"/>
          <w:kern w:val="2"/>
          <w:sz w:val="21"/>
          <w:szCs w:val="21"/>
          <w:u w:color="000000"/>
          <w:lang w:val="en-US"/>
        </w:rPr>
        <w:t xml:space="preserve">          2.</w:t>
      </w:r>
      <w:r>
        <w:rPr>
          <w:rFonts w:ascii="黑体" w:hAnsi="黑体" w:eastAsia="黑体" w:cs="黑体"/>
          <w:kern w:val="2"/>
          <w:sz w:val="21"/>
          <w:szCs w:val="21"/>
          <w:u w:color="000000"/>
        </w:rPr>
        <w:t>若出现拟推荐成交候选供应商票数相同的情况，以未推荐上述单位的评审专家对并列第一的候选供应商既定打分排序作为最终选定依据。</w:t>
      </w:r>
    </w:p>
    <w:sectPr>
      <w:headerReference r:id="rId4" w:type="default"/>
      <w:footerReference r:id="rId5" w:type="default"/>
      <w:pgSz w:w="11906" w:h="16838"/>
      <w:pgMar w:top="1134" w:right="1134" w:bottom="1134" w:left="1134" w:header="709" w:footer="85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0" w:csb1="00000000"/>
  </w:font>
  <w:font w:name="Helvetica Neue">
    <w:altName w:val="Arial"/>
    <w:panose1 w:val="00000000000000000000"/>
    <w:charset w:val="00"/>
    <w:family w:val="roman"/>
    <w:pitch w:val="default"/>
    <w:sig w:usb0="00000000" w:usb1="00000000" w:usb2="00000000" w:usb3="00000000" w:csb0="00000000" w:csb1="00000000"/>
  </w:font>
  <w:font w:name="PingFang SC Regular">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12A12">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9777A">
    <w:pP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displayBackgroundShape w:val="1"/>
  <w:documentProtection w:enforcement="0"/>
  <w:defaultTabStop w:val="72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5YTBiNTMwMDUzYTEzYjJmOGQ4NDQ3MTIzMGZiNWQifQ=="/>
  </w:docVars>
  <w:rsids>
    <w:rsidRoot w:val="00495DF8"/>
    <w:rsid w:val="00495DF8"/>
    <w:rsid w:val="00C74CA0"/>
    <w:rsid w:val="00F03ADC"/>
    <w:rsid w:val="00FF3EB1"/>
    <w:rsid w:val="022565C3"/>
    <w:rsid w:val="0A4A5805"/>
    <w:rsid w:val="0F9712A6"/>
    <w:rsid w:val="173D31C8"/>
    <w:rsid w:val="18AA6B24"/>
    <w:rsid w:val="18F87776"/>
    <w:rsid w:val="19E33AAB"/>
    <w:rsid w:val="1AB86343"/>
    <w:rsid w:val="1E8559B0"/>
    <w:rsid w:val="1F9C2EC5"/>
    <w:rsid w:val="2280797B"/>
    <w:rsid w:val="29923E25"/>
    <w:rsid w:val="2A4F2CEC"/>
    <w:rsid w:val="2BFA7C62"/>
    <w:rsid w:val="2C541DFF"/>
    <w:rsid w:val="308F0B1D"/>
    <w:rsid w:val="30E85FBB"/>
    <w:rsid w:val="31A3629F"/>
    <w:rsid w:val="3BBB0933"/>
    <w:rsid w:val="41A037AD"/>
    <w:rsid w:val="43372D08"/>
    <w:rsid w:val="43DF6845"/>
    <w:rsid w:val="4AF43D81"/>
    <w:rsid w:val="50A626FC"/>
    <w:rsid w:val="51352406"/>
    <w:rsid w:val="517C662B"/>
    <w:rsid w:val="5430212F"/>
    <w:rsid w:val="5E4575EA"/>
    <w:rsid w:val="5F815717"/>
    <w:rsid w:val="5FA8354E"/>
    <w:rsid w:val="6ACA7C59"/>
    <w:rsid w:val="6C0A4F1F"/>
    <w:rsid w:val="71C628C1"/>
    <w:rsid w:val="73200C89"/>
    <w:rsid w:val="74933307"/>
    <w:rsid w:val="77164B27"/>
    <w:rsid w:val="7F0E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spacing w:before="160"/>
    </w:pPr>
    <w:rPr>
      <w:rFonts w:hint="eastAsia" w:ascii="Arial Unicode MS" w:hAnsi="Arial Unicode MS" w:eastAsia="Helvetica Neue" w:cs="Arial Unicode MS"/>
      <w:color w:val="000000"/>
      <w:sz w:val="24"/>
      <w:szCs w:val="24"/>
      <w:lang w:val="zh-TW" w:eastAsia="zh-TW"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qFormat/>
    <w:uiPriority w:val="0"/>
    <w:rPr>
      <w:u w:val="single"/>
    </w:rPr>
  </w:style>
  <w:style w:type="table" w:customStyle="1" w:styleId="5">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Pages>2</Pages>
  <Words>889</Words>
  <Characters>907</Characters>
  <Lines>6</Lines>
  <Paragraphs>1</Paragraphs>
  <TotalTime>63</TotalTime>
  <ScaleCrop>false</ScaleCrop>
  <LinksUpToDate>false</LinksUpToDate>
  <CharactersWithSpaces>961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2020-11-30T01:41:00Z</dcterms:created>
  <dc:creator>user</dc:creator>
  <cp:lastModifiedBy>李慎江</cp:lastModifiedBy>
  <dcterms:modified xsi:type="dcterms:W3CDTF">2024-09-06T08:12:34Z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DAF0060FA9084A17B4EBC6D64855B277</vt:lpwstr>
  </property>
</Properties>
</file>