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default" w:ascii="方正小标宋简体" w:hAnsi="宋体" w:eastAsia="方正小标宋简体" w:cs="宋体"/>
          <w:sz w:val="44"/>
          <w:szCs w:val="44"/>
        </w:rPr>
      </w:pPr>
      <w:r>
        <w:rPr>
          <w:rFonts w:hint="default" w:ascii="方正小标宋简体" w:hAnsi="宋体" w:eastAsia="方正小标宋简体" w:cs="宋体"/>
          <w:sz w:val="44"/>
          <w:szCs w:val="44"/>
        </w:rPr>
        <w:t>深圳市龙岗区城投城市服务有限公司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2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宝龙分公司2024年</w:t>
      </w:r>
      <w:r>
        <w:rPr>
          <w:rFonts w:ascii="方正小标宋简体" w:hAnsi="宋体" w:eastAsia="方正小标宋简体" w:cs="宋体"/>
          <w:sz w:val="44"/>
          <w:szCs w:val="44"/>
        </w:rPr>
        <w:t>相关责任险采购</w:t>
      </w:r>
      <w:r>
        <w:rPr>
          <w:rFonts w:hint="eastAsia" w:ascii="方正小标宋简体" w:hAnsi="宋体" w:eastAsia="方正小标宋简体" w:cs="宋体"/>
          <w:sz w:val="44"/>
          <w:szCs w:val="44"/>
        </w:rPr>
        <w:t>公告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一、项目名称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深圳市龙岗区城投城市服务有限公司宝龙分公司2024年相关责任险采购</w:t>
      </w:r>
      <w:bookmarkStart w:id="0" w:name="_GoBack"/>
      <w:bookmarkEnd w:id="0"/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二、主要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采购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内容</w:t>
      </w:r>
    </w:p>
    <w:tbl>
      <w:tblPr>
        <w:tblStyle w:val="11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325"/>
        <w:gridCol w:w="129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拟采购险种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楷体_GB2312" w:hAnsi="楷体_GB2312" w:eastAsia="楷体_GB2312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智慧家园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（293767.82平方米公共区域，电梯65台，车位1463个）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深圳市龙岗区宝龙街道宝龙社区宝荷大道76号智慧家园</w:t>
            </w:r>
          </w:p>
        </w:tc>
        <w:tc>
          <w:tcPr>
            <w:tcW w:w="129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公众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责任险</w:t>
            </w:r>
          </w:p>
        </w:tc>
        <w:tc>
          <w:tcPr>
            <w:tcW w:w="4040" w:type="dxa"/>
            <w:vMerge w:val="restart"/>
            <w:vAlign w:val="center"/>
          </w:tcPr>
          <w:p>
            <w:pPr>
              <w:pStyle w:val="5"/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公众责任险：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1.公众责任险累计赔偿限额：400万元;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2.每次事故赔偿限额：400万元;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3.每人每次事故人身伤亡：100万元；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4.每次事故绝对免赔额1000元或损失金额的5%，以高者为准;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5.每次人身事故每次事故绝对免赔额为0元。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停车场责任险：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1.停车场每个车位赔偿限额20万元；</w:t>
            </w:r>
          </w:p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2.累计赔偿限额200万元；</w:t>
            </w:r>
          </w:p>
          <w:p>
            <w:pPr>
              <w:pStyle w:val="5"/>
              <w:spacing w:line="360" w:lineRule="exac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3.每次事故整车盗抢免赔率为20%。每次事故绝对免赔额为人民币1000元或损失金额的5%，以高者为准。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停车场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责任险</w:t>
            </w:r>
          </w:p>
        </w:tc>
        <w:tc>
          <w:tcPr>
            <w:tcW w:w="4040" w:type="dxa"/>
            <w:vMerge w:val="continue"/>
            <w:vAlign w:val="center"/>
          </w:tcPr>
          <w:p>
            <w:pPr>
              <w:pStyle w:val="5"/>
              <w:spacing w:line="36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ourier New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宝龙智造园</w:t>
            </w:r>
            <w:r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（212600平方米公共区域，电梯33台，车位1058个）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深圳市龙岗区宝龙街道宝同路与新能源一路交叉口宝龙智造园</w:t>
            </w:r>
          </w:p>
        </w:tc>
        <w:tc>
          <w:tcPr>
            <w:tcW w:w="129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公众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责任险</w:t>
            </w:r>
          </w:p>
        </w:tc>
        <w:tc>
          <w:tcPr>
            <w:tcW w:w="4040" w:type="dxa"/>
            <w:vMerge w:val="continue"/>
            <w:vAlign w:val="center"/>
          </w:tcPr>
          <w:p>
            <w:pPr>
              <w:pStyle w:val="5"/>
              <w:spacing w:line="360" w:lineRule="exac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0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停车场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责任险</w:t>
            </w:r>
          </w:p>
        </w:tc>
        <w:tc>
          <w:tcPr>
            <w:tcW w:w="4040" w:type="dxa"/>
            <w:vMerge w:val="continue"/>
            <w:vAlign w:val="center"/>
          </w:tcPr>
          <w:p>
            <w:pPr>
              <w:pStyle w:val="5"/>
              <w:spacing w:line="360" w:lineRule="exac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ourier New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保障房公共住房选房大厅</w:t>
            </w:r>
          </w:p>
          <w:p>
            <w:pPr>
              <w:spacing w:line="360" w:lineRule="exact"/>
              <w:jc w:val="center"/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（530平方米公共区域）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ourier New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深圳市龙岗区龙城街道飞扬路669号天昊华庭西门保障房公共住房选房大厅</w:t>
            </w:r>
          </w:p>
        </w:tc>
        <w:tc>
          <w:tcPr>
            <w:tcW w:w="1290" w:type="dxa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公众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责任险</w:t>
            </w:r>
          </w:p>
        </w:tc>
        <w:tc>
          <w:tcPr>
            <w:tcW w:w="4040" w:type="dxa"/>
            <w:vMerge w:val="continue"/>
            <w:vAlign w:val="center"/>
          </w:tcPr>
          <w:p>
            <w:pPr>
              <w:pStyle w:val="5"/>
              <w:spacing w:line="360" w:lineRule="exact"/>
              <w:rPr>
                <w:rFonts w:ascii="仿宋_GB2312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报价方式</w:t>
      </w:r>
    </w:p>
    <w:p>
      <w:pPr>
        <w:tabs>
          <w:tab w:val="left" w:pos="210"/>
        </w:tabs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相关责任险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采购采用“最低评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价法”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采购控制价为</w:t>
      </w:r>
      <w:r>
        <w:rPr>
          <w:rFonts w:ascii="仿宋_GB2312" w:eastAsia="仿宋_GB2312"/>
          <w:sz w:val="32"/>
          <w:szCs w:val="32"/>
        </w:rPr>
        <w:t>5.6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元/年（含税）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四、资格审查方式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资格后审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五、响应单位资格要求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投标人必须是在中华人民共和国注册的，具有合法经营资格的独立法人。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参与政府采购活动前三年内（投标人成立不足三年的可从成立之日起算），在经营活动中无重大违法记录、无行贿犯罪记录、无串通投标、弄虚作假不良行为记录被暂停投标资格期间的情况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国家法规政策关于诚信管理的要求，至投标截止时间，投标人未有在“信用中国”网）、中国政府采购网和国家企业信用信息公示系统等3个官网中列入“失信被执行人、重大税收违法案件当事人名单、政府采购严重违法失信行为记录名单 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.</w:t>
      </w:r>
      <w:r>
        <w:rPr>
          <w:rFonts w:ascii="仿宋_GB2312" w:eastAsia="仿宋_GB2312"/>
          <w:sz w:val="32"/>
          <w:szCs w:val="32"/>
          <w:highlight w:val="none"/>
        </w:rPr>
        <w:t>拥有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年内（本项目投标截止日止倒算）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同类服务历史业绩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最少提供一个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单或合同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关键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页）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4.投标人或投标人总公司“2023年第二季度至2024年第一季度偿付能力充足率平均值”不小于220%。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5.根据国家金融监督管理总局发布的近4个季度（即2022年第二季度至2023年第一季度）保险消费投诉情况的通报:投标人总公司万张保费投诉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率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（件/万张）不超过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5‰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。（以4个季度算术平均值进行评分。）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合同主要条款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（一）赔付条款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公众责任险：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公众责任险累计赔偿限额400万元;每次事故赔偿限额400万元;每人每次事故人身伤亡100万元；每次事故绝对免赔额1000元或损失金额的5%，以高者为准;每次人身事故每次事故绝对免赔额为0元。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停车场责任险：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停车场每个车位赔偿限额20万元；累计赔偿限额200万元；每次事故整车盗抢免赔率为20%。每次事故绝对免赔额为人民币1000元或损失金额的5%，以高者为准。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（二）服务期限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合同期限为自合同签订之日起1年。合同期满后，经履约考核为优秀的，乙方同意续签合同的，甲方有权续签合同，可续期不超过24个月，续期最多不超过2次。续期合同实质性内容不得改变。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（三）服务费用及支付方式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双方签订正式财产险保险协议后，根据乙方出具的保单缴费通知书及相应发票（含税），甲方一次性结清。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（四）赔偿处理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保险标的发生保险责任范围内的损失，</w:t>
      </w:r>
      <w:r>
        <w:rPr>
          <w:rFonts w:hint="eastAsia" w:ascii="仿宋_GB2312" w:eastAsia="仿宋_GB2312"/>
          <w:sz w:val="30"/>
          <w:szCs w:val="30"/>
        </w:rPr>
        <w:t>被保险人有权选择下列赔偿：</w:t>
      </w:r>
    </w:p>
    <w:p>
      <w:pPr>
        <w:pStyle w:val="5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1.货物赔偿：保险人以支付保险金的方式赔偿；</w:t>
      </w:r>
    </w:p>
    <w:p>
      <w:pPr>
        <w:pStyle w:val="5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2.实物赔偿：保险人以实物替换受损标的，该实物应具有保险标的出险前同等类型、结构、状态和性能；</w:t>
      </w:r>
    </w:p>
    <w:p>
      <w:pPr>
        <w:pStyle w:val="5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3.实际修复：保险人自行或委托他人修理修复受损标的。</w:t>
      </w:r>
    </w:p>
    <w:p>
      <w:pPr>
        <w:pStyle w:val="5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（五）实际修复维修期限</w:t>
      </w:r>
    </w:p>
    <w:p>
      <w:pPr>
        <w:pStyle w:val="5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如采用实际修复的，自保险事故定损后3个月内，未在规定期限内修复，被保险人有权不支付免赔额。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七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、响应文件要求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（一）本次公告时间从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发布之日</w:t>
      </w:r>
      <w:r>
        <w:rPr>
          <w:rFonts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日止，响应供应商应于</w:t>
      </w:r>
      <w:r>
        <w:rPr>
          <w:rFonts w:hint="default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:00点前将响应文件1正4副密封（密封处加盖公章）送交到龙岗区龙城街道天昊华庭西门3楼服务大厅，联系人：吴工，联系方式0755-28436050，逾期送达或未按要求密封将予以拒收或原封退回。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（二）响应文件包含承诺函、报价单、采购人要求提供的资料等（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见附件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），详情请联系0755-28436050。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z w:val="32"/>
          <w:szCs w:val="32"/>
          <w:shd w:val="clear" w:color="auto" w:fill="FFFFFF"/>
        </w:rPr>
        <w:t>八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、遴选结果公示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递交响应文件截止后，采购人将自行组织响应文件开启、评审等工作，确定成交服务单位后将在龙岗区城投集团官网进行公示。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特别说明：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（一）响应单位须满足上述全部资格要求，方为资格审查合格。资格不符合要求的供应商不能进入比选程序。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）所有响应单位视为同意上述公告内容，确定为成交服务单位后按公告约定与采购人签署合同。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）公告期满后，若有效响应单位不足3家的，将进行第二次公告；经二次公告后，若合格响应单位仅有2家的，将直接进行评审，若有效响应单位仅有1家的，将直接选定成交单位。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响应单位提交资料明细</w:t>
      </w:r>
    </w:p>
    <w:p>
      <w:pPr>
        <w:pStyle w:val="8"/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8"/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深圳市龙岗区城投城市服务有限公司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宝龙分公司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447579-CBC2-4267-8FB9-68BEE16C13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3C957D8D-9CE4-4398-A47C-FD214B843FC3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97022EF-0A36-49B9-AF0A-14A17DE1C7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709055C-43C1-4C5F-A50B-559C55C76FF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6930C11-28D6-4619-B2D5-B9704AC68A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0CC3C81-341A-4E19-86CB-4E8B5BD63B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hYWUxMDgxODE0ZTk4NTJhOTVkYmEwNThkNjQzYjcifQ=="/>
  </w:docVars>
  <w:rsids>
    <w:rsidRoot w:val="006B3549"/>
    <w:rsid w:val="0050779C"/>
    <w:rsid w:val="006B3549"/>
    <w:rsid w:val="0086639E"/>
    <w:rsid w:val="066B4E0F"/>
    <w:rsid w:val="0ED7287E"/>
    <w:rsid w:val="0FED6875"/>
    <w:rsid w:val="163360DA"/>
    <w:rsid w:val="1C2261C6"/>
    <w:rsid w:val="1E1B7B7F"/>
    <w:rsid w:val="1FD95DF6"/>
    <w:rsid w:val="239235D6"/>
    <w:rsid w:val="265B4AF9"/>
    <w:rsid w:val="27F95ADF"/>
    <w:rsid w:val="284F4E21"/>
    <w:rsid w:val="2C58109B"/>
    <w:rsid w:val="2FBF1B30"/>
    <w:rsid w:val="31996BAE"/>
    <w:rsid w:val="323EBFBD"/>
    <w:rsid w:val="33B53FBA"/>
    <w:rsid w:val="3502517F"/>
    <w:rsid w:val="35EF5E85"/>
    <w:rsid w:val="37DFB6E6"/>
    <w:rsid w:val="37E3DDBD"/>
    <w:rsid w:val="37FE7B27"/>
    <w:rsid w:val="3A9ED344"/>
    <w:rsid w:val="3B9E907A"/>
    <w:rsid w:val="3BBBF555"/>
    <w:rsid w:val="3BF1EC99"/>
    <w:rsid w:val="3CF5D085"/>
    <w:rsid w:val="3D7F787F"/>
    <w:rsid w:val="3F1E0080"/>
    <w:rsid w:val="3F3FC74F"/>
    <w:rsid w:val="3FE35941"/>
    <w:rsid w:val="47246558"/>
    <w:rsid w:val="479018E6"/>
    <w:rsid w:val="4A0E5D19"/>
    <w:rsid w:val="4F6F3107"/>
    <w:rsid w:val="52C5378B"/>
    <w:rsid w:val="530D1BD6"/>
    <w:rsid w:val="53844C78"/>
    <w:rsid w:val="559B328A"/>
    <w:rsid w:val="56D7109C"/>
    <w:rsid w:val="57B78BD4"/>
    <w:rsid w:val="57DD82A4"/>
    <w:rsid w:val="582972C3"/>
    <w:rsid w:val="59D144E0"/>
    <w:rsid w:val="5CB6593A"/>
    <w:rsid w:val="5DDC1560"/>
    <w:rsid w:val="5DF814B2"/>
    <w:rsid w:val="5DFD045A"/>
    <w:rsid w:val="5FBA6AA2"/>
    <w:rsid w:val="5FBBED42"/>
    <w:rsid w:val="5FFEE469"/>
    <w:rsid w:val="5FFF6143"/>
    <w:rsid w:val="63EFEE2E"/>
    <w:rsid w:val="66FF1D91"/>
    <w:rsid w:val="6CEF3144"/>
    <w:rsid w:val="6DBE44E6"/>
    <w:rsid w:val="6E5C385A"/>
    <w:rsid w:val="6EEDE897"/>
    <w:rsid w:val="6FCF80BC"/>
    <w:rsid w:val="70385247"/>
    <w:rsid w:val="708AD903"/>
    <w:rsid w:val="70F224AF"/>
    <w:rsid w:val="727B7DE8"/>
    <w:rsid w:val="73FFDA14"/>
    <w:rsid w:val="75284986"/>
    <w:rsid w:val="7597998C"/>
    <w:rsid w:val="75BDAC54"/>
    <w:rsid w:val="75F170D4"/>
    <w:rsid w:val="769E03BF"/>
    <w:rsid w:val="76ABDF78"/>
    <w:rsid w:val="76DDCD33"/>
    <w:rsid w:val="76FCA549"/>
    <w:rsid w:val="776A573D"/>
    <w:rsid w:val="77B9476A"/>
    <w:rsid w:val="77D7FECE"/>
    <w:rsid w:val="77EE493F"/>
    <w:rsid w:val="77F36B12"/>
    <w:rsid w:val="77FBA5C2"/>
    <w:rsid w:val="78B278B9"/>
    <w:rsid w:val="78BFE399"/>
    <w:rsid w:val="796F4C92"/>
    <w:rsid w:val="797E6375"/>
    <w:rsid w:val="79FB72F7"/>
    <w:rsid w:val="7AFB53F6"/>
    <w:rsid w:val="7B5F3D7C"/>
    <w:rsid w:val="7BC63E75"/>
    <w:rsid w:val="7BFE7B27"/>
    <w:rsid w:val="7BFF1212"/>
    <w:rsid w:val="7BFF2E2A"/>
    <w:rsid w:val="7BFF4EA8"/>
    <w:rsid w:val="7DEB8301"/>
    <w:rsid w:val="7DFF45AA"/>
    <w:rsid w:val="7DFF9A94"/>
    <w:rsid w:val="7EB24EDC"/>
    <w:rsid w:val="7EBE96F9"/>
    <w:rsid w:val="7EFE1F27"/>
    <w:rsid w:val="7F1EB308"/>
    <w:rsid w:val="7F4BD2AF"/>
    <w:rsid w:val="7F5C3353"/>
    <w:rsid w:val="7F6EEA07"/>
    <w:rsid w:val="7F77B8DD"/>
    <w:rsid w:val="7FA3AFB4"/>
    <w:rsid w:val="7FA52410"/>
    <w:rsid w:val="7FAFDB50"/>
    <w:rsid w:val="7FBF1C50"/>
    <w:rsid w:val="7FCFF8D7"/>
    <w:rsid w:val="7FDF61C2"/>
    <w:rsid w:val="7FF7E295"/>
    <w:rsid w:val="7FFD2F93"/>
    <w:rsid w:val="7FFF662C"/>
    <w:rsid w:val="7FFFB32B"/>
    <w:rsid w:val="963A099E"/>
    <w:rsid w:val="992C35A5"/>
    <w:rsid w:val="9E7D300A"/>
    <w:rsid w:val="9E929E43"/>
    <w:rsid w:val="9EFFB26A"/>
    <w:rsid w:val="A71F237B"/>
    <w:rsid w:val="AF7D0FD8"/>
    <w:rsid w:val="B56FF034"/>
    <w:rsid w:val="BBEFA948"/>
    <w:rsid w:val="BBFD1E09"/>
    <w:rsid w:val="BCFFE43E"/>
    <w:rsid w:val="BD77AC68"/>
    <w:rsid w:val="BDBD3DE3"/>
    <w:rsid w:val="BDBFE4A8"/>
    <w:rsid w:val="BDED6A6B"/>
    <w:rsid w:val="BF1F9D0C"/>
    <w:rsid w:val="BF6FF7D4"/>
    <w:rsid w:val="BF776DB1"/>
    <w:rsid w:val="BFA6B85E"/>
    <w:rsid w:val="BFBB4735"/>
    <w:rsid w:val="BFDF0903"/>
    <w:rsid w:val="BFF71547"/>
    <w:rsid w:val="BFFB01CE"/>
    <w:rsid w:val="BFFB5C47"/>
    <w:rsid w:val="CD9DD32A"/>
    <w:rsid w:val="CEFC18B8"/>
    <w:rsid w:val="CFBDA6E4"/>
    <w:rsid w:val="D33EFEA5"/>
    <w:rsid w:val="D55F12D1"/>
    <w:rsid w:val="D7EF1CEF"/>
    <w:rsid w:val="D94A5C7D"/>
    <w:rsid w:val="D9FA8208"/>
    <w:rsid w:val="DBBE3554"/>
    <w:rsid w:val="DDFFE1E5"/>
    <w:rsid w:val="DEFD9911"/>
    <w:rsid w:val="DF3FF738"/>
    <w:rsid w:val="DF77494B"/>
    <w:rsid w:val="DF7AA231"/>
    <w:rsid w:val="DF7F9118"/>
    <w:rsid w:val="DFFE3C7E"/>
    <w:rsid w:val="E26F94E3"/>
    <w:rsid w:val="E6FE1705"/>
    <w:rsid w:val="EA5D6ED7"/>
    <w:rsid w:val="EA9FBA49"/>
    <w:rsid w:val="EF7B9544"/>
    <w:rsid w:val="EFBF98BE"/>
    <w:rsid w:val="EFDC2499"/>
    <w:rsid w:val="EFEDD701"/>
    <w:rsid w:val="EFF65409"/>
    <w:rsid w:val="EFFF3DE4"/>
    <w:rsid w:val="F19C5FAB"/>
    <w:rsid w:val="F29FC741"/>
    <w:rsid w:val="F37F3144"/>
    <w:rsid w:val="F3FF28B3"/>
    <w:rsid w:val="F59F594A"/>
    <w:rsid w:val="F5B90E4B"/>
    <w:rsid w:val="F5FF5DE2"/>
    <w:rsid w:val="F72A136A"/>
    <w:rsid w:val="F73DD1F6"/>
    <w:rsid w:val="F7768C15"/>
    <w:rsid w:val="F7EC3836"/>
    <w:rsid w:val="F8BB022C"/>
    <w:rsid w:val="F8BFF907"/>
    <w:rsid w:val="F9E7D222"/>
    <w:rsid w:val="F9FBB26D"/>
    <w:rsid w:val="FAF3710A"/>
    <w:rsid w:val="FAF9743F"/>
    <w:rsid w:val="FBAD5D7D"/>
    <w:rsid w:val="FBAF36D2"/>
    <w:rsid w:val="FBBB4183"/>
    <w:rsid w:val="FBE45EC8"/>
    <w:rsid w:val="FCF7D2C1"/>
    <w:rsid w:val="FCF98798"/>
    <w:rsid w:val="FDEFDA92"/>
    <w:rsid w:val="FDFC2165"/>
    <w:rsid w:val="FEBFDC55"/>
    <w:rsid w:val="FEFD7F16"/>
    <w:rsid w:val="FEFE7C67"/>
    <w:rsid w:val="FEFFC35A"/>
    <w:rsid w:val="FF7822A8"/>
    <w:rsid w:val="FF7A3D1F"/>
    <w:rsid w:val="FF7D7FDB"/>
    <w:rsid w:val="FFBFC86A"/>
    <w:rsid w:val="FFDF4BC9"/>
    <w:rsid w:val="FFE6D826"/>
    <w:rsid w:val="FFEFBB21"/>
    <w:rsid w:val="FFFBF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380" w:lineRule="exact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1891</Words>
  <Characters>2038</Characters>
  <Lines>15</Lines>
  <Paragraphs>4</Paragraphs>
  <TotalTime>7</TotalTime>
  <ScaleCrop>false</ScaleCrop>
  <LinksUpToDate>false</LinksUpToDate>
  <CharactersWithSpaces>2066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2024-09-04T06:30:00Z</dcterms:created>
  <dc:creator>lenovo</dc:creator>
  <cp:lastModifiedBy>FLY</cp:lastModifiedBy>
  <dcterms:modified xsi:type="dcterms:W3CDTF">2024-09-10T06:59:22Z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D02A8BC0795B498C99394BC3CAF6C6A3_12</vt:lpwstr>
  </property>
</Properties>
</file>