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p>
    <w:p/>
    <w:p>
      <w:pPr>
        <w:jc w:val="center"/>
        <w:rPr>
          <w:rFonts w:ascii="宋体" w:hAnsi="宋体"/>
          <w:b/>
          <w:bCs/>
          <w:sz w:val="44"/>
        </w:rPr>
      </w:pPr>
      <w:r>
        <w:rPr>
          <w:rFonts w:hint="eastAsia" w:ascii="宋体" w:hAnsi="宋体"/>
          <w:b/>
          <w:bCs/>
          <w:sz w:val="44"/>
        </w:rPr>
        <w:t>深圳市龙岗区第七人民医院</w:t>
      </w:r>
    </w:p>
    <w:p>
      <w:pPr>
        <w:jc w:val="center"/>
        <w:rPr>
          <w:rFonts w:ascii="宋体" w:hAnsi="宋体"/>
          <w:b/>
          <w:bCs/>
          <w:sz w:val="44"/>
        </w:rPr>
      </w:pPr>
      <w:r>
        <w:rPr>
          <w:rFonts w:hint="eastAsia" w:ascii="宋体" w:hAnsi="宋体"/>
          <w:b/>
          <w:bCs/>
          <w:sz w:val="44"/>
        </w:rPr>
        <w:t>院内采购标书</w:t>
      </w:r>
    </w:p>
    <w:p>
      <w:pPr>
        <w:jc w:val="center"/>
        <w:rPr>
          <w:rFonts w:ascii="宋体" w:hAnsi="宋体"/>
          <w:b/>
          <w:bCs/>
          <w:sz w:val="44"/>
        </w:rPr>
      </w:pPr>
    </w:p>
    <w:p>
      <w:pPr>
        <w:jc w:val="center"/>
        <w:rPr>
          <w:rFonts w:ascii="宋体" w:hAnsi="宋体"/>
          <w:b/>
          <w:bCs/>
          <w:sz w:val="44"/>
        </w:rPr>
      </w:pPr>
      <w:r>
        <w:rPr>
          <w:rFonts w:hint="eastAsia" w:ascii="宋体" w:hAnsi="宋体"/>
          <w:b/>
          <w:bCs/>
          <w:sz w:val="44"/>
        </w:rPr>
        <w:t>招标文件信息</w:t>
      </w:r>
    </w:p>
    <w:p>
      <w:pPr>
        <w:jc w:val="center"/>
        <w:rPr>
          <w:rFonts w:ascii="宋体" w:hAnsi="宋体"/>
          <w:b/>
          <w:bCs/>
          <w:sz w:val="44"/>
        </w:rPr>
      </w:pPr>
    </w:p>
    <w:p>
      <w:pPr>
        <w:pStyle w:val="27"/>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kern w:val="2"/>
          <w:sz w:val="36"/>
          <w:szCs w:val="36"/>
          <w:lang w:val="en-US" w:eastAsia="zh-CN" w:bidi="ar-SA"/>
        </w:rPr>
      </w:pPr>
      <w:r>
        <w:rPr>
          <w:rFonts w:hint="eastAsia" w:ascii="仿宋_GB2312" w:hAnsi="仿宋_GB2312" w:eastAsia="仿宋_GB2312" w:cs="仿宋_GB2312"/>
          <w:b/>
          <w:bCs/>
          <w:sz w:val="36"/>
          <w:szCs w:val="36"/>
        </w:rPr>
        <w:t>采购项目：</w:t>
      </w:r>
      <w:r>
        <w:rPr>
          <w:rFonts w:hint="eastAsia" w:ascii="仿宋_GB2312" w:hAnsi="仿宋_GB2312" w:eastAsia="仿宋_GB2312" w:cs="仿宋_GB2312"/>
          <w:kern w:val="2"/>
          <w:sz w:val="36"/>
          <w:szCs w:val="36"/>
          <w:lang w:val="en-US" w:eastAsia="zh-CN" w:bidi="ar-SA"/>
        </w:rPr>
        <w:t>深圳市龙岗区第七人民医院2024年中秋慰问品采购项目</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采购项目编号：</w:t>
      </w:r>
      <w:r>
        <w:rPr>
          <w:rFonts w:hint="eastAsia" w:ascii="仿宋_GB2312" w:hAnsi="仿宋_GB2312" w:eastAsia="仿宋_GB2312" w:cs="仿宋_GB2312"/>
          <w:sz w:val="36"/>
          <w:szCs w:val="36"/>
          <w:lang w:val="en-US" w:eastAsia="zh-CN"/>
        </w:rPr>
        <w:t>深龙七医采[LGQY2024GH002]</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项目类型：</w:t>
      </w:r>
      <w:r>
        <w:rPr>
          <w:rFonts w:hint="eastAsia" w:ascii="仿宋_GB2312" w:hAnsi="仿宋_GB2312" w:eastAsia="仿宋_GB2312" w:cs="仿宋_GB2312"/>
          <w:sz w:val="36"/>
          <w:szCs w:val="36"/>
          <w:lang w:val="en-US" w:eastAsia="zh-CN"/>
        </w:rPr>
        <w:t>货物</w:t>
      </w:r>
      <w:r>
        <w:rPr>
          <w:rFonts w:hint="eastAsia" w:ascii="仿宋_GB2312" w:hAnsi="仿宋_GB2312" w:eastAsia="仿宋_GB2312" w:cs="仿宋_GB2312"/>
          <w:sz w:val="36"/>
          <w:szCs w:val="36"/>
        </w:rPr>
        <w:t>类</w:t>
      </w:r>
    </w:p>
    <w:p>
      <w:pPr>
        <w:snapToGrid w:val="0"/>
        <w:spacing w:line="360" w:lineRule="auto"/>
        <w:rPr>
          <w:rFonts w:hint="default" w:eastAsia="仿宋_GB2312"/>
          <w:lang w:val="en-US" w:eastAsia="zh-CN"/>
        </w:rPr>
      </w:pPr>
      <w:r>
        <w:rPr>
          <w:rFonts w:hint="eastAsia" w:ascii="仿宋_GB2312" w:hAnsi="仿宋_GB2312" w:eastAsia="仿宋_GB2312" w:cs="仿宋_GB2312"/>
          <w:b/>
          <w:bCs/>
          <w:sz w:val="36"/>
          <w:szCs w:val="36"/>
        </w:rPr>
        <w:t>采购数量：</w:t>
      </w:r>
      <w:r>
        <w:rPr>
          <w:rFonts w:hint="eastAsia" w:ascii="仿宋_GB2312" w:hAnsi="仿宋_GB2312" w:eastAsia="仿宋_GB2312" w:cs="仿宋_GB2312"/>
          <w:sz w:val="36"/>
          <w:szCs w:val="36"/>
          <w:lang w:val="en-US" w:eastAsia="zh-CN"/>
        </w:rPr>
        <w:t>329份</w:t>
      </w:r>
    </w:p>
    <w:p>
      <w:pPr>
        <w:snapToGrid w:val="0"/>
        <w:spacing w:line="360" w:lineRule="auto"/>
        <w:jc w:val="left"/>
        <w:rPr>
          <w:rFonts w:ascii="仿宋_GB2312" w:hAnsi="仿宋_GB2312" w:eastAsia="仿宋_GB2312" w:cs="仿宋_GB2312"/>
          <w:sz w:val="36"/>
          <w:szCs w:val="36"/>
        </w:rPr>
      </w:pPr>
      <w:r>
        <w:rPr>
          <w:rFonts w:hint="eastAsia" w:ascii="仿宋_GB2312" w:hAnsi="仿宋_GB2312" w:eastAsia="仿宋_GB2312" w:cs="仿宋_GB2312"/>
          <w:b/>
          <w:bCs/>
          <w:sz w:val="36"/>
          <w:szCs w:val="36"/>
        </w:rPr>
        <w:t>预算总金额：</w:t>
      </w:r>
      <w:r>
        <w:rPr>
          <w:rFonts w:hint="eastAsia" w:ascii="仿宋_GB2312" w:hAnsi="仿宋_GB2312" w:eastAsia="仿宋_GB2312" w:cs="仿宋_GB2312"/>
          <w:sz w:val="36"/>
          <w:szCs w:val="36"/>
          <w:lang w:val="en-US" w:eastAsia="zh-CN"/>
        </w:rPr>
        <w:t>16.45万元</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采购方式：</w:t>
      </w:r>
      <w:r>
        <w:rPr>
          <w:rFonts w:hint="eastAsia" w:ascii="仿宋_GB2312" w:hAnsi="仿宋_GB2312" w:eastAsia="仿宋_GB2312" w:cs="仿宋_GB2312"/>
          <w:sz w:val="36"/>
          <w:szCs w:val="36"/>
        </w:rPr>
        <w:t>院内公开采购</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评标方法：</w:t>
      </w:r>
      <w:r>
        <w:rPr>
          <w:rFonts w:hint="eastAsia" w:ascii="仿宋_GB2312" w:hAnsi="仿宋_GB2312" w:eastAsia="仿宋_GB2312" w:cs="仿宋_GB2312"/>
          <w:sz w:val="36"/>
          <w:szCs w:val="36"/>
        </w:rPr>
        <w:t>综合评分法</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投标货币</w:t>
      </w:r>
      <w:r>
        <w:rPr>
          <w:rFonts w:hint="eastAsia" w:ascii="仿宋_GB2312" w:hAnsi="仿宋_GB2312" w:eastAsia="仿宋_GB2312" w:cs="仿宋_GB2312"/>
          <w:sz w:val="36"/>
          <w:szCs w:val="36"/>
        </w:rPr>
        <w:t>：人民币</w:t>
      </w:r>
    </w:p>
    <w:p>
      <w:pPr>
        <w:pStyle w:val="13"/>
        <w:rPr>
          <w:rFonts w:hint="default"/>
        </w:rPr>
      </w:pPr>
    </w:p>
    <w:p>
      <w:pPr>
        <w:pStyle w:val="13"/>
        <w:rPr>
          <w:rFonts w:hint="default"/>
          <w:szCs w:val="20"/>
        </w:rPr>
      </w:pPr>
    </w:p>
    <w:p>
      <w:pPr>
        <w:pStyle w:val="7"/>
      </w:pPr>
    </w:p>
    <w:p/>
    <w:p>
      <w:pPr>
        <w:pStyle w:val="5"/>
      </w:pPr>
    </w:p>
    <w:p/>
    <w:p>
      <w:pPr>
        <w:pStyle w:val="5"/>
        <w:ind w:firstLine="1920" w:firstLineChars="600"/>
        <w:rPr>
          <w:rFonts w:cs="宋体"/>
          <w:sz w:val="40"/>
          <w:szCs w:val="40"/>
        </w:rPr>
      </w:pPr>
      <w:r>
        <w:rPr>
          <w:rFonts w:ascii="仿宋_GB2312" w:hAnsi="仿宋_GB2312" w:eastAsia="仿宋_GB2312" w:cs="仿宋_GB2312"/>
          <w:sz w:val="32"/>
          <w:szCs w:val="32"/>
        </w:rPr>
        <w:t>日期：     年    月    日</w:t>
      </w:r>
    </w:p>
    <w:p>
      <w:pPr>
        <w:spacing w:line="360" w:lineRule="auto"/>
        <w:rPr>
          <w:rFonts w:ascii="宋体" w:hAnsi="宋体" w:cs="宋体"/>
          <w:b/>
          <w:bCs/>
          <w:sz w:val="40"/>
          <w:szCs w:val="40"/>
        </w:rPr>
      </w:pPr>
    </w:p>
    <w:p>
      <w:pPr>
        <w:spacing w:line="360" w:lineRule="auto"/>
        <w:jc w:val="center"/>
        <w:rPr>
          <w:rFonts w:ascii="仿宋_GB2312" w:hAnsi="仿宋_GB2312" w:eastAsia="仿宋_GB2312" w:cs="仿宋_GB2312"/>
          <w:b/>
          <w:bCs/>
          <w:sz w:val="36"/>
          <w:szCs w:val="36"/>
        </w:rPr>
      </w:pPr>
      <w:r>
        <w:rPr>
          <w:rFonts w:hint="eastAsia" w:ascii="宋体" w:hAnsi="宋体" w:cs="宋体"/>
          <w:b/>
          <w:bCs/>
          <w:sz w:val="40"/>
          <w:szCs w:val="40"/>
        </w:rPr>
        <w:t>第一章</w:t>
      </w:r>
    </w:p>
    <w:p>
      <w:pPr>
        <w:pStyle w:val="27"/>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sz w:val="40"/>
          <w:szCs w:val="40"/>
          <w:lang w:val="en-US" w:eastAsia="zh-CN"/>
        </w:rPr>
      </w:pPr>
      <w:r>
        <w:rPr>
          <w:rFonts w:hint="eastAsia" w:ascii="宋体" w:hAnsi="宋体" w:eastAsia="宋体"/>
          <w:sz w:val="40"/>
          <w:szCs w:val="40"/>
          <w:lang w:val="en-US" w:eastAsia="zh-CN"/>
        </w:rPr>
        <w:t>深圳市龙岗区第七人民医院关于2024年中秋</w:t>
      </w:r>
    </w:p>
    <w:p>
      <w:pPr>
        <w:pStyle w:val="27"/>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sz w:val="32"/>
          <w:szCs w:val="32"/>
        </w:rPr>
      </w:pPr>
      <w:r>
        <w:rPr>
          <w:rFonts w:hint="eastAsia" w:ascii="宋体" w:hAnsi="宋体" w:eastAsia="宋体"/>
          <w:sz w:val="40"/>
          <w:szCs w:val="40"/>
          <w:lang w:val="en-US" w:eastAsia="zh-CN"/>
        </w:rPr>
        <w:t>慰问品采购项目院内公开</w:t>
      </w:r>
      <w:r>
        <w:rPr>
          <w:rFonts w:hint="eastAsia" w:ascii="宋体" w:hAnsi="宋体"/>
          <w:sz w:val="40"/>
          <w:szCs w:val="40"/>
        </w:rPr>
        <w:t>采购的公告</w:t>
      </w:r>
    </w:p>
    <w:p>
      <w:pPr>
        <w:spacing w:line="480" w:lineRule="exact"/>
        <w:ind w:firstLine="560" w:firstLineChars="200"/>
        <w:rPr>
          <w:rFonts w:ascii="仿宋_GB2312" w:hAnsi="宋体" w:eastAsia="仿宋_GB2312"/>
          <w:sz w:val="28"/>
          <w:szCs w:val="28"/>
        </w:rPr>
      </w:pP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仿宋_GB2312" w:eastAsia="仿宋_GB2312"/>
          <w:sz w:val="28"/>
          <w:szCs w:val="28"/>
        </w:rPr>
      </w:pPr>
      <w:r>
        <w:rPr>
          <w:rFonts w:hint="eastAsia" w:ascii="仿宋_GB2312" w:hAnsi="宋体" w:eastAsia="仿宋_GB2312"/>
          <w:sz w:val="28"/>
          <w:szCs w:val="28"/>
        </w:rPr>
        <w:t>根据政府采购相关规定和《深圳市龙岗区第七人民医院采购管理办法》的有关规定，</w:t>
      </w:r>
      <w:r>
        <w:rPr>
          <w:rFonts w:hint="eastAsia" w:ascii="仿宋_GB2312" w:eastAsia="仿宋_GB2312"/>
          <w:sz w:val="28"/>
          <w:szCs w:val="28"/>
        </w:rPr>
        <w:t>我院拟对以下项目进行院内公开采购，欢迎符合条件具有供应能力的供应商或厂家前来报名参加。</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rPr>
        <w:t>一、采购</w:t>
      </w:r>
      <w:r>
        <w:rPr>
          <w:rFonts w:hint="eastAsia" w:ascii="仿宋_GB2312" w:eastAsia="仿宋_GB2312"/>
          <w:sz w:val="28"/>
          <w:szCs w:val="28"/>
          <w:lang w:val="en-US" w:eastAsia="zh-CN"/>
        </w:rPr>
        <w:t>项目</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val="en-US" w:eastAsia="zh-CN"/>
        </w:rPr>
        <w:t>（1）项目编号：深龙七医采[LGQY2024GH002]</w:t>
      </w:r>
    </w:p>
    <w:p>
      <w:pPr>
        <w:pStyle w:val="27"/>
        <w:keepNext w:val="0"/>
        <w:keepLines w:val="0"/>
        <w:pageBreakBefore w:val="0"/>
        <w:numPr>
          <w:ilvl w:val="0"/>
          <w:numId w:val="0"/>
        </w:numPr>
        <w:kinsoku/>
        <w:wordWrap/>
        <w:overflowPunct/>
        <w:topLinePunct w:val="0"/>
        <w:autoSpaceDE/>
        <w:autoSpaceDN/>
        <w:bidi w:val="0"/>
        <w:adjustRightInd/>
        <w:snapToGrid/>
        <w:spacing w:line="560" w:lineRule="exact"/>
        <w:ind w:firstLine="560"/>
        <w:jc w:val="center"/>
        <w:textAlignment w:val="auto"/>
        <w:rPr>
          <w:rFonts w:hint="eastAsia" w:ascii="仿宋_GB2312" w:eastAsia="仿宋_GB2312"/>
          <w:sz w:val="28"/>
          <w:szCs w:val="28"/>
          <w:lang w:val="en-US" w:eastAsia="zh-CN"/>
        </w:rPr>
      </w:pPr>
      <w:r>
        <w:rPr>
          <w:rFonts w:hint="eastAsia" w:ascii="仿宋_GB2312" w:eastAsia="仿宋_GB2312"/>
          <w:sz w:val="28"/>
          <w:szCs w:val="28"/>
        </w:rPr>
        <w:t>（2）项目名</w:t>
      </w:r>
      <w:r>
        <w:rPr>
          <w:rFonts w:hint="eastAsia" w:ascii="仿宋_GB2312" w:eastAsia="仿宋_GB2312"/>
          <w:sz w:val="28"/>
          <w:szCs w:val="28"/>
          <w:lang w:val="en-US" w:eastAsia="zh-CN"/>
        </w:rPr>
        <w:t>称：深圳市龙岗区第七人民医院2024年中秋慰问品采</w:t>
      </w:r>
    </w:p>
    <w:p>
      <w:pPr>
        <w:pStyle w:val="27"/>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购项目</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sz w:val="28"/>
          <w:szCs w:val="28"/>
          <w:lang w:val="en-US" w:eastAsia="zh-CN"/>
        </w:rPr>
      </w:pPr>
      <w:r>
        <w:rPr>
          <w:rFonts w:hint="eastAsia" w:ascii="仿宋_GB2312" w:eastAsia="仿宋_GB2312"/>
          <w:sz w:val="28"/>
          <w:szCs w:val="28"/>
        </w:rPr>
        <w:t>（3）采购数量：</w:t>
      </w:r>
      <w:r>
        <w:rPr>
          <w:rFonts w:hint="eastAsia" w:ascii="仿宋_GB2312" w:eastAsia="仿宋_GB2312"/>
          <w:sz w:val="28"/>
          <w:szCs w:val="28"/>
          <w:lang w:val="en-US" w:eastAsia="zh-CN"/>
        </w:rPr>
        <w:t>329份</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sz w:val="28"/>
          <w:szCs w:val="28"/>
          <w:lang w:val="en-US" w:eastAsia="zh-CN"/>
        </w:rPr>
      </w:pPr>
      <w:r>
        <w:rPr>
          <w:rFonts w:hint="eastAsia" w:ascii="仿宋_GB2312" w:eastAsia="仿宋_GB2312"/>
          <w:sz w:val="28"/>
          <w:szCs w:val="28"/>
        </w:rPr>
        <w:t>（4）预算金额（最高支付上限）：</w:t>
      </w:r>
      <w:r>
        <w:rPr>
          <w:rFonts w:hint="eastAsia" w:ascii="仿宋_GB2312" w:eastAsia="仿宋_GB2312"/>
          <w:sz w:val="28"/>
          <w:szCs w:val="28"/>
          <w:lang w:val="en-US" w:eastAsia="zh-CN"/>
        </w:rPr>
        <w:t>16.45万元</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二、资质要求</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1.具有独立法人资格或具有独立承担民事责任的能力的其他组织（提供营业执照或事业单位法人证等法人证明扫描件，原件备查）；</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2.供应商需提供经营许可证明，且经营范围必须包含投标商品。</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.满足《中华人民共和国政府采购法》第二十二条规定；</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.落实政府采购政策需满足的资格要求：按照相关规定执行，详见采购需求标准。</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.本项目不接受联合体投标，不允许分包、转包，不接受进口产品；</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.参与本项目投标前三年内，在经营活动中没有重大违法记录；</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.参与本项目政府采购活动时不存在被有关部门禁止参与政府采购活动且在有效期内的情况；</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.未被列入失信被执行人、重大税收违法案件当事人名单、政府采购严重违法失信行为记录名单；</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.与其他投标供应商不存在单位负责人为同一人或者存在直接控股、管理关系。</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至</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条须供应商在《投标及履约承诺函》中作出声明。</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三、其他要求</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1.本项目招供应商1家。</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2.供应商需保证产品品质符合国家各项相关标准。</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3.供应商必须保证提供与其他社会公众同等的服务。</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4.必须快递配送到家服务。</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5.投标公司根据项目需求产品名称自行提供品牌、规格型号、数量等，每个组合套餐优惠后总价不得超过500元（含商品费用、服务费、运输费、税费等所有费用）。</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6.样品要求：投标人投标时携带样品或实物清晰彩图及产品介绍（在投标文件中展示），作为评标依据。</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、采购方式：院内公开采购</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五、评标方法：综合评分法</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、投标人报名资料要求</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（1）院内采购报名表；</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法定代表人</w:t>
      </w:r>
      <w:r>
        <w:rPr>
          <w:rFonts w:hint="eastAsia" w:ascii="仿宋_GB2312" w:hAnsi="仿宋_GB2312" w:eastAsia="仿宋_GB2312" w:cs="仿宋_GB2312"/>
          <w:sz w:val="28"/>
          <w:szCs w:val="28"/>
        </w:rPr>
        <w:t>参加的须提供法人证及个人身份证复印件；非</w:t>
      </w:r>
      <w:r>
        <w:rPr>
          <w:rFonts w:hint="eastAsia" w:ascii="仿宋_GB2312" w:hAnsi="仿宋_GB2312" w:eastAsia="仿宋_GB2312" w:cs="仿宋_GB2312"/>
          <w:sz w:val="28"/>
          <w:szCs w:val="28"/>
          <w:lang w:val="en-US" w:eastAsia="zh-CN"/>
        </w:rPr>
        <w:t>法定代表人</w:t>
      </w:r>
      <w:r>
        <w:rPr>
          <w:rFonts w:hint="eastAsia" w:ascii="仿宋_GB2312" w:hAnsi="仿宋_GB2312" w:eastAsia="仿宋_GB2312" w:cs="仿宋_GB2312"/>
          <w:sz w:val="28"/>
          <w:szCs w:val="28"/>
        </w:rPr>
        <w:t>参加的须提供法人代表身份证复印件、授权书及个人身份证复印件；</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（3）供应商须提供“三证合一”（工商营业执照、组织机构代码证和税务登记证）与生产（经营）许可证的复印件（经营许可范围一定要与所投产品注册分类目录相符，否则无效）；</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（4）通过以下3个官网的信用信息查询记录网络截图件并加盖投标人公章：①信用中国②中国政府采购网③深圳市政府采购监管网。相关信息以开标当日的查询结果为准。</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（5）投标及履约承诺函。</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Helvetica" w:hAnsi="Helvetica" w:cs="Helvetica"/>
          <w:color w:val="000000"/>
          <w:sz w:val="24"/>
        </w:rPr>
      </w:pPr>
      <w:r>
        <w:rPr>
          <w:rFonts w:hint="eastAsia" w:ascii="仿宋_GB2312" w:hAnsi="仿宋_GB2312" w:eastAsia="仿宋_GB2312" w:cs="仿宋_GB2312"/>
          <w:sz w:val="28"/>
          <w:szCs w:val="28"/>
        </w:rPr>
        <w:t>以上资料均需在有效期内并加盖投标方公章。本项目实行资格预审，投标人报名时将进行资格审查，未经审查或审查未通过的不能参与投标</w:t>
      </w:r>
      <w:r>
        <w:rPr>
          <w:rFonts w:ascii="Helvetica" w:hAnsi="Helvetica" w:eastAsia="Helvetica" w:cs="Helvetica"/>
          <w:color w:val="000000"/>
          <w:sz w:val="24"/>
        </w:rPr>
        <w:t>。</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报名</w:t>
      </w:r>
      <w:r>
        <w:rPr>
          <w:rFonts w:hint="eastAsia" w:ascii="仿宋_GB2312" w:hAnsi="仿宋_GB2312" w:eastAsia="仿宋_GB2312" w:cs="仿宋_GB2312"/>
          <w:sz w:val="28"/>
          <w:szCs w:val="28"/>
        </w:rPr>
        <w:t>截止时间</w:t>
      </w:r>
      <w:r>
        <w:rPr>
          <w:rFonts w:hint="eastAsia" w:ascii="仿宋_GB2312" w:hAnsi="仿宋_GB2312" w:eastAsia="仿宋_GB2312" w:cs="仿宋_GB2312"/>
          <w:sz w:val="28"/>
          <w:szCs w:val="28"/>
          <w:lang w:val="en-US" w:eastAsia="zh-CN"/>
        </w:rPr>
        <w:t>及地点</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下</w:t>
      </w:r>
      <w:r>
        <w:rPr>
          <w:rFonts w:hint="eastAsia" w:ascii="仿宋_GB2312" w:hAnsi="仿宋_GB2312" w:eastAsia="仿宋_GB2312" w:cs="仿宋_GB2312"/>
          <w:sz w:val="28"/>
          <w:szCs w:val="28"/>
        </w:rPr>
        <w:t>午</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简竹护理院行政楼三楼招采办</w:t>
      </w:r>
      <w:r>
        <w:rPr>
          <w:rFonts w:hint="eastAsia" w:ascii="仿宋_GB2312" w:hAnsi="仿宋_GB2312" w:eastAsia="仿宋_GB2312" w:cs="仿宋_GB2312"/>
          <w:sz w:val="28"/>
          <w:szCs w:val="28"/>
          <w:lang w:eastAsia="zh-CN"/>
        </w:rPr>
        <w:t>。</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、递交投标文件</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rPr>
        <w:t>开标时间及地点：202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上</w:t>
      </w:r>
      <w:r>
        <w:rPr>
          <w:rFonts w:hint="eastAsia" w:ascii="仿宋_GB2312" w:hAnsi="仿宋_GB2312" w:eastAsia="仿宋_GB2312" w:cs="仿宋_GB2312"/>
          <w:sz w:val="28"/>
          <w:szCs w:val="28"/>
        </w:rPr>
        <w:t>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深圳市龙岗区南湾街道吉厦社区简竹路12号简竹护理院行政楼五楼活动室（如有变动，另行通知）</w:t>
      </w:r>
      <w:r>
        <w:rPr>
          <w:rFonts w:hint="eastAsia" w:ascii="仿宋_GB2312" w:hAnsi="仿宋_GB2312" w:eastAsia="仿宋_GB2312" w:cs="仿宋_GB2312"/>
          <w:sz w:val="28"/>
          <w:szCs w:val="28"/>
        </w:rPr>
        <w:t>。</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九</w:t>
      </w:r>
      <w:r>
        <w:rPr>
          <w:rFonts w:hint="eastAsia" w:ascii="仿宋_GB2312" w:hAnsi="仿宋_GB2312" w:eastAsia="仿宋_GB2312" w:cs="仿宋_GB2312"/>
          <w:sz w:val="28"/>
          <w:szCs w:val="28"/>
        </w:rPr>
        <w:t>、联系人及联系电话：陈女士，0755-28740471</w:t>
      </w:r>
      <w:r>
        <w:rPr>
          <w:rFonts w:hint="eastAsia" w:ascii="仿宋_GB2312" w:hAnsi="仿宋_GB2312" w:eastAsia="仿宋_GB2312" w:cs="仿宋_GB2312"/>
          <w:sz w:val="28"/>
          <w:szCs w:val="28"/>
          <w:lang w:eastAsia="zh-CN"/>
        </w:rPr>
        <w:t>。</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十、公告日期：自公告发布之日起5个工作日。</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附件：</w:t>
      </w:r>
    </w:p>
    <w:p>
      <w:pPr>
        <w:pStyle w:val="29"/>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1.深圳市龙岗区第七人民医院院内公开采购报名表</w:t>
      </w:r>
    </w:p>
    <w:p>
      <w:pPr>
        <w:pStyle w:val="27"/>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2.深圳市龙岗区第七人民医院2024年中秋慰问品采购项目招标文件</w:t>
      </w:r>
    </w:p>
    <w:p>
      <w:pPr>
        <w:pStyle w:val="29"/>
        <w:keepNext w:val="0"/>
        <w:keepLines w:val="0"/>
        <w:pageBreakBefore w:val="0"/>
        <w:kinsoku/>
        <w:wordWrap/>
        <w:overflowPunct/>
        <w:topLinePunct w:val="0"/>
        <w:autoSpaceDE/>
        <w:autoSpaceDN/>
        <w:bidi w:val="0"/>
        <w:adjustRightInd/>
        <w:snapToGrid/>
        <w:spacing w:line="400" w:lineRule="exact"/>
        <w:ind w:firstLine="560"/>
        <w:jc w:val="right"/>
        <w:textAlignment w:val="auto"/>
        <w:rPr>
          <w:rFonts w:ascii="仿宋_GB2312" w:eastAsia="仿宋_GB2312"/>
          <w:sz w:val="28"/>
          <w:szCs w:val="28"/>
        </w:rPr>
      </w:pPr>
      <w:r>
        <w:rPr>
          <w:rFonts w:hint="eastAsia" w:ascii="仿宋_GB2312" w:eastAsia="仿宋_GB2312"/>
          <w:sz w:val="28"/>
          <w:szCs w:val="28"/>
        </w:rPr>
        <w:t>深圳市龙岗区第七人民医院</w:t>
      </w:r>
    </w:p>
    <w:p>
      <w:pPr>
        <w:pStyle w:val="29"/>
        <w:keepNext w:val="0"/>
        <w:keepLines w:val="0"/>
        <w:pageBreakBefore w:val="0"/>
        <w:kinsoku/>
        <w:wordWrap/>
        <w:overflowPunct/>
        <w:topLinePunct w:val="0"/>
        <w:autoSpaceDE/>
        <w:autoSpaceDN/>
        <w:bidi w:val="0"/>
        <w:adjustRightInd/>
        <w:snapToGrid/>
        <w:spacing w:line="400" w:lineRule="exact"/>
        <w:ind w:firstLine="560"/>
        <w:jc w:val="center"/>
        <w:textAlignment w:val="auto"/>
        <w:rPr>
          <w:rFonts w:hint="eastAsia" w:ascii="仿宋_GB2312" w:hAnsi="仿宋_GB2312" w:eastAsia="仿宋_GB2312" w:cs="仿宋_GB2312"/>
          <w:sz w:val="28"/>
          <w:szCs w:val="28"/>
          <w:lang w:val="en-US" w:eastAsia="zh-CN"/>
        </w:rPr>
      </w:pPr>
      <w:r>
        <w:rPr>
          <w:rFonts w:hint="eastAsia" w:ascii="仿宋_GB2312" w:eastAsia="仿宋_GB2312"/>
          <w:sz w:val="28"/>
          <w:szCs w:val="28"/>
        </w:rPr>
        <w:t xml:space="preserve">                                        </w:t>
      </w:r>
      <w:r>
        <w:rPr>
          <w:rFonts w:hint="eastAsia" w:ascii="仿宋_GB2312" w:hAnsi="仿宋_GB2312" w:eastAsia="仿宋_GB2312" w:cs="仿宋_GB2312"/>
          <w:sz w:val="28"/>
          <w:szCs w:val="28"/>
          <w:lang w:val="en-US" w:eastAsia="zh-CN"/>
        </w:rPr>
        <w:t xml:space="preserve"> 2024年8月28日</w:t>
      </w:r>
    </w:p>
    <w:p>
      <w:pPr>
        <w:pStyle w:val="5"/>
      </w:pPr>
    </w:p>
    <w:p>
      <w:pPr>
        <w:numPr>
          <w:ilvl w:val="0"/>
          <w:numId w:val="0"/>
        </w:numPr>
        <w:spacing w:line="360" w:lineRule="auto"/>
        <w:jc w:val="center"/>
        <w:rPr>
          <w:rFonts w:hint="default" w:ascii="仿宋_GB2312" w:hAnsi="仿宋_GB2312" w:eastAsia="仿宋_GB2312" w:cs="仿宋_GB2312"/>
          <w:b/>
          <w:bCs/>
          <w:sz w:val="44"/>
          <w:szCs w:val="44"/>
          <w:lang w:val="en-US" w:eastAsia="zh-CN"/>
        </w:rPr>
      </w:pPr>
      <w:r>
        <w:rPr>
          <w:rFonts w:hint="eastAsia" w:ascii="仿宋_GB2312" w:hAnsi="仿宋_GB2312" w:eastAsia="仿宋_GB2312" w:cs="仿宋_GB2312"/>
          <w:b/>
          <w:bCs/>
          <w:kern w:val="2"/>
          <w:sz w:val="44"/>
          <w:szCs w:val="44"/>
          <w:lang w:val="en-US" w:eastAsia="zh-CN" w:bidi="ar-SA"/>
        </w:rPr>
        <w:t xml:space="preserve">第二章 </w:t>
      </w:r>
      <w:r>
        <w:rPr>
          <w:rFonts w:hint="eastAsia" w:ascii="仿宋_GB2312" w:hAnsi="仿宋_GB2312" w:eastAsia="仿宋_GB2312" w:cs="仿宋_GB2312"/>
          <w:b/>
          <w:bCs/>
          <w:sz w:val="44"/>
          <w:szCs w:val="44"/>
        </w:rPr>
        <w:t>院内公开采购项目需求</w:t>
      </w:r>
      <w:r>
        <w:rPr>
          <w:rFonts w:hint="eastAsia" w:ascii="仿宋_GB2312" w:hAnsi="仿宋_GB2312" w:eastAsia="仿宋_GB2312" w:cs="仿宋_GB2312"/>
          <w:b/>
          <w:bCs/>
          <w:sz w:val="44"/>
          <w:szCs w:val="44"/>
          <w:lang w:val="en-US" w:eastAsia="zh-CN"/>
        </w:rPr>
        <w:t>及评标标准</w:t>
      </w:r>
    </w:p>
    <w:p>
      <w:pPr>
        <w:spacing w:beforeLines="100" w:afterLines="50" w:line="360" w:lineRule="auto"/>
        <w:ind w:firstLine="643" w:firstLineChars="200"/>
        <w:jc w:val="center"/>
        <w:rPr>
          <w:rFonts w:hint="default"/>
          <w:lang w:val="en-US" w:eastAsia="zh-CN"/>
        </w:rPr>
      </w:pPr>
      <w:r>
        <w:rPr>
          <w:rFonts w:hint="eastAsia" w:ascii="仿宋_GB2312" w:hAnsi="仿宋_GB2312" w:eastAsia="仿宋_GB2312" w:cs="仿宋_GB2312"/>
          <w:b/>
          <w:bCs/>
          <w:sz w:val="32"/>
          <w:szCs w:val="32"/>
          <w:lang w:val="en-US" w:eastAsia="zh-CN"/>
        </w:rPr>
        <w:t>第一部分  供应商资质及采购项目需求</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b/>
          <w:bCs/>
          <w:sz w:val="28"/>
          <w:szCs w:val="28"/>
        </w:rPr>
        <w:t>一、项目概况：</w:t>
      </w:r>
      <w:r>
        <w:rPr>
          <w:rFonts w:hint="eastAsia" w:ascii="仿宋_GB2312" w:hAnsi="仿宋_GB2312" w:eastAsia="仿宋_GB2312" w:cs="仿宋_GB2312"/>
          <w:kern w:val="0"/>
          <w:sz w:val="28"/>
          <w:szCs w:val="28"/>
          <w:lang w:val="en-US" w:eastAsia="zh-CN" w:bidi="ar-SA"/>
        </w:rPr>
        <w:t>医院拟在中秋节前夕，开展关心关爱职工慰问活动，为每一位在职职工（全体工会会员及在院在岗劳务派遣人员）发放一份节日福利品，合计329人份。投标公司根据项目需求产品名称自行提供品牌、规格型号等，组合套餐优惠后总价不得超过500元/人（含商品费用、服务费、运输费、税费等所有费用）。</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kern w:val="0"/>
          <w:sz w:val="28"/>
          <w:szCs w:val="28"/>
        </w:rPr>
        <w:t>二、预算价格：</w:t>
      </w:r>
      <w:r>
        <w:rPr>
          <w:rFonts w:ascii="仿宋_GB2312" w:hAnsi="仿宋_GB2312" w:eastAsia="仿宋_GB2312" w:cs="仿宋_GB2312"/>
          <w:sz w:val="28"/>
          <w:szCs w:val="28"/>
        </w:rPr>
        <w:t>预算</w:t>
      </w:r>
      <w:r>
        <w:rPr>
          <w:rFonts w:hint="eastAsia" w:ascii="仿宋_GB2312" w:hAnsi="仿宋_GB2312" w:eastAsia="仿宋_GB2312" w:cs="仿宋_GB2312"/>
          <w:kern w:val="0"/>
          <w:sz w:val="28"/>
          <w:szCs w:val="28"/>
        </w:rPr>
        <w:t>金额为</w:t>
      </w:r>
      <w:r>
        <w:rPr>
          <w:rFonts w:hint="eastAsia" w:ascii="仿宋_GB2312" w:hAnsi="仿宋_GB2312" w:eastAsia="仿宋_GB2312" w:cs="仿宋_GB2312"/>
          <w:kern w:val="0"/>
          <w:sz w:val="28"/>
          <w:szCs w:val="28"/>
          <w:lang w:val="en-US" w:eastAsia="zh-CN"/>
        </w:rPr>
        <w:t>16.45万</w:t>
      </w:r>
      <w:r>
        <w:rPr>
          <w:rFonts w:hint="eastAsia" w:ascii="仿宋_GB2312" w:eastAsia="仿宋_GB2312"/>
          <w:sz w:val="28"/>
          <w:szCs w:val="28"/>
          <w:lang w:val="en-US" w:eastAsia="zh-CN"/>
        </w:rPr>
        <w:t>元</w:t>
      </w:r>
      <w:r>
        <w:rPr>
          <w:rFonts w:hint="eastAsia" w:ascii="仿宋_GB2312" w:hAnsi="仿宋_GB2312" w:eastAsia="仿宋_GB2312" w:cs="仿宋_GB2312"/>
          <w:kern w:val="0"/>
          <w:sz w:val="28"/>
          <w:szCs w:val="28"/>
        </w:rPr>
        <w:t>，此</w:t>
      </w:r>
      <w:r>
        <w:rPr>
          <w:rFonts w:ascii="仿宋_GB2312" w:hAnsi="仿宋_GB2312" w:eastAsia="仿宋_GB2312" w:cs="仿宋_GB2312"/>
          <w:sz w:val="28"/>
          <w:szCs w:val="28"/>
        </w:rPr>
        <w:t>预算金额为合同期内最高支付上限。</w:t>
      </w:r>
    </w:p>
    <w:p>
      <w:pPr>
        <w:pStyle w:val="27"/>
        <w:spacing w:line="56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三、采购活动时间要求：</w:t>
      </w:r>
      <w:r>
        <w:rPr>
          <w:rFonts w:hint="eastAsia" w:ascii="仿宋_GB2312" w:hAnsi="仿宋_GB2312" w:eastAsia="仿宋_GB2312" w:cs="仿宋_GB2312"/>
          <w:b/>
          <w:bCs/>
          <w:sz w:val="28"/>
          <w:szCs w:val="28"/>
          <w:lang w:val="en-US" w:eastAsia="zh-CN"/>
        </w:rPr>
        <w:t>/</w:t>
      </w:r>
    </w:p>
    <w:p>
      <w:pPr>
        <w:pStyle w:val="27"/>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四、采购组织形式（</w:t>
      </w:r>
      <w:r>
        <w:rPr>
          <w:rFonts w:hint="eastAsia" w:ascii="仿宋_GB2312" w:hAnsi="仿宋_GB2312" w:eastAsia="仿宋_GB2312" w:cs="仿宋_GB2312"/>
          <w:b/>
          <w:bCs/>
          <w:color w:val="FF0000"/>
          <w:sz w:val="28"/>
          <w:szCs w:val="28"/>
        </w:rPr>
        <w:t>勾选</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政府集中采购□、院内集中采购☑、院内委托代理采购□、集团联合采购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、其他□。</w:t>
      </w:r>
    </w:p>
    <w:p>
      <w:pPr>
        <w:spacing w:line="560" w:lineRule="exact"/>
      </w:pPr>
      <w:r>
        <w:rPr>
          <w:rFonts w:hint="eastAsia" w:ascii="仿宋_GB2312" w:hAnsi="仿宋_GB2312" w:eastAsia="仿宋_GB2312" w:cs="仿宋_GB2312"/>
          <w:b/>
          <w:bCs/>
          <w:sz w:val="28"/>
          <w:szCs w:val="28"/>
        </w:rPr>
        <w:t xml:space="preserve">    五、采购方式（</w:t>
      </w:r>
      <w:r>
        <w:rPr>
          <w:rFonts w:hint="eastAsia" w:ascii="仿宋_GB2312" w:hAnsi="仿宋_GB2312" w:eastAsia="仿宋_GB2312" w:cs="仿宋_GB2312"/>
          <w:b/>
          <w:bCs/>
          <w:color w:val="FF0000"/>
          <w:sz w:val="28"/>
          <w:szCs w:val="28"/>
        </w:rPr>
        <w:t>勾选</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院内招标☑、院内竞价□、院内邀标□、院内询价□、竞争性磋商□、院内直接议价□、其他□。</w:t>
      </w:r>
    </w:p>
    <w:p>
      <w:pPr>
        <w:widowControl/>
        <w:spacing w:line="560" w:lineRule="exact"/>
        <w:ind w:firstLine="562" w:firstLineChars="200"/>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六、投标人资格要求</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1.具有独立法人资格或具有独立承担民事责任的能力的其他组织（提供营业执照或事业单位法人证等法人证明扫描件，原件备查）；</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2.供应商需提供经营许可证明，且经营范围必须包含投标商品。</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.满足《中华人民共和国政府采购法》第二十二条规定；</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.落实政府采购政策需满足的资格要求：按照相关规定执行，详见采购需求标准。</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.本项目不接受联合体投标，不允许分包、转包，不接受进口产品；</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.参与本项目投标前三年内，在经营活动中没有重大违法记录；</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.参与本项目政府采购活动时不存在被有关部门禁止参与政府采购活动且在有效期内的情况；</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.未被列入失信被执行人、重大税收违法案件当事人名单、政府采购严重违法失信行为记录名单；</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.与其他投标供应商不存在单位负责人为同一人或者存在直接控股、管理关系。</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至</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条须供应商在《投标及履约承诺函》中作出声明。</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三、其他要求</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1.本项目招供应商1家。</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2.供应商需保证产品品质符合国家各项相关标准。</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3.供应商必须保证提供与其他社会公众同等的服务。</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4.必须快递配送到家服务。</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5.投标公司根据项目需求产品名称自行提供品牌、规格型号、数量等，每个组合套餐优惠后总价不得超过500元（含商品费用、服务费、运输费、税费等所有费用）。</w:t>
      </w:r>
    </w:p>
    <w:p>
      <w:pPr>
        <w:pStyle w:val="29"/>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6.样品要求：投标人投标时携带样品或实物清晰彩图及产品介绍（在投标文件中展示），作为评标依据。</w:t>
      </w:r>
    </w:p>
    <w:p>
      <w:pPr>
        <w:pStyle w:val="27"/>
        <w:keepNext w:val="0"/>
        <w:keepLines w:val="0"/>
        <w:pageBreakBefore w:val="0"/>
        <w:numPr>
          <w:ilvl w:val="0"/>
          <w:numId w:val="0"/>
        </w:numPr>
        <w:kinsoku/>
        <w:wordWrap/>
        <w:overflowPunct/>
        <w:topLinePunct w:val="0"/>
        <w:autoSpaceDE/>
        <w:autoSpaceDN/>
        <w:bidi w:val="0"/>
        <w:spacing w:line="400" w:lineRule="exact"/>
        <w:ind w:firstLine="562" w:firstLineChars="20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八、货品清单</w:t>
      </w:r>
    </w:p>
    <w:p>
      <w:pPr>
        <w:pStyle w:val="27"/>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A套餐（500元）</w:t>
      </w:r>
    </w:p>
    <w:tbl>
      <w:tblPr>
        <w:tblStyle w:val="21"/>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840"/>
        <w:gridCol w:w="3575"/>
        <w:gridCol w:w="863"/>
        <w:gridCol w:w="90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71" w:type="dxa"/>
            <w:shd w:val="clear" w:color="000000" w:fill="C0C0C0"/>
            <w:vAlign w:val="center"/>
          </w:tcPr>
          <w:p>
            <w:pPr>
              <w:pStyle w:val="36"/>
              <w:jc w:val="center"/>
              <w:rPr>
                <w:color w:val="auto"/>
                <w:sz w:val="28"/>
                <w:szCs w:val="28"/>
              </w:rPr>
            </w:pPr>
            <w:r>
              <w:rPr>
                <w:rFonts w:hint="eastAsia" w:ascii="宋体" w:hAnsi="宋体" w:eastAsia="宋体" w:cs="宋体"/>
                <w:b/>
                <w:bCs/>
                <w:color w:val="auto"/>
                <w:kern w:val="0"/>
                <w:sz w:val="28"/>
                <w:szCs w:val="28"/>
                <w:lang w:val="en-US" w:eastAsia="zh-CN" w:bidi="ar-SA"/>
              </w:rPr>
              <w:t>序号</w:t>
            </w:r>
          </w:p>
        </w:tc>
        <w:tc>
          <w:tcPr>
            <w:tcW w:w="1840" w:type="dxa"/>
            <w:shd w:val="clear" w:color="000000" w:fill="C0C0C0"/>
            <w:vAlign w:val="center"/>
          </w:tcPr>
          <w:p>
            <w:pPr>
              <w:widowControl/>
              <w:jc w:val="center"/>
              <w:rPr>
                <w:rFonts w:ascii="宋体" w:hAnsi="宋体" w:cs="宋体"/>
                <w:b/>
                <w:bCs/>
                <w:color w:val="auto"/>
                <w:kern w:val="0"/>
                <w:sz w:val="28"/>
                <w:szCs w:val="28"/>
              </w:rPr>
            </w:pPr>
            <w:r>
              <w:rPr>
                <w:rFonts w:hint="eastAsia" w:ascii="宋体" w:hAnsi="宋体" w:cs="宋体"/>
                <w:b/>
                <w:bCs/>
                <w:color w:val="auto"/>
                <w:kern w:val="0"/>
                <w:sz w:val="28"/>
                <w:szCs w:val="28"/>
              </w:rPr>
              <w:t>产品名称</w:t>
            </w:r>
          </w:p>
        </w:tc>
        <w:tc>
          <w:tcPr>
            <w:tcW w:w="3575" w:type="dxa"/>
            <w:shd w:val="clear" w:color="000000" w:fill="C0C0C0"/>
            <w:vAlign w:val="center"/>
          </w:tcPr>
          <w:p>
            <w:pPr>
              <w:widowControl/>
              <w:jc w:val="center"/>
              <w:rPr>
                <w:rFonts w:hint="eastAsia" w:ascii="宋体" w:hAnsi="宋体" w:eastAsia="宋体" w:cs="宋体"/>
                <w:b/>
                <w:bCs/>
                <w:color w:val="auto"/>
                <w:kern w:val="0"/>
                <w:sz w:val="28"/>
                <w:szCs w:val="28"/>
                <w:lang w:val="en-US" w:eastAsia="zh-CN"/>
              </w:rPr>
            </w:pPr>
            <w:r>
              <w:rPr>
                <w:rFonts w:hint="eastAsia" w:ascii="宋体" w:hAnsi="宋体" w:cs="宋体"/>
                <w:b/>
                <w:bCs/>
                <w:color w:val="auto"/>
                <w:kern w:val="0"/>
                <w:sz w:val="28"/>
                <w:szCs w:val="28"/>
                <w:lang w:val="en-US" w:eastAsia="zh-CN"/>
              </w:rPr>
              <w:t>规格</w:t>
            </w:r>
          </w:p>
        </w:tc>
        <w:tc>
          <w:tcPr>
            <w:tcW w:w="863" w:type="dxa"/>
            <w:shd w:val="clear" w:color="000000" w:fill="C0C0C0"/>
            <w:vAlign w:val="center"/>
          </w:tcPr>
          <w:p>
            <w:pPr>
              <w:widowControl/>
              <w:jc w:val="center"/>
              <w:rPr>
                <w:rFonts w:ascii="宋体" w:hAnsi="宋体" w:cs="宋体"/>
                <w:b/>
                <w:bCs/>
                <w:color w:val="auto"/>
                <w:kern w:val="0"/>
                <w:sz w:val="28"/>
                <w:szCs w:val="28"/>
              </w:rPr>
            </w:pPr>
            <w:r>
              <w:rPr>
                <w:rFonts w:hint="eastAsia" w:ascii="宋体" w:hAnsi="宋体" w:cs="宋体"/>
                <w:b/>
                <w:bCs/>
                <w:color w:val="auto"/>
                <w:kern w:val="0"/>
                <w:sz w:val="28"/>
                <w:szCs w:val="28"/>
              </w:rPr>
              <w:t>单位</w:t>
            </w:r>
          </w:p>
        </w:tc>
        <w:tc>
          <w:tcPr>
            <w:tcW w:w="900" w:type="dxa"/>
            <w:shd w:val="clear" w:color="000000" w:fill="C0C0C0"/>
            <w:vAlign w:val="center"/>
          </w:tcPr>
          <w:p>
            <w:pPr>
              <w:widowControl/>
              <w:jc w:val="center"/>
              <w:rPr>
                <w:rFonts w:hint="eastAsia" w:ascii="宋体" w:hAnsi="宋体" w:eastAsia="宋体" w:cs="宋体"/>
                <w:b/>
                <w:bCs/>
                <w:color w:val="auto"/>
                <w:kern w:val="0"/>
                <w:sz w:val="28"/>
                <w:szCs w:val="28"/>
                <w:lang w:eastAsia="zh-CN"/>
              </w:rPr>
            </w:pPr>
            <w:r>
              <w:rPr>
                <w:rFonts w:hint="eastAsia" w:ascii="宋体" w:hAnsi="宋体" w:cs="宋体"/>
                <w:b/>
                <w:bCs/>
                <w:color w:val="auto"/>
                <w:kern w:val="0"/>
                <w:sz w:val="28"/>
                <w:szCs w:val="28"/>
              </w:rPr>
              <w:t>数量</w:t>
            </w:r>
          </w:p>
        </w:tc>
        <w:tc>
          <w:tcPr>
            <w:tcW w:w="790" w:type="dxa"/>
            <w:shd w:val="clear" w:color="000000" w:fill="C0C0C0"/>
            <w:vAlign w:val="center"/>
          </w:tcPr>
          <w:p>
            <w:pPr>
              <w:widowControl/>
              <w:jc w:val="center"/>
              <w:rPr>
                <w:rFonts w:hint="eastAsia" w:ascii="宋体" w:hAnsi="宋体" w:eastAsia="宋体" w:cs="宋体"/>
                <w:b/>
                <w:bCs/>
                <w:color w:val="auto"/>
                <w:kern w:val="0"/>
                <w:sz w:val="28"/>
                <w:szCs w:val="28"/>
                <w:lang w:val="en-US" w:eastAsia="zh-CN"/>
              </w:rPr>
            </w:pPr>
            <w:r>
              <w:rPr>
                <w:rFonts w:hint="eastAsia" w:ascii="宋体" w:hAnsi="宋体" w:cs="宋体"/>
                <w:b/>
                <w:bCs/>
                <w:color w:val="auto"/>
                <w:kern w:val="0"/>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071" w:type="dxa"/>
            <w:shd w:val="clear" w:color="auto" w:fill="auto"/>
            <w:vAlign w:val="center"/>
          </w:tcPr>
          <w:p>
            <w:pPr>
              <w:widowControl/>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840" w:type="dxa"/>
            <w:shd w:val="clear" w:color="auto" w:fill="auto"/>
            <w:vAlign w:val="center"/>
          </w:tcPr>
          <w:p>
            <w:pPr>
              <w:widowControl/>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月饼</w:t>
            </w:r>
          </w:p>
        </w:tc>
        <w:tc>
          <w:tcPr>
            <w:tcW w:w="3575" w:type="dxa"/>
            <w:shd w:val="clear" w:color="auto" w:fill="auto"/>
            <w:vAlign w:val="center"/>
          </w:tcPr>
          <w:p>
            <w:pPr>
              <w:widowControl/>
              <w:jc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莲蓉双蛋黄≥700g</w:t>
            </w:r>
          </w:p>
        </w:tc>
        <w:tc>
          <w:tcPr>
            <w:tcW w:w="863" w:type="dxa"/>
            <w:shd w:val="clear" w:color="auto" w:fill="auto"/>
            <w:vAlign w:val="center"/>
          </w:tcPr>
          <w:p>
            <w:pPr>
              <w:widowControl/>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盒</w:t>
            </w:r>
          </w:p>
        </w:tc>
        <w:tc>
          <w:tcPr>
            <w:tcW w:w="900" w:type="dxa"/>
            <w:shd w:val="clear" w:color="auto" w:fill="auto"/>
            <w:vAlign w:val="center"/>
          </w:tcPr>
          <w:p>
            <w:pPr>
              <w:widowControl/>
              <w:jc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240</w:t>
            </w:r>
          </w:p>
        </w:tc>
        <w:tc>
          <w:tcPr>
            <w:tcW w:w="790" w:type="dxa"/>
            <w:shd w:val="clear" w:color="auto" w:fill="auto"/>
            <w:vAlign w:val="center"/>
          </w:tcPr>
          <w:p>
            <w:pPr>
              <w:widowControl/>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核心</w:t>
            </w:r>
          </w:p>
          <w:p>
            <w:pPr>
              <w:widowControl/>
              <w:jc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1071" w:type="dxa"/>
            <w:shd w:val="clear" w:color="auto" w:fill="auto"/>
            <w:vAlign w:val="center"/>
          </w:tcPr>
          <w:p>
            <w:pPr>
              <w:widowControl/>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1840" w:type="dxa"/>
            <w:shd w:val="clear" w:color="auto" w:fill="auto"/>
            <w:vAlign w:val="center"/>
          </w:tcPr>
          <w:p>
            <w:pPr>
              <w:widowControl/>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洗衣液</w:t>
            </w:r>
          </w:p>
        </w:tc>
        <w:tc>
          <w:tcPr>
            <w:tcW w:w="3575" w:type="dxa"/>
            <w:shd w:val="clear" w:color="auto" w:fill="auto"/>
            <w:vAlign w:val="center"/>
          </w:tcPr>
          <w:p>
            <w:pPr>
              <w:widowControl/>
              <w:jc w:val="left"/>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规格：≥12斤；</w:t>
            </w:r>
          </w:p>
          <w:p>
            <w:pPr>
              <w:widowControl/>
              <w:jc w:val="left"/>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功效：深层洁净，强效去污；</w:t>
            </w:r>
          </w:p>
          <w:p>
            <w:pPr>
              <w:widowControl/>
              <w:jc w:val="left"/>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气味：清新淡雅，薰衣草香。</w:t>
            </w:r>
          </w:p>
        </w:tc>
        <w:tc>
          <w:tcPr>
            <w:tcW w:w="863" w:type="dxa"/>
            <w:shd w:val="clear" w:color="auto" w:fill="auto"/>
            <w:vAlign w:val="center"/>
          </w:tcPr>
          <w:p>
            <w:pPr>
              <w:widowControl/>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瓶</w:t>
            </w:r>
          </w:p>
        </w:tc>
        <w:tc>
          <w:tcPr>
            <w:tcW w:w="900" w:type="dxa"/>
            <w:shd w:val="clear" w:color="auto" w:fill="auto"/>
            <w:vAlign w:val="center"/>
          </w:tcPr>
          <w:p>
            <w:pPr>
              <w:widowControl/>
              <w:jc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240</w:t>
            </w:r>
          </w:p>
        </w:tc>
        <w:tc>
          <w:tcPr>
            <w:tcW w:w="790" w:type="dxa"/>
            <w:shd w:val="clear" w:color="auto" w:fill="auto"/>
            <w:vAlign w:val="center"/>
          </w:tcPr>
          <w:p>
            <w:pPr>
              <w:widowControl/>
              <w:jc w:val="center"/>
              <w:rPr>
                <w:rFonts w:hint="eastAsia" w:ascii="宋体" w:hAnsi="宋体" w:eastAsia="宋体" w:cs="宋体"/>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071" w:type="dxa"/>
            <w:shd w:val="clear" w:color="auto" w:fill="auto"/>
            <w:vAlign w:val="center"/>
          </w:tcPr>
          <w:p>
            <w:pPr>
              <w:widowControl/>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1840" w:type="dxa"/>
            <w:shd w:val="clear" w:color="auto" w:fill="auto"/>
            <w:vAlign w:val="center"/>
          </w:tcPr>
          <w:p>
            <w:pPr>
              <w:widowControl/>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柚子</w:t>
            </w:r>
          </w:p>
        </w:tc>
        <w:tc>
          <w:tcPr>
            <w:tcW w:w="3575" w:type="dxa"/>
            <w:shd w:val="clear" w:color="auto" w:fill="auto"/>
            <w:vAlign w:val="center"/>
          </w:tcPr>
          <w:p>
            <w:pPr>
              <w:widowControl/>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≥10斤装，红心，单果≥4.5斤</w:t>
            </w:r>
          </w:p>
        </w:tc>
        <w:tc>
          <w:tcPr>
            <w:tcW w:w="863" w:type="dxa"/>
            <w:shd w:val="clear" w:color="auto" w:fill="auto"/>
            <w:vAlign w:val="center"/>
          </w:tcPr>
          <w:p>
            <w:pPr>
              <w:widowControl/>
              <w:jc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箱</w:t>
            </w:r>
          </w:p>
        </w:tc>
        <w:tc>
          <w:tcPr>
            <w:tcW w:w="900" w:type="dxa"/>
            <w:shd w:val="clear" w:color="auto" w:fill="auto"/>
            <w:vAlign w:val="center"/>
          </w:tcPr>
          <w:p>
            <w:pPr>
              <w:widowControl/>
              <w:jc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240</w:t>
            </w:r>
          </w:p>
        </w:tc>
        <w:tc>
          <w:tcPr>
            <w:tcW w:w="790" w:type="dxa"/>
            <w:shd w:val="clear" w:color="auto" w:fill="auto"/>
            <w:vAlign w:val="center"/>
          </w:tcPr>
          <w:p>
            <w:pPr>
              <w:widowControl/>
              <w:jc w:val="center"/>
              <w:rPr>
                <w:rFonts w:hint="eastAsia" w:ascii="宋体" w:hAnsi="宋体" w:eastAsia="宋体" w:cs="宋体"/>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071" w:type="dxa"/>
            <w:shd w:val="clear" w:color="auto" w:fill="auto"/>
            <w:vAlign w:val="center"/>
          </w:tcPr>
          <w:p>
            <w:pPr>
              <w:widowControl/>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1840" w:type="dxa"/>
            <w:shd w:val="clear" w:color="auto" w:fill="auto"/>
            <w:vAlign w:val="center"/>
          </w:tcPr>
          <w:p>
            <w:pPr>
              <w:widowControl/>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苹果</w:t>
            </w:r>
          </w:p>
        </w:tc>
        <w:tc>
          <w:tcPr>
            <w:tcW w:w="3575" w:type="dxa"/>
            <w:shd w:val="clear" w:color="auto" w:fill="auto"/>
            <w:vAlign w:val="center"/>
          </w:tcPr>
          <w:p>
            <w:pPr>
              <w:widowControl/>
              <w:jc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≥5斤装，冰糖心，单个果径≥90mm</w:t>
            </w:r>
          </w:p>
        </w:tc>
        <w:tc>
          <w:tcPr>
            <w:tcW w:w="863" w:type="dxa"/>
            <w:shd w:val="clear" w:color="auto" w:fill="auto"/>
            <w:vAlign w:val="center"/>
          </w:tcPr>
          <w:p>
            <w:pPr>
              <w:widowControl/>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箱</w:t>
            </w:r>
          </w:p>
        </w:tc>
        <w:tc>
          <w:tcPr>
            <w:tcW w:w="900" w:type="dxa"/>
            <w:shd w:val="clear" w:color="auto" w:fill="auto"/>
            <w:vAlign w:val="center"/>
          </w:tcPr>
          <w:p>
            <w:pPr>
              <w:widowControl/>
              <w:jc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240</w:t>
            </w:r>
          </w:p>
        </w:tc>
        <w:tc>
          <w:tcPr>
            <w:tcW w:w="790" w:type="dxa"/>
            <w:shd w:val="clear" w:color="auto" w:fill="auto"/>
            <w:vAlign w:val="center"/>
          </w:tcPr>
          <w:p>
            <w:pPr>
              <w:widowControl/>
              <w:jc w:val="center"/>
              <w:rPr>
                <w:rFonts w:hint="eastAsia" w:ascii="宋体" w:hAnsi="宋体" w:eastAsia="宋体" w:cs="宋体"/>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071" w:type="dxa"/>
            <w:shd w:val="clear" w:color="auto" w:fill="auto"/>
            <w:vAlign w:val="center"/>
          </w:tcPr>
          <w:p>
            <w:pPr>
              <w:widowControl/>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1840" w:type="dxa"/>
            <w:shd w:val="clear" w:color="auto" w:fill="auto"/>
            <w:vAlign w:val="center"/>
          </w:tcPr>
          <w:p>
            <w:pPr>
              <w:widowControl/>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软籽甜石榴</w:t>
            </w:r>
          </w:p>
        </w:tc>
        <w:tc>
          <w:tcPr>
            <w:tcW w:w="3575" w:type="dxa"/>
            <w:shd w:val="clear" w:color="auto" w:fill="auto"/>
            <w:vAlign w:val="center"/>
          </w:tcPr>
          <w:p>
            <w:pPr>
              <w:widowControl/>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≥8斤装,单果7-8两</w:t>
            </w:r>
          </w:p>
        </w:tc>
        <w:tc>
          <w:tcPr>
            <w:tcW w:w="863" w:type="dxa"/>
            <w:shd w:val="clear" w:color="auto" w:fill="auto"/>
            <w:vAlign w:val="center"/>
          </w:tcPr>
          <w:p>
            <w:pPr>
              <w:widowControl/>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箱</w:t>
            </w:r>
          </w:p>
        </w:tc>
        <w:tc>
          <w:tcPr>
            <w:tcW w:w="900" w:type="dxa"/>
            <w:shd w:val="clear" w:color="auto" w:fill="auto"/>
            <w:vAlign w:val="center"/>
          </w:tcPr>
          <w:p>
            <w:pPr>
              <w:widowControl/>
              <w:jc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240</w:t>
            </w:r>
          </w:p>
        </w:tc>
        <w:tc>
          <w:tcPr>
            <w:tcW w:w="790" w:type="dxa"/>
            <w:shd w:val="clear" w:color="auto" w:fill="auto"/>
            <w:vAlign w:val="center"/>
          </w:tcPr>
          <w:p>
            <w:pPr>
              <w:widowControl/>
              <w:jc w:val="center"/>
              <w:rPr>
                <w:rFonts w:hint="eastAsia" w:ascii="宋体" w:hAnsi="宋体" w:eastAsia="宋体" w:cs="宋体"/>
                <w:i w:val="0"/>
                <w:iCs w:val="0"/>
                <w:color w:val="auto"/>
                <w:kern w:val="0"/>
                <w:sz w:val="24"/>
                <w:szCs w:val="24"/>
                <w:u w:val="none"/>
                <w:lang w:val="en-US" w:eastAsia="zh-CN" w:bidi="ar"/>
              </w:rPr>
            </w:pPr>
          </w:p>
        </w:tc>
      </w:tr>
    </w:tbl>
    <w:p>
      <w:pPr>
        <w:pStyle w:val="27"/>
        <w:spacing w:line="46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B套餐（500元）</w:t>
      </w:r>
    </w:p>
    <w:tbl>
      <w:tblPr>
        <w:tblStyle w:val="21"/>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359"/>
        <w:gridCol w:w="4106"/>
        <w:gridCol w:w="825"/>
        <w:gridCol w:w="715"/>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15" w:type="dxa"/>
            <w:shd w:val="clear" w:color="000000" w:fill="C0C0C0"/>
            <w:vAlign w:val="center"/>
          </w:tcPr>
          <w:p>
            <w:pPr>
              <w:pStyle w:val="36"/>
              <w:jc w:val="center"/>
              <w:rPr>
                <w:color w:val="auto"/>
                <w:sz w:val="24"/>
                <w:szCs w:val="24"/>
              </w:rPr>
            </w:pPr>
            <w:r>
              <w:rPr>
                <w:rFonts w:hint="eastAsia"/>
                <w:color w:val="auto"/>
                <w:sz w:val="24"/>
                <w:szCs w:val="24"/>
              </w:rPr>
              <w:t>序号</w:t>
            </w:r>
          </w:p>
        </w:tc>
        <w:tc>
          <w:tcPr>
            <w:tcW w:w="2359" w:type="dxa"/>
            <w:shd w:val="clear" w:color="000000" w:fill="C0C0C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产品名称</w:t>
            </w:r>
          </w:p>
        </w:tc>
        <w:tc>
          <w:tcPr>
            <w:tcW w:w="4106" w:type="dxa"/>
            <w:shd w:val="clear" w:color="000000" w:fill="C0C0C0"/>
            <w:vAlign w:val="center"/>
          </w:tcPr>
          <w:p>
            <w:pPr>
              <w:widowControl/>
              <w:jc w:val="center"/>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规格</w:t>
            </w:r>
          </w:p>
        </w:tc>
        <w:tc>
          <w:tcPr>
            <w:tcW w:w="825" w:type="dxa"/>
            <w:shd w:val="clear" w:color="000000" w:fill="C0C0C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715" w:type="dxa"/>
            <w:shd w:val="clear" w:color="000000" w:fill="C0C0C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数量</w:t>
            </w:r>
          </w:p>
        </w:tc>
        <w:tc>
          <w:tcPr>
            <w:tcW w:w="585" w:type="dxa"/>
            <w:shd w:val="clear" w:color="000000" w:fill="C0C0C0"/>
            <w:vAlign w:val="center"/>
          </w:tcPr>
          <w:p>
            <w:pPr>
              <w:widowControl/>
              <w:jc w:val="center"/>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15" w:type="dxa"/>
            <w:shd w:val="clear" w:color="auto" w:fill="auto"/>
            <w:vAlign w:val="center"/>
          </w:tcPr>
          <w:p>
            <w:pPr>
              <w:widowControl/>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2359" w:type="dxa"/>
            <w:shd w:val="clear" w:color="auto" w:fill="auto"/>
            <w:vAlign w:val="center"/>
          </w:tcPr>
          <w:p>
            <w:pPr>
              <w:widowControl/>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山珍菌菇组合</w:t>
            </w:r>
          </w:p>
        </w:tc>
        <w:tc>
          <w:tcPr>
            <w:tcW w:w="4106" w:type="dxa"/>
            <w:shd w:val="clear" w:color="auto" w:fill="auto"/>
            <w:vAlign w:val="center"/>
          </w:tcPr>
          <w:p>
            <w:pPr>
              <w:widowControl/>
              <w:jc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羊肚菌、黑鸡枞菌、竹荪、黄牛肝菌、姬松茸、鹿茸菌等组合，重量≥1000g</w:t>
            </w:r>
          </w:p>
        </w:tc>
        <w:tc>
          <w:tcPr>
            <w:tcW w:w="825" w:type="dxa"/>
            <w:shd w:val="clear" w:color="auto" w:fill="auto"/>
            <w:vAlign w:val="center"/>
          </w:tcPr>
          <w:p>
            <w:pPr>
              <w:widowControl/>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盒</w:t>
            </w:r>
          </w:p>
        </w:tc>
        <w:tc>
          <w:tcPr>
            <w:tcW w:w="715" w:type="dxa"/>
            <w:shd w:val="clear" w:color="auto" w:fill="auto"/>
            <w:vAlign w:val="center"/>
          </w:tcPr>
          <w:p>
            <w:pPr>
              <w:widowControl/>
              <w:jc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89</w:t>
            </w:r>
          </w:p>
        </w:tc>
        <w:tc>
          <w:tcPr>
            <w:tcW w:w="585" w:type="dxa"/>
            <w:shd w:val="clear" w:color="auto" w:fill="auto"/>
            <w:vAlign w:val="center"/>
          </w:tcPr>
          <w:p>
            <w:pPr>
              <w:widowControl/>
              <w:jc w:val="center"/>
              <w:rPr>
                <w:rFonts w:hint="eastAsia" w:ascii="宋体" w:hAnsi="宋体" w:eastAsia="宋体" w:cs="宋体"/>
                <w:i w:val="0"/>
                <w:iCs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715" w:type="dxa"/>
            <w:shd w:val="clear" w:color="auto" w:fill="auto"/>
            <w:vAlign w:val="center"/>
          </w:tcPr>
          <w:p>
            <w:pPr>
              <w:widowControl/>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2359" w:type="dxa"/>
            <w:shd w:val="clear" w:color="auto" w:fill="auto"/>
            <w:vAlign w:val="center"/>
          </w:tcPr>
          <w:p>
            <w:pPr>
              <w:widowControl/>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洗衣液</w:t>
            </w:r>
          </w:p>
        </w:tc>
        <w:tc>
          <w:tcPr>
            <w:tcW w:w="4106" w:type="dxa"/>
            <w:shd w:val="clear" w:color="auto" w:fill="auto"/>
            <w:vAlign w:val="center"/>
          </w:tcPr>
          <w:p>
            <w:pPr>
              <w:widowControl/>
              <w:jc w:val="left"/>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规格：≥12斤；</w:t>
            </w:r>
          </w:p>
          <w:p>
            <w:pPr>
              <w:widowControl/>
              <w:jc w:val="left"/>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功效：深层洁净，强效去污；</w:t>
            </w:r>
          </w:p>
          <w:p>
            <w:pPr>
              <w:widowControl/>
              <w:jc w:val="left"/>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气味：清新淡雅，薰衣草香。</w:t>
            </w:r>
          </w:p>
        </w:tc>
        <w:tc>
          <w:tcPr>
            <w:tcW w:w="825" w:type="dxa"/>
            <w:shd w:val="clear" w:color="auto" w:fill="auto"/>
            <w:vAlign w:val="center"/>
          </w:tcPr>
          <w:p>
            <w:pPr>
              <w:widowControl/>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瓶</w:t>
            </w:r>
          </w:p>
        </w:tc>
        <w:tc>
          <w:tcPr>
            <w:tcW w:w="715" w:type="dxa"/>
            <w:shd w:val="clear" w:color="auto" w:fill="auto"/>
            <w:vAlign w:val="center"/>
          </w:tcPr>
          <w:p>
            <w:pPr>
              <w:widowControl/>
              <w:jc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89</w:t>
            </w:r>
          </w:p>
        </w:tc>
        <w:tc>
          <w:tcPr>
            <w:tcW w:w="585" w:type="dxa"/>
            <w:shd w:val="clear" w:color="auto" w:fill="auto"/>
            <w:vAlign w:val="center"/>
          </w:tcPr>
          <w:p>
            <w:pPr>
              <w:widowControl/>
              <w:jc w:val="center"/>
              <w:rPr>
                <w:rFonts w:hint="eastAsia" w:ascii="宋体" w:hAnsi="宋体" w:eastAsia="宋体" w:cs="宋体"/>
                <w:i w:val="0"/>
                <w:iCs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15" w:type="dxa"/>
            <w:shd w:val="clear" w:color="auto" w:fill="auto"/>
            <w:vAlign w:val="center"/>
          </w:tcPr>
          <w:p>
            <w:pPr>
              <w:widowControl/>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2359" w:type="dxa"/>
            <w:shd w:val="clear" w:color="auto" w:fill="auto"/>
            <w:vAlign w:val="center"/>
          </w:tcPr>
          <w:p>
            <w:pPr>
              <w:widowControl/>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柚子</w:t>
            </w:r>
          </w:p>
        </w:tc>
        <w:tc>
          <w:tcPr>
            <w:tcW w:w="4106" w:type="dxa"/>
            <w:shd w:val="clear" w:color="auto" w:fill="auto"/>
            <w:vAlign w:val="center"/>
          </w:tcPr>
          <w:p>
            <w:pPr>
              <w:widowControl/>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≥10斤装，红心，单果≥4.5斤</w:t>
            </w:r>
          </w:p>
        </w:tc>
        <w:tc>
          <w:tcPr>
            <w:tcW w:w="825" w:type="dxa"/>
            <w:shd w:val="clear" w:color="auto" w:fill="auto"/>
            <w:vAlign w:val="center"/>
          </w:tcPr>
          <w:p>
            <w:pPr>
              <w:widowControl/>
              <w:jc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箱</w:t>
            </w:r>
          </w:p>
        </w:tc>
        <w:tc>
          <w:tcPr>
            <w:tcW w:w="715" w:type="dxa"/>
            <w:shd w:val="clear" w:color="auto" w:fill="auto"/>
            <w:vAlign w:val="center"/>
          </w:tcPr>
          <w:p>
            <w:pPr>
              <w:widowControl/>
              <w:jc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89</w:t>
            </w:r>
          </w:p>
        </w:tc>
        <w:tc>
          <w:tcPr>
            <w:tcW w:w="585" w:type="dxa"/>
            <w:shd w:val="clear" w:color="auto" w:fill="auto"/>
            <w:vAlign w:val="center"/>
          </w:tcPr>
          <w:p>
            <w:pPr>
              <w:widowControl/>
              <w:jc w:val="center"/>
              <w:rPr>
                <w:rFonts w:hint="eastAsia" w:ascii="宋体" w:hAnsi="宋体" w:eastAsia="宋体" w:cs="宋体"/>
                <w:i w:val="0"/>
                <w:iCs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15" w:type="dxa"/>
            <w:shd w:val="clear" w:color="auto" w:fill="auto"/>
            <w:vAlign w:val="center"/>
          </w:tcPr>
          <w:p>
            <w:pPr>
              <w:widowControl/>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2359" w:type="dxa"/>
            <w:shd w:val="clear" w:color="auto" w:fill="auto"/>
            <w:vAlign w:val="center"/>
          </w:tcPr>
          <w:p>
            <w:pPr>
              <w:widowControl/>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苹果</w:t>
            </w:r>
          </w:p>
        </w:tc>
        <w:tc>
          <w:tcPr>
            <w:tcW w:w="4106" w:type="dxa"/>
            <w:shd w:val="clear" w:color="auto" w:fill="auto"/>
            <w:vAlign w:val="center"/>
          </w:tcPr>
          <w:p>
            <w:pPr>
              <w:widowControl/>
              <w:jc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≥5斤装，冰糖心，单个果径≥90mm</w:t>
            </w:r>
          </w:p>
        </w:tc>
        <w:tc>
          <w:tcPr>
            <w:tcW w:w="825" w:type="dxa"/>
            <w:shd w:val="clear" w:color="auto" w:fill="auto"/>
            <w:vAlign w:val="center"/>
          </w:tcPr>
          <w:p>
            <w:pPr>
              <w:widowControl/>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箱</w:t>
            </w:r>
          </w:p>
        </w:tc>
        <w:tc>
          <w:tcPr>
            <w:tcW w:w="715" w:type="dxa"/>
            <w:shd w:val="clear" w:color="auto" w:fill="auto"/>
            <w:vAlign w:val="center"/>
          </w:tcPr>
          <w:p>
            <w:pPr>
              <w:widowControl/>
              <w:jc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89</w:t>
            </w:r>
          </w:p>
        </w:tc>
        <w:tc>
          <w:tcPr>
            <w:tcW w:w="585" w:type="dxa"/>
            <w:shd w:val="clear" w:color="auto" w:fill="auto"/>
            <w:vAlign w:val="center"/>
          </w:tcPr>
          <w:p>
            <w:pPr>
              <w:widowControl/>
              <w:jc w:val="center"/>
              <w:rPr>
                <w:rFonts w:hint="eastAsia" w:ascii="宋体" w:hAnsi="宋体" w:eastAsia="宋体" w:cs="宋体"/>
                <w:i w:val="0"/>
                <w:iCs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15" w:type="dxa"/>
            <w:shd w:val="clear" w:color="auto" w:fill="auto"/>
            <w:vAlign w:val="center"/>
          </w:tcPr>
          <w:p>
            <w:pPr>
              <w:widowControl/>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2359" w:type="dxa"/>
            <w:shd w:val="clear" w:color="auto" w:fill="auto"/>
            <w:vAlign w:val="center"/>
          </w:tcPr>
          <w:p>
            <w:pPr>
              <w:widowControl/>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软籽甜石榴</w:t>
            </w:r>
          </w:p>
        </w:tc>
        <w:tc>
          <w:tcPr>
            <w:tcW w:w="4106" w:type="dxa"/>
            <w:shd w:val="clear" w:color="auto" w:fill="auto"/>
            <w:vAlign w:val="center"/>
          </w:tcPr>
          <w:p>
            <w:pPr>
              <w:widowControl/>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4"/>
                <w:szCs w:val="24"/>
                <w:u w:val="none"/>
                <w:lang w:val="en-US" w:eastAsia="zh-CN" w:bidi="ar"/>
              </w:rPr>
              <w:t>≥8斤装,单果7-8两</w:t>
            </w:r>
          </w:p>
        </w:tc>
        <w:tc>
          <w:tcPr>
            <w:tcW w:w="825" w:type="dxa"/>
            <w:shd w:val="clear" w:color="auto" w:fill="auto"/>
            <w:vAlign w:val="center"/>
          </w:tcPr>
          <w:p>
            <w:pPr>
              <w:widowControl/>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箱</w:t>
            </w:r>
          </w:p>
        </w:tc>
        <w:tc>
          <w:tcPr>
            <w:tcW w:w="715" w:type="dxa"/>
            <w:shd w:val="clear" w:color="auto" w:fill="auto"/>
            <w:vAlign w:val="center"/>
          </w:tcPr>
          <w:p>
            <w:pPr>
              <w:widowControl/>
              <w:jc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89</w:t>
            </w:r>
          </w:p>
        </w:tc>
        <w:tc>
          <w:tcPr>
            <w:tcW w:w="585" w:type="dxa"/>
            <w:shd w:val="clear" w:color="auto" w:fill="auto"/>
            <w:vAlign w:val="center"/>
          </w:tcPr>
          <w:p>
            <w:pPr>
              <w:widowControl/>
              <w:jc w:val="center"/>
              <w:rPr>
                <w:rFonts w:hint="eastAsia" w:ascii="宋体" w:hAnsi="宋体" w:eastAsia="宋体" w:cs="宋体"/>
                <w:i w:val="0"/>
                <w:iCs w:val="0"/>
                <w:color w:val="auto"/>
                <w:kern w:val="0"/>
                <w:sz w:val="22"/>
                <w:szCs w:val="22"/>
                <w:u w:val="no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both"/>
        <w:textAlignment w:val="center"/>
        <w:rPr>
          <w:rFonts w:hint="default" w:ascii="宋体" w:hAnsi="宋体" w:eastAsia="宋体" w:cs="宋体"/>
          <w:i w:val="0"/>
          <w:iCs w:val="0"/>
          <w:color w:val="000000"/>
          <w:sz w:val="22"/>
          <w:szCs w:val="22"/>
          <w:u w:val="none"/>
        </w:rPr>
      </w:pPr>
      <w:r>
        <w:rPr>
          <w:rFonts w:hint="default" w:ascii="宋体" w:hAnsi="宋体" w:eastAsia="宋体" w:cs="宋体"/>
          <w:i w:val="0"/>
          <w:iCs w:val="0"/>
          <w:color w:val="auto"/>
          <w:sz w:val="22"/>
          <w:szCs w:val="22"/>
          <w:u w:val="none"/>
        </w:rPr>
        <w:t>本项目核心产品为：</w:t>
      </w:r>
      <w:r>
        <w:rPr>
          <w:rFonts w:hint="eastAsia" w:ascii="宋体" w:hAnsi="宋体" w:eastAsia="宋体" w:cs="宋体"/>
          <w:b/>
          <w:bCs/>
          <w:i w:val="0"/>
          <w:iCs w:val="0"/>
          <w:color w:val="auto"/>
          <w:sz w:val="22"/>
          <w:szCs w:val="22"/>
          <w:u w:val="single"/>
          <w:lang w:val="en-US" w:eastAsia="zh-CN"/>
        </w:rPr>
        <w:t>月饼</w:t>
      </w:r>
      <w:r>
        <w:rPr>
          <w:rFonts w:hint="default" w:ascii="宋体" w:hAnsi="宋体" w:eastAsia="宋体" w:cs="宋体"/>
          <w:i w:val="0"/>
          <w:iCs w:val="0"/>
          <w:color w:val="auto"/>
          <w:sz w:val="22"/>
          <w:szCs w:val="22"/>
          <w:u w:val="none"/>
        </w:rPr>
        <w:t>。如同时有两家或两家以上（均为制造商的合法代理商）通过资格审查及符合性审查的</w:t>
      </w:r>
      <w:r>
        <w:rPr>
          <w:rFonts w:hint="default" w:ascii="宋体" w:hAnsi="宋体" w:eastAsia="宋体" w:cs="宋体"/>
          <w:i w:val="0"/>
          <w:iCs w:val="0"/>
          <w:color w:val="000000"/>
          <w:sz w:val="22"/>
          <w:szCs w:val="22"/>
          <w:u w:val="none"/>
        </w:rPr>
        <w:t>合格投标人所投核心产品为相同品牌的，按一家投标人计算。在此种情况下，评审后得分最高的同品牌投标人获得中标人推荐资格；评审得分相同的由报价相对最低的获得中标人推荐资格；评审得分及报价均相同的由技术部分评分相对最高的获得中标人推荐资格；以上均相同的由评标委员会采取随机抽取方式确定，其他同品牌投标人不作为中标候选人。</w:t>
      </w:r>
    </w:p>
    <w:p>
      <w:pPr>
        <w:pStyle w:val="27"/>
        <w:keepNext w:val="0"/>
        <w:keepLines w:val="0"/>
        <w:pageBreakBefore w:val="0"/>
        <w:numPr>
          <w:ilvl w:val="0"/>
          <w:numId w:val="0"/>
        </w:numPr>
        <w:kinsoku/>
        <w:wordWrap/>
        <w:overflowPunct/>
        <w:topLinePunct w:val="0"/>
        <w:autoSpaceDE/>
        <w:autoSpaceDN/>
        <w:bidi w:val="0"/>
        <w:spacing w:line="400" w:lineRule="exact"/>
        <w:ind w:firstLine="562" w:firstLineChars="200"/>
        <w:textAlignment w:val="auto"/>
        <w:rPr>
          <w:rFonts w:hint="default"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九、交货期限及地点</w:t>
      </w:r>
    </w:p>
    <w:p>
      <w:pPr>
        <w:keepNext w:val="0"/>
        <w:keepLines w:val="0"/>
        <w:pageBreakBefore w:val="0"/>
        <w:kinsoku/>
        <w:wordWrap/>
        <w:overflowPunct/>
        <w:topLinePunct w:val="0"/>
        <w:autoSpaceDE/>
        <w:autoSpaceDN/>
        <w:bidi w:val="0"/>
        <w:spacing w:line="4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交货期限：中标人在签订合同后7天内完成交货。</w:t>
      </w:r>
    </w:p>
    <w:p>
      <w:pPr>
        <w:keepNext w:val="0"/>
        <w:keepLines w:val="0"/>
        <w:pageBreakBefore w:val="0"/>
        <w:kinsoku/>
        <w:wordWrap/>
        <w:overflowPunct/>
        <w:topLinePunct w:val="0"/>
        <w:autoSpaceDE/>
        <w:autoSpaceDN/>
        <w:bidi w:val="0"/>
        <w:spacing w:line="400" w:lineRule="exact"/>
        <w:ind w:firstLine="560" w:firstLineChars="200"/>
        <w:textAlignment w:val="auto"/>
        <w:rPr>
          <w:rFonts w:hint="eastAsia" w:ascii="仿宋" w:hAnsi="仿宋" w:eastAsia="仿宋_GB2312" w:cs="仿宋"/>
          <w:color w:val="auto"/>
          <w:sz w:val="30"/>
          <w:szCs w:val="30"/>
          <w:lang w:val="en-US" w:eastAsia="zh-CN"/>
        </w:rPr>
      </w:pPr>
      <w:r>
        <w:rPr>
          <w:rFonts w:hint="eastAsia" w:ascii="仿宋_GB2312" w:hAnsi="仿宋_GB2312" w:eastAsia="仿宋_GB2312" w:cs="仿宋_GB2312"/>
          <w:color w:val="auto"/>
          <w:sz w:val="28"/>
          <w:szCs w:val="28"/>
        </w:rPr>
        <w:t>2.服务地点：</w:t>
      </w:r>
      <w:r>
        <w:rPr>
          <w:rFonts w:hint="eastAsia" w:ascii="仿宋_GB2312" w:hAnsi="仿宋_GB2312" w:eastAsia="仿宋_GB2312" w:cs="仿宋_GB2312"/>
          <w:color w:val="auto"/>
          <w:sz w:val="28"/>
          <w:szCs w:val="28"/>
          <w:lang w:eastAsia="zh-CN"/>
        </w:rPr>
        <w:t>深圳市龙岗区第七人民医院</w:t>
      </w:r>
      <w:r>
        <w:rPr>
          <w:rFonts w:hint="eastAsia" w:ascii="仿宋_GB2312" w:hAnsi="仿宋_GB2312" w:eastAsia="仿宋_GB2312" w:cs="仿宋_GB2312"/>
          <w:color w:val="auto"/>
          <w:sz w:val="28"/>
          <w:szCs w:val="28"/>
          <w:lang w:val="en-US" w:eastAsia="zh-CN"/>
        </w:rPr>
        <w:t>指定地点</w:t>
      </w:r>
      <w:r>
        <w:rPr>
          <w:rFonts w:hint="eastAsia" w:ascii="仿宋_GB2312" w:hAnsi="仿宋_GB2312" w:eastAsia="仿宋_GB2312" w:cs="仿宋_GB2312"/>
          <w:color w:val="auto"/>
          <w:sz w:val="28"/>
          <w:szCs w:val="28"/>
          <w:lang w:eastAsia="zh-CN"/>
        </w:rPr>
        <w:t>。</w:t>
      </w:r>
    </w:p>
    <w:p>
      <w:pPr>
        <w:pStyle w:val="27"/>
        <w:keepNext w:val="0"/>
        <w:keepLines w:val="0"/>
        <w:pageBreakBefore w:val="0"/>
        <w:numPr>
          <w:ilvl w:val="0"/>
          <w:numId w:val="0"/>
        </w:numPr>
        <w:kinsoku/>
        <w:wordWrap/>
        <w:overflowPunct/>
        <w:topLinePunct w:val="0"/>
        <w:autoSpaceDE/>
        <w:autoSpaceDN/>
        <w:bidi w:val="0"/>
        <w:spacing w:line="400" w:lineRule="exact"/>
        <w:ind w:firstLine="562" w:firstLineChars="20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十、报价及付款方式</w:t>
      </w:r>
    </w:p>
    <w:p>
      <w:pPr>
        <w:pStyle w:val="5"/>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仿宋" w:hAnsi="仿宋" w:eastAsia="仿宋" w:cs="仿宋"/>
          <w:b w:val="0"/>
          <w:bCs w:val="0"/>
          <w:color w:val="auto"/>
          <w:kern w:val="2"/>
          <w:sz w:val="28"/>
          <w:szCs w:val="28"/>
          <w:lang w:val="en-US" w:eastAsia="zh-CN" w:bidi="ar-SA"/>
        </w:rPr>
      </w:pPr>
      <w:r>
        <w:rPr>
          <w:rFonts w:hint="eastAsia" w:ascii="仿宋_GB2312" w:hAnsi="仿宋_GB2312" w:eastAsia="仿宋_GB2312" w:cs="仿宋_GB2312"/>
          <w:b/>
          <w:bCs w:val="0"/>
          <w:color w:val="auto"/>
          <w:kern w:val="0"/>
          <w:sz w:val="32"/>
          <w:szCs w:val="32"/>
          <w:highlight w:val="none"/>
          <w:lang w:val="en-US" w:eastAsia="zh-CN" w:bidi="ar-SA"/>
        </w:rPr>
        <w:t>1.人民币报价：</w:t>
      </w:r>
      <w:r>
        <w:rPr>
          <w:rFonts w:hint="eastAsia" w:ascii="仿宋" w:hAnsi="仿宋" w:eastAsia="仿宋" w:cs="仿宋"/>
          <w:b w:val="0"/>
          <w:bCs w:val="0"/>
          <w:color w:val="auto"/>
          <w:kern w:val="2"/>
          <w:sz w:val="28"/>
          <w:szCs w:val="28"/>
          <w:lang w:val="en-US" w:eastAsia="zh-CN" w:bidi="ar-SA"/>
        </w:rPr>
        <w:t>报价人总价包干。预算金额为16.45万元，此预算金额为合同期内最高支付上限，报价高于标的，本次投标视为无效投标。投标总价（人民币）须是完成该项目的一切费用总和，包括设备费、运输费、装卸费、保险费、技术培训费、设备安装费、调试费、售后服务费、国家规定的各项税费等全部费用。</w:t>
      </w:r>
    </w:p>
    <w:p>
      <w:pPr>
        <w:pStyle w:val="27"/>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rPr>
          <w:rFonts w:hint="default"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Cs/>
          <w:color w:val="auto"/>
          <w:sz w:val="32"/>
          <w:szCs w:val="32"/>
          <w:highlight w:val="none"/>
        </w:rPr>
        <w:t>2.</w:t>
      </w:r>
      <w:r>
        <w:rPr>
          <w:rFonts w:hint="eastAsia" w:ascii="仿宋_GB2312" w:hAnsi="仿宋_GB2312" w:eastAsia="仿宋_GB2312" w:cs="仿宋_GB2312"/>
          <w:b/>
          <w:bCs w:val="0"/>
          <w:color w:val="auto"/>
          <w:sz w:val="32"/>
          <w:szCs w:val="32"/>
          <w:highlight w:val="none"/>
        </w:rPr>
        <w:t>付款方式：</w:t>
      </w:r>
      <w:r>
        <w:rPr>
          <w:rFonts w:hint="eastAsia" w:ascii="仿宋" w:hAnsi="仿宋" w:eastAsia="仿宋" w:cs="仿宋"/>
          <w:b w:val="0"/>
          <w:bCs w:val="0"/>
          <w:color w:val="auto"/>
          <w:kern w:val="2"/>
          <w:sz w:val="28"/>
          <w:szCs w:val="28"/>
          <w:lang w:val="en-US" w:eastAsia="zh-CN" w:bidi="ar-SA"/>
        </w:rPr>
        <w:t>合同签订并货物验收合格后15日内中标人需向采购人提供合法、有效的发票，采购人在收到中标人提供的合法、有效的发票60个日历日内应以转账方式一次性支付本合同全部价款到中标人指定账</w:t>
      </w:r>
      <w:bookmarkStart w:id="2" w:name="_GoBack"/>
      <w:bookmarkEnd w:id="2"/>
      <w:r>
        <w:rPr>
          <w:rFonts w:hint="eastAsia" w:ascii="仿宋" w:hAnsi="仿宋" w:eastAsia="仿宋" w:cs="仿宋"/>
          <w:b w:val="0"/>
          <w:bCs w:val="0"/>
          <w:color w:val="auto"/>
          <w:kern w:val="2"/>
          <w:sz w:val="28"/>
          <w:szCs w:val="28"/>
          <w:lang w:val="en-US" w:eastAsia="zh-CN" w:bidi="ar-SA"/>
        </w:rPr>
        <w:t>户。</w:t>
      </w:r>
    </w:p>
    <w:p>
      <w:pPr>
        <w:pStyle w:val="27"/>
        <w:spacing w:line="460" w:lineRule="exact"/>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十一、</w:t>
      </w:r>
      <w:r>
        <w:rPr>
          <w:rFonts w:hint="eastAsia" w:ascii="仿宋_GB2312" w:hAnsi="仿宋_GB2312" w:eastAsia="仿宋_GB2312" w:cs="仿宋_GB2312"/>
          <w:b/>
          <w:bCs/>
          <w:color w:val="auto"/>
          <w:kern w:val="0"/>
          <w:sz w:val="32"/>
          <w:szCs w:val="32"/>
          <w:lang w:val="en-US" w:eastAsia="zh-CN" w:bidi="ar-SA"/>
        </w:rPr>
        <w:t>运输方式要求</w:t>
      </w:r>
      <w:r>
        <w:rPr>
          <w:rFonts w:hint="eastAsia" w:ascii="宋体" w:hAnsi="宋体" w:cs="宋体"/>
          <w:b/>
          <w:color w:val="auto"/>
          <w:kern w:val="0"/>
          <w:szCs w:val="21"/>
        </w:rPr>
        <w:t>：</w:t>
      </w:r>
      <w:r>
        <w:rPr>
          <w:rFonts w:hint="eastAsia" w:ascii="仿宋" w:hAnsi="仿宋" w:eastAsia="仿宋" w:cs="仿宋"/>
          <w:b w:val="0"/>
          <w:bCs w:val="0"/>
          <w:color w:val="auto"/>
          <w:kern w:val="2"/>
          <w:sz w:val="28"/>
          <w:szCs w:val="28"/>
          <w:lang w:val="en-US" w:eastAsia="zh-Hans" w:bidi="ar-SA"/>
        </w:rPr>
        <w:t>由</w:t>
      </w:r>
      <w:r>
        <w:rPr>
          <w:rFonts w:hint="eastAsia" w:ascii="仿宋" w:hAnsi="仿宋" w:eastAsia="仿宋" w:cs="仿宋"/>
          <w:b w:val="0"/>
          <w:bCs w:val="0"/>
          <w:color w:val="auto"/>
          <w:kern w:val="2"/>
          <w:sz w:val="28"/>
          <w:szCs w:val="28"/>
          <w:lang w:val="en-US" w:eastAsia="zh-CN" w:bidi="ar-SA"/>
        </w:rPr>
        <w:t>供应商快递包邮</w:t>
      </w:r>
      <w:r>
        <w:rPr>
          <w:rFonts w:hint="eastAsia" w:ascii="仿宋" w:hAnsi="仿宋" w:eastAsia="仿宋" w:cs="仿宋"/>
          <w:b w:val="0"/>
          <w:bCs w:val="0"/>
          <w:color w:val="auto"/>
          <w:kern w:val="2"/>
          <w:sz w:val="28"/>
          <w:szCs w:val="28"/>
          <w:lang w:val="en-US" w:eastAsia="zh-Hans" w:bidi="ar-SA"/>
        </w:rPr>
        <w:t>免费送</w:t>
      </w:r>
      <w:r>
        <w:rPr>
          <w:rFonts w:hint="eastAsia" w:ascii="仿宋" w:hAnsi="仿宋" w:eastAsia="仿宋" w:cs="仿宋"/>
          <w:b w:val="0"/>
          <w:bCs w:val="0"/>
          <w:color w:val="auto"/>
          <w:kern w:val="2"/>
          <w:sz w:val="28"/>
          <w:szCs w:val="28"/>
          <w:lang w:val="en-US" w:eastAsia="zh-CN" w:bidi="ar-SA"/>
        </w:rPr>
        <w:t>至员工指定地点。</w:t>
      </w:r>
    </w:p>
    <w:p>
      <w:pPr>
        <w:pStyle w:val="27"/>
        <w:spacing w:line="460" w:lineRule="exact"/>
        <w:ind w:firstLine="643" w:firstLineChars="200"/>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十二、货品要求：</w:t>
      </w:r>
      <w:r>
        <w:rPr>
          <w:rFonts w:hint="eastAsia" w:ascii="仿宋" w:hAnsi="仿宋" w:eastAsia="仿宋" w:cs="仿宋"/>
          <w:b w:val="0"/>
          <w:bCs w:val="0"/>
          <w:color w:val="auto"/>
          <w:kern w:val="2"/>
          <w:sz w:val="28"/>
          <w:szCs w:val="28"/>
          <w:lang w:val="en-US" w:eastAsia="zh-Hans" w:bidi="ar-SA"/>
        </w:rPr>
        <w:t>中标人提供的产品必须是全新的，表面无划损、无任何缺陷</w:t>
      </w:r>
      <w:r>
        <w:rPr>
          <w:rFonts w:hint="eastAsia" w:ascii="仿宋" w:hAnsi="仿宋" w:eastAsia="仿宋" w:cs="仿宋"/>
          <w:b w:val="0"/>
          <w:bCs w:val="0"/>
          <w:color w:val="auto"/>
          <w:kern w:val="2"/>
          <w:sz w:val="28"/>
          <w:szCs w:val="28"/>
          <w:lang w:val="en-US" w:eastAsia="zh-CN" w:bidi="ar-SA"/>
        </w:rPr>
        <w:t>。货物均在有效期内，</w:t>
      </w:r>
      <w:r>
        <w:rPr>
          <w:rFonts w:hint="default" w:ascii="仿宋" w:hAnsi="仿宋" w:eastAsia="仿宋" w:cs="仿宋"/>
          <w:b w:val="0"/>
          <w:bCs w:val="0"/>
          <w:color w:val="auto"/>
          <w:kern w:val="2"/>
          <w:sz w:val="28"/>
          <w:szCs w:val="28"/>
          <w:lang w:val="en-US" w:eastAsia="zh-CN" w:bidi="ar-SA"/>
        </w:rPr>
        <w:t>要求生产日期在总保质期的前三分之一（例：保质期一年的食品，发货的产品生产日期不早于四个月前）</w:t>
      </w:r>
      <w:r>
        <w:rPr>
          <w:rFonts w:hint="eastAsia" w:ascii="仿宋" w:hAnsi="仿宋" w:eastAsia="仿宋" w:cs="仿宋"/>
          <w:b w:val="0"/>
          <w:bCs w:val="0"/>
          <w:color w:val="auto"/>
          <w:kern w:val="2"/>
          <w:sz w:val="28"/>
          <w:szCs w:val="28"/>
          <w:lang w:val="en-US" w:eastAsia="zh-CN" w:bidi="ar-SA"/>
        </w:rPr>
        <w:t>。水果保证新鲜即可。</w:t>
      </w:r>
    </w:p>
    <w:p>
      <w:pPr>
        <w:pStyle w:val="27"/>
        <w:spacing w:line="460" w:lineRule="exact"/>
        <w:ind w:firstLine="643" w:firstLineChars="200"/>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十三、服务（售后）条款</w:t>
      </w:r>
    </w:p>
    <w:p>
      <w:pPr>
        <w:pStyle w:val="27"/>
        <w:spacing w:line="460" w:lineRule="exact"/>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（一）质量保证与退换货政策</w:t>
      </w:r>
    </w:p>
    <w:p>
      <w:pPr>
        <w:pStyle w:val="27"/>
        <w:spacing w:line="460" w:lineRule="exact"/>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中标人需对所提供的全部商品质量负责，确保所有产品均为符合国家及行业标准的全新、未开封、无损坏的合格产品。若因产品质量问题导致无法正常使用或造成职工健康损害，中标人需无条件进行退换货，并承担由此产生的一切费用及法律责任。</w:t>
      </w:r>
    </w:p>
    <w:p>
      <w:pPr>
        <w:pStyle w:val="27"/>
        <w:spacing w:line="460" w:lineRule="exact"/>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2.在签收货物后，如发现商品存在破损、数量不符或质量问题，职工有权在收货之日起3个工作日内向医院提出意见并提供相关证据。经医院核实确认后，中标人需在接到通知后5个工作日内完成退换货处理。</w:t>
      </w:r>
    </w:p>
    <w:p>
      <w:pPr>
        <w:pStyle w:val="27"/>
        <w:spacing w:line="460" w:lineRule="exact"/>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（二）售后服务</w:t>
      </w:r>
    </w:p>
    <w:p>
      <w:pPr>
        <w:pStyle w:val="27"/>
        <w:spacing w:line="460" w:lineRule="exact"/>
        <w:ind w:firstLine="560" w:firstLineChars="200"/>
        <w:rPr>
          <w:rFonts w:hint="eastAsia" w:ascii="仿宋_GB2312" w:hAnsi="仿宋_GB2312" w:eastAsia="仿宋_GB2312" w:cs="仿宋_GB2312"/>
          <w:b w:val="0"/>
          <w:bCs w:val="0"/>
          <w:color w:val="auto"/>
          <w:kern w:val="0"/>
          <w:sz w:val="32"/>
          <w:szCs w:val="32"/>
          <w:lang w:val="en-US" w:eastAsia="zh-CN" w:bidi="ar-SA"/>
        </w:rPr>
      </w:pPr>
      <w:r>
        <w:rPr>
          <w:rFonts w:hint="eastAsia" w:ascii="仿宋" w:hAnsi="仿宋" w:eastAsia="仿宋" w:cs="仿宋"/>
          <w:b w:val="0"/>
          <w:bCs w:val="0"/>
          <w:color w:val="auto"/>
          <w:kern w:val="2"/>
          <w:sz w:val="28"/>
          <w:szCs w:val="28"/>
          <w:lang w:val="en-US" w:eastAsia="zh-CN" w:bidi="ar-SA"/>
        </w:rPr>
        <w:t>中标人应设立专门的售后服务热线或指定联系人，确保在接到医院或职工关于产品的咨询、投诉等请求后，能在24小时内给予响应，并在双方约定的时间内完成处理。</w:t>
      </w:r>
    </w:p>
    <w:p>
      <w:pPr>
        <w:pStyle w:val="27"/>
        <w:spacing w:line="460" w:lineRule="exact"/>
        <w:ind w:firstLine="643" w:firstLineChars="200"/>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十四、验收标准与流程</w:t>
      </w:r>
    </w:p>
    <w:p>
      <w:pPr>
        <w:pStyle w:val="27"/>
        <w:spacing w:line="460" w:lineRule="exact"/>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（一）数量验收：按照采购合同约定的产品名称、规格、数量进行清点，并通过快递配送记录等佐证内容确保无误。</w:t>
      </w:r>
    </w:p>
    <w:p>
      <w:pPr>
        <w:pStyle w:val="27"/>
        <w:spacing w:line="460" w:lineRule="exact"/>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（二）质量验收：依据国家及行业相关标准，对产品的外观、包装、生产日期、保质期等进行检查，确保产品合格且符合采购要求。</w:t>
      </w:r>
    </w:p>
    <w:p>
      <w:pPr>
        <w:pStyle w:val="27"/>
        <w:spacing w:line="460" w:lineRule="exact"/>
        <w:ind w:firstLine="643" w:firstLineChars="200"/>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十五、违约责任</w:t>
      </w:r>
    </w:p>
    <w:p>
      <w:pPr>
        <w:pStyle w:val="27"/>
        <w:spacing w:line="460" w:lineRule="exact"/>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（一）采购方无正当理由拒收货物、拒付货物款的，由采购方向中标人偿付拒收货物总价的20%违约金。</w:t>
      </w:r>
    </w:p>
    <w:p>
      <w:pPr>
        <w:pStyle w:val="27"/>
        <w:spacing w:line="460" w:lineRule="exact"/>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（二）采购方未按合同规定的期限向中标人支付货款的，每逾期1天采购方向中标人偿付欠款总额的0.5%滞纳金，但累计滞纳金总额不超过欠款总额的5%。</w:t>
      </w:r>
    </w:p>
    <w:p>
      <w:pPr>
        <w:pStyle w:val="27"/>
        <w:spacing w:line="460" w:lineRule="exact"/>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三）中标人逾期交付货物的，每逾期1天，中标人向采购方偿付逾期交货部分货款总额的0.5%的滞纳金。如超过供货期30天,采购方有权终止合同，同时中标人应向采购方支付合同总价20%的违约金。给采购方造成损失的将通过法律程序向中标人进行索赔。</w:t>
      </w:r>
    </w:p>
    <w:p>
      <w:pPr>
        <w:pStyle w:val="27"/>
        <w:spacing w:line="460" w:lineRule="exact"/>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（四）中标人所交付的货物品种、型号、规格不符合合同规定的，采购方有权拒收。</w:t>
      </w:r>
    </w:p>
    <w:p>
      <w:pPr>
        <w:pStyle w:val="27"/>
        <w:spacing w:line="460" w:lineRule="exact"/>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（五）在中标人承诺的或国家规定的质量保证期内（取两者中最长的期限），如经中标人两次更换，货物仍不能达到合同约定的质量标准，采购方有权退货，中标人应退回全部货款，并解除合同。</w:t>
      </w:r>
    </w:p>
    <w:p>
      <w:pPr>
        <w:pStyle w:val="27"/>
        <w:spacing w:line="460" w:lineRule="exact"/>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（六）中标人未按本合同的规定和“服务承诺”提供伴随服务/售后服务的，应按合同总价款的10%向采购方承担违约责任。</w:t>
      </w:r>
    </w:p>
    <w:p>
      <w:pPr>
        <w:pStyle w:val="27"/>
        <w:spacing w:line="460" w:lineRule="exact"/>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七）中标人在承担上述3-6款一项或多项违约责任后，仍应继续履行合同规定的义务（采购方解除合同的除外）。采购方未能及时追究中标人的任何一项违约责任并不表明采购方放弃追究中标人该项或其他违约责任。</w:t>
      </w:r>
    </w:p>
    <w:p>
      <w:pPr>
        <w:pStyle w:val="27"/>
        <w:spacing w:line="460" w:lineRule="exact"/>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（八）未列入以上条款的其他违规事项，则按照《中华人民共和国招标投标法》法律责任条款处理。</w:t>
      </w:r>
    </w:p>
    <w:p>
      <w:pPr>
        <w:pStyle w:val="27"/>
        <w:spacing w:line="460" w:lineRule="exact"/>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（九）其他。</w:t>
      </w:r>
    </w:p>
    <w:p>
      <w:pPr>
        <w:spacing w:beforeLines="100" w:afterLines="50" w:line="360" w:lineRule="auto"/>
        <w:ind w:firstLine="643" w:firstLineChars="200"/>
        <w:jc w:val="center"/>
        <w:rPr>
          <w:rFonts w:hint="default"/>
          <w:lang w:val="en-US" w:eastAsia="zh-CN"/>
        </w:rPr>
      </w:pPr>
      <w:r>
        <w:rPr>
          <w:rFonts w:hint="eastAsia" w:ascii="仿宋_GB2312" w:hAnsi="仿宋_GB2312" w:eastAsia="仿宋_GB2312" w:cs="仿宋_GB2312"/>
          <w:b/>
          <w:bCs/>
          <w:sz w:val="32"/>
          <w:szCs w:val="32"/>
          <w:lang w:val="en-US" w:eastAsia="zh-CN"/>
        </w:rPr>
        <w:t>第二部分  评标标准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评标方法：综合评分法。按照招标文件中规定的各项因素进行量化打分，以评标总得分的平均分最高的投标人为中标候选供应商；采购人根据评标委员会评审结果确定中标候选供应商为中标人。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left"/>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rPr>
        <w:t>综合评分法中的价格分统一采用低价优先法计算。即满足采购文件要求且投标价格最低的投标报价为评标基准价，其价格分为满分。其他投标人的价格分统一按照下列公式计算：投标报价得分=(评标基准价/投标报价)×权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综合评</w:t>
      </w:r>
      <w:r>
        <w:rPr>
          <w:rFonts w:hint="eastAsia" w:ascii="仿宋_GB2312" w:hAnsi="仿宋_GB2312" w:eastAsia="仿宋_GB2312" w:cs="仿宋_GB2312"/>
          <w:kern w:val="0"/>
          <w:sz w:val="32"/>
          <w:szCs w:val="32"/>
          <w:lang w:val="en-US" w:eastAsia="zh-CN"/>
        </w:rPr>
        <w:t>分</w:t>
      </w:r>
      <w:r>
        <w:rPr>
          <w:rFonts w:hint="eastAsia" w:ascii="仿宋_GB2312" w:hAnsi="仿宋_GB2312" w:eastAsia="仿宋_GB2312" w:cs="仿宋_GB2312"/>
          <w:kern w:val="0"/>
          <w:sz w:val="32"/>
          <w:szCs w:val="32"/>
        </w:rPr>
        <w:t>表</w:t>
      </w:r>
    </w:p>
    <w:tbl>
      <w:tblPr>
        <w:tblStyle w:val="21"/>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01"/>
        <w:gridCol w:w="975"/>
        <w:gridCol w:w="7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34" w:type="dxa"/>
            <w:noWrap w:val="0"/>
            <w:vAlign w:val="center"/>
          </w:tcPr>
          <w:p>
            <w:pPr>
              <w:keepNext w:val="0"/>
              <w:keepLines w:val="0"/>
              <w:pageBreakBefore w:val="0"/>
              <w:widowControl w:val="0"/>
              <w:topLinePunct w:val="0"/>
              <w:bidi w:val="0"/>
              <w:spacing w:beforeAutospacing="0" w:afterAutospacing="0" w:line="4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分类</w:t>
            </w:r>
          </w:p>
        </w:tc>
        <w:tc>
          <w:tcPr>
            <w:tcW w:w="801" w:type="dxa"/>
            <w:noWrap w:val="0"/>
            <w:vAlign w:val="center"/>
          </w:tcPr>
          <w:p>
            <w:pPr>
              <w:keepNext w:val="0"/>
              <w:keepLines w:val="0"/>
              <w:pageBreakBefore w:val="0"/>
              <w:widowControl w:val="0"/>
              <w:topLinePunct w:val="0"/>
              <w:bidi w:val="0"/>
              <w:spacing w:beforeAutospacing="0" w:afterAutospacing="0" w:line="4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评分项目</w:t>
            </w:r>
          </w:p>
        </w:tc>
        <w:tc>
          <w:tcPr>
            <w:tcW w:w="975" w:type="dxa"/>
            <w:noWrap w:val="0"/>
            <w:vAlign w:val="center"/>
          </w:tcPr>
          <w:p>
            <w:pPr>
              <w:keepNext w:val="0"/>
              <w:keepLines w:val="0"/>
              <w:pageBreakBefore w:val="0"/>
              <w:widowControl w:val="0"/>
              <w:topLinePunct w:val="0"/>
              <w:bidi w:val="0"/>
              <w:spacing w:beforeAutospacing="0" w:afterAutospacing="0" w:line="40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分值</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分</w:t>
            </w:r>
            <w:r>
              <w:rPr>
                <w:rFonts w:hint="eastAsia" w:ascii="宋体" w:hAnsi="宋体" w:eastAsia="宋体" w:cs="宋体"/>
                <w:color w:val="auto"/>
                <w:sz w:val="28"/>
                <w:szCs w:val="28"/>
                <w:lang w:eastAsia="zh-CN"/>
              </w:rPr>
              <w:t>）</w:t>
            </w:r>
          </w:p>
        </w:tc>
        <w:tc>
          <w:tcPr>
            <w:tcW w:w="7221" w:type="dxa"/>
            <w:noWrap w:val="0"/>
            <w:vAlign w:val="center"/>
          </w:tcPr>
          <w:p>
            <w:pPr>
              <w:keepNext w:val="0"/>
              <w:keepLines w:val="0"/>
              <w:pageBreakBefore w:val="0"/>
              <w:widowControl w:val="0"/>
              <w:topLinePunct w:val="0"/>
              <w:bidi w:val="0"/>
              <w:spacing w:beforeAutospacing="0" w:afterAutospacing="0" w:line="4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Merge w:val="restart"/>
            <w:noWrap w:val="0"/>
            <w:vAlign w:val="center"/>
          </w:tcPr>
          <w:p>
            <w:pPr>
              <w:keepNext w:val="0"/>
              <w:keepLines w:val="0"/>
              <w:pageBreakBefore w:val="0"/>
              <w:widowControl w:val="0"/>
              <w:topLinePunct w:val="0"/>
              <w:bidi w:val="0"/>
              <w:spacing w:beforeAutospacing="0" w:afterAutospacing="0"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商务得分</w:t>
            </w:r>
          </w:p>
          <w:p>
            <w:pPr>
              <w:keepNext w:val="0"/>
              <w:keepLines w:val="0"/>
              <w:pageBreakBefore w:val="0"/>
              <w:widowControl w:val="0"/>
              <w:topLinePunct w:val="0"/>
              <w:bidi w:val="0"/>
              <w:spacing w:beforeAutospacing="0" w:afterAutospacing="0"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tc>
        <w:tc>
          <w:tcPr>
            <w:tcW w:w="801" w:type="dxa"/>
            <w:noWrap w:val="0"/>
            <w:vAlign w:val="center"/>
          </w:tcPr>
          <w:p>
            <w:pPr>
              <w:keepNext w:val="0"/>
              <w:keepLines w:val="0"/>
              <w:pageBreakBefore w:val="0"/>
              <w:widowControl w:val="0"/>
              <w:topLinePunct w:val="0"/>
              <w:bidi w:val="0"/>
              <w:spacing w:line="400" w:lineRule="exact"/>
              <w:ind w:firstLine="14" w:firstLineChars="6"/>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货物配送</w:t>
            </w:r>
          </w:p>
        </w:tc>
        <w:tc>
          <w:tcPr>
            <w:tcW w:w="975" w:type="dxa"/>
            <w:noWrap w:val="0"/>
            <w:vAlign w:val="center"/>
          </w:tcPr>
          <w:p>
            <w:pPr>
              <w:keepNext w:val="0"/>
              <w:keepLines w:val="0"/>
              <w:pageBreakBefore w:val="0"/>
              <w:widowControl w:val="0"/>
              <w:topLinePunct w:val="0"/>
              <w:bidi w:val="0"/>
              <w:spacing w:beforeAutospacing="0" w:afterAutospacing="0"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7221" w:type="dxa"/>
            <w:noWrap w:val="0"/>
            <w:vAlign w:val="center"/>
          </w:tcPr>
          <w:p>
            <w:pPr>
              <w:keepNext w:val="0"/>
              <w:keepLines w:val="0"/>
              <w:pageBreakBefore w:val="0"/>
              <w:topLinePunct w:val="0"/>
              <w:bidi w:val="0"/>
              <w:adjustRightInd w:val="0"/>
              <w:snapToGrid w:val="0"/>
              <w:spacing w:line="400" w:lineRule="exac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投标人采用快递包邮方式送至员工指定地点（全国包邮），其他方式不得分。</w:t>
            </w:r>
          </w:p>
          <w:p>
            <w:pPr>
              <w:keepNext w:val="0"/>
              <w:keepLines w:val="0"/>
              <w:pageBreakBefore w:val="0"/>
              <w:topLinePunct w:val="0"/>
              <w:bidi w:val="0"/>
              <w:adjustRightInd w:val="0"/>
              <w:snapToGrid w:val="0"/>
              <w:spacing w:line="400" w:lineRule="exact"/>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1.货物快递</w:t>
            </w:r>
            <w:r>
              <w:rPr>
                <w:rFonts w:hint="eastAsia" w:ascii="宋体" w:hAnsi="宋体" w:cs="宋体"/>
                <w:bCs/>
                <w:color w:val="auto"/>
                <w:kern w:val="0"/>
                <w:sz w:val="24"/>
                <w:szCs w:val="24"/>
                <w:lang w:val="en-US" w:eastAsia="zh-CN" w:bidi="ar-SA"/>
              </w:rPr>
              <w:t>深圳市内2</w:t>
            </w:r>
            <w:r>
              <w:rPr>
                <w:rFonts w:hint="eastAsia" w:ascii="宋体" w:hAnsi="宋体" w:eastAsia="宋体" w:cs="宋体"/>
                <w:bCs/>
                <w:color w:val="auto"/>
                <w:kern w:val="0"/>
                <w:sz w:val="24"/>
                <w:szCs w:val="24"/>
                <w:lang w:val="en-US" w:eastAsia="zh-CN" w:bidi="ar-SA"/>
              </w:rPr>
              <w:t>天内到达</w:t>
            </w:r>
            <w:r>
              <w:rPr>
                <w:rFonts w:hint="eastAsia" w:ascii="宋体" w:hAnsi="宋体" w:cs="宋体"/>
                <w:bCs/>
                <w:color w:val="auto"/>
                <w:kern w:val="0"/>
                <w:sz w:val="24"/>
                <w:szCs w:val="24"/>
                <w:lang w:val="en-US" w:eastAsia="zh-CN" w:bidi="ar-SA"/>
              </w:rPr>
              <w:t>；深圳市外广东省内3天内到达；广东省外4天内到达</w:t>
            </w:r>
            <w:r>
              <w:rPr>
                <w:rFonts w:hint="eastAsia" w:ascii="宋体" w:hAnsi="宋体" w:eastAsia="宋体" w:cs="宋体"/>
                <w:bCs/>
                <w:color w:val="auto"/>
                <w:kern w:val="0"/>
                <w:sz w:val="24"/>
                <w:szCs w:val="24"/>
                <w:lang w:val="en-US" w:eastAsia="zh-CN"/>
              </w:rPr>
              <w:t>员工指定地点（全国包邮）得</w:t>
            </w:r>
            <w:r>
              <w:rPr>
                <w:rFonts w:hint="eastAsia" w:ascii="宋体" w:hAnsi="宋体" w:eastAsia="宋体" w:cs="宋体"/>
                <w:bCs/>
                <w:color w:val="auto"/>
                <w:kern w:val="0"/>
                <w:sz w:val="24"/>
                <w:szCs w:val="24"/>
                <w:lang w:val="en-US" w:eastAsia="zh-CN" w:bidi="ar-SA"/>
              </w:rPr>
              <w:t>10分</w:t>
            </w:r>
            <w:r>
              <w:rPr>
                <w:rFonts w:hint="eastAsia" w:ascii="宋体" w:hAnsi="宋体" w:cs="宋体"/>
                <w:bCs/>
                <w:color w:val="auto"/>
                <w:kern w:val="0"/>
                <w:sz w:val="24"/>
                <w:szCs w:val="24"/>
                <w:lang w:val="en-US" w:eastAsia="zh-CN" w:bidi="ar-SA"/>
              </w:rPr>
              <w:t>。</w:t>
            </w:r>
          </w:p>
          <w:p>
            <w:pPr>
              <w:pStyle w:val="10"/>
              <w:keepNext w:val="0"/>
              <w:keepLines w:val="0"/>
              <w:pageBreakBefore w:val="0"/>
              <w:topLinePunct w:val="0"/>
              <w:bidi w:val="0"/>
              <w:spacing w:line="400" w:lineRule="exact"/>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2.货物快递</w:t>
            </w:r>
            <w:r>
              <w:rPr>
                <w:rFonts w:hint="eastAsia" w:ascii="宋体" w:hAnsi="宋体" w:cs="宋体"/>
                <w:bCs/>
                <w:color w:val="auto"/>
                <w:kern w:val="0"/>
                <w:sz w:val="24"/>
                <w:szCs w:val="24"/>
                <w:lang w:val="en-US" w:eastAsia="zh-CN" w:bidi="ar-SA"/>
              </w:rPr>
              <w:t>深圳市内</w:t>
            </w:r>
            <w:r>
              <w:rPr>
                <w:rFonts w:hint="eastAsia" w:cs="宋体"/>
                <w:bCs/>
                <w:color w:val="auto"/>
                <w:kern w:val="0"/>
                <w:sz w:val="24"/>
                <w:szCs w:val="24"/>
                <w:lang w:val="en-US" w:eastAsia="zh-CN" w:bidi="ar-SA"/>
              </w:rPr>
              <w:t>3</w:t>
            </w:r>
            <w:r>
              <w:rPr>
                <w:rFonts w:hint="eastAsia" w:ascii="宋体" w:hAnsi="宋体" w:eastAsia="宋体" w:cs="宋体"/>
                <w:bCs/>
                <w:color w:val="auto"/>
                <w:kern w:val="0"/>
                <w:sz w:val="24"/>
                <w:szCs w:val="24"/>
                <w:lang w:val="en-US" w:eastAsia="zh-CN" w:bidi="ar-SA"/>
              </w:rPr>
              <w:t>天内到达</w:t>
            </w:r>
            <w:r>
              <w:rPr>
                <w:rFonts w:hint="eastAsia" w:ascii="宋体" w:hAnsi="宋体" w:cs="宋体"/>
                <w:bCs/>
                <w:color w:val="auto"/>
                <w:kern w:val="0"/>
                <w:sz w:val="24"/>
                <w:szCs w:val="24"/>
                <w:lang w:val="en-US" w:eastAsia="zh-CN" w:bidi="ar-SA"/>
              </w:rPr>
              <w:t>；深圳市外广东省内</w:t>
            </w:r>
            <w:r>
              <w:rPr>
                <w:rFonts w:hint="eastAsia" w:cs="宋体"/>
                <w:bCs/>
                <w:color w:val="auto"/>
                <w:kern w:val="0"/>
                <w:sz w:val="24"/>
                <w:szCs w:val="24"/>
                <w:lang w:val="en-US" w:eastAsia="zh-CN" w:bidi="ar-SA"/>
              </w:rPr>
              <w:t>4</w:t>
            </w:r>
            <w:r>
              <w:rPr>
                <w:rFonts w:hint="eastAsia" w:ascii="宋体" w:hAnsi="宋体" w:cs="宋体"/>
                <w:bCs/>
                <w:color w:val="auto"/>
                <w:kern w:val="0"/>
                <w:sz w:val="24"/>
                <w:szCs w:val="24"/>
                <w:lang w:val="en-US" w:eastAsia="zh-CN" w:bidi="ar-SA"/>
              </w:rPr>
              <w:t>天到达；广东省外</w:t>
            </w:r>
            <w:r>
              <w:rPr>
                <w:rFonts w:hint="eastAsia" w:cs="宋体"/>
                <w:bCs/>
                <w:color w:val="auto"/>
                <w:kern w:val="0"/>
                <w:sz w:val="24"/>
                <w:szCs w:val="24"/>
                <w:lang w:val="en-US" w:eastAsia="zh-CN" w:bidi="ar-SA"/>
              </w:rPr>
              <w:t>5</w:t>
            </w:r>
            <w:r>
              <w:rPr>
                <w:rFonts w:hint="eastAsia" w:ascii="宋体" w:hAnsi="宋体" w:cs="宋体"/>
                <w:bCs/>
                <w:color w:val="auto"/>
                <w:kern w:val="0"/>
                <w:sz w:val="24"/>
                <w:szCs w:val="24"/>
                <w:lang w:val="en-US" w:eastAsia="zh-CN" w:bidi="ar-SA"/>
              </w:rPr>
              <w:t>天</w:t>
            </w:r>
            <w:r>
              <w:rPr>
                <w:rFonts w:hint="eastAsia" w:cs="宋体"/>
                <w:bCs/>
                <w:color w:val="auto"/>
                <w:kern w:val="0"/>
                <w:sz w:val="24"/>
                <w:szCs w:val="24"/>
                <w:lang w:val="en-US" w:eastAsia="zh-CN" w:bidi="ar-SA"/>
              </w:rPr>
              <w:t>内</w:t>
            </w:r>
            <w:r>
              <w:rPr>
                <w:rFonts w:hint="eastAsia" w:ascii="宋体" w:hAnsi="宋体" w:cs="宋体"/>
                <w:bCs/>
                <w:color w:val="auto"/>
                <w:kern w:val="0"/>
                <w:sz w:val="24"/>
                <w:szCs w:val="24"/>
                <w:lang w:val="en-US" w:eastAsia="zh-CN" w:bidi="ar-SA"/>
              </w:rPr>
              <w:t>到</w:t>
            </w:r>
            <w:r>
              <w:rPr>
                <w:rFonts w:hint="eastAsia" w:ascii="宋体" w:hAnsi="宋体" w:eastAsia="宋体" w:cs="宋体"/>
                <w:bCs/>
                <w:color w:val="auto"/>
                <w:kern w:val="0"/>
                <w:sz w:val="24"/>
                <w:szCs w:val="24"/>
                <w:lang w:val="en-US" w:eastAsia="zh-CN" w:bidi="ar-SA"/>
              </w:rPr>
              <w:t>达</w:t>
            </w:r>
            <w:r>
              <w:rPr>
                <w:rFonts w:hint="eastAsia" w:ascii="宋体" w:hAnsi="宋体" w:eastAsia="宋体" w:cs="宋体"/>
                <w:bCs/>
                <w:color w:val="auto"/>
                <w:kern w:val="0"/>
                <w:sz w:val="24"/>
                <w:szCs w:val="24"/>
                <w:lang w:val="en-US" w:eastAsia="zh-CN"/>
              </w:rPr>
              <w:t>员工指定地点（全国包邮）得</w:t>
            </w:r>
            <w:r>
              <w:rPr>
                <w:rFonts w:hint="eastAsia" w:ascii="宋体" w:hAnsi="宋体" w:eastAsia="宋体" w:cs="宋体"/>
                <w:bCs/>
                <w:color w:val="auto"/>
                <w:kern w:val="0"/>
                <w:sz w:val="24"/>
                <w:szCs w:val="24"/>
                <w:lang w:val="en-US" w:eastAsia="zh-CN" w:bidi="ar-SA"/>
              </w:rPr>
              <w:t>6分</w:t>
            </w:r>
            <w:r>
              <w:rPr>
                <w:rFonts w:hint="eastAsia" w:cs="宋体"/>
                <w:bCs/>
                <w:color w:val="auto"/>
                <w:kern w:val="0"/>
                <w:sz w:val="24"/>
                <w:szCs w:val="24"/>
                <w:lang w:val="en-US" w:eastAsia="zh-CN" w:bidi="ar-SA"/>
              </w:rPr>
              <w:t>。</w:t>
            </w:r>
          </w:p>
          <w:p>
            <w:pPr>
              <w:keepNext w:val="0"/>
              <w:keepLines w:val="0"/>
              <w:pageBreakBefore w:val="0"/>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bCs/>
                <w:color w:val="auto"/>
                <w:kern w:val="0"/>
                <w:sz w:val="24"/>
                <w:szCs w:val="24"/>
                <w:lang w:val="en-US" w:eastAsia="zh-CN" w:bidi="ar-SA"/>
              </w:rPr>
              <w:t>货物快递</w:t>
            </w:r>
            <w:r>
              <w:rPr>
                <w:rFonts w:hint="eastAsia" w:ascii="宋体" w:hAnsi="宋体" w:cs="宋体"/>
                <w:bCs/>
                <w:color w:val="auto"/>
                <w:kern w:val="0"/>
                <w:sz w:val="24"/>
                <w:szCs w:val="24"/>
                <w:lang w:val="en-US" w:eastAsia="zh-CN" w:bidi="ar-SA"/>
              </w:rPr>
              <w:t>深圳市内4</w:t>
            </w:r>
            <w:r>
              <w:rPr>
                <w:rFonts w:hint="eastAsia" w:ascii="宋体" w:hAnsi="宋体" w:eastAsia="宋体" w:cs="宋体"/>
                <w:bCs/>
                <w:color w:val="auto"/>
                <w:kern w:val="0"/>
                <w:sz w:val="24"/>
                <w:szCs w:val="24"/>
                <w:lang w:val="en-US" w:eastAsia="zh-CN" w:bidi="ar-SA"/>
              </w:rPr>
              <w:t>天内到达</w:t>
            </w:r>
            <w:r>
              <w:rPr>
                <w:rFonts w:hint="eastAsia" w:ascii="宋体" w:hAnsi="宋体" w:cs="宋体"/>
                <w:bCs/>
                <w:color w:val="auto"/>
                <w:kern w:val="0"/>
                <w:sz w:val="24"/>
                <w:szCs w:val="24"/>
                <w:lang w:val="en-US" w:eastAsia="zh-CN" w:bidi="ar-SA"/>
              </w:rPr>
              <w:t>；深圳市外广东省内5天到达；广东省外7天内到</w:t>
            </w:r>
            <w:r>
              <w:rPr>
                <w:rFonts w:hint="eastAsia" w:ascii="宋体" w:hAnsi="宋体" w:eastAsia="宋体" w:cs="宋体"/>
                <w:bCs/>
                <w:color w:val="auto"/>
                <w:kern w:val="0"/>
                <w:sz w:val="24"/>
                <w:szCs w:val="24"/>
                <w:lang w:val="en-US" w:eastAsia="zh-CN" w:bidi="ar-SA"/>
              </w:rPr>
              <w:t>达</w:t>
            </w:r>
            <w:r>
              <w:rPr>
                <w:rFonts w:hint="eastAsia" w:ascii="宋体" w:hAnsi="宋体" w:eastAsia="宋体" w:cs="宋体"/>
                <w:bCs/>
                <w:color w:val="auto"/>
                <w:kern w:val="0"/>
                <w:sz w:val="24"/>
                <w:szCs w:val="24"/>
                <w:lang w:val="en-US" w:eastAsia="zh-CN"/>
              </w:rPr>
              <w:t>员工指定地点（全国包邮）得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r>
              <w:rPr>
                <w:rFonts w:hint="eastAsia" w:ascii="宋体" w:hAnsi="宋体" w:cs="宋体"/>
                <w:color w:val="auto"/>
                <w:sz w:val="24"/>
                <w:szCs w:val="24"/>
                <w:lang w:val="en-US" w:eastAsia="zh-CN"/>
              </w:rPr>
              <w:t>。</w:t>
            </w:r>
          </w:p>
          <w:p>
            <w:pPr>
              <w:pStyle w:val="10"/>
              <w:rPr>
                <w:rFonts w:hint="default"/>
                <w:color w:val="auto"/>
                <w:sz w:val="28"/>
                <w:szCs w:val="28"/>
                <w:lang w:val="en-US" w:eastAsia="zh-CN"/>
              </w:rPr>
            </w:pPr>
            <w:r>
              <w:rPr>
                <w:rFonts w:hint="eastAsia" w:cs="宋体"/>
                <w:color w:val="auto"/>
                <w:sz w:val="24"/>
                <w:szCs w:val="24"/>
                <w:lang w:val="en-US" w:eastAsia="zh-CN"/>
              </w:rPr>
              <w:t>4.其他情况不得分。</w:t>
            </w:r>
          </w:p>
          <w:p>
            <w:pPr>
              <w:keepNext w:val="0"/>
              <w:keepLines w:val="0"/>
              <w:pageBreakBefore w:val="0"/>
              <w:topLinePunct w:val="0"/>
              <w:bidi w:val="0"/>
              <w:adjustRightInd w:val="0"/>
              <w:snapToGrid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bCs/>
                <w:color w:val="auto"/>
                <w:kern w:val="0"/>
                <w:sz w:val="24"/>
                <w:szCs w:val="24"/>
                <w:lang w:val="en-US" w:eastAsia="zh-CN"/>
              </w:rPr>
              <w:t>证明材料：提供</w:t>
            </w:r>
            <w:r>
              <w:rPr>
                <w:rFonts w:hint="eastAsia" w:ascii="宋体" w:hAnsi="宋体" w:cs="宋体"/>
                <w:bCs/>
                <w:color w:val="auto"/>
                <w:kern w:val="0"/>
                <w:sz w:val="24"/>
                <w:szCs w:val="24"/>
                <w:lang w:val="en-US" w:eastAsia="zh-CN"/>
              </w:rPr>
              <w:t>货物配送方案及</w:t>
            </w:r>
            <w:r>
              <w:rPr>
                <w:rFonts w:hint="eastAsia" w:ascii="宋体" w:hAnsi="宋体" w:eastAsia="宋体" w:cs="宋体"/>
                <w:bCs/>
                <w:color w:val="auto"/>
                <w:kern w:val="0"/>
                <w:sz w:val="24"/>
                <w:szCs w:val="24"/>
                <w:lang w:val="en-US" w:eastAsia="zh-CN"/>
              </w:rPr>
              <w:t>承诺函，</w:t>
            </w:r>
            <w:r>
              <w:rPr>
                <w:rFonts w:hint="eastAsia" w:ascii="宋体" w:hAnsi="宋体" w:eastAsia="宋体" w:cs="宋体"/>
                <w:bCs/>
                <w:color w:val="auto"/>
                <w:kern w:val="0"/>
                <w:sz w:val="24"/>
                <w:szCs w:val="24"/>
              </w:rPr>
              <w:t>未提供或所提供的材料不符合得分条件的不计分。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Merge w:val="continue"/>
            <w:noWrap w:val="0"/>
            <w:vAlign w:val="center"/>
          </w:tcPr>
          <w:p>
            <w:pPr>
              <w:keepNext w:val="0"/>
              <w:keepLines w:val="0"/>
              <w:pageBreakBefore w:val="0"/>
              <w:widowControl w:val="0"/>
              <w:topLinePunct w:val="0"/>
              <w:bidi w:val="0"/>
              <w:spacing w:beforeAutospacing="0" w:afterAutospacing="0" w:line="400" w:lineRule="exact"/>
              <w:jc w:val="center"/>
              <w:rPr>
                <w:rFonts w:hint="eastAsia" w:ascii="宋体" w:hAnsi="宋体" w:eastAsia="宋体" w:cs="宋体"/>
                <w:color w:val="auto"/>
                <w:sz w:val="24"/>
                <w:szCs w:val="24"/>
              </w:rPr>
            </w:pPr>
          </w:p>
        </w:tc>
        <w:tc>
          <w:tcPr>
            <w:tcW w:w="801" w:type="dxa"/>
            <w:noWrap w:val="0"/>
            <w:vAlign w:val="center"/>
          </w:tcPr>
          <w:p>
            <w:pPr>
              <w:keepNext w:val="0"/>
              <w:keepLines w:val="0"/>
              <w:pageBreakBefore w:val="0"/>
              <w:widowControl w:val="0"/>
              <w:topLinePunct w:val="0"/>
              <w:bidi w:val="0"/>
              <w:spacing w:line="400" w:lineRule="exact"/>
              <w:ind w:firstLine="14" w:firstLineChars="6"/>
              <w:jc w:val="cente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rPr>
              <w:t>同类项目业绩</w:t>
            </w:r>
          </w:p>
        </w:tc>
        <w:tc>
          <w:tcPr>
            <w:tcW w:w="975" w:type="dxa"/>
            <w:noWrap w:val="0"/>
            <w:vAlign w:val="center"/>
          </w:tcPr>
          <w:p>
            <w:pPr>
              <w:keepNext w:val="0"/>
              <w:keepLines w:val="0"/>
              <w:pageBreakBefore w:val="0"/>
              <w:widowControl w:val="0"/>
              <w:topLinePunct w:val="0"/>
              <w:bidi w:val="0"/>
              <w:spacing w:line="400" w:lineRule="exact"/>
              <w:ind w:firstLine="14" w:firstLineChars="6"/>
              <w:jc w:val="center"/>
              <w:rPr>
                <w:rFonts w:hint="eastAsia" w:ascii="宋体" w:hAnsi="宋体" w:eastAsia="宋体" w:cs="宋体"/>
                <w:bCs/>
                <w:color w:val="auto"/>
                <w:kern w:val="0"/>
                <w:sz w:val="24"/>
                <w:szCs w:val="24"/>
                <w:lang w:val="en-US" w:eastAsia="zh-CN" w:bidi="ar-SA"/>
              </w:rPr>
            </w:pPr>
            <w:r>
              <w:rPr>
                <w:rFonts w:hint="eastAsia" w:ascii="宋体" w:hAnsi="宋体" w:cs="宋体"/>
                <w:bCs/>
                <w:color w:val="auto"/>
                <w:kern w:val="0"/>
                <w:sz w:val="24"/>
                <w:szCs w:val="24"/>
                <w:lang w:val="en-US" w:eastAsia="zh-CN"/>
              </w:rPr>
              <w:t>5</w:t>
            </w:r>
          </w:p>
        </w:tc>
        <w:tc>
          <w:tcPr>
            <w:tcW w:w="7221" w:type="dxa"/>
            <w:noWrap w:val="0"/>
            <w:vAlign w:val="center"/>
          </w:tcPr>
          <w:p>
            <w:pPr>
              <w:keepNext w:val="0"/>
              <w:keepLines w:val="0"/>
              <w:pageBreakBefore w:val="0"/>
              <w:topLinePunct w:val="0"/>
              <w:bidi w:val="0"/>
              <w:adjustRightInd w:val="0"/>
              <w:snapToGrid w:val="0"/>
              <w:spacing w:line="400" w:lineRule="exac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评审内容：投标人2021年08月01日至本项目投标截止时间（以合同签订时间为准）已完成的同类项目情况。</w:t>
            </w:r>
          </w:p>
          <w:p>
            <w:pPr>
              <w:keepNext w:val="0"/>
              <w:keepLines w:val="0"/>
              <w:pageBreakBefore w:val="0"/>
              <w:topLinePunct w:val="0"/>
              <w:bidi w:val="0"/>
              <w:adjustRightInd w:val="0"/>
              <w:snapToGrid w:val="0"/>
              <w:spacing w:line="400" w:lineRule="exac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评审依据：</w:t>
            </w:r>
          </w:p>
          <w:p>
            <w:pPr>
              <w:keepNext w:val="0"/>
              <w:keepLines w:val="0"/>
              <w:pageBreakBefore w:val="0"/>
              <w:topLinePunct w:val="0"/>
              <w:bidi w:val="0"/>
              <w:adjustRightInd w:val="0"/>
              <w:snapToGrid w:val="0"/>
              <w:spacing w:line="400" w:lineRule="exac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1.提供合同关键页（关键信息包括但不仅限于合同的项目名称、项目内容、合同签订日期或能体现服务时间、甲乙双方签字盖章页）且提供的材料各项信息不得有任何遮挡；</w:t>
            </w:r>
          </w:p>
          <w:p>
            <w:pPr>
              <w:keepNext w:val="0"/>
              <w:keepLines w:val="0"/>
              <w:pageBreakBefore w:val="0"/>
              <w:numPr>
                <w:ilvl w:val="0"/>
                <w:numId w:val="0"/>
              </w:numPr>
              <w:topLinePunct w:val="0"/>
              <w:bidi w:val="0"/>
              <w:adjustRightInd w:val="0"/>
              <w:snapToGrid w:val="0"/>
              <w:spacing w:line="400" w:lineRule="exact"/>
              <w:ind w:left="0" w:leftChars="0" w:firstLine="0" w:firstLineChars="0"/>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2.</w:t>
            </w:r>
            <w:r>
              <w:rPr>
                <w:rFonts w:hint="eastAsia" w:ascii="宋体" w:hAnsi="宋体" w:eastAsia="宋体" w:cs="宋体"/>
                <w:bCs/>
                <w:color w:val="auto"/>
                <w:kern w:val="0"/>
                <w:sz w:val="24"/>
                <w:szCs w:val="24"/>
                <w:lang w:val="en-US" w:eastAsia="zh-CN"/>
              </w:rPr>
              <w:t>提供以上证明文件复印件或扫描件，均要求加盖投标人公章,原件备查。每提供1项同类项目业绩证明得1分，最高得</w:t>
            </w:r>
            <w:r>
              <w:rPr>
                <w:rFonts w:hint="eastAsia" w:ascii="宋体" w:hAnsi="宋体" w:cs="宋体"/>
                <w:bCs/>
                <w:color w:val="auto"/>
                <w:kern w:val="0"/>
                <w:sz w:val="24"/>
                <w:szCs w:val="24"/>
                <w:lang w:val="en-US" w:eastAsia="zh-CN"/>
              </w:rPr>
              <w:t>5</w:t>
            </w:r>
            <w:r>
              <w:rPr>
                <w:rFonts w:hint="eastAsia" w:ascii="宋体" w:hAnsi="宋体" w:eastAsia="宋体" w:cs="宋体"/>
                <w:bCs/>
                <w:color w:val="auto"/>
                <w:kern w:val="0"/>
                <w:sz w:val="24"/>
                <w:szCs w:val="24"/>
                <w:lang w:val="en-US" w:eastAsia="zh-CN"/>
              </w:rPr>
              <w:t>分。未按要求提供有效证明材料或提供不清晰导致评委无法识别的不计得分。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34" w:type="dxa"/>
            <w:vMerge w:val="continue"/>
            <w:noWrap w:val="0"/>
            <w:vAlign w:val="center"/>
          </w:tcPr>
          <w:p>
            <w:pPr>
              <w:keepNext w:val="0"/>
              <w:keepLines w:val="0"/>
              <w:pageBreakBefore w:val="0"/>
              <w:widowControl w:val="0"/>
              <w:topLinePunct w:val="0"/>
              <w:bidi w:val="0"/>
              <w:spacing w:beforeAutospacing="0" w:afterAutospacing="0" w:line="400" w:lineRule="exact"/>
              <w:jc w:val="center"/>
              <w:rPr>
                <w:rFonts w:hint="eastAsia" w:ascii="宋体" w:hAnsi="宋体" w:eastAsia="宋体" w:cs="宋体"/>
                <w:color w:val="auto"/>
                <w:sz w:val="24"/>
                <w:szCs w:val="24"/>
              </w:rPr>
            </w:pPr>
          </w:p>
        </w:tc>
        <w:tc>
          <w:tcPr>
            <w:tcW w:w="801" w:type="dxa"/>
            <w:noWrap w:val="0"/>
            <w:vAlign w:val="center"/>
          </w:tcPr>
          <w:p>
            <w:pPr>
              <w:jc w:val="center"/>
              <w:rPr>
                <w:rFonts w:hint="eastAsia" w:ascii="宋体" w:hAnsi="宋体" w:eastAsia="宋体" w:cs="宋体"/>
                <w:bCs/>
                <w:color w:val="auto"/>
                <w:kern w:val="0"/>
                <w:sz w:val="24"/>
                <w:szCs w:val="24"/>
              </w:rPr>
            </w:pPr>
            <w:r>
              <w:rPr>
                <w:rFonts w:hint="eastAsia" w:ascii="宋体" w:hAnsi="宋体" w:cs="宋体"/>
                <w:szCs w:val="21"/>
              </w:rPr>
              <w:t>履约评价</w:t>
            </w:r>
          </w:p>
        </w:tc>
        <w:tc>
          <w:tcPr>
            <w:tcW w:w="975" w:type="dxa"/>
            <w:noWrap w:val="0"/>
            <w:vAlign w:val="center"/>
          </w:tcPr>
          <w:p>
            <w:pPr>
              <w:keepNext w:val="0"/>
              <w:keepLines w:val="0"/>
              <w:pageBreakBefore w:val="0"/>
              <w:topLinePunct w:val="0"/>
              <w:bidi w:val="0"/>
              <w:adjustRightInd w:val="0"/>
              <w:snapToGrid w:val="0"/>
              <w:spacing w:line="400" w:lineRule="exact"/>
              <w:jc w:val="center"/>
              <w:textAlignment w:val="baseline"/>
              <w:rPr>
                <w:rFonts w:hint="eastAsia" w:ascii="宋体" w:hAnsi="宋体" w:eastAsia="宋体" w:cs="宋体"/>
                <w:bCs/>
                <w:color w:val="auto"/>
                <w:kern w:val="0"/>
                <w:sz w:val="24"/>
                <w:szCs w:val="24"/>
                <w:lang w:val="en-US" w:eastAsia="zh-CN"/>
              </w:rPr>
            </w:pPr>
            <w:r>
              <w:rPr>
                <w:rFonts w:hint="eastAsia" w:ascii="宋体" w:hAnsi="宋体" w:cs="宋体"/>
                <w:color w:val="auto"/>
                <w:sz w:val="24"/>
                <w:szCs w:val="24"/>
                <w:lang w:val="en-US" w:eastAsia="zh-CN"/>
              </w:rPr>
              <w:t>5</w:t>
            </w:r>
          </w:p>
        </w:tc>
        <w:tc>
          <w:tcPr>
            <w:tcW w:w="7221" w:type="dxa"/>
            <w:noWrap w:val="0"/>
            <w:vAlign w:val="center"/>
          </w:tcPr>
          <w:p>
            <w:pPr>
              <w:keepNext w:val="0"/>
              <w:keepLines w:val="0"/>
              <w:pageBreakBefore w:val="0"/>
              <w:topLinePunct w:val="0"/>
              <w:bidi w:val="0"/>
              <w:adjustRightInd w:val="0"/>
              <w:snapToGrid w:val="0"/>
              <w:spacing w:line="400" w:lineRule="exac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评审内容：投标人在上述“同类项目业绩”评审项中参加评审的业绩，能够提供用户出具的履约评价，且评价为优（或非常满意）的，每份得2分，评价为合格（或满意）的，每份得1分，其他情况不得分。最高得5分。</w:t>
            </w:r>
          </w:p>
          <w:p>
            <w:pPr>
              <w:keepNext w:val="0"/>
              <w:keepLines w:val="0"/>
              <w:pageBreakBefore w:val="0"/>
              <w:topLinePunct w:val="0"/>
              <w:bidi w:val="0"/>
              <w:adjustRightInd w:val="0"/>
              <w:snapToGrid w:val="0"/>
              <w:spacing w:line="400" w:lineRule="exac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证明文件：</w:t>
            </w:r>
          </w:p>
          <w:p>
            <w:pPr>
              <w:keepNext w:val="0"/>
              <w:keepLines w:val="0"/>
              <w:pageBreakBefore w:val="0"/>
              <w:topLinePunct w:val="0"/>
              <w:bidi w:val="0"/>
              <w:adjustRightInd w:val="0"/>
              <w:snapToGrid w:val="0"/>
              <w:spacing w:line="400" w:lineRule="exact"/>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投标人提供用户出具的履约评价（加盖用户单位公章）原件扫描件，原件备查，未提供或提供不清晰导致无法判断的，不得分。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34" w:type="dxa"/>
            <w:vMerge w:val="continue"/>
            <w:noWrap w:val="0"/>
            <w:vAlign w:val="center"/>
          </w:tcPr>
          <w:p>
            <w:pPr>
              <w:keepNext w:val="0"/>
              <w:keepLines w:val="0"/>
              <w:pageBreakBefore w:val="0"/>
              <w:widowControl w:val="0"/>
              <w:topLinePunct w:val="0"/>
              <w:bidi w:val="0"/>
              <w:spacing w:beforeAutospacing="0" w:afterAutospacing="0" w:line="400" w:lineRule="exact"/>
              <w:jc w:val="center"/>
              <w:rPr>
                <w:rFonts w:hint="eastAsia" w:ascii="宋体" w:hAnsi="宋体" w:eastAsia="宋体" w:cs="宋体"/>
                <w:color w:val="auto"/>
                <w:sz w:val="24"/>
                <w:szCs w:val="24"/>
              </w:rPr>
            </w:pPr>
          </w:p>
        </w:tc>
        <w:tc>
          <w:tcPr>
            <w:tcW w:w="801" w:type="dxa"/>
            <w:noWrap w:val="0"/>
            <w:vAlign w:val="center"/>
          </w:tcPr>
          <w:p>
            <w:pPr>
              <w:keepNext w:val="0"/>
              <w:keepLines w:val="0"/>
              <w:pageBreakBefore w:val="0"/>
              <w:widowControl w:val="0"/>
              <w:topLinePunct w:val="0"/>
              <w:bidi w:val="0"/>
              <w:spacing w:line="400" w:lineRule="exact"/>
              <w:ind w:firstLine="14" w:firstLineChars="6"/>
              <w:jc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企业诚信</w:t>
            </w:r>
          </w:p>
        </w:tc>
        <w:tc>
          <w:tcPr>
            <w:tcW w:w="975" w:type="dxa"/>
            <w:noWrap w:val="0"/>
            <w:vAlign w:val="center"/>
          </w:tcPr>
          <w:p>
            <w:pPr>
              <w:keepNext w:val="0"/>
              <w:keepLines w:val="0"/>
              <w:pageBreakBefore w:val="0"/>
              <w:widowControl w:val="0"/>
              <w:topLinePunct w:val="0"/>
              <w:bidi w:val="0"/>
              <w:spacing w:line="400" w:lineRule="exact"/>
              <w:ind w:firstLine="14" w:firstLineChars="6"/>
              <w:jc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w:t>
            </w:r>
          </w:p>
        </w:tc>
        <w:tc>
          <w:tcPr>
            <w:tcW w:w="7221" w:type="dxa"/>
            <w:noWrap w:val="0"/>
            <w:vAlign w:val="center"/>
          </w:tcPr>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rPr>
              <w:t>投标人在参与政府采购活动中存在诚信相关问题且在主管部门相关处理措施实施期限内的本项不得分，否则得满分。投标人无需提供任何证明材料，由工作人员查询后向评审委员会提供相关信息。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34" w:type="dxa"/>
            <w:vMerge w:val="restart"/>
            <w:noWrap w:val="0"/>
            <w:vAlign w:val="center"/>
          </w:tcPr>
          <w:p>
            <w:pPr>
              <w:keepNext w:val="0"/>
              <w:keepLines w:val="0"/>
              <w:pageBreakBefore w:val="0"/>
              <w:widowControl w:val="0"/>
              <w:topLinePunct w:val="0"/>
              <w:bidi w:val="0"/>
              <w:spacing w:beforeAutospacing="0" w:afterAutospacing="0"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技术得分</w:t>
            </w:r>
          </w:p>
          <w:p>
            <w:pPr>
              <w:keepNext w:val="0"/>
              <w:keepLines w:val="0"/>
              <w:pageBreakBefore w:val="0"/>
              <w:widowControl w:val="0"/>
              <w:topLinePunct w:val="0"/>
              <w:bidi w:val="0"/>
              <w:spacing w:beforeAutospacing="0" w:afterAutospacing="0" w:line="400" w:lineRule="exact"/>
              <w:jc w:val="center"/>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45</w:t>
            </w:r>
            <w:r>
              <w:rPr>
                <w:rFonts w:hint="eastAsia" w:ascii="宋体" w:hAnsi="宋体" w:eastAsia="宋体" w:cs="宋体"/>
                <w:color w:val="auto"/>
                <w:sz w:val="24"/>
                <w:szCs w:val="24"/>
              </w:rPr>
              <w:t>分）</w:t>
            </w:r>
          </w:p>
        </w:tc>
        <w:tc>
          <w:tcPr>
            <w:tcW w:w="801" w:type="dxa"/>
            <w:noWrap w:val="0"/>
            <w:vAlign w:val="center"/>
          </w:tcPr>
          <w:p>
            <w:pPr>
              <w:keepNext w:val="0"/>
              <w:keepLines w:val="0"/>
              <w:pageBreakBefore w:val="0"/>
              <w:widowControl w:val="0"/>
              <w:kinsoku w:val="0"/>
              <w:wordWrap w:val="0"/>
              <w:overflowPunct w:val="0"/>
              <w:topLinePunct w:val="0"/>
              <w:bidi w:val="0"/>
              <w:adjustRightInd w:val="0"/>
              <w:snapToGrid w:val="0"/>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项目服务方案</w:t>
            </w:r>
          </w:p>
        </w:tc>
        <w:tc>
          <w:tcPr>
            <w:tcW w:w="975" w:type="dxa"/>
            <w:noWrap w:val="0"/>
            <w:vAlign w:val="center"/>
          </w:tcPr>
          <w:p>
            <w:pPr>
              <w:keepNext w:val="0"/>
              <w:keepLines w:val="0"/>
              <w:pageBreakBefore w:val="0"/>
              <w:widowControl w:val="0"/>
              <w:kinsoku w:val="0"/>
              <w:wordWrap w:val="0"/>
              <w:overflowPunct w:val="0"/>
              <w:topLinePunct w:val="0"/>
              <w:bidi w:val="0"/>
              <w:adjustRightInd w:val="0"/>
              <w:snapToGrid w:val="0"/>
              <w:spacing w:line="40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7221" w:type="dxa"/>
            <w:noWrap w:val="0"/>
            <w:vAlign w:val="center"/>
          </w:tcPr>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评审内容：</w:t>
            </w:r>
            <w:r>
              <w:rPr>
                <w:rFonts w:hint="eastAsia" w:ascii="宋体" w:hAnsi="宋体" w:eastAsia="宋体" w:cs="宋体"/>
                <w:bCs/>
                <w:color w:val="auto"/>
                <w:kern w:val="0"/>
                <w:sz w:val="24"/>
                <w:szCs w:val="24"/>
              </w:rPr>
              <w:t>在文件中详细说明对于本项目的整体设想及规划方案，评审专家根据响应情况进行评审：</w:t>
            </w:r>
          </w:p>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评分标准：</w:t>
            </w:r>
          </w:p>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1、采购渠道；</w:t>
            </w:r>
          </w:p>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2、供货保障；</w:t>
            </w:r>
          </w:p>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3、品质保障；</w:t>
            </w:r>
          </w:p>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4、物流配送保障；</w:t>
            </w:r>
          </w:p>
          <w:p>
            <w:pPr>
              <w:keepNext w:val="0"/>
              <w:keepLines w:val="0"/>
              <w:pageBreakBefore w:val="0"/>
              <w:topLinePunct w:val="0"/>
              <w:bidi w:val="0"/>
              <w:adjustRightInd w:val="0"/>
              <w:snapToGrid w:val="0"/>
              <w:spacing w:line="400" w:lineRule="exac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证明文件：</w:t>
            </w:r>
          </w:p>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1、满足以上一项要求得</w:t>
            </w:r>
            <w:r>
              <w:rPr>
                <w:rFonts w:hint="eastAsia" w:ascii="宋体" w:hAnsi="宋体" w:cs="宋体"/>
                <w:bCs/>
                <w:color w:val="auto"/>
                <w:kern w:val="0"/>
                <w:sz w:val="24"/>
                <w:szCs w:val="24"/>
                <w:lang w:val="en-US" w:eastAsia="zh-CN"/>
              </w:rPr>
              <w:t>1</w:t>
            </w:r>
            <w:r>
              <w:rPr>
                <w:rFonts w:hint="eastAsia" w:ascii="宋体" w:hAnsi="宋体" w:eastAsia="宋体" w:cs="宋体"/>
                <w:bCs/>
                <w:color w:val="auto"/>
                <w:kern w:val="0"/>
                <w:sz w:val="24"/>
                <w:szCs w:val="24"/>
                <w:lang w:val="en-US" w:eastAsia="zh-CN"/>
              </w:rPr>
              <w:t>分，全部满足得</w:t>
            </w:r>
            <w:r>
              <w:rPr>
                <w:rFonts w:hint="eastAsia" w:ascii="宋体" w:hAnsi="宋体" w:cs="宋体"/>
                <w:bCs/>
                <w:color w:val="auto"/>
                <w:kern w:val="0"/>
                <w:sz w:val="24"/>
                <w:szCs w:val="24"/>
                <w:lang w:val="en-US" w:eastAsia="zh-CN"/>
              </w:rPr>
              <w:t>4</w:t>
            </w:r>
            <w:r>
              <w:rPr>
                <w:rFonts w:hint="eastAsia" w:ascii="宋体" w:hAnsi="宋体" w:eastAsia="宋体" w:cs="宋体"/>
                <w:bCs/>
                <w:color w:val="auto"/>
                <w:kern w:val="0"/>
                <w:sz w:val="24"/>
                <w:szCs w:val="24"/>
                <w:lang w:val="en-US" w:eastAsia="zh-CN"/>
              </w:rPr>
              <w:t>分，其它情况不得分。</w:t>
            </w:r>
          </w:p>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2、在此基础上，专家根据各供应商的具体响应内容进一步评审：</w:t>
            </w:r>
          </w:p>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（1）评审为优（服务方案具体全面，工作内容和安排考虑周到合理，针对性、操作性强）的，加</w:t>
            </w:r>
            <w:r>
              <w:rPr>
                <w:rFonts w:hint="eastAsia" w:ascii="宋体" w:hAnsi="宋体" w:cs="宋体"/>
                <w:bCs/>
                <w:color w:val="auto"/>
                <w:kern w:val="0"/>
                <w:sz w:val="24"/>
                <w:szCs w:val="24"/>
                <w:lang w:val="en-US" w:eastAsia="zh-CN"/>
              </w:rPr>
              <w:t>8</w:t>
            </w:r>
            <w:r>
              <w:rPr>
                <w:rFonts w:hint="eastAsia" w:ascii="宋体" w:hAnsi="宋体" w:eastAsia="宋体" w:cs="宋体"/>
                <w:bCs/>
                <w:color w:val="auto"/>
                <w:kern w:val="0"/>
                <w:sz w:val="24"/>
                <w:szCs w:val="24"/>
                <w:lang w:val="en-US" w:eastAsia="zh-CN"/>
              </w:rPr>
              <w:t>分；</w:t>
            </w:r>
          </w:p>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（2）评审为良（服务方案较具体全面，工作内容和安排考虑较周到合理，针对性、操作性较强）的，加</w:t>
            </w:r>
            <w:r>
              <w:rPr>
                <w:rFonts w:hint="eastAsia" w:ascii="宋体" w:hAnsi="宋体" w:cs="宋体"/>
                <w:bCs/>
                <w:color w:val="auto"/>
                <w:kern w:val="0"/>
                <w:sz w:val="24"/>
                <w:szCs w:val="24"/>
                <w:lang w:val="en-US" w:eastAsia="zh-CN"/>
              </w:rPr>
              <w:t>5</w:t>
            </w:r>
            <w:r>
              <w:rPr>
                <w:rFonts w:hint="eastAsia" w:ascii="宋体" w:hAnsi="宋体" w:eastAsia="宋体" w:cs="宋体"/>
                <w:bCs/>
                <w:color w:val="auto"/>
                <w:kern w:val="0"/>
                <w:sz w:val="24"/>
                <w:szCs w:val="24"/>
                <w:lang w:val="en-US" w:eastAsia="zh-CN"/>
              </w:rPr>
              <w:t>分；</w:t>
            </w:r>
          </w:p>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（3）评审为中（服务方案具体全面性一般，工作内容和安排考虑周到合理性一般，针对性、操作性一般）的，加</w:t>
            </w:r>
            <w:r>
              <w:rPr>
                <w:rFonts w:hint="eastAsia" w:ascii="宋体" w:hAnsi="宋体" w:cs="宋体"/>
                <w:bCs/>
                <w:color w:val="auto"/>
                <w:kern w:val="0"/>
                <w:sz w:val="24"/>
                <w:szCs w:val="24"/>
                <w:lang w:val="en-US" w:eastAsia="zh-CN"/>
              </w:rPr>
              <w:t>3</w:t>
            </w:r>
            <w:r>
              <w:rPr>
                <w:rFonts w:hint="eastAsia" w:ascii="宋体" w:hAnsi="宋体" w:eastAsia="宋体" w:cs="宋体"/>
                <w:bCs/>
                <w:color w:val="auto"/>
                <w:kern w:val="0"/>
                <w:sz w:val="24"/>
                <w:szCs w:val="24"/>
                <w:lang w:val="en-US" w:eastAsia="zh-CN"/>
              </w:rPr>
              <w:t>分；</w:t>
            </w:r>
          </w:p>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（4）评价为差（服务方案不具体全面，工作内容和安排考虑不周到合理，针对性、操作性不强）的，不加分。</w:t>
            </w:r>
          </w:p>
          <w:p>
            <w:pPr>
              <w:keepNext w:val="0"/>
              <w:keepLines w:val="0"/>
              <w:pageBreakBefore w:val="0"/>
              <w:widowControl w:val="0"/>
              <w:topLinePunct w:val="0"/>
              <w:bidi w:val="0"/>
              <w:spacing w:line="400" w:lineRule="exact"/>
              <w:ind w:firstLine="14" w:firstLineChars="6"/>
              <w:jc w:val="both"/>
              <w:rPr>
                <w:rFonts w:hint="default" w:ascii="宋体" w:hAnsi="宋体" w:eastAsia="宋体" w:cs="宋体"/>
                <w:bCs/>
                <w:color w:val="auto"/>
                <w:kern w:val="0"/>
                <w:sz w:val="24"/>
                <w:szCs w:val="24"/>
                <w:lang w:val="en-US" w:eastAsia="zh-CN"/>
              </w:rPr>
            </w:pPr>
            <w:r>
              <w:rPr>
                <w:rFonts w:hint="eastAsia" w:ascii="宋体" w:hAnsi="宋体" w:cs="宋体"/>
                <w:bCs/>
                <w:color w:val="auto"/>
                <w:kern w:val="0"/>
                <w:sz w:val="24"/>
                <w:szCs w:val="24"/>
                <w:lang w:val="en-US" w:eastAsia="zh-CN"/>
              </w:rPr>
              <w:t>提供项目服务方案，并承诺中标后提供一致的保障服务。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34" w:type="dxa"/>
            <w:vMerge w:val="continue"/>
            <w:noWrap w:val="0"/>
            <w:vAlign w:val="center"/>
          </w:tcPr>
          <w:p>
            <w:pPr>
              <w:keepNext w:val="0"/>
              <w:keepLines w:val="0"/>
              <w:pageBreakBefore w:val="0"/>
              <w:widowControl w:val="0"/>
              <w:topLinePunct w:val="0"/>
              <w:bidi w:val="0"/>
              <w:spacing w:beforeAutospacing="0" w:afterAutospacing="0" w:line="400" w:lineRule="exact"/>
              <w:jc w:val="center"/>
              <w:rPr>
                <w:rFonts w:hint="eastAsia" w:ascii="宋体" w:hAnsi="宋体" w:eastAsia="宋体" w:cs="宋体"/>
                <w:color w:val="auto"/>
                <w:sz w:val="24"/>
                <w:szCs w:val="24"/>
              </w:rPr>
            </w:pPr>
          </w:p>
        </w:tc>
        <w:tc>
          <w:tcPr>
            <w:tcW w:w="801" w:type="dxa"/>
            <w:noWrap w:val="0"/>
            <w:vAlign w:val="center"/>
          </w:tcPr>
          <w:p>
            <w:pPr>
              <w:keepNext w:val="0"/>
              <w:keepLines w:val="0"/>
              <w:pageBreakBefore w:val="0"/>
              <w:widowControl w:val="0"/>
              <w:topLinePunct w:val="0"/>
              <w:bidi w:val="0"/>
              <w:spacing w:line="400" w:lineRule="exact"/>
              <w:ind w:firstLine="14" w:firstLineChars="6"/>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售后服务</w:t>
            </w:r>
          </w:p>
        </w:tc>
        <w:tc>
          <w:tcPr>
            <w:tcW w:w="975" w:type="dxa"/>
            <w:noWrap w:val="0"/>
            <w:vAlign w:val="center"/>
          </w:tcPr>
          <w:p>
            <w:pPr>
              <w:keepNext w:val="0"/>
              <w:keepLines w:val="0"/>
              <w:pageBreakBefore w:val="0"/>
              <w:widowControl w:val="0"/>
              <w:topLinePunct w:val="0"/>
              <w:bidi w:val="0"/>
              <w:spacing w:beforeAutospacing="0" w:afterAutospacing="0" w:line="40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8</w:t>
            </w:r>
          </w:p>
        </w:tc>
        <w:tc>
          <w:tcPr>
            <w:tcW w:w="7221" w:type="dxa"/>
            <w:noWrap w:val="0"/>
            <w:vAlign w:val="center"/>
          </w:tcPr>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评审内容：</w:t>
            </w:r>
            <w:r>
              <w:rPr>
                <w:rFonts w:hint="eastAsia" w:ascii="宋体" w:hAnsi="宋体" w:eastAsia="宋体" w:cs="宋体"/>
                <w:bCs/>
                <w:color w:val="auto"/>
                <w:kern w:val="0"/>
                <w:sz w:val="24"/>
                <w:szCs w:val="24"/>
              </w:rPr>
              <w:t>在文件中详细说明对于本项目的</w:t>
            </w:r>
            <w:r>
              <w:rPr>
                <w:rFonts w:hint="eastAsia" w:ascii="宋体" w:hAnsi="宋体" w:eastAsia="宋体" w:cs="宋体"/>
                <w:color w:val="auto"/>
                <w:sz w:val="24"/>
                <w:szCs w:val="24"/>
              </w:rPr>
              <w:t>售后服务</w:t>
            </w:r>
            <w:r>
              <w:rPr>
                <w:rFonts w:hint="eastAsia" w:ascii="宋体" w:hAnsi="宋体" w:cs="宋体"/>
                <w:color w:val="auto"/>
                <w:sz w:val="24"/>
                <w:szCs w:val="24"/>
                <w:lang w:val="en-US" w:eastAsia="zh-CN"/>
              </w:rPr>
              <w:t>方案</w:t>
            </w:r>
            <w:r>
              <w:rPr>
                <w:rFonts w:hint="eastAsia" w:ascii="宋体" w:hAnsi="宋体" w:eastAsia="宋体" w:cs="宋体"/>
                <w:bCs/>
                <w:color w:val="auto"/>
                <w:kern w:val="0"/>
                <w:sz w:val="24"/>
                <w:szCs w:val="24"/>
              </w:rPr>
              <w:t>，评审专家根据响应情况进行评审：</w:t>
            </w:r>
          </w:p>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评分标准：</w:t>
            </w:r>
          </w:p>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color w:val="auto"/>
                <w:sz w:val="24"/>
                <w:szCs w:val="24"/>
                <w:highlight w:val="none"/>
              </w:rPr>
              <w:t>网点设置</w:t>
            </w:r>
            <w:r>
              <w:rPr>
                <w:rFonts w:hint="eastAsia" w:ascii="宋体" w:hAnsi="宋体" w:eastAsia="宋体" w:cs="宋体"/>
                <w:bCs/>
                <w:color w:val="auto"/>
                <w:kern w:val="0"/>
                <w:sz w:val="24"/>
                <w:szCs w:val="24"/>
                <w:highlight w:val="none"/>
                <w:lang w:val="en-US" w:eastAsia="zh-CN"/>
              </w:rPr>
              <w:t>；</w:t>
            </w:r>
          </w:p>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color w:val="auto"/>
                <w:sz w:val="24"/>
                <w:szCs w:val="24"/>
                <w:highlight w:val="none"/>
              </w:rPr>
              <w:t>人员配置</w:t>
            </w:r>
            <w:r>
              <w:rPr>
                <w:rFonts w:hint="eastAsia" w:ascii="宋体" w:hAnsi="宋体" w:eastAsia="宋体" w:cs="宋体"/>
                <w:bCs/>
                <w:color w:val="auto"/>
                <w:kern w:val="0"/>
                <w:sz w:val="24"/>
                <w:szCs w:val="24"/>
                <w:highlight w:val="none"/>
                <w:lang w:val="en-US" w:eastAsia="zh-CN"/>
              </w:rPr>
              <w:t>；</w:t>
            </w:r>
          </w:p>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color w:val="auto"/>
                <w:sz w:val="24"/>
                <w:szCs w:val="24"/>
                <w:highlight w:val="none"/>
              </w:rPr>
              <w:t>备件供应</w:t>
            </w:r>
            <w:r>
              <w:rPr>
                <w:rFonts w:hint="eastAsia" w:ascii="宋体" w:hAnsi="宋体" w:eastAsia="宋体" w:cs="宋体"/>
                <w:bCs/>
                <w:color w:val="auto"/>
                <w:kern w:val="0"/>
                <w:sz w:val="24"/>
                <w:szCs w:val="24"/>
                <w:highlight w:val="none"/>
                <w:lang w:val="en-US" w:eastAsia="zh-CN"/>
              </w:rPr>
              <w:t>；</w:t>
            </w:r>
          </w:p>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color w:val="auto"/>
                <w:sz w:val="24"/>
                <w:szCs w:val="24"/>
                <w:highlight w:val="none"/>
              </w:rPr>
              <w:t>响应时间</w:t>
            </w:r>
            <w:r>
              <w:rPr>
                <w:rFonts w:hint="eastAsia" w:ascii="宋体" w:hAnsi="宋体" w:eastAsia="宋体" w:cs="宋体"/>
                <w:bCs/>
                <w:color w:val="auto"/>
                <w:kern w:val="0"/>
                <w:sz w:val="24"/>
                <w:szCs w:val="24"/>
                <w:highlight w:val="none"/>
                <w:lang w:val="en-US" w:eastAsia="zh-CN"/>
              </w:rPr>
              <w:t>；</w:t>
            </w:r>
          </w:p>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color w:val="auto"/>
                <w:sz w:val="24"/>
                <w:szCs w:val="24"/>
                <w:highlight w:val="none"/>
              </w:rPr>
              <w:t>用户投诉响应</w:t>
            </w:r>
            <w:r>
              <w:rPr>
                <w:rFonts w:hint="eastAsia" w:ascii="宋体" w:hAnsi="宋体" w:cs="宋体"/>
                <w:color w:val="auto"/>
                <w:sz w:val="24"/>
                <w:szCs w:val="24"/>
                <w:highlight w:val="none"/>
                <w:lang w:val="en-US" w:eastAsia="zh-CN"/>
              </w:rPr>
              <w:t>措施</w:t>
            </w:r>
            <w:r>
              <w:rPr>
                <w:rFonts w:hint="eastAsia" w:ascii="宋体" w:hAnsi="宋体" w:eastAsia="宋体" w:cs="宋体"/>
                <w:bCs/>
                <w:color w:val="auto"/>
                <w:kern w:val="0"/>
                <w:sz w:val="24"/>
                <w:szCs w:val="24"/>
                <w:highlight w:val="none"/>
                <w:lang w:val="en-US" w:eastAsia="zh-CN"/>
              </w:rPr>
              <w:t>。</w:t>
            </w:r>
          </w:p>
          <w:p>
            <w:pPr>
              <w:keepNext w:val="0"/>
              <w:keepLines w:val="0"/>
              <w:pageBreakBefore w:val="0"/>
              <w:widowControl w:val="0"/>
              <w:topLinePunct w:val="0"/>
              <w:bidi w:val="0"/>
              <w:spacing w:line="400" w:lineRule="exact"/>
              <w:ind w:firstLine="14" w:firstLineChars="6"/>
              <w:jc w:val="both"/>
              <w:rPr>
                <w:rFonts w:hint="eastAsia" w:ascii="宋体" w:hAnsi="宋体" w:eastAsia="宋体" w:cs="宋体"/>
                <w:color w:val="auto"/>
                <w:sz w:val="24"/>
                <w:szCs w:val="24"/>
              </w:rPr>
            </w:pPr>
            <w:r>
              <w:rPr>
                <w:rFonts w:hint="eastAsia" w:ascii="宋体" w:hAnsi="宋体" w:eastAsia="宋体" w:cs="宋体"/>
                <w:color w:val="auto"/>
                <w:sz w:val="24"/>
                <w:szCs w:val="24"/>
              </w:rPr>
              <w:t>证明文件：</w:t>
            </w:r>
          </w:p>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1、满足以上一项要求得</w:t>
            </w:r>
            <w:r>
              <w:rPr>
                <w:rFonts w:hint="eastAsia" w:ascii="宋体" w:hAnsi="宋体" w:cs="宋体"/>
                <w:bCs/>
                <w:color w:val="auto"/>
                <w:kern w:val="0"/>
                <w:sz w:val="24"/>
                <w:szCs w:val="24"/>
                <w:lang w:val="en-US" w:eastAsia="zh-CN"/>
              </w:rPr>
              <w:t>0.5</w:t>
            </w:r>
            <w:r>
              <w:rPr>
                <w:rFonts w:hint="eastAsia" w:ascii="宋体" w:hAnsi="宋体" w:eastAsia="宋体" w:cs="宋体"/>
                <w:bCs/>
                <w:color w:val="auto"/>
                <w:kern w:val="0"/>
                <w:sz w:val="24"/>
                <w:szCs w:val="24"/>
                <w:lang w:val="en-US" w:eastAsia="zh-CN"/>
              </w:rPr>
              <w:t>分，全部满足得</w:t>
            </w:r>
            <w:r>
              <w:rPr>
                <w:rFonts w:hint="eastAsia" w:ascii="宋体" w:hAnsi="宋体" w:cs="宋体"/>
                <w:bCs/>
                <w:color w:val="auto"/>
                <w:kern w:val="0"/>
                <w:sz w:val="24"/>
                <w:szCs w:val="24"/>
                <w:lang w:val="en-US" w:eastAsia="zh-CN"/>
              </w:rPr>
              <w:t>3</w:t>
            </w:r>
            <w:r>
              <w:rPr>
                <w:rFonts w:hint="eastAsia" w:ascii="宋体" w:hAnsi="宋体" w:eastAsia="宋体" w:cs="宋体"/>
                <w:bCs/>
                <w:color w:val="auto"/>
                <w:kern w:val="0"/>
                <w:sz w:val="24"/>
                <w:szCs w:val="24"/>
                <w:lang w:val="en-US" w:eastAsia="zh-CN"/>
              </w:rPr>
              <w:t>分，其它情况不得分。</w:t>
            </w:r>
          </w:p>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2、在此基础上，专家根据各供应商的具体响应内容进一步评审：</w:t>
            </w:r>
          </w:p>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（1）评审为优（</w:t>
            </w:r>
            <w:r>
              <w:rPr>
                <w:rFonts w:hint="eastAsia" w:ascii="宋体" w:hAnsi="宋体" w:cs="宋体"/>
                <w:bCs/>
                <w:color w:val="auto"/>
                <w:kern w:val="0"/>
                <w:sz w:val="24"/>
                <w:szCs w:val="24"/>
                <w:lang w:val="en-US" w:eastAsia="zh-CN"/>
              </w:rPr>
              <w:t>售后服务内容</w:t>
            </w:r>
            <w:r>
              <w:rPr>
                <w:rFonts w:hint="eastAsia" w:ascii="宋体" w:hAnsi="宋体" w:eastAsia="宋体" w:cs="宋体"/>
                <w:bCs/>
                <w:color w:val="auto"/>
                <w:kern w:val="0"/>
                <w:sz w:val="24"/>
                <w:szCs w:val="24"/>
                <w:lang w:val="en-US" w:eastAsia="zh-CN"/>
              </w:rPr>
              <w:t>具体全面</w:t>
            </w:r>
            <w:r>
              <w:rPr>
                <w:rFonts w:hint="eastAsia" w:ascii="宋体" w:hAnsi="宋体" w:cs="宋体"/>
                <w:bCs/>
                <w:color w:val="auto"/>
                <w:kern w:val="0"/>
                <w:sz w:val="24"/>
                <w:szCs w:val="24"/>
                <w:lang w:val="en-US" w:eastAsia="zh-CN"/>
              </w:rPr>
              <w:t>、</w:t>
            </w:r>
            <w:r>
              <w:rPr>
                <w:rFonts w:hint="eastAsia" w:ascii="宋体" w:hAnsi="宋体" w:eastAsia="宋体" w:cs="宋体"/>
                <w:bCs/>
                <w:color w:val="auto"/>
                <w:kern w:val="0"/>
                <w:sz w:val="24"/>
                <w:szCs w:val="24"/>
                <w:lang w:val="en-US" w:eastAsia="zh-CN"/>
              </w:rPr>
              <w:t>周到合理，针对性、操作性强）的，加</w:t>
            </w:r>
            <w:r>
              <w:rPr>
                <w:rFonts w:hint="eastAsia" w:ascii="宋体" w:hAnsi="宋体" w:cs="宋体"/>
                <w:bCs/>
                <w:color w:val="auto"/>
                <w:kern w:val="0"/>
                <w:sz w:val="24"/>
                <w:szCs w:val="24"/>
                <w:lang w:val="en-US" w:eastAsia="zh-CN"/>
              </w:rPr>
              <w:t>5</w:t>
            </w:r>
            <w:r>
              <w:rPr>
                <w:rFonts w:hint="eastAsia" w:ascii="宋体" w:hAnsi="宋体" w:eastAsia="宋体" w:cs="宋体"/>
                <w:bCs/>
                <w:color w:val="auto"/>
                <w:kern w:val="0"/>
                <w:sz w:val="24"/>
                <w:szCs w:val="24"/>
                <w:lang w:val="en-US" w:eastAsia="zh-CN"/>
              </w:rPr>
              <w:t>分；</w:t>
            </w:r>
          </w:p>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（2）评审为良（</w:t>
            </w:r>
            <w:r>
              <w:rPr>
                <w:rFonts w:hint="eastAsia" w:ascii="宋体" w:hAnsi="宋体" w:cs="宋体"/>
                <w:bCs/>
                <w:color w:val="auto"/>
                <w:kern w:val="0"/>
                <w:sz w:val="24"/>
                <w:szCs w:val="24"/>
                <w:lang w:val="en-US" w:eastAsia="zh-CN"/>
              </w:rPr>
              <w:t>售后服务内容较</w:t>
            </w:r>
            <w:r>
              <w:rPr>
                <w:rFonts w:hint="eastAsia" w:ascii="宋体" w:hAnsi="宋体" w:eastAsia="宋体" w:cs="宋体"/>
                <w:bCs/>
                <w:color w:val="auto"/>
                <w:kern w:val="0"/>
                <w:sz w:val="24"/>
                <w:szCs w:val="24"/>
                <w:lang w:val="en-US" w:eastAsia="zh-CN"/>
              </w:rPr>
              <w:t>具体全面</w:t>
            </w:r>
            <w:r>
              <w:rPr>
                <w:rFonts w:hint="eastAsia" w:ascii="宋体" w:hAnsi="宋体" w:cs="宋体"/>
                <w:bCs/>
                <w:color w:val="auto"/>
                <w:kern w:val="0"/>
                <w:sz w:val="24"/>
                <w:szCs w:val="24"/>
                <w:lang w:val="en-US" w:eastAsia="zh-CN"/>
              </w:rPr>
              <w:t>、</w:t>
            </w:r>
            <w:r>
              <w:rPr>
                <w:rFonts w:hint="eastAsia" w:ascii="宋体" w:hAnsi="宋体" w:eastAsia="宋体" w:cs="宋体"/>
                <w:bCs/>
                <w:color w:val="auto"/>
                <w:kern w:val="0"/>
                <w:sz w:val="24"/>
                <w:szCs w:val="24"/>
                <w:lang w:val="en-US" w:eastAsia="zh-CN"/>
              </w:rPr>
              <w:t>周到合理，针对性、操作性较强）的，加</w:t>
            </w:r>
            <w:r>
              <w:rPr>
                <w:rFonts w:hint="eastAsia" w:ascii="宋体" w:hAnsi="宋体" w:cs="宋体"/>
                <w:bCs/>
                <w:color w:val="auto"/>
                <w:kern w:val="0"/>
                <w:sz w:val="24"/>
                <w:szCs w:val="24"/>
                <w:lang w:val="en-US" w:eastAsia="zh-CN"/>
              </w:rPr>
              <w:t>3</w:t>
            </w:r>
            <w:r>
              <w:rPr>
                <w:rFonts w:hint="eastAsia" w:ascii="宋体" w:hAnsi="宋体" w:eastAsia="宋体" w:cs="宋体"/>
                <w:bCs/>
                <w:color w:val="auto"/>
                <w:kern w:val="0"/>
                <w:sz w:val="24"/>
                <w:szCs w:val="24"/>
                <w:lang w:val="en-US" w:eastAsia="zh-CN"/>
              </w:rPr>
              <w:t>分；</w:t>
            </w:r>
          </w:p>
          <w:p>
            <w:pPr>
              <w:keepNext w:val="0"/>
              <w:keepLines w:val="0"/>
              <w:pageBreakBefore w:val="0"/>
              <w:widowControl w:val="0"/>
              <w:topLinePunct w:val="0"/>
              <w:bidi w:val="0"/>
              <w:spacing w:line="400" w:lineRule="exact"/>
              <w:ind w:firstLine="14" w:firstLineChars="6"/>
              <w:jc w:val="both"/>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（3）评审为中（</w:t>
            </w:r>
            <w:r>
              <w:rPr>
                <w:rFonts w:hint="eastAsia" w:ascii="宋体" w:hAnsi="宋体" w:cs="宋体"/>
                <w:bCs/>
                <w:color w:val="auto"/>
                <w:kern w:val="0"/>
                <w:sz w:val="24"/>
                <w:szCs w:val="24"/>
                <w:lang w:val="en-US" w:eastAsia="zh-CN"/>
              </w:rPr>
              <w:t>售后服务内容</w:t>
            </w:r>
            <w:r>
              <w:rPr>
                <w:rFonts w:hint="eastAsia" w:ascii="宋体" w:hAnsi="宋体" w:eastAsia="宋体" w:cs="宋体"/>
                <w:bCs/>
                <w:color w:val="auto"/>
                <w:kern w:val="0"/>
                <w:sz w:val="24"/>
                <w:szCs w:val="24"/>
                <w:lang w:val="en-US" w:eastAsia="zh-CN"/>
              </w:rPr>
              <w:t>具体全面</w:t>
            </w:r>
            <w:r>
              <w:rPr>
                <w:rFonts w:hint="eastAsia" w:ascii="宋体" w:hAnsi="宋体" w:cs="宋体"/>
                <w:bCs/>
                <w:color w:val="auto"/>
                <w:kern w:val="0"/>
                <w:sz w:val="24"/>
                <w:szCs w:val="24"/>
                <w:lang w:val="en-US" w:eastAsia="zh-CN"/>
              </w:rPr>
              <w:t>性、</w:t>
            </w:r>
            <w:r>
              <w:rPr>
                <w:rFonts w:hint="eastAsia" w:ascii="宋体" w:hAnsi="宋体" w:eastAsia="宋体" w:cs="宋体"/>
                <w:bCs/>
                <w:color w:val="auto"/>
                <w:kern w:val="0"/>
                <w:sz w:val="24"/>
                <w:szCs w:val="24"/>
                <w:lang w:val="en-US" w:eastAsia="zh-CN"/>
              </w:rPr>
              <w:t>周到合理</w:t>
            </w:r>
            <w:r>
              <w:rPr>
                <w:rFonts w:hint="eastAsia" w:ascii="宋体" w:hAnsi="宋体" w:cs="宋体"/>
                <w:bCs/>
                <w:color w:val="auto"/>
                <w:kern w:val="0"/>
                <w:sz w:val="24"/>
                <w:szCs w:val="24"/>
                <w:lang w:val="en-US" w:eastAsia="zh-CN"/>
              </w:rPr>
              <w:t>性一般</w:t>
            </w:r>
            <w:r>
              <w:rPr>
                <w:rFonts w:hint="eastAsia" w:ascii="宋体" w:hAnsi="宋体" w:eastAsia="宋体" w:cs="宋体"/>
                <w:bCs/>
                <w:color w:val="auto"/>
                <w:kern w:val="0"/>
                <w:sz w:val="24"/>
                <w:szCs w:val="24"/>
                <w:lang w:val="en-US" w:eastAsia="zh-CN"/>
              </w:rPr>
              <w:t>，针对性、操作性一般）的，加</w:t>
            </w:r>
            <w:r>
              <w:rPr>
                <w:rFonts w:hint="eastAsia" w:ascii="宋体" w:hAnsi="宋体" w:cs="宋体"/>
                <w:bCs/>
                <w:color w:val="auto"/>
                <w:kern w:val="0"/>
                <w:sz w:val="24"/>
                <w:szCs w:val="24"/>
                <w:lang w:val="en-US" w:eastAsia="zh-CN"/>
              </w:rPr>
              <w:t>1</w:t>
            </w:r>
            <w:r>
              <w:rPr>
                <w:rFonts w:hint="eastAsia" w:ascii="宋体" w:hAnsi="宋体" w:eastAsia="宋体" w:cs="宋体"/>
                <w:bCs/>
                <w:color w:val="auto"/>
                <w:kern w:val="0"/>
                <w:sz w:val="24"/>
                <w:szCs w:val="24"/>
                <w:lang w:val="en-US" w:eastAsia="zh-CN"/>
              </w:rPr>
              <w:t>分；</w:t>
            </w:r>
          </w:p>
          <w:p>
            <w:pPr>
              <w:pStyle w:val="9"/>
              <w:keepNext w:val="0"/>
              <w:keepLines w:val="0"/>
              <w:pageBreakBefore w:val="0"/>
              <w:topLinePunct w:val="0"/>
              <w:bidi w:val="0"/>
              <w:spacing w:line="400" w:lineRule="exact"/>
              <w:rPr>
                <w:rFonts w:hint="eastAsia" w:ascii="宋体" w:hAnsi="宋体" w:eastAsia="宋体" w:cs="宋体"/>
                <w:color w:val="auto"/>
                <w:kern w:val="2"/>
                <w:sz w:val="24"/>
                <w:szCs w:val="24"/>
                <w:lang w:val="zh-CN" w:eastAsia="zh-CN" w:bidi="ar-SA"/>
              </w:rPr>
            </w:pPr>
            <w:r>
              <w:rPr>
                <w:rFonts w:hint="eastAsia" w:ascii="宋体" w:hAnsi="宋体" w:eastAsia="宋体" w:cs="宋体"/>
                <w:bCs/>
                <w:color w:val="auto"/>
                <w:kern w:val="0"/>
                <w:sz w:val="24"/>
                <w:szCs w:val="24"/>
                <w:lang w:val="en-US" w:eastAsia="zh-CN"/>
              </w:rPr>
              <w:t>（4）评价为差（</w:t>
            </w:r>
            <w:r>
              <w:rPr>
                <w:rFonts w:hint="eastAsia" w:ascii="宋体" w:hAnsi="宋体" w:cs="宋体"/>
                <w:bCs/>
                <w:color w:val="auto"/>
                <w:kern w:val="0"/>
                <w:sz w:val="24"/>
                <w:szCs w:val="24"/>
                <w:lang w:val="en-US" w:eastAsia="zh-CN"/>
              </w:rPr>
              <w:t>售后服务内容</w:t>
            </w:r>
            <w:r>
              <w:rPr>
                <w:rFonts w:hint="eastAsia" w:ascii="宋体" w:hAnsi="宋体" w:eastAsia="宋体" w:cs="宋体"/>
                <w:bCs/>
                <w:color w:val="auto"/>
                <w:kern w:val="0"/>
                <w:sz w:val="24"/>
                <w:szCs w:val="24"/>
                <w:lang w:val="en-US" w:eastAsia="zh-CN"/>
              </w:rPr>
              <w:t>不具体全面，工作内容和安排考虑不周到合理，针对性、操作性不强）的，不加分。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34" w:type="dxa"/>
            <w:vMerge w:val="continue"/>
            <w:noWrap w:val="0"/>
            <w:vAlign w:val="center"/>
          </w:tcPr>
          <w:p>
            <w:pPr>
              <w:keepNext w:val="0"/>
              <w:keepLines w:val="0"/>
              <w:pageBreakBefore w:val="0"/>
              <w:widowControl w:val="0"/>
              <w:topLinePunct w:val="0"/>
              <w:bidi w:val="0"/>
              <w:spacing w:beforeAutospacing="0" w:afterAutospacing="0" w:line="400" w:lineRule="exact"/>
              <w:jc w:val="center"/>
              <w:rPr>
                <w:rFonts w:hint="eastAsia" w:ascii="宋体" w:hAnsi="宋体" w:eastAsia="宋体" w:cs="宋体"/>
                <w:color w:val="auto"/>
                <w:sz w:val="24"/>
                <w:szCs w:val="24"/>
              </w:rPr>
            </w:pPr>
          </w:p>
        </w:tc>
        <w:tc>
          <w:tcPr>
            <w:tcW w:w="801" w:type="dxa"/>
            <w:noWrap w:val="0"/>
            <w:vAlign w:val="center"/>
          </w:tcPr>
          <w:p>
            <w:pPr>
              <w:pStyle w:val="9"/>
              <w:keepNext w:val="0"/>
              <w:keepLines w:val="0"/>
              <w:pageBreakBefore w:val="0"/>
              <w:topLinePunct w:val="0"/>
              <w:bidi w:val="0"/>
              <w:spacing w:line="40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货物产品规格及性价比评价</w:t>
            </w:r>
          </w:p>
        </w:tc>
        <w:tc>
          <w:tcPr>
            <w:tcW w:w="975" w:type="dxa"/>
            <w:noWrap w:val="0"/>
            <w:vAlign w:val="center"/>
          </w:tcPr>
          <w:p>
            <w:pPr>
              <w:pStyle w:val="9"/>
              <w:keepNext w:val="0"/>
              <w:keepLines w:val="0"/>
              <w:pageBreakBefore w:val="0"/>
              <w:topLinePunct w:val="0"/>
              <w:bidi w:val="0"/>
              <w:spacing w:line="40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25</w:t>
            </w:r>
          </w:p>
        </w:tc>
        <w:tc>
          <w:tcPr>
            <w:tcW w:w="7221" w:type="dxa"/>
            <w:noWrap w:val="0"/>
            <w:vAlign w:val="center"/>
          </w:tcPr>
          <w:p>
            <w:pPr>
              <w:widowControl/>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评分标准：</w:t>
            </w:r>
          </w:p>
          <w:p>
            <w:pPr>
              <w:widowControl/>
              <w:jc w:val="left"/>
              <w:textAlignment w:val="center"/>
              <w:rPr>
                <w:rFonts w:hint="eastAsia" w:ascii="仿宋" w:hAnsi="仿宋" w:eastAsia="仿宋" w:cs="仿宋"/>
                <w:sz w:val="24"/>
              </w:rPr>
            </w:pPr>
            <w:r>
              <w:rPr>
                <w:rFonts w:hint="eastAsia" w:ascii="宋体" w:hAnsi="宋体" w:eastAsia="宋体" w:cs="宋体"/>
                <w:color w:val="auto"/>
                <w:sz w:val="24"/>
                <w:szCs w:val="24"/>
                <w:lang w:val="en-US" w:eastAsia="zh-CN"/>
              </w:rPr>
              <w:t>根据供应商提供的</w:t>
            </w:r>
            <w:r>
              <w:rPr>
                <w:rFonts w:hint="eastAsia" w:ascii="宋体" w:hAnsi="宋体" w:cs="宋体"/>
                <w:color w:val="auto"/>
                <w:sz w:val="24"/>
                <w:szCs w:val="24"/>
                <w:lang w:val="en-US" w:eastAsia="zh-CN"/>
              </w:rPr>
              <w:t>样品或实物清晰彩图及产品介绍</w:t>
            </w:r>
            <w:r>
              <w:rPr>
                <w:rFonts w:hint="eastAsia" w:ascii="宋体" w:hAnsi="宋体" w:eastAsia="宋体" w:cs="宋体"/>
                <w:color w:val="auto"/>
                <w:sz w:val="24"/>
                <w:szCs w:val="24"/>
                <w:lang w:val="en-US" w:eastAsia="zh-CN"/>
              </w:rPr>
              <w:t>，由</w:t>
            </w:r>
            <w:r>
              <w:rPr>
                <w:rFonts w:hint="eastAsia" w:ascii="宋体" w:hAnsi="宋体" w:eastAsia="宋体" w:cs="宋体"/>
                <w:bCs/>
                <w:color w:val="auto"/>
                <w:kern w:val="0"/>
                <w:sz w:val="24"/>
                <w:szCs w:val="24"/>
              </w:rPr>
              <w:t>评审专家根据响应情况进行评审：</w:t>
            </w:r>
          </w:p>
          <w:p>
            <w:pPr>
              <w:widowControl/>
              <w:numPr>
                <w:ilvl w:val="0"/>
                <w:numId w:val="0"/>
              </w:numPr>
              <w:jc w:val="left"/>
              <w:textAlignment w:val="center"/>
              <w:rPr>
                <w:rFonts w:hint="eastAsia" w:ascii="宋体" w:hAnsi="宋体" w:cs="宋体"/>
                <w:color w:val="auto"/>
                <w:sz w:val="24"/>
                <w:szCs w:val="24"/>
                <w:lang w:val="en-US" w:eastAsia="zh-CN"/>
              </w:rPr>
            </w:pPr>
            <w:r>
              <w:rPr>
                <w:rFonts w:hint="eastAsia" w:ascii="宋体" w:hAnsi="宋体" w:eastAsia="宋体" w:cs="宋体"/>
                <w:color w:val="auto"/>
                <w:kern w:val="2"/>
                <w:sz w:val="24"/>
                <w:szCs w:val="24"/>
                <w:lang w:val="en-US" w:eastAsia="zh-CN" w:bidi="ar-SA"/>
              </w:rPr>
              <w:t>1.知名度</w:t>
            </w:r>
            <w:r>
              <w:rPr>
                <w:rFonts w:hint="eastAsia" w:ascii="宋体" w:hAnsi="宋体" w:cs="宋体"/>
                <w:color w:val="auto"/>
                <w:kern w:val="2"/>
                <w:sz w:val="24"/>
                <w:szCs w:val="24"/>
                <w:lang w:val="en-US" w:eastAsia="zh-CN" w:bidi="ar-SA"/>
              </w:rPr>
              <w:t>及</w:t>
            </w:r>
            <w:r>
              <w:rPr>
                <w:rFonts w:hint="eastAsia" w:ascii="宋体" w:hAnsi="宋体" w:eastAsia="宋体" w:cs="宋体"/>
                <w:color w:val="auto"/>
                <w:sz w:val="24"/>
                <w:szCs w:val="24"/>
                <w:lang w:val="en-US" w:eastAsia="zh-CN"/>
              </w:rPr>
              <w:t>普及度</w:t>
            </w:r>
            <w:r>
              <w:rPr>
                <w:rFonts w:hint="eastAsia" w:ascii="宋体" w:hAnsi="宋体" w:cs="宋体"/>
                <w:color w:val="auto"/>
                <w:sz w:val="24"/>
                <w:szCs w:val="24"/>
                <w:lang w:val="en-US" w:eastAsia="zh-CN"/>
              </w:rPr>
              <w:t>；</w:t>
            </w:r>
          </w:p>
          <w:p>
            <w:pPr>
              <w:widowControl/>
              <w:numPr>
                <w:ilvl w:val="0"/>
                <w:numId w:val="0"/>
              </w:numPr>
              <w:jc w:val="left"/>
              <w:textAlignment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2.产品质量；</w:t>
            </w:r>
          </w:p>
          <w:p>
            <w:pPr>
              <w:widowControl/>
              <w:jc w:val="left"/>
              <w:textAlignment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安全性</w:t>
            </w:r>
            <w:r>
              <w:rPr>
                <w:rFonts w:hint="eastAsia" w:ascii="宋体" w:hAnsi="宋体" w:eastAsia="宋体" w:cs="宋体"/>
                <w:color w:val="auto"/>
                <w:kern w:val="2"/>
                <w:sz w:val="24"/>
                <w:szCs w:val="24"/>
                <w:lang w:val="en-US" w:eastAsia="zh-CN" w:bidi="ar-SA"/>
              </w:rPr>
              <w:t>；</w:t>
            </w:r>
          </w:p>
          <w:p>
            <w:pPr>
              <w:pStyle w:val="10"/>
              <w:rPr>
                <w:rFonts w:hint="eastAsia" w:ascii="宋体" w:hAnsi="宋体" w:eastAsia="宋体" w:cs="宋体"/>
                <w:color w:val="auto"/>
                <w:kern w:val="2"/>
                <w:sz w:val="24"/>
                <w:szCs w:val="24"/>
                <w:lang w:val="en-US" w:eastAsia="zh-CN" w:bidi="ar-SA"/>
              </w:rPr>
            </w:pPr>
            <w:r>
              <w:rPr>
                <w:rFonts w:hint="eastAsia"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w:t>
            </w:r>
            <w:r>
              <w:rPr>
                <w:rFonts w:hint="eastAsia" w:cs="宋体"/>
                <w:color w:val="auto"/>
                <w:kern w:val="2"/>
                <w:sz w:val="24"/>
                <w:szCs w:val="24"/>
                <w:lang w:val="en-US" w:eastAsia="zh-CN" w:bidi="ar-SA"/>
              </w:rPr>
              <w:t>外观</w:t>
            </w:r>
            <w:r>
              <w:rPr>
                <w:rFonts w:hint="eastAsia" w:ascii="宋体" w:hAnsi="宋体" w:eastAsia="宋体" w:cs="宋体"/>
                <w:color w:val="auto"/>
                <w:kern w:val="2"/>
                <w:sz w:val="24"/>
                <w:szCs w:val="24"/>
                <w:lang w:val="en-US" w:eastAsia="zh-CN" w:bidi="ar-SA"/>
              </w:rPr>
              <w:t>；</w:t>
            </w:r>
          </w:p>
          <w:p>
            <w:pPr>
              <w:pStyle w:val="18"/>
              <w:rPr>
                <w:rFonts w:hint="default"/>
                <w:lang w:val="en-US" w:eastAsia="zh-CN"/>
              </w:rPr>
            </w:pPr>
            <w:r>
              <w:rPr>
                <w:rFonts w:hint="eastAsia" w:ascii="宋体" w:hAnsi="宋体" w:cs="宋体"/>
                <w:color w:val="auto"/>
                <w:kern w:val="2"/>
                <w:sz w:val="24"/>
                <w:szCs w:val="24"/>
                <w:lang w:val="en-US" w:eastAsia="zh-CN" w:bidi="ar-SA"/>
              </w:rPr>
              <w:t>5.口感。</w:t>
            </w:r>
          </w:p>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评分依据：</w:t>
            </w:r>
          </w:p>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1.投标文件满足评审内容情况，每体现1点得1分，本项最高得</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分。</w:t>
            </w:r>
          </w:p>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2.在此基础上，根据样品质量进行对比评分;</w:t>
            </w:r>
          </w:p>
          <w:p>
            <w:pPr>
              <w:pStyle w:val="9"/>
              <w:keepNext w:val="0"/>
              <w:keepLines w:val="0"/>
              <w:pageBreakBefore w:val="0"/>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评价为优</w:t>
            </w:r>
            <w:r>
              <w:rPr>
                <w:rFonts w:hint="eastAsia" w:ascii="宋体" w:hAnsi="宋体" w:cs="宋体"/>
                <w:color w:val="auto"/>
                <w:sz w:val="24"/>
                <w:szCs w:val="24"/>
                <w:lang w:val="en-US" w:eastAsia="zh-CN"/>
              </w:rPr>
              <w:t>（产品</w:t>
            </w:r>
            <w:r>
              <w:rPr>
                <w:rFonts w:hint="eastAsia" w:ascii="宋体" w:hAnsi="宋体" w:eastAsia="宋体" w:cs="宋体"/>
                <w:color w:val="auto"/>
                <w:sz w:val="24"/>
                <w:szCs w:val="24"/>
                <w:lang w:val="en-US" w:eastAsia="zh-CN"/>
              </w:rPr>
              <w:t>知名度、普及度</w:t>
            </w:r>
            <w:r>
              <w:rPr>
                <w:rFonts w:hint="eastAsia" w:ascii="宋体" w:hAnsi="宋体" w:cs="宋体"/>
                <w:color w:val="auto"/>
                <w:sz w:val="24"/>
                <w:szCs w:val="24"/>
                <w:lang w:val="en-US" w:eastAsia="zh-CN"/>
              </w:rPr>
              <w:t>高，产品质量及安全性好，</w:t>
            </w:r>
            <w:r>
              <w:rPr>
                <w:rFonts w:hint="eastAsia" w:ascii="宋体" w:hAnsi="宋体" w:eastAsia="宋体" w:cs="宋体"/>
                <w:color w:val="auto"/>
                <w:sz w:val="24"/>
                <w:szCs w:val="24"/>
                <w:lang w:val="en-US" w:eastAsia="zh-CN"/>
              </w:rPr>
              <w:t>色泽、外</w:t>
            </w:r>
            <w:r>
              <w:rPr>
                <w:rFonts w:hint="eastAsia" w:ascii="宋体" w:hAnsi="宋体" w:cs="宋体"/>
                <w:color w:val="auto"/>
                <w:sz w:val="24"/>
                <w:szCs w:val="24"/>
                <w:lang w:val="en-US" w:eastAsia="zh-CN"/>
              </w:rPr>
              <w:t>观、口感好）</w:t>
            </w:r>
            <w:r>
              <w:rPr>
                <w:rFonts w:hint="eastAsia" w:ascii="宋体" w:hAnsi="宋体" w:eastAsia="宋体" w:cs="宋体"/>
                <w:color w:val="auto"/>
                <w:sz w:val="24"/>
                <w:szCs w:val="24"/>
                <w:lang w:val="en-US" w:eastAsia="zh-CN"/>
              </w:rPr>
              <w:t>的</w:t>
            </w:r>
            <w:r>
              <w:rPr>
                <w:rFonts w:hint="eastAsia" w:ascii="宋体" w:hAnsi="宋体" w:cs="宋体"/>
                <w:color w:val="auto"/>
                <w:sz w:val="24"/>
                <w:szCs w:val="24"/>
                <w:lang w:val="en-US" w:eastAsia="zh-CN"/>
              </w:rPr>
              <w:t>加20</w:t>
            </w:r>
            <w:r>
              <w:rPr>
                <w:rFonts w:hint="eastAsia" w:ascii="宋体" w:hAnsi="宋体" w:eastAsia="宋体" w:cs="宋体"/>
                <w:color w:val="auto"/>
                <w:sz w:val="24"/>
                <w:szCs w:val="24"/>
                <w:lang w:val="en-US" w:eastAsia="zh-CN"/>
              </w:rPr>
              <w:t>分；</w:t>
            </w:r>
          </w:p>
          <w:p>
            <w:pPr>
              <w:pStyle w:val="9"/>
              <w:keepNext w:val="0"/>
              <w:keepLines w:val="0"/>
              <w:pageBreakBefore w:val="0"/>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bCs/>
                <w:color w:val="auto"/>
                <w:kern w:val="0"/>
                <w:sz w:val="24"/>
                <w:szCs w:val="24"/>
                <w:lang w:val="en-US" w:eastAsia="zh-CN"/>
              </w:rPr>
              <w:t>评审为</w:t>
            </w:r>
            <w:r>
              <w:rPr>
                <w:rFonts w:hint="eastAsia" w:ascii="宋体" w:hAnsi="宋体" w:cs="宋体"/>
                <w:bCs/>
                <w:color w:val="auto"/>
                <w:kern w:val="0"/>
                <w:sz w:val="24"/>
                <w:szCs w:val="24"/>
                <w:lang w:val="en-US" w:eastAsia="zh-CN"/>
              </w:rPr>
              <w:t>良</w:t>
            </w:r>
            <w:r>
              <w:rPr>
                <w:rFonts w:hint="eastAsia" w:ascii="宋体" w:hAnsi="宋体" w:cs="宋体"/>
                <w:color w:val="auto"/>
                <w:sz w:val="24"/>
                <w:szCs w:val="24"/>
                <w:lang w:val="en-US" w:eastAsia="zh-CN"/>
              </w:rPr>
              <w:t>（产品</w:t>
            </w:r>
            <w:r>
              <w:rPr>
                <w:rFonts w:hint="eastAsia" w:ascii="宋体" w:hAnsi="宋体" w:eastAsia="宋体" w:cs="宋体"/>
                <w:color w:val="auto"/>
                <w:sz w:val="24"/>
                <w:szCs w:val="24"/>
                <w:lang w:val="en-US" w:eastAsia="zh-CN"/>
              </w:rPr>
              <w:t>知名度、普及度</w:t>
            </w:r>
            <w:r>
              <w:rPr>
                <w:rFonts w:hint="eastAsia" w:ascii="宋体" w:hAnsi="宋体" w:cs="宋体"/>
                <w:color w:val="auto"/>
                <w:sz w:val="24"/>
                <w:szCs w:val="24"/>
                <w:lang w:val="en-US" w:eastAsia="zh-CN"/>
              </w:rPr>
              <w:t>较高，产品质量及安全性较好，</w:t>
            </w:r>
            <w:r>
              <w:rPr>
                <w:rFonts w:hint="eastAsia" w:ascii="宋体" w:hAnsi="宋体" w:eastAsia="宋体" w:cs="宋体"/>
                <w:color w:val="auto"/>
                <w:sz w:val="24"/>
                <w:szCs w:val="24"/>
                <w:lang w:val="en-US" w:eastAsia="zh-CN"/>
              </w:rPr>
              <w:t>色泽、外</w:t>
            </w:r>
            <w:r>
              <w:rPr>
                <w:rFonts w:hint="eastAsia" w:ascii="宋体" w:hAnsi="宋体" w:cs="宋体"/>
                <w:color w:val="auto"/>
                <w:sz w:val="24"/>
                <w:szCs w:val="24"/>
                <w:lang w:val="en-US" w:eastAsia="zh-CN"/>
              </w:rPr>
              <w:t>观、口感较好）</w:t>
            </w:r>
            <w:r>
              <w:rPr>
                <w:rFonts w:hint="eastAsia" w:ascii="宋体" w:hAnsi="宋体" w:cs="宋体"/>
                <w:bCs/>
                <w:color w:val="auto"/>
                <w:kern w:val="0"/>
                <w:sz w:val="24"/>
                <w:szCs w:val="24"/>
                <w:lang w:val="en-US" w:eastAsia="zh-CN"/>
              </w:rPr>
              <w:t>的</w:t>
            </w:r>
            <w:r>
              <w:rPr>
                <w:rFonts w:hint="eastAsia" w:ascii="宋体" w:hAnsi="宋体" w:cs="宋体"/>
                <w:color w:val="auto"/>
                <w:sz w:val="24"/>
                <w:szCs w:val="24"/>
                <w:lang w:val="en-US" w:eastAsia="zh-CN"/>
              </w:rPr>
              <w:t>加15</w:t>
            </w:r>
            <w:r>
              <w:rPr>
                <w:rFonts w:hint="eastAsia" w:ascii="宋体" w:hAnsi="宋体" w:eastAsia="宋体" w:cs="宋体"/>
                <w:color w:val="auto"/>
                <w:sz w:val="24"/>
                <w:szCs w:val="24"/>
                <w:lang w:val="en-US" w:eastAsia="zh-CN"/>
              </w:rPr>
              <w:t>分；</w:t>
            </w:r>
          </w:p>
          <w:p>
            <w:pPr>
              <w:pStyle w:val="9"/>
              <w:keepNext w:val="0"/>
              <w:keepLines w:val="0"/>
              <w:pageBreakBefore w:val="0"/>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bCs/>
                <w:color w:val="auto"/>
                <w:kern w:val="0"/>
                <w:sz w:val="24"/>
                <w:szCs w:val="24"/>
                <w:lang w:val="en-US" w:eastAsia="zh-CN"/>
              </w:rPr>
              <w:t>评审为</w:t>
            </w:r>
            <w:r>
              <w:rPr>
                <w:rFonts w:hint="eastAsia" w:ascii="宋体" w:hAnsi="宋体" w:cs="宋体"/>
                <w:bCs/>
                <w:color w:val="auto"/>
                <w:kern w:val="0"/>
                <w:sz w:val="24"/>
                <w:szCs w:val="24"/>
                <w:lang w:val="en-US" w:eastAsia="zh-CN"/>
              </w:rPr>
              <w:t>中</w:t>
            </w:r>
            <w:r>
              <w:rPr>
                <w:rFonts w:hint="eastAsia" w:ascii="宋体" w:hAnsi="宋体" w:cs="宋体"/>
                <w:color w:val="auto"/>
                <w:sz w:val="24"/>
                <w:szCs w:val="24"/>
                <w:lang w:val="en-US" w:eastAsia="zh-CN"/>
              </w:rPr>
              <w:t>（产品</w:t>
            </w:r>
            <w:r>
              <w:rPr>
                <w:rFonts w:hint="eastAsia" w:ascii="宋体" w:hAnsi="宋体" w:eastAsia="宋体" w:cs="宋体"/>
                <w:color w:val="auto"/>
                <w:sz w:val="24"/>
                <w:szCs w:val="24"/>
                <w:lang w:val="en-US" w:eastAsia="zh-CN"/>
              </w:rPr>
              <w:t>知名度、普及度</w:t>
            </w:r>
            <w:r>
              <w:rPr>
                <w:rFonts w:hint="eastAsia" w:ascii="宋体" w:hAnsi="宋体" w:cs="宋体"/>
                <w:color w:val="auto"/>
                <w:sz w:val="24"/>
                <w:szCs w:val="24"/>
                <w:lang w:val="en-US" w:eastAsia="zh-CN"/>
              </w:rPr>
              <w:t>一般，产品质量及安全性一般，</w:t>
            </w:r>
            <w:r>
              <w:rPr>
                <w:rFonts w:hint="eastAsia" w:ascii="宋体" w:hAnsi="宋体" w:eastAsia="宋体" w:cs="宋体"/>
                <w:color w:val="auto"/>
                <w:sz w:val="24"/>
                <w:szCs w:val="24"/>
                <w:lang w:val="en-US" w:eastAsia="zh-CN"/>
              </w:rPr>
              <w:t>色泽、外</w:t>
            </w:r>
            <w:r>
              <w:rPr>
                <w:rFonts w:hint="eastAsia" w:ascii="宋体" w:hAnsi="宋体" w:cs="宋体"/>
                <w:color w:val="auto"/>
                <w:sz w:val="24"/>
                <w:szCs w:val="24"/>
                <w:lang w:val="en-US" w:eastAsia="zh-CN"/>
              </w:rPr>
              <w:t>观、口感一般）</w:t>
            </w:r>
            <w:r>
              <w:rPr>
                <w:rFonts w:hint="eastAsia" w:ascii="宋体" w:hAnsi="宋体" w:cs="宋体"/>
                <w:bCs/>
                <w:color w:val="auto"/>
                <w:kern w:val="0"/>
                <w:sz w:val="24"/>
                <w:szCs w:val="24"/>
                <w:lang w:val="en-US" w:eastAsia="zh-CN"/>
              </w:rPr>
              <w:t>的</w:t>
            </w:r>
            <w:r>
              <w:rPr>
                <w:rFonts w:hint="eastAsia" w:ascii="宋体" w:hAnsi="宋体" w:cs="宋体"/>
                <w:color w:val="auto"/>
                <w:sz w:val="24"/>
                <w:szCs w:val="24"/>
                <w:lang w:val="en-US" w:eastAsia="zh-CN"/>
              </w:rPr>
              <w:t>加10</w:t>
            </w:r>
            <w:r>
              <w:rPr>
                <w:rFonts w:hint="eastAsia" w:ascii="宋体" w:hAnsi="宋体" w:eastAsia="宋体" w:cs="宋体"/>
                <w:color w:val="auto"/>
                <w:sz w:val="24"/>
                <w:szCs w:val="24"/>
                <w:lang w:val="en-US" w:eastAsia="zh-CN"/>
              </w:rPr>
              <w:t>分；</w:t>
            </w:r>
          </w:p>
          <w:p>
            <w:pPr>
              <w:pStyle w:val="9"/>
              <w:keepNext w:val="0"/>
              <w:keepLines w:val="0"/>
              <w:pageBreakBefore w:val="0"/>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bCs/>
                <w:color w:val="auto"/>
                <w:kern w:val="0"/>
                <w:sz w:val="24"/>
                <w:szCs w:val="24"/>
                <w:lang w:val="en-US" w:eastAsia="zh-CN"/>
              </w:rPr>
              <w:t>评审为</w:t>
            </w:r>
            <w:r>
              <w:rPr>
                <w:rFonts w:hint="eastAsia" w:ascii="宋体" w:hAnsi="宋体" w:cs="宋体"/>
                <w:bCs/>
                <w:color w:val="auto"/>
                <w:kern w:val="0"/>
                <w:sz w:val="24"/>
                <w:szCs w:val="24"/>
                <w:lang w:val="en-US" w:eastAsia="zh-CN"/>
              </w:rPr>
              <w:t>差</w:t>
            </w:r>
            <w:r>
              <w:rPr>
                <w:rFonts w:hint="eastAsia" w:ascii="宋体" w:hAnsi="宋体" w:cs="宋体"/>
                <w:color w:val="auto"/>
                <w:sz w:val="24"/>
                <w:szCs w:val="24"/>
                <w:lang w:val="en-US" w:eastAsia="zh-CN"/>
              </w:rPr>
              <w:t>（产品</w:t>
            </w:r>
            <w:r>
              <w:rPr>
                <w:rFonts w:hint="eastAsia" w:ascii="宋体" w:hAnsi="宋体" w:eastAsia="宋体" w:cs="宋体"/>
                <w:color w:val="auto"/>
                <w:sz w:val="24"/>
                <w:szCs w:val="24"/>
                <w:lang w:val="en-US" w:eastAsia="zh-CN"/>
              </w:rPr>
              <w:t>知名度、普及度</w:t>
            </w:r>
            <w:r>
              <w:rPr>
                <w:rFonts w:hint="eastAsia" w:ascii="宋体" w:hAnsi="宋体" w:cs="宋体"/>
                <w:color w:val="auto"/>
                <w:sz w:val="24"/>
                <w:szCs w:val="24"/>
                <w:lang w:val="en-US" w:eastAsia="zh-CN"/>
              </w:rPr>
              <w:t>差，产品质量及安全性差，</w:t>
            </w:r>
            <w:r>
              <w:rPr>
                <w:rFonts w:hint="eastAsia" w:ascii="宋体" w:hAnsi="宋体" w:eastAsia="宋体" w:cs="宋体"/>
                <w:color w:val="auto"/>
                <w:sz w:val="24"/>
                <w:szCs w:val="24"/>
                <w:lang w:val="en-US" w:eastAsia="zh-CN"/>
              </w:rPr>
              <w:t>色泽</w:t>
            </w:r>
            <w:r>
              <w:rPr>
                <w:rFonts w:hint="eastAsia" w:ascii="宋体" w:hAnsi="宋体" w:cs="宋体"/>
                <w:color w:val="auto"/>
                <w:sz w:val="24"/>
                <w:szCs w:val="24"/>
                <w:lang w:val="en-US" w:eastAsia="zh-CN"/>
              </w:rPr>
              <w:t>、外观、口感差）</w:t>
            </w:r>
            <w:r>
              <w:rPr>
                <w:rFonts w:hint="eastAsia" w:ascii="宋体" w:hAnsi="宋体" w:cs="宋体"/>
                <w:bCs/>
                <w:color w:val="auto"/>
                <w:kern w:val="0"/>
                <w:sz w:val="24"/>
                <w:szCs w:val="24"/>
                <w:lang w:val="en-US" w:eastAsia="zh-CN"/>
              </w:rPr>
              <w:t>的</w:t>
            </w:r>
            <w:r>
              <w:rPr>
                <w:rFonts w:hint="eastAsia" w:ascii="宋体" w:hAnsi="宋体" w:cs="宋体"/>
                <w:color w:val="auto"/>
                <w:sz w:val="24"/>
                <w:szCs w:val="24"/>
                <w:lang w:val="en-US" w:eastAsia="zh-CN"/>
              </w:rPr>
              <w:t>不加分。</w:t>
            </w:r>
          </w:p>
          <w:p>
            <w:pPr>
              <w:pStyle w:val="9"/>
              <w:keepNext w:val="0"/>
              <w:keepLines w:val="0"/>
              <w:pageBreakBefore w:val="0"/>
              <w:topLinePunct w:val="0"/>
              <w:bidi w:val="0"/>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须提供完整包装的样品</w:t>
            </w:r>
            <w:r>
              <w:rPr>
                <w:rFonts w:hint="eastAsia" w:ascii="宋体" w:hAnsi="宋体" w:cs="宋体"/>
                <w:color w:val="auto"/>
                <w:sz w:val="24"/>
                <w:szCs w:val="24"/>
                <w:lang w:val="en-US" w:eastAsia="zh-CN"/>
              </w:rPr>
              <w:t>或实物清晰彩图及产品介绍</w:t>
            </w:r>
            <w:r>
              <w:rPr>
                <w:rFonts w:hint="eastAsia" w:ascii="宋体" w:hAnsi="宋体" w:eastAsia="宋体" w:cs="宋体"/>
                <w:color w:val="auto"/>
                <w:sz w:val="24"/>
                <w:szCs w:val="24"/>
                <w:lang w:val="en-US" w:eastAsia="zh-CN"/>
              </w:rPr>
              <w:t>，并承诺中标产品与样品一致（提供承诺函）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34" w:type="dxa"/>
            <w:noWrap w:val="0"/>
            <w:vAlign w:val="center"/>
          </w:tcPr>
          <w:p>
            <w:pPr>
              <w:keepNext w:val="0"/>
              <w:keepLines w:val="0"/>
              <w:pageBreakBefore w:val="0"/>
              <w:widowControl w:val="0"/>
              <w:topLinePunct w:val="0"/>
              <w:bidi w:val="0"/>
              <w:spacing w:beforeAutospacing="0" w:afterAutospacing="0" w:line="400" w:lineRule="exact"/>
              <w:jc w:val="center"/>
              <w:rPr>
                <w:rFonts w:hint="eastAsia" w:ascii="宋体" w:hAnsi="宋体" w:eastAsia="宋体" w:cs="宋体"/>
                <w:color w:val="auto"/>
                <w:sz w:val="24"/>
                <w:szCs w:val="24"/>
              </w:rPr>
            </w:pPr>
            <w:r>
              <w:rPr>
                <w:rFonts w:hint="eastAsia" w:ascii="宋体" w:hAnsi="宋体" w:eastAsia="宋体" w:cs="宋体"/>
                <w:bCs/>
                <w:color w:val="auto"/>
                <w:sz w:val="24"/>
                <w:szCs w:val="24"/>
              </w:rPr>
              <w:t>价格部分（</w:t>
            </w:r>
            <w:r>
              <w:rPr>
                <w:rFonts w:hint="eastAsia" w:ascii="宋体" w:hAnsi="宋体" w:eastAsia="宋体" w:cs="宋体"/>
                <w:bCs/>
                <w:color w:val="auto"/>
                <w:sz w:val="24"/>
                <w:szCs w:val="24"/>
                <w:lang w:val="en-US" w:eastAsia="zh-CN"/>
              </w:rPr>
              <w:t>30</w:t>
            </w:r>
            <w:r>
              <w:rPr>
                <w:rFonts w:hint="eastAsia" w:ascii="宋体" w:hAnsi="宋体" w:eastAsia="宋体" w:cs="宋体"/>
                <w:bCs/>
                <w:color w:val="auto"/>
                <w:sz w:val="24"/>
                <w:szCs w:val="24"/>
              </w:rPr>
              <w:t>分）</w:t>
            </w:r>
          </w:p>
        </w:tc>
        <w:tc>
          <w:tcPr>
            <w:tcW w:w="801" w:type="dxa"/>
            <w:noWrap w:val="0"/>
            <w:vAlign w:val="center"/>
          </w:tcPr>
          <w:p>
            <w:pPr>
              <w:keepNext w:val="0"/>
              <w:keepLines w:val="0"/>
              <w:pageBreakBefore w:val="0"/>
              <w:topLinePunct w:val="0"/>
              <w:bidi w:val="0"/>
              <w:spacing w:line="400" w:lineRule="exact"/>
              <w:jc w:val="center"/>
              <w:rPr>
                <w:rFonts w:hint="eastAsia" w:ascii="宋体" w:hAnsi="宋体" w:eastAsia="宋体" w:cs="宋体"/>
                <w:bCs/>
                <w:color w:val="auto"/>
                <w:kern w:val="2"/>
                <w:sz w:val="24"/>
                <w:szCs w:val="24"/>
                <w:lang w:val="en-US" w:eastAsia="zh-CN" w:bidi="ar-SA"/>
              </w:rPr>
            </w:pPr>
          </w:p>
        </w:tc>
        <w:tc>
          <w:tcPr>
            <w:tcW w:w="975" w:type="dxa"/>
            <w:noWrap w:val="0"/>
            <w:vAlign w:val="center"/>
          </w:tcPr>
          <w:p>
            <w:pPr>
              <w:keepNext w:val="0"/>
              <w:keepLines w:val="0"/>
              <w:pageBreakBefore w:val="0"/>
              <w:widowControl/>
              <w:topLinePunct w:val="0"/>
              <w:bidi w:val="0"/>
              <w:spacing w:line="4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30</w:t>
            </w:r>
          </w:p>
        </w:tc>
        <w:tc>
          <w:tcPr>
            <w:tcW w:w="7221" w:type="dxa"/>
            <w:noWrap w:val="0"/>
            <w:vAlign w:val="center"/>
          </w:tcPr>
          <w:p>
            <w:pPr>
              <w:keepNext w:val="0"/>
              <w:keepLines w:val="0"/>
              <w:pageBreakBefore w:val="0"/>
              <w:widowControl/>
              <w:topLinePunct w:val="0"/>
              <w:bidi w:val="0"/>
              <w:spacing w:line="40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综合评分法中的价格分统一采用低价优先法计算。即满足采购文件要求且投标价格最低的投标报价为评标基准价，其价格分为满分。其他投标人的价格分统一按照下列公式计算：投标报价得分=(评标基准价/投标报价)×权重</w:t>
            </w:r>
            <w:r>
              <w:rPr>
                <w:rFonts w:hint="eastAsia" w:ascii="宋体" w:hAnsi="宋体" w:cs="宋体"/>
                <w:color w:val="auto"/>
                <w:kern w:val="2"/>
                <w:sz w:val="24"/>
                <w:szCs w:val="24"/>
                <w:lang w:val="en-US" w:eastAsia="zh-CN" w:bidi="ar-SA"/>
              </w:rPr>
              <w:t>。</w:t>
            </w:r>
          </w:p>
        </w:tc>
      </w:tr>
    </w:tbl>
    <w:p>
      <w:pPr>
        <w:rPr>
          <w:rFonts w:hint="eastAsia"/>
          <w:lang w:val="en-US" w:eastAsia="zh-CN"/>
        </w:rPr>
      </w:pPr>
    </w:p>
    <w:p/>
    <w:p>
      <w:pPr>
        <w:pStyle w:val="10"/>
      </w:pPr>
    </w:p>
    <w:p/>
    <w:p>
      <w:pPr>
        <w:pStyle w:val="2"/>
      </w:pPr>
    </w:p>
    <w:p/>
    <w:p>
      <w:pPr>
        <w:pStyle w:val="2"/>
      </w:pPr>
    </w:p>
    <w:p/>
    <w:p>
      <w:pPr>
        <w:pStyle w:val="2"/>
      </w:pPr>
    </w:p>
    <w:p/>
    <w:p>
      <w:pPr>
        <w:pStyle w:val="2"/>
      </w:pPr>
    </w:p>
    <w:p/>
    <w:p>
      <w:pPr>
        <w:pStyle w:val="2"/>
      </w:pPr>
    </w:p>
    <w:p/>
    <w:p/>
    <w:p/>
    <w:p>
      <w:pPr>
        <w:numPr>
          <w:ilvl w:val="0"/>
          <w:numId w:val="1"/>
        </w:numPr>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投标文件初审表</w:t>
      </w:r>
    </w:p>
    <w:p>
      <w:pPr>
        <w:jc w:val="center"/>
        <w:rPr>
          <w:rFonts w:ascii="仿宋" w:hAnsi="仿宋" w:eastAsia="仿宋" w:cs="仿宋"/>
          <w:sz w:val="22"/>
          <w:szCs w:val="28"/>
        </w:rPr>
      </w:pPr>
      <w:r>
        <w:rPr>
          <w:rFonts w:hint="eastAsia" w:ascii="仿宋" w:hAnsi="仿宋" w:eastAsia="仿宋" w:cs="仿宋"/>
          <w:b/>
          <w:sz w:val="22"/>
          <w:szCs w:val="28"/>
        </w:rPr>
        <w:t>（凡有下列情形之一的，投标文件无效，投标作废标处理）</w:t>
      </w:r>
    </w:p>
    <w:tbl>
      <w:tblPr>
        <w:tblStyle w:val="21"/>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7929"/>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624" w:type="dxa"/>
            <w:gridSpan w:val="2"/>
            <w:noWrap/>
          </w:tcPr>
          <w:p>
            <w:pPr>
              <w:jc w:val="center"/>
              <w:rPr>
                <w:rFonts w:ascii="宋体" w:hAnsi="宋体" w:cs="宋体"/>
                <w:sz w:val="20"/>
                <w:szCs w:val="20"/>
              </w:rPr>
            </w:pPr>
            <w:r>
              <w:rPr>
                <w:rFonts w:hint="eastAsia" w:ascii="宋体" w:hAnsi="宋体" w:cs="宋体"/>
                <w:b/>
                <w:bCs/>
                <w:szCs w:val="21"/>
              </w:rPr>
              <w:t>资格性检查表</w:t>
            </w:r>
          </w:p>
        </w:tc>
        <w:tc>
          <w:tcPr>
            <w:tcW w:w="1200" w:type="dxa"/>
            <w:noWrap/>
          </w:tcPr>
          <w:p>
            <w:pPr>
              <w:jc w:val="center"/>
              <w:rPr>
                <w:rFonts w:ascii="宋体" w:hAnsi="宋体" w:cs="宋体"/>
                <w:b/>
                <w:bCs/>
                <w:szCs w:val="21"/>
              </w:rPr>
            </w:pPr>
            <w:r>
              <w:rPr>
                <w:rFonts w:hint="eastAsia" w:ascii="宋体" w:hAnsi="宋体" w:cs="宋体"/>
                <w:b/>
                <w:bCs/>
                <w:szCs w:val="21"/>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w:t>
            </w:r>
          </w:p>
        </w:tc>
        <w:tc>
          <w:tcPr>
            <w:tcW w:w="7929" w:type="dxa"/>
            <w:noWrap/>
            <w:vAlign w:val="center"/>
          </w:tcPr>
          <w:p>
            <w:pPr>
              <w:rPr>
                <w:rFonts w:ascii="宋体" w:hAnsi="宋体" w:cs="宋体"/>
                <w:bCs/>
                <w:color w:val="FF0000"/>
                <w:sz w:val="22"/>
                <w:szCs w:val="22"/>
              </w:rPr>
            </w:pPr>
            <w:r>
              <w:rPr>
                <w:rFonts w:hint="eastAsia" w:ascii="宋体" w:hAnsi="宋体" w:cs="宋体"/>
                <w:bCs/>
                <w:sz w:val="22"/>
                <w:szCs w:val="22"/>
              </w:rPr>
              <w:t>投标人不具备招标文件所列的资格要求，或未提交相应的资格证明资料（“参与公开采购供应商资质要求”，其中未列示的资格要求不得导致废标）</w:t>
            </w:r>
          </w:p>
        </w:tc>
        <w:tc>
          <w:tcPr>
            <w:tcW w:w="1200" w:type="dxa"/>
            <w:noWrap/>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624" w:type="dxa"/>
            <w:gridSpan w:val="2"/>
            <w:noWrap/>
            <w:vAlign w:val="center"/>
          </w:tcPr>
          <w:p>
            <w:pPr>
              <w:jc w:val="center"/>
              <w:rPr>
                <w:rFonts w:ascii="宋体" w:hAnsi="宋体" w:cs="宋体"/>
                <w:bCs/>
                <w:sz w:val="22"/>
                <w:szCs w:val="22"/>
              </w:rPr>
            </w:pPr>
            <w:r>
              <w:rPr>
                <w:rFonts w:hint="eastAsia" w:ascii="宋体" w:hAnsi="宋体" w:cs="宋体"/>
                <w:b/>
                <w:sz w:val="22"/>
                <w:szCs w:val="22"/>
              </w:rPr>
              <w:t>符合性检查表</w:t>
            </w:r>
          </w:p>
        </w:tc>
        <w:tc>
          <w:tcPr>
            <w:tcW w:w="1200" w:type="dxa"/>
            <w:noWrap/>
          </w:tcPr>
          <w:p>
            <w:pPr>
              <w:jc w:val="center"/>
              <w:rPr>
                <w:rFonts w:ascii="宋体" w:hAnsi="宋体" w:cs="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w:t>
            </w:r>
          </w:p>
        </w:tc>
        <w:tc>
          <w:tcPr>
            <w:tcW w:w="7929" w:type="dxa"/>
            <w:noWrap/>
            <w:vAlign w:val="center"/>
          </w:tcPr>
          <w:p>
            <w:pPr>
              <w:rPr>
                <w:rFonts w:ascii="宋体" w:hAnsi="宋体" w:cs="宋体"/>
                <w:bCs/>
                <w:sz w:val="22"/>
                <w:szCs w:val="22"/>
              </w:rPr>
            </w:pPr>
            <w:r>
              <w:rPr>
                <w:rFonts w:hint="eastAsia" w:ascii="宋体" w:hAnsi="宋体" w:cs="宋体"/>
                <w:bCs/>
                <w:sz w:val="22"/>
                <w:szCs w:val="22"/>
              </w:rPr>
              <w:t>将一个包中的内容拆开投标</w:t>
            </w:r>
          </w:p>
        </w:tc>
        <w:tc>
          <w:tcPr>
            <w:tcW w:w="1200" w:type="dxa"/>
            <w:noWrap/>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2</w:t>
            </w:r>
          </w:p>
        </w:tc>
        <w:tc>
          <w:tcPr>
            <w:tcW w:w="7929" w:type="dxa"/>
            <w:noWrap/>
            <w:vAlign w:val="center"/>
          </w:tcPr>
          <w:p>
            <w:pPr>
              <w:rPr>
                <w:rFonts w:ascii="宋体" w:hAnsi="宋体" w:cs="宋体"/>
                <w:bCs/>
                <w:sz w:val="22"/>
                <w:szCs w:val="22"/>
              </w:rPr>
            </w:pPr>
            <w:r>
              <w:rPr>
                <w:rFonts w:hint="eastAsia" w:ascii="宋体" w:hAnsi="宋体" w:cs="宋体"/>
                <w:bCs/>
                <w:sz w:val="22"/>
                <w:szCs w:val="22"/>
              </w:rPr>
              <w:t>招标文件未规定允许有替代方案时，对同一货物投标时，同时提供两套或两套以上的投标方案</w:t>
            </w:r>
          </w:p>
        </w:tc>
        <w:tc>
          <w:tcPr>
            <w:tcW w:w="1200" w:type="dxa"/>
            <w:noWrap/>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3</w:t>
            </w:r>
          </w:p>
        </w:tc>
        <w:tc>
          <w:tcPr>
            <w:tcW w:w="7929" w:type="dxa"/>
            <w:noWrap/>
            <w:vAlign w:val="center"/>
          </w:tcPr>
          <w:p>
            <w:pPr>
              <w:rPr>
                <w:rFonts w:ascii="宋体" w:hAnsi="宋体" w:cs="宋体"/>
                <w:bCs/>
                <w:sz w:val="22"/>
                <w:szCs w:val="22"/>
              </w:rPr>
            </w:pPr>
            <w:r>
              <w:rPr>
                <w:rFonts w:hint="eastAsia" w:ascii="宋体" w:hAnsi="宋体" w:cs="宋体"/>
                <w:bCs/>
                <w:sz w:val="22"/>
                <w:szCs w:val="22"/>
              </w:rPr>
              <w:t>投标总价或分项报价高于项目预算限额的</w:t>
            </w:r>
          </w:p>
        </w:tc>
        <w:tc>
          <w:tcPr>
            <w:tcW w:w="1200" w:type="dxa"/>
            <w:noWrap/>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4</w:t>
            </w:r>
          </w:p>
        </w:tc>
        <w:tc>
          <w:tcPr>
            <w:tcW w:w="7929" w:type="dxa"/>
            <w:noWrap/>
            <w:vAlign w:val="center"/>
          </w:tcPr>
          <w:p>
            <w:pPr>
              <w:rPr>
                <w:rFonts w:ascii="宋体" w:hAnsi="宋体" w:cs="宋体"/>
                <w:bCs/>
                <w:sz w:val="22"/>
                <w:szCs w:val="22"/>
              </w:rPr>
            </w:pPr>
            <w:r>
              <w:rPr>
                <w:rFonts w:hint="eastAsia" w:ascii="宋体" w:hAnsi="宋体" w:cs="宋体"/>
                <w:bCs/>
                <w:sz w:val="22"/>
                <w:szCs w:val="22"/>
              </w:rPr>
              <w:t>投标人的报价明显低于其他通过符合性审查投标人的报价，有可能影响产品质量或者不能诚信履约的，评委会有权要求投标供应商在规定时间内提供书面说明以及必要的证明材料，投标供应商不能证明其报价合理性的，评标委员会应当将其作为无效投标处理；</w:t>
            </w:r>
          </w:p>
        </w:tc>
        <w:tc>
          <w:tcPr>
            <w:tcW w:w="1200" w:type="dxa"/>
            <w:noWrap/>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5</w:t>
            </w:r>
          </w:p>
        </w:tc>
        <w:tc>
          <w:tcPr>
            <w:tcW w:w="7929" w:type="dxa"/>
            <w:noWrap/>
            <w:vAlign w:val="center"/>
          </w:tcPr>
          <w:p>
            <w:pPr>
              <w:rPr>
                <w:rFonts w:ascii="宋体" w:hAnsi="宋体" w:cs="宋体"/>
                <w:bCs/>
                <w:sz w:val="22"/>
                <w:szCs w:val="22"/>
              </w:rPr>
            </w:pPr>
            <w:r>
              <w:rPr>
                <w:rFonts w:hint="eastAsia" w:ascii="宋体" w:hAnsi="宋体" w:cs="宋体"/>
                <w:bCs/>
                <w:sz w:val="22"/>
                <w:szCs w:val="22"/>
              </w:rPr>
              <w:t>同一项目出现两个或以上报价、单价汇总与总价不符的，需进行价格修正</w:t>
            </w:r>
          </w:p>
        </w:tc>
        <w:tc>
          <w:tcPr>
            <w:tcW w:w="1200" w:type="dxa"/>
            <w:noWrap/>
            <w:vAlign w:val="center"/>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6</w:t>
            </w:r>
          </w:p>
        </w:tc>
        <w:tc>
          <w:tcPr>
            <w:tcW w:w="7929" w:type="dxa"/>
            <w:noWrap/>
            <w:vAlign w:val="center"/>
          </w:tcPr>
          <w:p>
            <w:pPr>
              <w:rPr>
                <w:rFonts w:ascii="宋体" w:hAnsi="宋体" w:cs="宋体"/>
                <w:bCs/>
                <w:sz w:val="22"/>
                <w:szCs w:val="22"/>
              </w:rPr>
            </w:pPr>
            <w:r>
              <w:rPr>
                <w:rFonts w:hint="eastAsia" w:ascii="宋体" w:hAnsi="宋体" w:cs="宋体"/>
                <w:bCs/>
                <w:sz w:val="22"/>
                <w:szCs w:val="22"/>
              </w:rPr>
              <w:t>投标报价有缺漏项目或对采购文件规定的服务清单项目及数量进行修改；</w:t>
            </w:r>
          </w:p>
        </w:tc>
        <w:tc>
          <w:tcPr>
            <w:tcW w:w="1200" w:type="dxa"/>
            <w:noWrap/>
            <w:vAlign w:val="center"/>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7</w:t>
            </w:r>
          </w:p>
        </w:tc>
        <w:tc>
          <w:tcPr>
            <w:tcW w:w="7929" w:type="dxa"/>
            <w:noWrap/>
            <w:vAlign w:val="center"/>
          </w:tcPr>
          <w:p>
            <w:pPr>
              <w:rPr>
                <w:rFonts w:ascii="宋体" w:hAnsi="宋体" w:cs="宋体"/>
                <w:bCs/>
                <w:sz w:val="22"/>
                <w:szCs w:val="22"/>
              </w:rPr>
            </w:pPr>
            <w:r>
              <w:rPr>
                <w:rFonts w:hint="eastAsia" w:ascii="宋体" w:hAnsi="宋体" w:cs="宋体"/>
                <w:bCs/>
                <w:sz w:val="22"/>
                <w:szCs w:val="22"/>
              </w:rPr>
              <w:t>所投产品、工程、服务在质量、技术、方案等方面没有实质性满足采购文件要求，本项目实质性条款以标注“★”条款为准（是否实质性满足招标文件要求，由评审委员会根据《实质性条款响应情况表》做出评判）；</w:t>
            </w:r>
          </w:p>
        </w:tc>
        <w:tc>
          <w:tcPr>
            <w:tcW w:w="1200" w:type="dxa"/>
            <w:noWrap/>
            <w:vAlign w:val="center"/>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8</w:t>
            </w:r>
          </w:p>
        </w:tc>
        <w:tc>
          <w:tcPr>
            <w:tcW w:w="7929" w:type="dxa"/>
            <w:noWrap/>
            <w:vAlign w:val="center"/>
          </w:tcPr>
          <w:p>
            <w:pPr>
              <w:rPr>
                <w:rFonts w:ascii="宋体" w:hAnsi="宋体" w:cs="宋体"/>
                <w:bCs/>
                <w:sz w:val="22"/>
                <w:szCs w:val="22"/>
              </w:rPr>
            </w:pPr>
            <w:r>
              <w:rPr>
                <w:rFonts w:hint="eastAsia" w:ascii="宋体" w:hAnsi="宋体" w:cs="宋体"/>
                <w:bCs/>
                <w:sz w:val="22"/>
                <w:szCs w:val="22"/>
              </w:rPr>
              <w:t>《投标函》、《采购投标承诺函》未按采购文件规定的格式和内容响应；未按采购文件对投标文件组成的要求提供投标文件的（投标文件组成不完整）；未按照招标文件要求提供单独密封的开标一览表；投标文件的数量、密封、签字盖章不符合采购文件要求或未提供投标文件电子文档；未按照采购文件规定的样式及要求填写 “法定代表人（负责人）资格证明书”或“投标文件签署授权委托书”或“分项报价清单”；</w:t>
            </w:r>
          </w:p>
        </w:tc>
        <w:tc>
          <w:tcPr>
            <w:tcW w:w="1200" w:type="dxa"/>
            <w:noWrap/>
            <w:vAlign w:val="center"/>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9</w:t>
            </w:r>
          </w:p>
        </w:tc>
        <w:tc>
          <w:tcPr>
            <w:tcW w:w="7929" w:type="dxa"/>
            <w:noWrap/>
            <w:vAlign w:val="center"/>
          </w:tcPr>
          <w:p>
            <w:pPr>
              <w:rPr>
                <w:rFonts w:ascii="宋体" w:hAnsi="宋体" w:cs="宋体"/>
                <w:bCs/>
                <w:sz w:val="22"/>
                <w:szCs w:val="22"/>
              </w:rPr>
            </w:pPr>
            <w:r>
              <w:rPr>
                <w:rFonts w:hint="eastAsia" w:ascii="宋体" w:hAnsi="宋体" w:cs="宋体"/>
                <w:bCs/>
                <w:sz w:val="22"/>
                <w:szCs w:val="22"/>
              </w:rPr>
              <w:t>与其他投标供应商的投标文件存在异常雷同现象的；</w:t>
            </w:r>
          </w:p>
        </w:tc>
        <w:tc>
          <w:tcPr>
            <w:tcW w:w="1200" w:type="dxa"/>
            <w:noWrap/>
            <w:vAlign w:val="center"/>
          </w:tcPr>
          <w:p>
            <w:pP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10</w:t>
            </w:r>
          </w:p>
        </w:tc>
        <w:tc>
          <w:tcPr>
            <w:tcW w:w="7929" w:type="dxa"/>
            <w:noWrap/>
            <w:vAlign w:val="center"/>
          </w:tcPr>
          <w:p>
            <w:pPr>
              <w:rPr>
                <w:rFonts w:ascii="宋体" w:hAnsi="宋体" w:cs="宋体"/>
                <w:bCs/>
                <w:sz w:val="22"/>
                <w:szCs w:val="22"/>
              </w:rPr>
            </w:pPr>
            <w:r>
              <w:rPr>
                <w:rFonts w:hint="eastAsia" w:ascii="宋体" w:hAnsi="宋体" w:cs="宋体"/>
                <w:bCs/>
                <w:sz w:val="22"/>
                <w:szCs w:val="22"/>
              </w:rPr>
              <w:t>招标文件规定的其他投标无效情形；</w:t>
            </w:r>
          </w:p>
        </w:tc>
        <w:tc>
          <w:tcPr>
            <w:tcW w:w="1200" w:type="dxa"/>
            <w:noWrap/>
            <w:vAlign w:val="center"/>
          </w:tcPr>
          <w:p>
            <w:pPr>
              <w:jc w:val="left"/>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11</w:t>
            </w:r>
          </w:p>
        </w:tc>
        <w:tc>
          <w:tcPr>
            <w:tcW w:w="7929" w:type="dxa"/>
            <w:noWrap/>
            <w:vAlign w:val="center"/>
          </w:tcPr>
          <w:p>
            <w:pPr>
              <w:rPr>
                <w:rFonts w:ascii="宋体" w:hAnsi="宋体" w:cs="宋体"/>
                <w:bCs/>
                <w:sz w:val="22"/>
                <w:szCs w:val="22"/>
              </w:rPr>
            </w:pPr>
            <w:r>
              <w:rPr>
                <w:rFonts w:hint="eastAsia" w:ascii="宋体" w:hAnsi="宋体" w:cs="宋体"/>
                <w:bCs/>
                <w:sz w:val="22"/>
                <w:szCs w:val="22"/>
              </w:rPr>
              <w:t>法律、法规规定的其他情形。</w:t>
            </w:r>
          </w:p>
        </w:tc>
        <w:tc>
          <w:tcPr>
            <w:tcW w:w="1200" w:type="dxa"/>
            <w:noWrap/>
            <w:vAlign w:val="center"/>
          </w:tcPr>
          <w:p>
            <w:pPr>
              <w:jc w:val="left"/>
              <w:rPr>
                <w:rFonts w:ascii="宋体" w:hAnsi="宋体" w:cs="宋体"/>
                <w:bCs/>
                <w:sz w:val="22"/>
                <w:szCs w:val="22"/>
              </w:rPr>
            </w:pPr>
          </w:p>
        </w:tc>
      </w:tr>
    </w:tbl>
    <w:p>
      <w:pPr>
        <w:rPr>
          <w:rFonts w:ascii="仿宋" w:hAnsi="仿宋" w:eastAsia="仿宋" w:cs="仿宋"/>
          <w:b/>
          <w:bCs/>
          <w:sz w:val="36"/>
          <w:szCs w:val="36"/>
        </w:rPr>
      </w:pPr>
    </w:p>
    <w:p>
      <w:pPr>
        <w:pStyle w:val="5"/>
      </w:pPr>
    </w:p>
    <w:p/>
    <w:p>
      <w:pPr>
        <w:pStyle w:val="6"/>
      </w:pPr>
    </w:p>
    <w:p>
      <w:pPr>
        <w:pStyle w:val="26"/>
        <w:ind w:firstLine="0" w:firstLineChars="0"/>
      </w:pPr>
    </w:p>
    <w:p>
      <w:pPr>
        <w:numPr>
          <w:ilvl w:val="0"/>
          <w:numId w:val="1"/>
        </w:numPr>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投标须知</w:t>
      </w:r>
    </w:p>
    <w:p>
      <w:pPr>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一、为充分体现公平、公正、公开原则，择优选择供应商，参加投标的单位必须满足本项目投标供应商的资质要求。</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1.本项目的潜在供应商应在递交投标文件截止日之前到医院招采办报名投标。</w:t>
      </w:r>
    </w:p>
    <w:p>
      <w:pPr>
        <w:snapToGrid w:val="0"/>
        <w:spacing w:line="500" w:lineRule="exact"/>
        <w:ind w:firstLine="560" w:firstLineChars="200"/>
        <w:rPr>
          <w:rFonts w:ascii="仿宋" w:hAnsi="仿宋" w:eastAsia="仿宋" w:cs="仿宋"/>
          <w:b/>
          <w:bCs/>
          <w:sz w:val="28"/>
          <w:szCs w:val="28"/>
        </w:rPr>
      </w:pPr>
      <w:r>
        <w:rPr>
          <w:rFonts w:hint="eastAsia" w:ascii="仿宋" w:hAnsi="仿宋" w:eastAsia="仿宋" w:cs="仿宋"/>
          <w:sz w:val="28"/>
          <w:szCs w:val="28"/>
        </w:rPr>
        <w:t>2.符合条件的供应商严格按照采购单位提供的招标文件，认真填写投标资料，并在规定时间将</w:t>
      </w:r>
      <w:r>
        <w:rPr>
          <w:rFonts w:hint="eastAsia" w:ascii="仿宋" w:hAnsi="仿宋" w:eastAsia="仿宋" w:cs="仿宋"/>
          <w:b/>
          <w:bCs/>
          <w:sz w:val="28"/>
          <w:szCs w:val="28"/>
        </w:rPr>
        <w:t>投标文件密封</w:t>
      </w:r>
      <w:r>
        <w:rPr>
          <w:rFonts w:hint="eastAsia" w:ascii="仿宋" w:hAnsi="仿宋" w:eastAsia="仿宋" w:cs="仿宋"/>
          <w:sz w:val="28"/>
          <w:szCs w:val="28"/>
        </w:rPr>
        <w:t>送达指定地点。投标单位法定代表人或授权代表在规定的时间内未递交投标资料的，视为自动放弃。</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3.院内公开招标有效投标的供应商不足三家，不得开标。</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4.存在下列情形的，应予废标：</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（1）符合专业条件的供应商或者对招标文件作实质性响应的供应商不足三家的；</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（2）出现影响采购公正的违法、违规行为的；</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（3）投标人的报价均超过采购预算或最高限价，采购人不能支付的；</w:t>
      </w:r>
    </w:p>
    <w:p>
      <w:pPr>
        <w:snapToGrid w:val="0"/>
        <w:spacing w:line="500" w:lineRule="exact"/>
        <w:ind w:firstLine="638" w:firstLineChars="228"/>
        <w:rPr>
          <w:rFonts w:ascii="仿宋" w:hAnsi="仿宋" w:eastAsia="仿宋" w:cs="仿宋"/>
          <w:kern w:val="0"/>
          <w:sz w:val="28"/>
          <w:szCs w:val="28"/>
        </w:rPr>
      </w:pPr>
      <w:r>
        <w:rPr>
          <w:rFonts w:hint="eastAsia" w:ascii="仿宋" w:hAnsi="仿宋" w:eastAsia="仿宋" w:cs="仿宋"/>
          <w:sz w:val="28"/>
          <w:szCs w:val="28"/>
        </w:rPr>
        <w:t>（4）因重大变故，采购任务取消的。</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5.投标文件有效期</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（1）在递交投标文件截止日期之后的60天内有效。</w:t>
      </w:r>
    </w:p>
    <w:p>
      <w:pPr>
        <w:snapToGrid w:val="0"/>
        <w:spacing w:line="500" w:lineRule="exact"/>
        <w:ind w:firstLine="638" w:firstLineChars="228"/>
        <w:rPr>
          <w:rFonts w:ascii="仿宋" w:hAnsi="仿宋" w:eastAsia="仿宋" w:cs="仿宋"/>
          <w:sz w:val="28"/>
          <w:szCs w:val="28"/>
        </w:rPr>
      </w:pPr>
      <w:r>
        <w:rPr>
          <w:rFonts w:hint="eastAsia" w:ascii="仿宋" w:hAnsi="仿宋" w:eastAsia="仿宋" w:cs="仿宋"/>
          <w:sz w:val="28"/>
          <w:szCs w:val="28"/>
        </w:rPr>
        <w:t>（2）在原定投标文件有效期满之前，如果出现特殊情况，招采办可以书面形式向供应商提出延长投标文件有效期的要求。</w:t>
      </w:r>
    </w:p>
    <w:p>
      <w:pPr>
        <w:snapToGrid w:val="0"/>
        <w:spacing w:line="50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二、需提供资料及标准</w:t>
      </w:r>
    </w:p>
    <w:p>
      <w:pPr>
        <w:snapToGrid w:val="0"/>
        <w:spacing w:line="50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36"/>
        </w:rPr>
        <w:t>（一）投标文件的规定。投标文件</w:t>
      </w:r>
      <w:r>
        <w:rPr>
          <w:rFonts w:hint="eastAsia" w:ascii="仿宋_GB2312" w:hAnsi="仿宋_GB2312" w:eastAsia="仿宋_GB2312" w:cs="仿宋_GB2312"/>
          <w:b/>
          <w:bCs/>
          <w:sz w:val="28"/>
          <w:szCs w:val="36"/>
        </w:rPr>
        <w:t>须密封装袋</w:t>
      </w:r>
      <w:r>
        <w:rPr>
          <w:rFonts w:hint="eastAsia" w:ascii="仿宋_GB2312" w:hAnsi="仿宋_GB2312" w:eastAsia="仿宋_GB2312" w:cs="仿宋_GB2312"/>
          <w:sz w:val="28"/>
          <w:szCs w:val="36"/>
        </w:rPr>
        <w:t>，制作</w:t>
      </w:r>
      <w:r>
        <w:rPr>
          <w:rFonts w:hint="eastAsia" w:ascii="仿宋_GB2312" w:hAnsi="仿宋_GB2312" w:eastAsia="仿宋_GB2312" w:cs="仿宋_GB2312"/>
          <w:b/>
          <w:bCs/>
          <w:sz w:val="28"/>
          <w:szCs w:val="36"/>
        </w:rPr>
        <w:t>一本正本，2本副本（另：提交一本电子投标文件，用U盘拷贝，U盘不退还，并标明项目名称和公司名称）</w:t>
      </w:r>
      <w:r>
        <w:rPr>
          <w:rFonts w:hint="eastAsia" w:ascii="仿宋_GB2312" w:hAnsi="仿宋_GB2312" w:eastAsia="仿宋_GB2312" w:cs="仿宋_GB2312"/>
          <w:sz w:val="28"/>
          <w:szCs w:val="36"/>
        </w:rPr>
        <w:t>，每份投标文件必须装订且须在封面上清楚标明“</w:t>
      </w:r>
      <w:r>
        <w:rPr>
          <w:rFonts w:hint="eastAsia" w:ascii="仿宋_GB2312" w:hAnsi="仿宋_GB2312" w:eastAsia="仿宋_GB2312" w:cs="仿宋_GB2312"/>
          <w:b/>
          <w:bCs/>
          <w:sz w:val="28"/>
          <w:szCs w:val="36"/>
        </w:rPr>
        <w:t>正本</w:t>
      </w:r>
      <w:r>
        <w:rPr>
          <w:rFonts w:hint="eastAsia" w:ascii="仿宋_GB2312" w:hAnsi="仿宋_GB2312" w:eastAsia="仿宋_GB2312" w:cs="仿宋_GB2312"/>
          <w:sz w:val="28"/>
          <w:szCs w:val="36"/>
        </w:rPr>
        <w:t>”或“</w:t>
      </w:r>
      <w:r>
        <w:rPr>
          <w:rFonts w:hint="eastAsia" w:ascii="仿宋_GB2312" w:hAnsi="仿宋_GB2312" w:eastAsia="仿宋_GB2312" w:cs="仿宋_GB2312"/>
          <w:b/>
          <w:bCs/>
          <w:sz w:val="28"/>
          <w:szCs w:val="36"/>
        </w:rPr>
        <w:t>副本</w:t>
      </w:r>
      <w:r>
        <w:rPr>
          <w:rFonts w:hint="eastAsia" w:ascii="仿宋_GB2312" w:hAnsi="仿宋_GB2312" w:eastAsia="仿宋_GB2312" w:cs="仿宋_GB2312"/>
          <w:sz w:val="28"/>
          <w:szCs w:val="36"/>
        </w:rPr>
        <w:t>”字样。一旦正本与副本不符，以正本为准。 投标文件不得涂改和增删，如要修改错漏处，必须由同一签署人</w:t>
      </w:r>
      <w:r>
        <w:rPr>
          <w:rFonts w:hint="eastAsia" w:ascii="仿宋_GB2312" w:hAnsi="仿宋_GB2312" w:eastAsia="仿宋_GB2312" w:cs="仿宋_GB2312"/>
          <w:b/>
          <w:bCs/>
          <w:sz w:val="28"/>
          <w:szCs w:val="36"/>
        </w:rPr>
        <w:t>在修改处签字或盖章</w:t>
      </w:r>
      <w:r>
        <w:rPr>
          <w:rFonts w:hint="eastAsia" w:ascii="仿宋_GB2312" w:hAnsi="仿宋_GB2312" w:eastAsia="仿宋_GB2312" w:cs="仿宋_GB2312"/>
          <w:sz w:val="28"/>
          <w:szCs w:val="36"/>
        </w:rPr>
        <w:t>。</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（二）提供本项目开标一览表一份，开标一览表须加盖公章并单独密封，供应商须在开标一览表上签名确认。</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（三）资料封面注有公司名称、地址、联系人、手机号码、办公电话和邮箱地址。</w:t>
      </w:r>
    </w:p>
    <w:p>
      <w:pPr>
        <w:numPr>
          <w:ilvl w:val="0"/>
          <w:numId w:val="2"/>
        </w:numPr>
        <w:snapToGrid w:val="0"/>
        <w:spacing w:line="500" w:lineRule="exact"/>
        <w:ind w:left="0" w:hanging="5"/>
        <w:jc w:val="left"/>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所有资料要有封面、目录、页码、装订成册。</w:t>
      </w:r>
    </w:p>
    <w:p>
      <w:pPr>
        <w:numPr>
          <w:ilvl w:val="0"/>
          <w:numId w:val="2"/>
        </w:numPr>
        <w:snapToGrid w:val="0"/>
        <w:spacing w:line="500" w:lineRule="exact"/>
        <w:ind w:left="0" w:hanging="5"/>
        <w:jc w:val="left"/>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所有资料</w:t>
      </w:r>
      <w:r>
        <w:rPr>
          <w:rFonts w:hint="eastAsia" w:ascii="仿宋_GB2312" w:hAnsi="仿宋_GB2312" w:eastAsia="仿宋_GB2312" w:cs="仿宋_GB2312"/>
          <w:b/>
          <w:bCs/>
          <w:snapToGrid w:val="0"/>
          <w:kern w:val="144"/>
          <w:sz w:val="28"/>
          <w:szCs w:val="28"/>
        </w:rPr>
        <w:t>每页须加盖公章</w:t>
      </w:r>
      <w:r>
        <w:rPr>
          <w:rFonts w:hint="eastAsia" w:ascii="仿宋_GB2312" w:hAnsi="仿宋_GB2312" w:eastAsia="仿宋_GB2312" w:cs="仿宋_GB2312"/>
          <w:snapToGrid w:val="0"/>
          <w:kern w:val="144"/>
          <w:sz w:val="28"/>
          <w:szCs w:val="28"/>
        </w:rPr>
        <w:t>。</w:t>
      </w:r>
    </w:p>
    <w:p>
      <w:pPr>
        <w:numPr>
          <w:ilvl w:val="0"/>
          <w:numId w:val="2"/>
        </w:numPr>
        <w:snapToGrid w:val="0"/>
        <w:spacing w:line="500" w:lineRule="exact"/>
        <w:ind w:left="0" w:hanging="5"/>
        <w:jc w:val="left"/>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所有资料须</w:t>
      </w:r>
      <w:r>
        <w:rPr>
          <w:rFonts w:hint="eastAsia" w:ascii="仿宋_GB2312" w:hAnsi="仿宋_GB2312" w:eastAsia="仿宋_GB2312" w:cs="仿宋_GB2312"/>
          <w:b/>
          <w:bCs/>
          <w:snapToGrid w:val="0"/>
          <w:kern w:val="144"/>
          <w:sz w:val="28"/>
          <w:szCs w:val="28"/>
        </w:rPr>
        <w:t>密封并加盖公章</w:t>
      </w:r>
      <w:r>
        <w:rPr>
          <w:rFonts w:hint="eastAsia" w:ascii="仿宋_GB2312" w:hAnsi="仿宋_GB2312" w:eastAsia="仿宋_GB2312" w:cs="仿宋_GB2312"/>
          <w:snapToGrid w:val="0"/>
          <w:kern w:val="144"/>
          <w:sz w:val="28"/>
          <w:szCs w:val="28"/>
        </w:rPr>
        <w:t>。</w:t>
      </w:r>
    </w:p>
    <w:p>
      <w:pPr>
        <w:snapToGrid w:val="0"/>
        <w:spacing w:line="500" w:lineRule="exact"/>
        <w:ind w:firstLine="560" w:firstLineChars="200"/>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（四）携带完整资料到招采办报名登记好公司名称、业务代表姓名、联系电话及提供的产品项目。</w:t>
      </w:r>
    </w:p>
    <w:p>
      <w:pPr>
        <w:snapToGrid w:val="0"/>
        <w:spacing w:line="500" w:lineRule="exact"/>
        <w:ind w:firstLine="560" w:firstLineChars="200"/>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五）经取得院内公开采购的项目在验收时，其实际质量与其参加院内公开采购时提供的条件不符或在规定时间内拒签合同以及不按合同条款执行合同者均视为不履行合约，我院将其供应商列入我院黑名单及上报有关部门，在一年内不允许该公司参加我院内公开采购活动。</w:t>
      </w:r>
    </w:p>
    <w:p>
      <w:pPr>
        <w:snapToGrid w:val="0"/>
        <w:spacing w:line="5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（六）投标人的产品质量及服务承诺书不能严重低于招标文件中的服务要求标准做出响应，允许出现负偏差，但不得出现严重负偏差。</w:t>
      </w:r>
    </w:p>
    <w:p>
      <w:pPr>
        <w:snapToGrid w:val="0"/>
        <w:spacing w:line="50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36"/>
        </w:rPr>
        <w:t>（七）评审结束，中标结果公示</w:t>
      </w:r>
      <w:r>
        <w:rPr>
          <w:rFonts w:hint="eastAsia" w:ascii="仿宋_GB2312" w:hAnsi="仿宋_GB2312" w:eastAsia="仿宋_GB2312" w:cs="仿宋_GB2312"/>
          <w:b/>
          <w:bCs/>
          <w:sz w:val="28"/>
          <w:szCs w:val="36"/>
        </w:rPr>
        <w:t>3天</w:t>
      </w:r>
      <w:r>
        <w:rPr>
          <w:rFonts w:hint="eastAsia" w:ascii="仿宋_GB2312" w:hAnsi="仿宋_GB2312" w:eastAsia="仿宋_GB2312" w:cs="仿宋_GB2312"/>
          <w:sz w:val="28"/>
          <w:szCs w:val="36"/>
        </w:rPr>
        <w:t>，中标供应商须在收到我院中标通知书后</w:t>
      </w:r>
      <w:r>
        <w:rPr>
          <w:rFonts w:hint="eastAsia" w:ascii="仿宋_GB2312" w:hAnsi="仿宋_GB2312" w:eastAsia="仿宋_GB2312" w:cs="仿宋_GB2312"/>
          <w:b/>
          <w:bCs/>
          <w:sz w:val="28"/>
          <w:szCs w:val="36"/>
        </w:rPr>
        <w:t>10个工作日内</w:t>
      </w:r>
      <w:r>
        <w:rPr>
          <w:rFonts w:hint="eastAsia" w:ascii="仿宋_GB2312" w:hAnsi="仿宋_GB2312" w:eastAsia="仿宋_GB2312" w:cs="仿宋_GB2312"/>
          <w:sz w:val="28"/>
          <w:szCs w:val="36"/>
        </w:rPr>
        <w:t>到我院签署合同，超过</w:t>
      </w:r>
      <w:r>
        <w:rPr>
          <w:rFonts w:hint="eastAsia" w:ascii="仿宋_GB2312" w:hAnsi="仿宋_GB2312" w:eastAsia="仿宋_GB2312" w:cs="仿宋_GB2312"/>
          <w:b/>
          <w:bCs/>
          <w:sz w:val="28"/>
          <w:szCs w:val="36"/>
        </w:rPr>
        <w:t>10个工作日</w:t>
      </w:r>
      <w:r>
        <w:rPr>
          <w:rFonts w:hint="eastAsia" w:ascii="仿宋_GB2312" w:hAnsi="仿宋_GB2312" w:eastAsia="仿宋_GB2312" w:cs="仿宋_GB2312"/>
          <w:sz w:val="28"/>
          <w:szCs w:val="36"/>
        </w:rPr>
        <w:t>未前来签合同的，我院有权宣布本次采购结果作废，重新确定供应商。</w:t>
      </w:r>
    </w:p>
    <w:p>
      <w:pPr>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三、招标文件的澄清</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1.投标人在收到招标文件后，可以对已发出的招标文件进行必要的澄清或者修改。澄清或者修改应当在原公告发布媒体上发布澄清（更正/变更）公告。</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无论出于何种原因，采购人可以主动地或在解答投标人提出的疑问时对已发出的招标文件进行必要的澄清或修改（更正）的，于投标截止时间前在指定媒体上发布公告，并通知所有报名及购买招标文件的投标人，报名招标文件的投标人在收到澄清或修改（更正）通知后应按要求以书面形式（传真有效）予以确认，如在24小时之内无书面回函则视为同意修改内容，并有责任履行相应的义务。</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3.采购人发出的澄清或修改（更正/变更）的内容为招标文件的组成部分，并对供应商具有约束力。</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对招标文件中描述有歧义或前后不一致的地方，评标委员会有权进行评判，但对同一条款的评判应适用于每个投标人。</w:t>
      </w:r>
    </w:p>
    <w:p>
      <w:pPr>
        <w:snapToGrid w:val="0"/>
        <w:spacing w:line="460" w:lineRule="exact"/>
        <w:ind w:firstLine="562" w:firstLineChars="200"/>
        <w:rPr>
          <w:rFonts w:ascii="仿宋" w:hAnsi="仿宋" w:eastAsia="仿宋" w:cs="仿宋"/>
          <w:sz w:val="28"/>
          <w:szCs w:val="28"/>
        </w:rPr>
      </w:pPr>
      <w:r>
        <w:rPr>
          <w:rFonts w:hint="eastAsia" w:ascii="仿宋" w:hAnsi="仿宋" w:eastAsia="仿宋" w:cs="仿宋"/>
          <w:b/>
          <w:bCs/>
          <w:sz w:val="28"/>
          <w:szCs w:val="28"/>
        </w:rPr>
        <w:t>四、招标文件的补充和修正</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1、采购人可以对已发出的招标文件进行必要的澄清或者修改。澄清或者修改应当在原公告发布媒体上发布澄清（更正/变更）公告。</w:t>
      </w:r>
    </w:p>
    <w:p>
      <w:pPr>
        <w:pStyle w:val="5"/>
        <w:spacing w:line="460" w:lineRule="exact"/>
        <w:ind w:firstLine="560" w:firstLineChars="200"/>
        <w:rPr>
          <w:rFonts w:ascii="仿宋" w:hAnsi="仿宋" w:eastAsia="仿宋" w:cs="仿宋"/>
          <w:sz w:val="28"/>
          <w:szCs w:val="28"/>
        </w:rPr>
      </w:pPr>
      <w:r>
        <w:rPr>
          <w:rFonts w:ascii="仿宋" w:hAnsi="仿宋" w:eastAsia="仿宋" w:cs="仿宋"/>
          <w:sz w:val="28"/>
          <w:szCs w:val="28"/>
        </w:rPr>
        <w:t>2、采购人对招标文件的补充和修正，将以电子文件等方式发给所有获得招标文件的供应商，补充通知作为招标文件的组成部分，对同意参与招标单位起约束作用。</w:t>
      </w:r>
    </w:p>
    <w:p>
      <w:pPr>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五、投标文件有效期</w:t>
      </w:r>
    </w:p>
    <w:p>
      <w:pPr>
        <w:numPr>
          <w:ilvl w:val="0"/>
          <w:numId w:val="3"/>
        </w:num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在递交投标文件截止日期之后的60天内有效。</w:t>
      </w:r>
    </w:p>
    <w:p>
      <w:pPr>
        <w:numPr>
          <w:ilvl w:val="0"/>
          <w:numId w:val="3"/>
        </w:num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在原定投标文件有效期满之前，如果出现特殊情况，招采办可以书面形式向投标人提出延长投标文件有效期的要求。</w:t>
      </w:r>
    </w:p>
    <w:p>
      <w:pPr>
        <w:numPr>
          <w:ilvl w:val="0"/>
          <w:numId w:val="3"/>
        </w:num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质疑期限：凡对招标文件有任何质疑的（包括认为招标文件的技术指标或参数存在排他性或歧视性条款），请于开标之日前提出疑问，逾期不予处理。</w:t>
      </w:r>
    </w:p>
    <w:p>
      <w:pPr>
        <w:numPr>
          <w:ilvl w:val="0"/>
          <w:numId w:val="3"/>
        </w:numPr>
        <w:snapToGrid w:val="0"/>
        <w:spacing w:line="500" w:lineRule="exact"/>
        <w:ind w:firstLine="560" w:firstLineChars="200"/>
        <w:sectPr>
          <w:footerReference r:id="rId3" w:type="default"/>
          <w:pgSz w:w="11906" w:h="16838"/>
          <w:pgMar w:top="1440" w:right="1576" w:bottom="1440" w:left="1576" w:header="851" w:footer="992" w:gutter="0"/>
          <w:cols w:space="425" w:num="1"/>
          <w:docGrid w:type="lines" w:linePitch="312" w:charSpace="0"/>
        </w:sectPr>
      </w:pPr>
      <w:r>
        <w:rPr>
          <w:rFonts w:hint="eastAsia" w:ascii="仿宋" w:hAnsi="仿宋" w:eastAsia="仿宋" w:cs="仿宋"/>
          <w:sz w:val="28"/>
          <w:szCs w:val="28"/>
        </w:rPr>
        <w:t>招采办将做出澄清和解答，逾期未提交质疑文件的视同无问题。</w:t>
      </w:r>
    </w:p>
    <w:p>
      <w:pPr>
        <w:spacing w:line="560" w:lineRule="exact"/>
        <w:ind w:left="2882"/>
      </w:pPr>
      <w:r>
        <w:rPr>
          <w:rFonts w:hint="eastAsia" w:ascii="仿宋" w:hAnsi="仿宋" w:eastAsia="仿宋" w:cs="仿宋"/>
          <w:sz w:val="44"/>
          <w:szCs w:val="44"/>
        </w:rPr>
        <w:t>第五章 供应商标书</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0" w:hRule="atLeast"/>
        </w:trPr>
        <w:tc>
          <w:tcPr>
            <w:tcW w:w="5000" w:type="pct"/>
            <w:noWrap/>
            <w:vAlign w:val="center"/>
          </w:tcPr>
          <w:p>
            <w:pPr>
              <w:jc w:val="center"/>
              <w:rPr>
                <w:rFonts w:ascii="仿宋" w:hAnsi="仿宋" w:eastAsia="仿宋" w:cs="仿宋"/>
                <w:b/>
                <w:bCs/>
                <w:sz w:val="96"/>
                <w:szCs w:val="96"/>
              </w:rPr>
            </w:pPr>
          </w:p>
          <w:p>
            <w:pPr>
              <w:jc w:val="center"/>
              <w:rPr>
                <w:rFonts w:ascii="仿宋" w:hAnsi="仿宋" w:eastAsia="仿宋" w:cs="仿宋"/>
                <w:sz w:val="72"/>
                <w:szCs w:val="72"/>
              </w:rPr>
            </w:pPr>
            <w:r>
              <w:rPr>
                <w:rFonts w:hint="eastAsia" w:ascii="仿宋" w:hAnsi="仿宋" w:eastAsia="仿宋" w:cs="仿宋"/>
                <w:b/>
                <w:bCs/>
                <w:sz w:val="96"/>
                <w:szCs w:val="96"/>
              </w:rPr>
              <w:t>投标书</w:t>
            </w:r>
          </w:p>
          <w:p>
            <w:pPr>
              <w:rPr>
                <w:rFonts w:ascii="仿宋" w:hAnsi="仿宋" w:eastAsia="仿宋" w:cs="仿宋"/>
                <w:sz w:val="72"/>
                <w:szCs w:val="72"/>
              </w:rPr>
            </w:pPr>
          </w:p>
          <w:p>
            <w:pPr>
              <w:pStyle w:val="27"/>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rPr>
              <w:t>项目名称:</w:t>
            </w:r>
            <w:r>
              <w:rPr>
                <w:rFonts w:hint="eastAsia" w:ascii="仿宋_GB2312" w:hAnsi="仿宋_GB2312" w:eastAsia="仿宋_GB2312" w:cs="仿宋_GB2312"/>
                <w:sz w:val="36"/>
                <w:szCs w:val="36"/>
                <w:lang w:val="en-US" w:eastAsia="zh-CN"/>
              </w:rPr>
              <w:t>深圳市龙岗区第七人民医院2024年中秋</w:t>
            </w:r>
          </w:p>
          <w:p>
            <w:pPr>
              <w:pStyle w:val="27"/>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慰问品采购项目</w:t>
            </w:r>
          </w:p>
          <w:p>
            <w:pPr>
              <w:pStyle w:val="28"/>
              <w:spacing w:line="480" w:lineRule="exact"/>
              <w:ind w:firstLine="0" w:firstLineChars="0"/>
              <w:jc w:val="center"/>
              <w:rPr>
                <w:rFonts w:hint="eastAsia" w:ascii="仿宋_GB2312" w:hAnsi="仿宋_GB2312" w:eastAsia="仿宋_GB2312" w:cs="仿宋_GB2312"/>
                <w:sz w:val="44"/>
                <w:szCs w:val="44"/>
              </w:rPr>
            </w:pPr>
          </w:p>
          <w:p>
            <w:pPr>
              <w:pStyle w:val="28"/>
              <w:spacing w:line="480" w:lineRule="exact"/>
              <w:ind w:firstLine="0" w:firstLineChars="0"/>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w:t>
            </w:r>
            <w:r>
              <w:rPr>
                <w:rFonts w:hint="eastAsia" w:ascii="仿宋_GB2312" w:hAnsi="仿宋_GB2312" w:eastAsia="仿宋_GB2312" w:cs="仿宋_GB2312"/>
                <w:sz w:val="36"/>
                <w:szCs w:val="36"/>
                <w:lang w:val="en-US" w:eastAsia="zh-CN"/>
              </w:rPr>
              <w:t>深龙七医采[LGQY2024GH002]</w:t>
            </w:r>
            <w:r>
              <w:rPr>
                <w:rFonts w:hint="eastAsia" w:ascii="仿宋_GB2312" w:hAnsi="仿宋_GB2312" w:eastAsia="仿宋_GB2312" w:cs="仿宋_GB2312"/>
                <w:sz w:val="44"/>
                <w:szCs w:val="44"/>
              </w:rPr>
              <w:t>）</w:t>
            </w:r>
          </w:p>
          <w:p>
            <w:pPr>
              <w:pStyle w:val="28"/>
              <w:spacing w:line="480" w:lineRule="exact"/>
              <w:ind w:firstLine="0" w:firstLineChars="0"/>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采购单位：深圳市龙岗区第七人民医院</w:t>
            </w:r>
          </w:p>
          <w:p>
            <w:pPr>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w:t>
            </w:r>
            <w:r>
              <w:rPr>
                <w:rFonts w:hint="eastAsia" w:ascii="仿宋_GB2312" w:hAnsi="仿宋_GB2312" w:eastAsia="仿宋_GB2312" w:cs="仿宋_GB2312"/>
                <w:sz w:val="44"/>
                <w:szCs w:val="44"/>
              </w:rPr>
              <w:t>2024年</w:t>
            </w:r>
            <w:r>
              <w:rPr>
                <w:rFonts w:hint="eastAsia" w:ascii="仿宋_GB2312" w:hAnsi="仿宋_GB2312" w:eastAsia="仿宋_GB2312" w:cs="仿宋_GB2312"/>
                <w:b/>
                <w:sz w:val="44"/>
                <w:szCs w:val="44"/>
              </w:rPr>
              <w:t>）</w:t>
            </w:r>
          </w:p>
          <w:p>
            <w:pPr>
              <w:rPr>
                <w:rFonts w:ascii="仿宋" w:hAnsi="仿宋" w:eastAsia="仿宋" w:cs="仿宋"/>
                <w:b/>
                <w:sz w:val="36"/>
                <w:szCs w:val="36"/>
              </w:rPr>
            </w:pPr>
          </w:p>
          <w:p>
            <w:pPr>
              <w:jc w:val="left"/>
              <w:rPr>
                <w:rFonts w:ascii="仿宋" w:hAnsi="仿宋" w:eastAsia="仿宋" w:cs="仿宋"/>
                <w:b/>
                <w:sz w:val="40"/>
                <w:szCs w:val="40"/>
              </w:rPr>
            </w:pPr>
            <w:r>
              <w:rPr>
                <w:rFonts w:hint="eastAsia" w:ascii="仿宋" w:hAnsi="仿宋" w:eastAsia="仿宋" w:cs="仿宋"/>
                <w:b/>
                <w:sz w:val="40"/>
                <w:szCs w:val="40"/>
              </w:rPr>
              <w:t>投标人：</w:t>
            </w:r>
          </w:p>
          <w:p>
            <w:pPr>
              <w:jc w:val="left"/>
              <w:rPr>
                <w:rFonts w:ascii="仿宋" w:hAnsi="仿宋" w:eastAsia="仿宋" w:cs="仿宋"/>
                <w:b/>
                <w:sz w:val="40"/>
                <w:szCs w:val="40"/>
              </w:rPr>
            </w:pPr>
            <w:r>
              <w:rPr>
                <w:rFonts w:hint="eastAsia" w:ascii="仿宋" w:hAnsi="仿宋" w:eastAsia="仿宋" w:cs="仿宋"/>
                <w:b/>
                <w:sz w:val="40"/>
                <w:szCs w:val="40"/>
              </w:rPr>
              <w:t>地  址：</w:t>
            </w:r>
          </w:p>
          <w:p>
            <w:pPr>
              <w:jc w:val="left"/>
              <w:rPr>
                <w:rFonts w:ascii="仿宋" w:hAnsi="仿宋" w:eastAsia="仿宋" w:cs="仿宋"/>
                <w:b/>
                <w:sz w:val="40"/>
                <w:szCs w:val="40"/>
              </w:rPr>
            </w:pPr>
            <w:r>
              <w:rPr>
                <w:rFonts w:hint="eastAsia" w:ascii="仿宋" w:hAnsi="仿宋" w:eastAsia="仿宋" w:cs="仿宋"/>
                <w:b/>
                <w:sz w:val="40"/>
                <w:szCs w:val="40"/>
              </w:rPr>
              <w:t>联系人：</w:t>
            </w:r>
          </w:p>
          <w:p>
            <w:pPr>
              <w:jc w:val="left"/>
              <w:rPr>
                <w:rFonts w:ascii="仿宋" w:hAnsi="仿宋" w:eastAsia="仿宋" w:cs="仿宋"/>
                <w:b/>
                <w:sz w:val="40"/>
                <w:szCs w:val="40"/>
              </w:rPr>
            </w:pPr>
            <w:r>
              <w:rPr>
                <w:rFonts w:hint="eastAsia" w:ascii="仿宋" w:hAnsi="仿宋" w:eastAsia="仿宋" w:cs="仿宋"/>
                <w:b/>
                <w:sz w:val="40"/>
                <w:szCs w:val="40"/>
              </w:rPr>
              <w:t>电  话：</w:t>
            </w:r>
          </w:p>
          <w:p>
            <w:pPr>
              <w:jc w:val="left"/>
              <w:rPr>
                <w:rFonts w:ascii="仿宋" w:hAnsi="仿宋" w:eastAsia="仿宋" w:cs="仿宋"/>
                <w:sz w:val="28"/>
              </w:rPr>
            </w:pPr>
            <w:r>
              <w:rPr>
                <w:rFonts w:hint="eastAsia" w:ascii="仿宋" w:hAnsi="仿宋" w:eastAsia="仿宋" w:cs="仿宋"/>
                <w:b/>
                <w:sz w:val="40"/>
                <w:szCs w:val="40"/>
              </w:rPr>
              <w:t>邮  箱：</w:t>
            </w:r>
          </w:p>
        </w:tc>
      </w:tr>
    </w:tbl>
    <w:p>
      <w:pPr>
        <w:jc w:val="center"/>
        <w:rPr>
          <w:rFonts w:hint="eastAsia" w:ascii="宋体" w:hAnsi="宋体" w:cs="宋体"/>
          <w:b/>
          <w:bCs/>
          <w:sz w:val="44"/>
          <w:szCs w:val="44"/>
        </w:rPr>
      </w:pPr>
    </w:p>
    <w:p>
      <w:pPr>
        <w:jc w:val="center"/>
        <w:rPr>
          <w:rFonts w:ascii="仿宋_GB2312" w:hAnsi="仿宋_GB2312" w:eastAsia="仿宋_GB2312" w:cs="仿宋_GB2312"/>
          <w:sz w:val="28"/>
          <w:szCs w:val="28"/>
        </w:rPr>
      </w:pPr>
      <w:r>
        <w:rPr>
          <w:rFonts w:hint="eastAsia" w:ascii="宋体" w:hAnsi="宋体" w:cs="宋体"/>
          <w:b/>
          <w:bCs/>
          <w:sz w:val="44"/>
          <w:szCs w:val="44"/>
        </w:rPr>
        <w:t>目录</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1.封面</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2.目录</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3.投标文件初审表</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4.投标函</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5.开标一览表</w:t>
      </w:r>
    </w:p>
    <w:p>
      <w:pPr>
        <w:tabs>
          <w:tab w:val="left" w:pos="630"/>
          <w:tab w:val="left" w:pos="840"/>
        </w:tabs>
        <w:spacing w:line="500" w:lineRule="exact"/>
        <w:ind w:left="42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6.分项报价单</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7.实质性条款响应情况表</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.投标及履约承诺函</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.法人身份证复印件</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.法人授权委托人身份证复印件</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.法定代表人资格证明书</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.法人授权委托证明书</w:t>
      </w:r>
    </w:p>
    <w:p>
      <w:pPr>
        <w:tabs>
          <w:tab w:val="left" w:pos="630"/>
          <w:tab w:val="left" w:pos="840"/>
        </w:tabs>
        <w:spacing w:line="500" w:lineRule="exact"/>
        <w:ind w:left="42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13.供应商“三证合一”（工商营业执照、组织机构代码证和税务登记证）复印件及经营许可证明</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14.货物配送方案及承诺函</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同类项目业绩</w:t>
      </w:r>
    </w:p>
    <w:p>
      <w:pPr>
        <w:tabs>
          <w:tab w:val="left" w:pos="630"/>
          <w:tab w:val="left" w:pos="840"/>
        </w:tabs>
        <w:spacing w:line="500" w:lineRule="exact"/>
        <w:ind w:left="42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履约评价</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.项目服务方案</w:t>
      </w:r>
    </w:p>
    <w:p>
      <w:pPr>
        <w:tabs>
          <w:tab w:val="left" w:pos="630"/>
          <w:tab w:val="left" w:pos="840"/>
        </w:tabs>
        <w:spacing w:line="500" w:lineRule="exact"/>
        <w:ind w:left="42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售后服务</w:t>
      </w:r>
    </w:p>
    <w:p>
      <w:pPr>
        <w:tabs>
          <w:tab w:val="left" w:pos="630"/>
          <w:tab w:val="left" w:pos="840"/>
        </w:tabs>
        <w:spacing w:line="500" w:lineRule="exact"/>
        <w:ind w:left="4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货物产品规格及性价比评价</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中小企业声明函</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.其他证明材料</w:t>
      </w: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ascii="宋体" w:hAnsi="宋体" w:cs="宋体"/>
          <w:b/>
          <w:bCs/>
          <w:sz w:val="44"/>
          <w:szCs w:val="44"/>
        </w:rPr>
      </w:pPr>
      <w:r>
        <w:rPr>
          <w:rFonts w:hint="eastAsia" w:ascii="宋体" w:hAnsi="宋体" w:cs="宋体"/>
          <w:b/>
          <w:bCs/>
          <w:sz w:val="44"/>
          <w:szCs w:val="44"/>
        </w:rPr>
        <w:t>投 标 函</w:t>
      </w:r>
    </w:p>
    <w:p>
      <w:pPr>
        <w:spacing w:line="560" w:lineRule="exact"/>
        <w:jc w:val="center"/>
        <w:rPr>
          <w:rFonts w:ascii="仿宋" w:hAnsi="仿宋" w:eastAsia="仿宋" w:cs="仿宋"/>
          <w:b/>
          <w:bCs/>
          <w:sz w:val="36"/>
          <w:szCs w:val="44"/>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深圳市龙岗区第七人民医院：</w:t>
      </w: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我司已经认真仔细阅读了贵单位关于</w:t>
      </w:r>
      <w:r>
        <w:rPr>
          <w:rFonts w:hint="eastAsia" w:ascii="仿宋_GB2312" w:hAnsi="仿宋_GB2312" w:eastAsia="仿宋_GB2312" w:cs="仿宋_GB2312"/>
          <w:sz w:val="32"/>
          <w:szCs w:val="32"/>
          <w:u w:val="single"/>
        </w:rPr>
        <w:t xml:space="preserve">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项目的招标文件，完全同意招标文件中的所有条款，愿意按招标文件要求，决定以</w:t>
      </w:r>
      <w:r>
        <w:rPr>
          <w:rFonts w:hint="eastAsia" w:ascii="仿宋_GB2312" w:hAnsi="仿宋_GB2312" w:eastAsia="仿宋_GB2312" w:cs="仿宋_GB2312"/>
          <w:sz w:val="32"/>
          <w:szCs w:val="32"/>
          <w:lang w:val="en-US" w:eastAsia="zh-CN"/>
        </w:rPr>
        <w:t>总价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的投标报价提供与招标文件中描述相一致的产品与服务，并许以如下承诺：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1.我方愿意向招标人提供与本次招标的相关资料，并对其真实性、合法性、有效性负责。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2.我方将严格履行本投标文件中的全部承诺和责任，并遵守招标文件中对投标人的所有规定。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3.我方完全理解招标人有保留在授标之前，任何时候根据评标委员会的意见接受或拒绝任何投标的权利，并完全理解招标人对此无解释的义务。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4.我方完全理解招标人不保证投标价最低的投标人中标。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5.我方承诺在此次招标过程中涉及的一切应当保密的事项，不向任何第三方泄露，否则承担一切法律责任。  </w:t>
      </w:r>
    </w:p>
    <w:p>
      <w:pPr>
        <w:pStyle w:val="10"/>
      </w:pPr>
    </w:p>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法定代表人或其委托人（签字）：</w:t>
      </w:r>
    </w:p>
    <w:p>
      <w:pPr>
        <w:rPr>
          <w:rFonts w:ascii="宋体" w:hAnsi="宋体" w:cs="宋体"/>
          <w:b/>
          <w:bCs/>
          <w:sz w:val="44"/>
          <w:szCs w:val="44"/>
        </w:rPr>
      </w:pPr>
      <w:r>
        <w:rPr>
          <w:rFonts w:hint="eastAsia" w:ascii="仿宋_GB2312" w:hAnsi="仿宋_GB2312" w:eastAsia="仿宋_GB2312" w:cs="仿宋_GB2312"/>
          <w:sz w:val="32"/>
          <w:szCs w:val="32"/>
        </w:rPr>
        <w:t xml:space="preserve">                     投标单位全称（加盖公章）：</w:t>
      </w:r>
    </w:p>
    <w:p>
      <w:pPr>
        <w:spacing w:line="460" w:lineRule="exact"/>
        <w:jc w:val="center"/>
        <w:rPr>
          <w:rFonts w:ascii="宋体" w:hAnsi="宋体" w:cs="宋体"/>
          <w:b/>
          <w:bCs/>
          <w:sz w:val="44"/>
          <w:szCs w:val="44"/>
        </w:rPr>
      </w:pPr>
    </w:p>
    <w:p>
      <w:pPr>
        <w:spacing w:line="460" w:lineRule="exact"/>
        <w:jc w:val="center"/>
        <w:rPr>
          <w:rFonts w:ascii="宋体" w:hAnsi="宋体" w:cs="宋体"/>
          <w:b/>
          <w:bCs/>
          <w:sz w:val="44"/>
          <w:szCs w:val="44"/>
        </w:rPr>
      </w:pPr>
    </w:p>
    <w:p>
      <w:pPr>
        <w:spacing w:line="460" w:lineRule="exact"/>
        <w:jc w:val="center"/>
        <w:rPr>
          <w:rFonts w:ascii="宋体" w:hAnsi="宋体" w:cs="宋体"/>
          <w:b/>
          <w:bCs/>
          <w:sz w:val="44"/>
          <w:szCs w:val="44"/>
        </w:rPr>
      </w:pPr>
    </w:p>
    <w:p>
      <w:pPr>
        <w:spacing w:line="440" w:lineRule="exact"/>
        <w:jc w:val="center"/>
        <w:rPr>
          <w:rFonts w:hint="eastAsia" w:ascii="宋体" w:hAnsi="宋体" w:cs="宋体"/>
          <w:b/>
          <w:bCs/>
          <w:sz w:val="44"/>
          <w:szCs w:val="44"/>
        </w:rPr>
      </w:pPr>
    </w:p>
    <w:p>
      <w:pPr>
        <w:spacing w:line="440" w:lineRule="exact"/>
        <w:jc w:val="center"/>
        <w:rPr>
          <w:rFonts w:ascii="宋体" w:hAnsi="宋体" w:cs="宋体"/>
          <w:b/>
          <w:bCs/>
          <w:sz w:val="44"/>
          <w:szCs w:val="44"/>
        </w:rPr>
      </w:pPr>
      <w:r>
        <w:rPr>
          <w:rFonts w:hint="eastAsia" w:ascii="宋体" w:hAnsi="宋体" w:cs="宋体"/>
          <w:b/>
          <w:bCs/>
          <w:sz w:val="44"/>
          <w:szCs w:val="44"/>
        </w:rPr>
        <w:t>投标及履约承诺函</w:t>
      </w:r>
    </w:p>
    <w:p>
      <w:pPr>
        <w:spacing w:line="440" w:lineRule="exact"/>
        <w:rPr>
          <w:rFonts w:ascii="仿宋_GB2312" w:hAnsi="仿宋_GB2312" w:eastAsia="仿宋_GB2312" w:cs="仿宋_GB2312"/>
          <w:sz w:val="32"/>
          <w:szCs w:val="32"/>
        </w:rPr>
      </w:pPr>
    </w:p>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深圳市龙岗区第七人民医院：</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我公司承诺：</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1.我公司对本招标项目所提供的货物或服务未侵犯知识产权。</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2.我公司保证采购人拥有所投产品完整的所有权，不以保护知识产权或技术保密的名义对所有权和使用权进行任何限制。</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3.我公司保证，具备《中华人民共和国政府采购法》第二十二条第一款的条件以及不违反《中华人民共和国政府采购法实施条例》第十八条的规定。</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我公司保证，参与本项目政府采购活动时不存在被有关部门禁止参与政府采购活动且在有效期内的情况；并且没有在招投标活动中因违反政府采购有关法律法规被暂停投标资格期间或涉嫌违反政府采购有关法律法规并正在接受主管部门调查的情况；我公司在参加本次政府采购活动前3年内在经营活动中没有重大违法记录。</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5.我公司保证，未被列入失信被执行人、重大税收违法案件当事人名单、政府采购严重违法失信行为记录名单。</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6.与其他投标供应商不存在单位负责人为同一人或者存在直接控股、管理关系。</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7.我公司在参与本项目投标过程中，严格遵守政府采购相关法律，不弄虚作假，不隐瞒真实情况，不围标串标，不恶意质疑投诉。我公司已清楚，如违反上述要求，贵方有权废除我公司的投标资格。</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8.我公司如果中标，做到守信，不偷工减料，依照本项目招标文件需求内容、签署的采购合同及本公司在投标中所作的一切承诺履约。</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一旦我公司中标，我公司承诺在收到中标通知书后,积极联系采购单位，在10个工作日内与采购单位签订服务合同，除非因采购单位原因造成时间延误，否则，贵方有权废除我公司的中标资格，我公司对此无任何异议，并承担相关责任。</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我公司已认真核实了投标文件的全部内容，所有资料均为真实资料。我公司对投标文件中全部投标资料的真实性负责，如被证实我单位的投标文件中存在虚假资料的，则视为我单位隐瞒真实情况、提供虚假资料，我单位愿意接受主管部门作出的行政处罚。</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12.我公司保证不转包、不违法分包。</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以上承诺，如有违反，愿依照国家相关法律处理，并承担由此给采购人带来的损失。</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财务负责人/企业负责人/授权委托人的联系方式（可选填）：</w:t>
      </w:r>
    </w:p>
    <w:p>
      <w:pPr>
        <w:spacing w:line="440" w:lineRule="exact"/>
        <w:ind w:firstLine="640" w:firstLineChars="200"/>
        <w:rPr>
          <w:rFonts w:ascii="仿宋_GB2312" w:hAnsi="仿宋_GB2312" w:eastAsia="仿宋_GB2312" w:cs="仿宋_GB2312"/>
          <w:sz w:val="32"/>
          <w:szCs w:val="32"/>
        </w:rPr>
      </w:pPr>
    </w:p>
    <w:p>
      <w:pPr>
        <w:spacing w:line="440" w:lineRule="exact"/>
        <w:rPr>
          <w:rFonts w:ascii="仿宋_GB2312" w:hAnsi="仿宋_GB2312" w:eastAsia="仿宋_GB2312" w:cs="仿宋_GB2312"/>
          <w:sz w:val="32"/>
          <w:szCs w:val="32"/>
        </w:rPr>
      </w:pPr>
    </w:p>
    <w:p>
      <w:pPr>
        <w:spacing w:line="44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投标人：（加盖公章）</w:t>
      </w:r>
    </w:p>
    <w:p>
      <w:pPr>
        <w:spacing w:line="44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日  期：     年    月     日</w:t>
      </w:r>
    </w:p>
    <w:p>
      <w:pPr>
        <w:jc w:val="center"/>
        <w:rPr>
          <w:rFonts w:ascii="宋体" w:hAnsi="宋体" w:cs="宋体"/>
          <w:b/>
          <w:bCs/>
          <w:sz w:val="44"/>
          <w:szCs w:val="44"/>
        </w:rPr>
      </w:pPr>
    </w:p>
    <w:p>
      <w:pPr>
        <w:pStyle w:val="6"/>
      </w:pPr>
    </w:p>
    <w:p>
      <w:pPr>
        <w:jc w:val="center"/>
        <w:rPr>
          <w:rFonts w:ascii="仿宋" w:hAnsi="仿宋" w:eastAsia="仿宋" w:cs="仿宋"/>
          <w:b/>
          <w:bCs/>
          <w:sz w:val="28"/>
          <w:szCs w:val="36"/>
        </w:rPr>
      </w:pPr>
      <w:r>
        <w:rPr>
          <w:rFonts w:hint="eastAsia" w:ascii="宋体" w:hAnsi="宋体" w:cs="宋体"/>
          <w:b/>
          <w:bCs/>
          <w:sz w:val="44"/>
          <w:szCs w:val="44"/>
        </w:rPr>
        <w:t>政府采购优惠政策（根据实际情况提供）</w:t>
      </w:r>
    </w:p>
    <w:p>
      <w:pPr>
        <w:pStyle w:val="4"/>
        <w:spacing w:beforeAutospacing="0" w:afterAutospacing="0" w:line="500" w:lineRule="exact"/>
        <w:jc w:val="center"/>
        <w:rPr>
          <w:rFonts w:hint="default" w:ascii="黑体"/>
          <w:sz w:val="32"/>
          <w:szCs w:val="32"/>
        </w:rPr>
      </w:pPr>
    </w:p>
    <w:p>
      <w:pPr>
        <w:pStyle w:val="4"/>
        <w:spacing w:beforeAutospacing="0" w:afterAutospacing="0" w:line="500" w:lineRule="exact"/>
        <w:ind w:firstLine="640" w:firstLineChars="200"/>
        <w:jc w:val="both"/>
        <w:rPr>
          <w:rFonts w:hint="default" w:ascii="黑体" w:hAnsi="黑体" w:eastAsia="黑体" w:cs="黑体"/>
          <w:bCs/>
          <w:sz w:val="32"/>
          <w:szCs w:val="32"/>
        </w:rPr>
      </w:pPr>
      <w:r>
        <w:rPr>
          <w:rFonts w:ascii="黑体" w:hAnsi="黑体" w:eastAsia="黑体" w:cs="黑体"/>
          <w:sz w:val="32"/>
          <w:szCs w:val="32"/>
        </w:rPr>
        <w:t>一、投标人情况及资格证明文件</w:t>
      </w:r>
      <w:bookmarkStart w:id="0" w:name="_Hlk72257590"/>
    </w:p>
    <w:p>
      <w:pPr>
        <w:spacing w:line="500" w:lineRule="exact"/>
        <w:ind w:firstLine="640" w:firstLineChars="200"/>
        <w:jc w:val="left"/>
        <w:outlineLvl w:val="3"/>
        <w:rPr>
          <w:rFonts w:ascii="楷体" w:hAnsi="楷体" w:eastAsia="楷体" w:cs="楷体"/>
          <w:bCs/>
          <w:sz w:val="32"/>
          <w:szCs w:val="32"/>
        </w:rPr>
      </w:pPr>
      <w:r>
        <w:rPr>
          <w:rFonts w:hint="eastAsia" w:ascii="楷体" w:hAnsi="楷体" w:eastAsia="楷体" w:cs="楷体"/>
          <w:bCs/>
          <w:sz w:val="32"/>
          <w:szCs w:val="32"/>
        </w:rPr>
        <w:t>（一）投标人资格证明文件</w:t>
      </w:r>
    </w:p>
    <w:p>
      <w:pPr>
        <w:spacing w:line="500" w:lineRule="exact"/>
        <w:ind w:firstLine="640" w:firstLineChars="200"/>
        <w:rPr>
          <w:b/>
          <w:bCs/>
          <w:sz w:val="32"/>
          <w:szCs w:val="32"/>
        </w:rPr>
      </w:pPr>
      <w:r>
        <w:rPr>
          <w:rFonts w:hint="eastAsia" w:ascii="仿宋_GB2312" w:hAnsi="仿宋_GB2312" w:eastAsia="仿宋_GB2312" w:cs="仿宋_GB2312"/>
          <w:sz w:val="32"/>
          <w:szCs w:val="32"/>
        </w:rPr>
        <w:t>（特别提示：投标人须按本招标文件第一册第一章招标公告“申请人的资格要求”（即投标人资格要求）提供相关的资格证明资料，未提供或提供不完整、不符合要求的，将作投标无效处理。）</w:t>
      </w:r>
    </w:p>
    <w:p>
      <w:pPr>
        <w:spacing w:line="500" w:lineRule="exact"/>
        <w:ind w:firstLine="640" w:firstLineChars="200"/>
        <w:jc w:val="left"/>
        <w:outlineLvl w:val="3"/>
        <w:rPr>
          <w:rFonts w:ascii="楷体" w:hAnsi="楷体" w:eastAsia="楷体" w:cs="楷体"/>
          <w:bCs/>
          <w:sz w:val="32"/>
          <w:szCs w:val="32"/>
        </w:rPr>
      </w:pPr>
      <w:r>
        <w:rPr>
          <w:rFonts w:hint="eastAsia" w:ascii="楷体" w:hAnsi="楷体" w:eastAsia="楷体" w:cs="楷体"/>
          <w:bCs/>
          <w:sz w:val="32"/>
          <w:szCs w:val="32"/>
        </w:rPr>
        <w:t>（二）中小企业声明函、残疾人福利性单位声明函及监狱企业声明函</w:t>
      </w:r>
      <w:bookmarkEnd w:id="0"/>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填写指引：</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2.该部分内容填写需要参考的相关文件：</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(1)财政部《政府采购促进中小企业发展管理办法》（财库〔2020〕46号）；</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bookmarkStart w:id="1" w:name="_Hlk71925120"/>
      <w:r>
        <w:rPr>
          <w:rFonts w:hint="eastAsia" w:ascii="仿宋_GB2312" w:hAnsi="仿宋_GB2312" w:eastAsia="仿宋_GB2312" w:cs="仿宋_GB2312"/>
          <w:sz w:val="32"/>
          <w:szCs w:val="32"/>
        </w:rPr>
        <w:t>《工业和信息化部、国家统计局、国家发展和改革委员会、财政部关于印发中小企业划型标准规定的通知》（工信部联企业〔2011〕300号</w:t>
      </w:r>
      <w:bookmarkEnd w:id="1"/>
      <w:r>
        <w:rPr>
          <w:rFonts w:hint="eastAsia" w:ascii="仿宋_GB2312" w:hAnsi="仿宋_GB2312" w:eastAsia="仿宋_GB2312" w:cs="仿宋_GB2312"/>
          <w:sz w:val="32"/>
          <w:szCs w:val="32"/>
        </w:rPr>
        <w:t>，以下简称300号文）；</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(3)《政府采购促进中小企业发展管理办法》（财库〔2020〕46号）；</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(4)《关于印发中小企业划型标准规定的通知》（工信部联企业〔2011〕300号）；</w:t>
      </w:r>
    </w:p>
    <w:p>
      <w:pPr>
        <w:spacing w:line="500" w:lineRule="exact"/>
        <w:ind w:firstLine="640" w:firstLineChars="200"/>
        <w:jc w:val="left"/>
      </w:pPr>
      <w:r>
        <w:rPr>
          <w:rFonts w:hint="eastAsia" w:ascii="仿宋_GB2312" w:hAnsi="仿宋_GB2312" w:eastAsia="仿宋_GB2312" w:cs="仿宋_GB2312"/>
          <w:sz w:val="32"/>
          <w:szCs w:val="32"/>
        </w:rPr>
        <w:t>(5)《统计上大中小微型企业划分办法(2017)》（国统字〔2017〕213号）；</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(6)《关于促进残疾人就业政府采购政策的通知》（财库〔2017〕141号）；</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(7)《关于政府采购支持监狱企业发展有关问题的通知》（财库〔2014〕68号）。</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3、请依照提供的格式和内容填写声明函，不要随意变更格式；声明函不需要盖章或签字；满足多项优惠政策的投标人，不重复享受多项价格扣除政策。</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4、声明函具体填写要求：</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（1）声明是中小企业须填写《中小企业声明函》的以下内容：</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第一处，在“单位名称”下划线处如实填写采购人名称（深圳公共资源交易中心不是本项目的采购人，而是组织实施机构）；</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第二处，在“项目名称”下划线处如实填写采购项目名称；</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第三处，在“标的名称”下划线处填写所采购货物（标的）的具体名称；如果涉及多项货物（标的）为同一企业制造，“标的名称”下划线处可以如实填写多项货物；</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第四处，在“招标文件中明确的所属行业”下划线处填写采购标的对应的中小企业划分标准所属行业；</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（2）声明是残疾人福利性单位须填写《残疾人福利性单位声明函》的相关内容，具体参照以上《中小企业声明函》填写要求执行。</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（3）声明是监狱企业须填写《监狱企业声明函》的三项内容（填写位置的字体已加粗），具体参照以上《中小企业声明函》填写要求执行。</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5、声明函的有效性最终由评审委员会判定；如评审委员会判定声明函无效，相关供应商不享受价格扣除（但不作投标无效处理）。</w:t>
      </w:r>
    </w:p>
    <w:p>
      <w:pPr>
        <w:ind w:firstLine="640" w:firstLineChars="200"/>
        <w:jc w:val="both"/>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二、关于享受优惠政策的主体及价格扣除比例</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（1）投标人提供的服务全部均由优惠主体承接，则对其投标总价给予</w:t>
      </w: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u w:val="single"/>
        </w:rPr>
        <w:t>0%</w:t>
      </w:r>
      <w:r>
        <w:rPr>
          <w:rFonts w:hint="eastAsia" w:ascii="仿宋_GB2312" w:hAnsi="仿宋_GB2312" w:eastAsia="仿宋_GB2312" w:cs="仿宋_GB2312"/>
          <w:sz w:val="32"/>
          <w:szCs w:val="32"/>
        </w:rPr>
        <w:t>的扣除，用扣除后的价格参与评审。满足多项优惠政策的企业，不重复享受多项价格扣除政策。</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（2）根据《工业和信息化部、国家统计局、国家发展和改革委员会、财政部关于印发中小企业划型标准规定的通知》（工信部联企业〔2011〕300 号），本项目采购标的（服务需求）对应的中小企业划分标准所属行业为</w:t>
      </w:r>
      <w:r>
        <w:rPr>
          <w:rFonts w:hint="eastAsia" w:ascii="仿宋_GB2312" w:hAnsi="仿宋_GB2312" w:eastAsia="仿宋_GB2312" w:cs="仿宋_GB2312"/>
          <w:sz w:val="32"/>
          <w:szCs w:val="32"/>
          <w:u w:val="single"/>
          <w:lang w:val="en-US" w:eastAsia="zh-CN"/>
        </w:rPr>
        <w:t>零售业、批发业</w:t>
      </w:r>
      <w:r>
        <w:rPr>
          <w:rFonts w:hint="eastAsia" w:ascii="仿宋_GB2312" w:hAnsi="仿宋_GB2312" w:eastAsia="仿宋_GB2312" w:cs="仿宋_GB2312"/>
          <w:sz w:val="32"/>
          <w:szCs w:val="32"/>
        </w:rPr>
        <w:t>。</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第三章“投标文件格式、附件”中“四、投标人情况介绍”章节提供的格式）。监狱企业或者代理提供监狱企业货物的供应商如须享受优惠政策，除上述资料外，还须提供省级以上监狱管理局、戒毒管理局出具的监狱企业证明文件。</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（4）享受价格扣除获得政府采购合同的，小微企业不得将合同分包给大中型企业。</w:t>
      </w:r>
    </w:p>
    <w:p>
      <w:pPr>
        <w:pStyle w:val="10"/>
        <w:rPr>
          <w:rFonts w:hint="eastAsia"/>
        </w:rPr>
      </w:pPr>
    </w:p>
    <w:p>
      <w:pPr>
        <w:pStyle w:val="4"/>
        <w:spacing w:beforeAutospacing="0" w:afterAutospacing="0" w:line="500" w:lineRule="exact"/>
        <w:ind w:firstLine="640" w:firstLineChars="200"/>
        <w:jc w:val="both"/>
        <w:rPr>
          <w:rFonts w:hint="default"/>
          <w:b/>
          <w:sz w:val="36"/>
          <w:szCs w:val="36"/>
        </w:rPr>
      </w:pPr>
      <w:r>
        <w:rPr>
          <w:rFonts w:ascii="黑体" w:hAnsi="黑体" w:eastAsia="黑体" w:cs="黑体"/>
          <w:sz w:val="32"/>
          <w:szCs w:val="32"/>
        </w:rPr>
        <w:t>二、相关模板</w:t>
      </w: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pStyle w:val="10"/>
        <w:rPr>
          <w:b/>
          <w:sz w:val="36"/>
          <w:szCs w:val="36"/>
        </w:rPr>
      </w:pPr>
    </w:p>
    <w:p>
      <w:pPr>
        <w:rPr>
          <w:b/>
          <w:sz w:val="36"/>
          <w:szCs w:val="36"/>
        </w:rPr>
      </w:pPr>
    </w:p>
    <w:p>
      <w:pPr>
        <w:pStyle w:val="10"/>
        <w:rPr>
          <w:b/>
          <w:sz w:val="36"/>
          <w:szCs w:val="36"/>
        </w:rPr>
      </w:pPr>
    </w:p>
    <w:p>
      <w:pPr>
        <w:pStyle w:val="18"/>
        <w:rPr>
          <w:b/>
          <w:sz w:val="36"/>
          <w:szCs w:val="36"/>
        </w:rPr>
      </w:pPr>
    </w:p>
    <w:p>
      <w:pPr>
        <w:pStyle w:val="18"/>
        <w:rPr>
          <w:b/>
          <w:sz w:val="36"/>
          <w:szCs w:val="36"/>
        </w:rPr>
      </w:pPr>
    </w:p>
    <w:p>
      <w:pPr>
        <w:pStyle w:val="18"/>
        <w:rPr>
          <w:b/>
          <w:sz w:val="36"/>
          <w:szCs w:val="36"/>
        </w:rPr>
      </w:pPr>
    </w:p>
    <w:p>
      <w:pPr>
        <w:pStyle w:val="18"/>
        <w:rPr>
          <w:b/>
          <w:sz w:val="36"/>
          <w:szCs w:val="36"/>
        </w:rPr>
      </w:pPr>
    </w:p>
    <w:p>
      <w:pPr>
        <w:spacing w:line="500" w:lineRule="exact"/>
        <w:rPr>
          <w:b/>
          <w:sz w:val="36"/>
          <w:szCs w:val="36"/>
        </w:rPr>
      </w:pPr>
    </w:p>
    <w:p>
      <w:pPr>
        <w:spacing w:line="5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6"/>
          <w:szCs w:val="36"/>
        </w:rPr>
        <w:t>（一）中小企业声明函</w:t>
      </w:r>
    </w:p>
    <w:p>
      <w:pPr>
        <w:spacing w:line="400" w:lineRule="exact"/>
        <w:ind w:firstLine="640" w:firstLineChars="200"/>
        <w:rPr>
          <w:rFonts w:ascii="仿宋_GB2312" w:hAnsi="仿宋_GB2312" w:eastAsia="仿宋_GB2312" w:cs="仿宋_GB2312"/>
          <w:sz w:val="32"/>
          <w:szCs w:val="32"/>
        </w:rPr>
      </w:pP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企业已知悉《政府采购促进中小企业发展管理办法》（财库〔2020〕46号）、《中小企业划型》（工信部联企〔2011〕300号）、《统计上大中小微型企业划分办法（2017）》等规定，承诺提供的声明函内容是真实的，并知悉根据《政府采购促进中小企业发展管理办法》（财库〔2020〕46号）第二十条规定，供应商按照本办法规定提供声明函内容不实的，属于提供虚假材料谋取中标、成交，依照《中华人民共和国政府采购法》等政府采购有关法律法规规定追究响应责任。</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本公司（联合体）郑重声明，根据《政府采购促进中小企业发展管理办法》（财库〔2020〕46号）的规定，本公司（联合体）参加</w:t>
      </w:r>
      <w:r>
        <w:rPr>
          <w:rFonts w:hint="eastAsia" w:ascii="仿宋_GB2312" w:hAnsi="仿宋_GB2312" w:eastAsia="仿宋_GB2312" w:cs="仿宋_GB2312"/>
          <w:sz w:val="32"/>
          <w:szCs w:val="32"/>
          <w:u w:val="single"/>
        </w:rPr>
        <w:t>（单位名称）</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rPr>
        <w:t>采购活动，提供的货物全部由符合政策要求的中小企业制造。相关企业（含联合体中的中小企业、签订分包意向协议的中小企业）的具体情况如下：</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u w:val="single"/>
        </w:rPr>
        <w:t>（标的名称）</w:t>
      </w:r>
      <w:r>
        <w:rPr>
          <w:rFonts w:hint="eastAsia" w:ascii="仿宋_GB2312" w:hAnsi="仿宋_GB2312" w:eastAsia="仿宋_GB2312" w:cs="仿宋_GB2312"/>
          <w:sz w:val="32"/>
          <w:szCs w:val="32"/>
        </w:rPr>
        <w:t>，属于</w:t>
      </w:r>
      <w:r>
        <w:rPr>
          <w:rFonts w:hint="eastAsia" w:ascii="仿宋_GB2312" w:hAnsi="仿宋_GB2312" w:eastAsia="仿宋_GB2312" w:cs="仿宋_GB2312"/>
          <w:sz w:val="32"/>
          <w:szCs w:val="32"/>
          <w:u w:val="single"/>
        </w:rPr>
        <w:t>（采购文件中明确的所属行业）</w:t>
      </w:r>
      <w:r>
        <w:rPr>
          <w:rFonts w:hint="eastAsia" w:ascii="仿宋_GB2312" w:hAnsi="仿宋_GB2312" w:eastAsia="仿宋_GB2312" w:cs="仿宋_GB2312"/>
          <w:sz w:val="32"/>
          <w:szCs w:val="32"/>
        </w:rPr>
        <w:t>行业；制造商为</w:t>
      </w:r>
      <w:r>
        <w:rPr>
          <w:rFonts w:hint="eastAsia" w:ascii="仿宋_GB2312" w:hAnsi="仿宋_GB2312" w:eastAsia="仿宋_GB2312" w:cs="仿宋_GB2312"/>
          <w:sz w:val="32"/>
          <w:szCs w:val="32"/>
          <w:u w:val="single"/>
        </w:rPr>
        <w:t>（企业名称）</w:t>
      </w:r>
      <w:r>
        <w:rPr>
          <w:rFonts w:hint="eastAsia" w:ascii="仿宋_GB2312" w:hAnsi="仿宋_GB2312" w:eastAsia="仿宋_GB2312" w:cs="仿宋_GB2312"/>
          <w:sz w:val="32"/>
          <w:szCs w:val="32"/>
        </w:rPr>
        <w:t>，从业人员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人，营业收入为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万元，资产总额为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万元，属于</w:t>
      </w:r>
      <w:r>
        <w:rPr>
          <w:rFonts w:hint="eastAsia" w:ascii="仿宋_GB2312" w:hAnsi="仿宋_GB2312" w:eastAsia="仿宋_GB2312" w:cs="仿宋_GB2312"/>
          <w:sz w:val="32"/>
          <w:szCs w:val="32"/>
          <w:u w:val="single"/>
        </w:rPr>
        <w:t>（中型企业、小型企业、微型企业）</w:t>
      </w:r>
      <w:r>
        <w:rPr>
          <w:rFonts w:hint="eastAsia" w:ascii="仿宋_GB2312" w:hAnsi="仿宋_GB2312" w:eastAsia="仿宋_GB2312" w:cs="仿宋_GB2312"/>
          <w:sz w:val="32"/>
          <w:szCs w:val="32"/>
        </w:rPr>
        <w:t>；</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以上企业，不属于大企业的分支机构，不存在控股股东为大企业的情形，也不存在与大企业的负责人为同一人的情形。</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本企业对上述声明内容的真实性负责。如有虚假，将依法承担相应责任。</w:t>
      </w:r>
    </w:p>
    <w:p>
      <w:pPr>
        <w:pStyle w:val="10"/>
      </w:pPr>
    </w:p>
    <w:p>
      <w:pPr>
        <w:spacing w:line="440" w:lineRule="exact"/>
        <w:ind w:firstLine="420" w:firstLineChars="200"/>
        <w:rPr>
          <w:rFonts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企业名称（盖章）：</w:t>
      </w:r>
    </w:p>
    <w:p>
      <w:pPr>
        <w:spacing w:line="440" w:lineRule="exact"/>
        <w:ind w:firstLine="640" w:firstLineChars="200"/>
        <w:rPr>
          <w:b/>
          <w:sz w:val="36"/>
          <w:szCs w:val="36"/>
        </w:rPr>
      </w:pPr>
      <w:r>
        <w:rPr>
          <w:rFonts w:hint="eastAsia" w:ascii="仿宋_GB2312" w:hAnsi="仿宋_GB2312" w:eastAsia="仿宋_GB2312" w:cs="仿宋_GB2312"/>
          <w:sz w:val="32"/>
          <w:szCs w:val="32"/>
        </w:rPr>
        <w:t xml:space="preserve">                       日期： </w:t>
      </w:r>
    </w:p>
    <w:p>
      <w:pPr>
        <w:spacing w:line="500" w:lineRule="exact"/>
        <w:jc w:val="center"/>
        <w:rPr>
          <w:b/>
          <w:sz w:val="36"/>
          <w:szCs w:val="36"/>
        </w:rPr>
      </w:pPr>
    </w:p>
    <w:p>
      <w:pPr>
        <w:spacing w:line="500" w:lineRule="exact"/>
        <w:jc w:val="center"/>
        <w:rPr>
          <w:b/>
          <w:sz w:val="36"/>
          <w:szCs w:val="36"/>
        </w:rPr>
      </w:pPr>
    </w:p>
    <w:p>
      <w:pPr>
        <w:pStyle w:val="10"/>
        <w:rPr>
          <w:b/>
          <w:sz w:val="36"/>
          <w:szCs w:val="36"/>
        </w:rPr>
      </w:pPr>
    </w:p>
    <w:p>
      <w:pPr>
        <w:rPr>
          <w:b/>
          <w:sz w:val="36"/>
          <w:szCs w:val="36"/>
        </w:rPr>
      </w:pPr>
    </w:p>
    <w:p>
      <w:pPr>
        <w:pStyle w:val="10"/>
      </w:pPr>
    </w:p>
    <w:p>
      <w:pPr>
        <w:spacing w:line="500" w:lineRule="exact"/>
        <w:jc w:val="center"/>
        <w:rPr>
          <w:b/>
          <w:sz w:val="36"/>
          <w:szCs w:val="36"/>
        </w:rPr>
      </w:pPr>
      <w:r>
        <w:rPr>
          <w:rFonts w:hint="eastAsia"/>
          <w:b/>
          <w:sz w:val="36"/>
          <w:szCs w:val="36"/>
        </w:rPr>
        <w:t>（二）残疾人福利性单位声明函</w:t>
      </w:r>
    </w:p>
    <w:p>
      <w:pPr>
        <w:spacing w:line="50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本单位知悉《促进残疾人就业政府采购政策的通知》（财库〔2017〕141号）的规定，承诺提供的声明函内容是真实的，如提供声明函内容不实，则依法追究相关法律责任。</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本单位对上述声明的真实性负责。如有虚假，将依法承担相应责任。</w:t>
      </w:r>
    </w:p>
    <w:p>
      <w:pPr>
        <w:pStyle w:val="10"/>
        <w:tabs>
          <w:tab w:val="left" w:pos="562"/>
          <w:tab w:val="left" w:pos="3372"/>
          <w:tab w:val="left" w:pos="3653"/>
        </w:tabs>
        <w:spacing w:line="560" w:lineRule="exact"/>
        <w:rPr>
          <w:rFonts w:ascii="仿宋_GB2312" w:hAnsi="仿宋_GB2312" w:eastAsia="仿宋_GB2312" w:cs="仿宋_GB2312"/>
        </w:rPr>
      </w:pPr>
    </w:p>
    <w:p>
      <w:pPr>
        <w:spacing w:line="560" w:lineRule="exact"/>
      </w:pPr>
    </w:p>
    <w:p>
      <w:pPr>
        <w:spacing w:line="560" w:lineRule="exact"/>
        <w:ind w:firstLine="4480" w:firstLineChars="1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pPr>
        <w:spacing w:line="560" w:lineRule="exact"/>
        <w:ind w:firstLine="4480" w:firstLineChars="1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日  期：</w:t>
      </w:r>
    </w:p>
    <w:p>
      <w:pPr>
        <w:pStyle w:val="10"/>
        <w:rPr>
          <w:rFonts w:ascii="仿宋_GB2312" w:hAnsi="仿宋_GB2312" w:eastAsia="仿宋_GB2312" w:cs="仿宋_GB2312"/>
        </w:rPr>
      </w:pPr>
    </w:p>
    <w:p>
      <w:pPr>
        <w:pStyle w:val="10"/>
        <w:rPr>
          <w:rFonts w:ascii="仿宋_GB2312" w:hAnsi="仿宋_GB2312" w:eastAsia="仿宋_GB2312" w:cs="仿宋_GB2312"/>
        </w:rPr>
      </w:pPr>
    </w:p>
    <w:p>
      <w:pPr>
        <w:rPr>
          <w:rFonts w:ascii="仿宋_GB2312" w:hAnsi="仿宋_GB2312" w:eastAsia="仿宋_GB2312" w:cs="仿宋_GB2312"/>
          <w:sz w:val="32"/>
          <w:szCs w:val="32"/>
        </w:rPr>
      </w:pPr>
    </w:p>
    <w:p>
      <w:pPr>
        <w:pStyle w:val="26"/>
      </w:pPr>
    </w:p>
    <w:p/>
    <w:p/>
    <w:p/>
    <w:p>
      <w:pPr>
        <w:numPr>
          <w:ilvl w:val="0"/>
          <w:numId w:val="4"/>
        </w:numPr>
        <w:spacing w:line="500" w:lineRule="exact"/>
        <w:jc w:val="center"/>
        <w:rPr>
          <w:b/>
          <w:sz w:val="36"/>
          <w:szCs w:val="36"/>
        </w:rPr>
      </w:pPr>
      <w:r>
        <w:rPr>
          <w:rFonts w:hint="eastAsia"/>
          <w:b/>
          <w:sz w:val="36"/>
          <w:szCs w:val="36"/>
        </w:rPr>
        <w:t>监狱企业声明函</w:t>
      </w:r>
    </w:p>
    <w:p>
      <w:pPr>
        <w:pStyle w:val="10"/>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本单位郑重声明，根据《财政部司法部关于政府采购支持监狱企业发展有关问题的通知》（财库〔2014〕68号）的规定，本单位为符合条件的监狱企业，且本单位参加（采购单位名称） 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本单位对上述声明的真实性负责。如有虚假，将依法承担相应责任。</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附：省级以上监狱管理局、戒毒管理局（含新疆生产建设兵团）出具的监狱企业证明文件。</w:t>
      </w:r>
    </w:p>
    <w:p>
      <w:pPr>
        <w:spacing w:line="560" w:lineRule="exact"/>
        <w:ind w:firstLine="640" w:firstLineChars="200"/>
        <w:jc w:val="left"/>
        <w:rPr>
          <w:rFonts w:ascii="仿宋_GB2312" w:hAnsi="仿宋_GB2312" w:eastAsia="仿宋_GB2312" w:cs="仿宋_GB2312"/>
          <w:sz w:val="32"/>
          <w:szCs w:val="32"/>
        </w:rPr>
      </w:pPr>
    </w:p>
    <w:p>
      <w:pPr>
        <w:pStyle w:val="10"/>
      </w:pPr>
    </w:p>
    <w:p>
      <w:pPr>
        <w:spacing w:line="560" w:lineRule="exact"/>
        <w:ind w:firstLine="5120" w:firstLineChars="1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pPr>
        <w:spacing w:line="560" w:lineRule="exact"/>
        <w:ind w:firstLine="5120" w:firstLineChars="1600"/>
        <w:jc w:val="left"/>
        <w:rPr>
          <w:b/>
          <w:sz w:val="32"/>
          <w:szCs w:val="32"/>
        </w:rPr>
      </w:pPr>
      <w:r>
        <w:rPr>
          <w:rFonts w:hint="eastAsia" w:ascii="仿宋_GB2312" w:hAnsi="仿宋_GB2312" w:eastAsia="仿宋_GB2312" w:cs="仿宋_GB2312"/>
          <w:sz w:val="32"/>
          <w:szCs w:val="32"/>
        </w:rPr>
        <w:t>日  期：</w:t>
      </w:r>
    </w:p>
    <w:p>
      <w:pPr>
        <w:pStyle w:val="4"/>
        <w:spacing w:beforeAutospacing="0" w:afterAutospacing="0" w:line="500" w:lineRule="exact"/>
        <w:ind w:firstLine="643" w:firstLineChars="200"/>
        <w:jc w:val="both"/>
        <w:rPr>
          <w:rFonts w:hint="default" w:ascii="Calibri" w:hAnsi="Calibri" w:cs="黑体"/>
          <w:b/>
          <w:kern w:val="2"/>
          <w:sz w:val="32"/>
          <w:szCs w:val="32"/>
        </w:rPr>
      </w:pPr>
    </w:p>
    <w:p>
      <w:pPr>
        <w:pStyle w:val="4"/>
        <w:spacing w:beforeAutospacing="0" w:afterAutospacing="0" w:line="500" w:lineRule="exact"/>
        <w:ind w:firstLine="643" w:firstLineChars="200"/>
        <w:jc w:val="both"/>
        <w:rPr>
          <w:rFonts w:hint="default" w:ascii="Calibri" w:hAnsi="Calibri" w:cs="黑体"/>
          <w:b/>
          <w:kern w:val="2"/>
          <w:sz w:val="32"/>
          <w:szCs w:val="32"/>
        </w:rPr>
      </w:pPr>
    </w:p>
    <w:p>
      <w:pPr>
        <w:sectPr>
          <w:headerReference r:id="rId4" w:type="default"/>
          <w:footerReference r:id="rId5" w:type="default"/>
          <w:pgSz w:w="11906" w:h="16838"/>
          <w:pgMar w:top="1644" w:right="1587" w:bottom="1531" w:left="1474" w:header="31" w:footer="1587" w:gutter="0"/>
          <w:pgNumType w:fmt="numberInDash"/>
          <w:cols w:space="720" w:num="1"/>
          <w:docGrid w:type="lines" w:linePitch="312" w:charSpace="0"/>
        </w:sectPr>
      </w:pPr>
    </w:p>
    <w:tbl>
      <w:tblPr>
        <w:tblStyle w:val="21"/>
        <w:tblW w:w="14479" w:type="dxa"/>
        <w:tblInd w:w="0" w:type="dxa"/>
        <w:tblLayout w:type="fixed"/>
        <w:tblCellMar>
          <w:top w:w="15" w:type="dxa"/>
          <w:left w:w="15" w:type="dxa"/>
          <w:bottom w:w="15" w:type="dxa"/>
          <w:right w:w="15" w:type="dxa"/>
        </w:tblCellMar>
      </w:tblPr>
      <w:tblGrid>
        <w:gridCol w:w="574"/>
        <w:gridCol w:w="2745"/>
        <w:gridCol w:w="1853"/>
        <w:gridCol w:w="2306"/>
        <w:gridCol w:w="2625"/>
        <w:gridCol w:w="3011"/>
        <w:gridCol w:w="1365"/>
      </w:tblGrid>
      <w:tr>
        <w:tblPrEx>
          <w:tblCellMar>
            <w:top w:w="15" w:type="dxa"/>
            <w:left w:w="15" w:type="dxa"/>
            <w:bottom w:w="15" w:type="dxa"/>
            <w:right w:w="15" w:type="dxa"/>
          </w:tblCellMar>
        </w:tblPrEx>
        <w:trPr>
          <w:trHeight w:val="705" w:hRule="atLeast"/>
        </w:trPr>
        <w:tc>
          <w:tcPr>
            <w:tcW w:w="14479" w:type="dxa"/>
            <w:gridSpan w:val="7"/>
            <w:noWrap/>
            <w:vAlign w:val="center"/>
          </w:tcPr>
          <w:p>
            <w:pPr>
              <w:widowControl/>
              <w:jc w:val="center"/>
              <w:textAlignment w:val="center"/>
              <w:rPr>
                <w:rFonts w:ascii="仿宋" w:hAnsi="仿宋" w:eastAsia="仿宋" w:cs="仿宋"/>
                <w:b/>
                <w:color w:val="000000"/>
                <w:sz w:val="44"/>
                <w:szCs w:val="44"/>
              </w:rPr>
            </w:pPr>
            <w:r>
              <w:rPr>
                <w:rFonts w:hint="eastAsia" w:ascii="仿宋" w:hAnsi="仿宋" w:eastAsia="仿宋" w:cs="仿宋"/>
                <w:b/>
                <w:color w:val="000000"/>
                <w:kern w:val="0"/>
                <w:sz w:val="44"/>
                <w:szCs w:val="44"/>
              </w:rPr>
              <w:t>开标一览表</w:t>
            </w:r>
          </w:p>
        </w:tc>
      </w:tr>
      <w:tr>
        <w:tblPrEx>
          <w:tblCellMar>
            <w:top w:w="15" w:type="dxa"/>
            <w:left w:w="15" w:type="dxa"/>
            <w:bottom w:w="15" w:type="dxa"/>
            <w:right w:w="15" w:type="dxa"/>
          </w:tblCellMar>
        </w:tblPrEx>
        <w:trPr>
          <w:trHeight w:val="585" w:hRule="atLeast"/>
        </w:trPr>
        <w:tc>
          <w:tcPr>
            <w:tcW w:w="10103"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仿宋" w:hAnsi="仿宋" w:eastAsia="仿宋" w:cs="仿宋"/>
                <w:color w:val="000000"/>
                <w:sz w:val="22"/>
                <w:szCs w:val="22"/>
                <w:lang w:val="en-US" w:eastAsia="zh-CN"/>
              </w:rPr>
            </w:pPr>
            <w:r>
              <w:rPr>
                <w:rFonts w:hint="eastAsia" w:ascii="仿宋" w:hAnsi="仿宋" w:eastAsia="仿宋" w:cs="仿宋"/>
                <w:color w:val="000000"/>
                <w:kern w:val="0"/>
                <w:sz w:val="28"/>
                <w:szCs w:val="28"/>
              </w:rPr>
              <w:t>投标人名称：　</w:t>
            </w:r>
            <w:r>
              <w:rPr>
                <w:rFonts w:hint="eastAsia" w:ascii="仿宋" w:hAnsi="仿宋" w:eastAsia="仿宋" w:cs="仿宋"/>
                <w:color w:val="000000"/>
                <w:kern w:val="0"/>
                <w:sz w:val="22"/>
                <w:szCs w:val="22"/>
              </w:rPr>
              <w:t>　　　　　　　　　　　　　　　　　　　　　　　　　　　　</w:t>
            </w:r>
          </w:p>
        </w:tc>
        <w:tc>
          <w:tcPr>
            <w:tcW w:w="4376" w:type="dxa"/>
            <w:gridSpan w:val="2"/>
            <w:tcBorders>
              <w:top w:val="single" w:color="000000" w:sz="4" w:space="0"/>
              <w:left w:val="single" w:color="000000" w:sz="4" w:space="0"/>
              <w:bottom w:val="single" w:color="000000" w:sz="4" w:space="0"/>
              <w:right w:val="single" w:color="000000" w:sz="4" w:space="0"/>
            </w:tcBorders>
            <w:noWrap/>
            <w:vAlign w:val="center"/>
          </w:tcPr>
          <w:p>
            <w:pPr>
              <w:widowControl/>
              <w:ind w:firstLine="280" w:firstLineChars="100"/>
              <w:jc w:val="left"/>
              <w:textAlignment w:val="center"/>
              <w:rPr>
                <w:rFonts w:ascii="仿宋" w:hAnsi="仿宋" w:eastAsia="仿宋" w:cs="仿宋"/>
                <w:color w:val="000000"/>
                <w:sz w:val="22"/>
                <w:szCs w:val="22"/>
              </w:rPr>
            </w:pPr>
            <w:r>
              <w:rPr>
                <w:rFonts w:hint="eastAsia" w:ascii="仿宋" w:hAnsi="仿宋" w:eastAsia="仿宋" w:cs="仿宋"/>
                <w:color w:val="000000"/>
                <w:kern w:val="0"/>
                <w:sz w:val="28"/>
                <w:szCs w:val="28"/>
              </w:rPr>
              <w:t>采购项目编号:LGQY202</w:t>
            </w:r>
            <w:r>
              <w:rPr>
                <w:rFonts w:hint="eastAsia" w:ascii="仿宋" w:hAnsi="仿宋" w:eastAsia="仿宋" w:cs="仿宋"/>
                <w:color w:val="000000"/>
                <w:kern w:val="0"/>
                <w:sz w:val="28"/>
                <w:szCs w:val="28"/>
                <w:lang w:val="en-US" w:eastAsia="zh-CN"/>
              </w:rPr>
              <w:t>4GH</w:t>
            </w:r>
            <w:r>
              <w:rPr>
                <w:rFonts w:hint="eastAsia" w:ascii="仿宋" w:hAnsi="仿宋" w:eastAsia="仿宋" w:cs="仿宋"/>
                <w:color w:val="000000"/>
                <w:kern w:val="0"/>
                <w:sz w:val="28"/>
                <w:szCs w:val="28"/>
              </w:rPr>
              <w:t>0</w:t>
            </w:r>
            <w:r>
              <w:rPr>
                <w:rFonts w:hint="eastAsia" w:ascii="仿宋" w:hAnsi="仿宋" w:eastAsia="仿宋" w:cs="仿宋"/>
                <w:color w:val="000000"/>
                <w:kern w:val="0"/>
                <w:sz w:val="28"/>
                <w:szCs w:val="28"/>
                <w:lang w:val="en-US" w:eastAsia="zh-CN"/>
              </w:rPr>
              <w:t>02</w:t>
            </w:r>
          </w:p>
        </w:tc>
      </w:tr>
      <w:tr>
        <w:tblPrEx>
          <w:tblCellMar>
            <w:top w:w="15" w:type="dxa"/>
            <w:left w:w="15" w:type="dxa"/>
            <w:bottom w:w="15" w:type="dxa"/>
            <w:right w:w="15" w:type="dxa"/>
          </w:tblCellMar>
        </w:tblPrEx>
        <w:trPr>
          <w:trHeight w:val="759"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序号</w:t>
            </w:r>
          </w:p>
        </w:tc>
        <w:tc>
          <w:tcPr>
            <w:tcW w:w="459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val="en-US" w:eastAsia="zh-CN"/>
              </w:rPr>
              <w:t>项目</w:t>
            </w:r>
            <w:r>
              <w:rPr>
                <w:rFonts w:hint="eastAsia" w:ascii="仿宋" w:hAnsi="仿宋" w:eastAsia="仿宋" w:cs="仿宋"/>
                <w:color w:val="000000"/>
                <w:kern w:val="0"/>
                <w:sz w:val="24"/>
              </w:rPr>
              <w:t>名称</w:t>
            </w:r>
          </w:p>
        </w:tc>
        <w:tc>
          <w:tcPr>
            <w:tcW w:w="23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rPr>
              <w:t>数量</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份</w:t>
            </w:r>
            <w:r>
              <w:rPr>
                <w:rFonts w:hint="eastAsia" w:ascii="仿宋" w:hAnsi="仿宋" w:eastAsia="仿宋" w:cs="仿宋"/>
                <w:color w:val="000000"/>
                <w:kern w:val="0"/>
                <w:sz w:val="24"/>
                <w:lang w:eastAsia="zh-CN"/>
              </w:rPr>
              <w:t>）</w:t>
            </w:r>
          </w:p>
        </w:tc>
        <w:tc>
          <w:tcPr>
            <w:tcW w:w="26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rPr>
              <w:t>总价</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元</w:t>
            </w:r>
            <w:r>
              <w:rPr>
                <w:rFonts w:hint="eastAsia" w:ascii="仿宋" w:hAnsi="仿宋" w:eastAsia="仿宋" w:cs="仿宋"/>
                <w:color w:val="000000"/>
                <w:kern w:val="0"/>
                <w:sz w:val="24"/>
                <w:lang w:eastAsia="zh-CN"/>
              </w:rPr>
              <w:t>）</w:t>
            </w:r>
          </w:p>
        </w:tc>
        <w:tc>
          <w:tcPr>
            <w:tcW w:w="301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 w:hAnsi="仿宋" w:eastAsia="仿宋" w:cs="仿宋"/>
                <w:color w:val="000000"/>
                <w:sz w:val="24"/>
                <w:lang w:val="en-US"/>
              </w:rPr>
            </w:pPr>
            <w:r>
              <w:rPr>
                <w:rFonts w:hint="eastAsia" w:ascii="仿宋" w:hAnsi="仿宋" w:eastAsia="仿宋" w:cs="仿宋"/>
                <w:color w:val="000000"/>
                <w:kern w:val="0"/>
                <w:sz w:val="24"/>
                <w:lang w:val="en-US" w:eastAsia="zh-CN"/>
              </w:rPr>
              <w:t>交货期</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备注</w:t>
            </w:r>
          </w:p>
        </w:tc>
      </w:tr>
      <w:tr>
        <w:tblPrEx>
          <w:tblCellMar>
            <w:top w:w="15" w:type="dxa"/>
            <w:left w:w="15" w:type="dxa"/>
            <w:bottom w:w="15" w:type="dxa"/>
            <w:right w:w="15" w:type="dxa"/>
          </w:tblCellMar>
        </w:tblPrEx>
        <w:trPr>
          <w:trHeight w:val="655" w:hRule="atLeast"/>
        </w:trPr>
        <w:tc>
          <w:tcPr>
            <w:tcW w:w="574"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c>
          <w:tcPr>
            <w:tcW w:w="4598" w:type="dxa"/>
            <w:gridSpan w:val="2"/>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c>
          <w:tcPr>
            <w:tcW w:w="230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2"/>
                <w:szCs w:val="22"/>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2"/>
                <w:szCs w:val="22"/>
              </w:rPr>
            </w:pPr>
          </w:p>
        </w:tc>
        <w:tc>
          <w:tcPr>
            <w:tcW w:w="3011"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c>
          <w:tcPr>
            <w:tcW w:w="136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r>
      <w:tr>
        <w:tblPrEx>
          <w:tblCellMar>
            <w:top w:w="15" w:type="dxa"/>
            <w:left w:w="15" w:type="dxa"/>
            <w:bottom w:w="15" w:type="dxa"/>
            <w:right w:w="15" w:type="dxa"/>
          </w:tblCellMar>
        </w:tblPrEx>
        <w:trPr>
          <w:trHeight w:val="645" w:hRule="atLeast"/>
        </w:trPr>
        <w:tc>
          <w:tcPr>
            <w:tcW w:w="33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投标总价(人民币大写)</w:t>
            </w:r>
          </w:p>
        </w:tc>
        <w:tc>
          <w:tcPr>
            <w:tcW w:w="415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2"/>
                <w:szCs w:val="22"/>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人民币小写</w:t>
            </w:r>
          </w:p>
        </w:tc>
        <w:tc>
          <w:tcPr>
            <w:tcW w:w="437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2"/>
                <w:szCs w:val="22"/>
              </w:rPr>
            </w:pPr>
          </w:p>
        </w:tc>
      </w:tr>
    </w:tbl>
    <w:p>
      <w:pPr>
        <w:numPr>
          <w:ilvl w:val="0"/>
          <w:numId w:val="5"/>
        </w:numPr>
        <w:spacing w:line="500" w:lineRule="exact"/>
        <w:jc w:val="left"/>
        <w:rPr>
          <w:rFonts w:ascii="仿宋" w:hAnsi="仿宋" w:eastAsia="仿宋" w:cs="仿宋"/>
          <w:sz w:val="28"/>
          <w:szCs w:val="28"/>
        </w:rPr>
      </w:pPr>
      <w:r>
        <w:rPr>
          <w:rFonts w:hint="eastAsia" w:ascii="仿宋" w:hAnsi="仿宋" w:eastAsia="仿宋" w:cs="仿宋"/>
          <w:sz w:val="28"/>
          <w:szCs w:val="28"/>
        </w:rPr>
        <w:t>开标一览表格式不得自行改动。</w:t>
      </w:r>
    </w:p>
    <w:p>
      <w:pPr>
        <w:numPr>
          <w:ilvl w:val="0"/>
          <w:numId w:val="5"/>
        </w:numPr>
        <w:spacing w:line="500" w:lineRule="exact"/>
        <w:jc w:val="left"/>
        <w:rPr>
          <w:rFonts w:ascii="仿宋" w:hAnsi="仿宋" w:eastAsia="仿宋" w:cs="仿宋"/>
          <w:sz w:val="28"/>
          <w:szCs w:val="28"/>
        </w:rPr>
      </w:pPr>
      <w:r>
        <w:rPr>
          <w:rFonts w:hint="eastAsia" w:ascii="仿宋" w:hAnsi="仿宋" w:eastAsia="仿宋" w:cs="仿宋"/>
          <w:sz w:val="28"/>
          <w:szCs w:val="28"/>
        </w:rPr>
        <w:t>价格条件为能否满足标书要求的投标报价。</w:t>
      </w:r>
    </w:p>
    <w:p>
      <w:pPr>
        <w:numPr>
          <w:ilvl w:val="0"/>
          <w:numId w:val="5"/>
        </w:numPr>
        <w:spacing w:line="500" w:lineRule="exact"/>
        <w:jc w:val="left"/>
        <w:rPr>
          <w:rFonts w:ascii="仿宋" w:hAnsi="仿宋" w:eastAsia="仿宋" w:cs="仿宋"/>
          <w:sz w:val="28"/>
          <w:szCs w:val="36"/>
        </w:rPr>
      </w:pPr>
      <w:r>
        <w:rPr>
          <w:rFonts w:hint="eastAsia" w:ascii="仿宋" w:hAnsi="仿宋" w:eastAsia="仿宋" w:cs="仿宋"/>
          <w:sz w:val="28"/>
          <w:szCs w:val="28"/>
        </w:rPr>
        <w:t>无内容空格填“-”。</w:t>
      </w:r>
    </w:p>
    <w:p>
      <w:pPr>
        <w:ind w:firstLine="280" w:firstLineChars="100"/>
        <w:rPr>
          <w:rFonts w:hint="eastAsia" w:ascii="仿宋" w:hAnsi="仿宋" w:eastAsia="仿宋" w:cs="仿宋"/>
          <w:sz w:val="28"/>
          <w:szCs w:val="28"/>
        </w:rPr>
      </w:pPr>
    </w:p>
    <w:p>
      <w:pPr>
        <w:ind w:firstLine="280" w:firstLineChars="100"/>
        <w:rPr>
          <w:rFonts w:hint="eastAsia" w:ascii="仿宋" w:hAnsi="仿宋" w:eastAsia="仿宋" w:cs="仿宋"/>
          <w:sz w:val="28"/>
          <w:szCs w:val="28"/>
        </w:rPr>
      </w:pPr>
    </w:p>
    <w:p>
      <w:pPr>
        <w:ind w:firstLine="280" w:firstLineChars="100"/>
        <w:rPr>
          <w:rFonts w:ascii="仿宋" w:hAnsi="仿宋" w:eastAsia="仿宋" w:cs="仿宋"/>
          <w:sz w:val="28"/>
          <w:szCs w:val="28"/>
        </w:rPr>
      </w:pPr>
      <w:r>
        <w:rPr>
          <w:rFonts w:hint="eastAsia" w:ascii="仿宋" w:hAnsi="仿宋" w:eastAsia="仿宋" w:cs="仿宋"/>
          <w:sz w:val="28"/>
          <w:szCs w:val="28"/>
        </w:rPr>
        <w:t>法定代表人或其委托人（签字）：</w:t>
      </w:r>
    </w:p>
    <w:p>
      <w:pPr>
        <w:rPr>
          <w:rFonts w:hint="eastAsia" w:ascii="仿宋" w:hAnsi="仿宋" w:eastAsia="仿宋" w:cs="仿宋"/>
          <w:sz w:val="28"/>
          <w:szCs w:val="28"/>
          <w:lang w:eastAsia="zh-CN"/>
        </w:rPr>
      </w:pPr>
      <w:r>
        <w:rPr>
          <w:rFonts w:hint="eastAsia" w:ascii="仿宋" w:hAnsi="仿宋" w:eastAsia="仿宋" w:cs="仿宋"/>
          <w:sz w:val="28"/>
          <w:szCs w:val="28"/>
        </w:rPr>
        <w:t xml:space="preserve">  投标单位全称（加盖公</w:t>
      </w:r>
      <w:r>
        <w:rPr>
          <w:rFonts w:hint="eastAsia" w:ascii="仿宋" w:hAnsi="仿宋" w:eastAsia="仿宋" w:cs="仿宋"/>
          <w:sz w:val="28"/>
          <w:szCs w:val="28"/>
          <w:lang w:val="en-US" w:eastAsia="zh-CN"/>
        </w:rPr>
        <w:t>章）</w:t>
      </w:r>
    </w:p>
    <w:p>
      <w:pPr>
        <w:pStyle w:val="10"/>
        <w:rPr>
          <w:rFonts w:hint="eastAsia"/>
          <w:lang w:eastAsia="zh-CN"/>
        </w:rPr>
      </w:pPr>
    </w:p>
    <w:p>
      <w:pPr>
        <w:pStyle w:val="18"/>
        <w:rPr>
          <w:rFonts w:hint="eastAsia"/>
          <w:lang w:eastAsia="zh-CN"/>
        </w:rPr>
      </w:pPr>
    </w:p>
    <w:p>
      <w:pPr>
        <w:pStyle w:val="5"/>
        <w:numPr>
          <w:ilvl w:val="0"/>
          <w:numId w:val="0"/>
        </w:numPr>
        <w:ind w:left="420" w:leftChars="0"/>
        <w:jc w:val="center"/>
        <w:rPr>
          <w:rFonts w:hint="eastAsia" w:ascii="仿宋" w:hAnsi="仿宋" w:eastAsia="仿宋" w:cs="仿宋"/>
          <w:b/>
          <w:color w:val="000000"/>
          <w:kern w:val="0"/>
          <w:sz w:val="44"/>
          <w:szCs w:val="44"/>
          <w:lang w:val="en-US" w:eastAsia="zh-CN" w:bidi="ar-SA"/>
        </w:rPr>
      </w:pPr>
    </w:p>
    <w:p>
      <w:pPr>
        <w:pStyle w:val="5"/>
        <w:numPr>
          <w:ilvl w:val="0"/>
          <w:numId w:val="0"/>
        </w:numPr>
        <w:ind w:left="420" w:leftChars="0"/>
        <w:jc w:val="center"/>
        <w:rPr>
          <w:rFonts w:hint="eastAsia" w:ascii="仿宋" w:hAnsi="仿宋" w:eastAsia="仿宋" w:cs="仿宋"/>
          <w:b/>
          <w:color w:val="000000"/>
          <w:kern w:val="0"/>
          <w:sz w:val="44"/>
          <w:szCs w:val="44"/>
          <w:lang w:val="en-US" w:eastAsia="zh-CN" w:bidi="ar-SA"/>
        </w:rPr>
      </w:pPr>
      <w:r>
        <w:rPr>
          <w:rFonts w:hint="eastAsia" w:ascii="仿宋" w:hAnsi="仿宋" w:eastAsia="仿宋" w:cs="仿宋"/>
          <w:b/>
          <w:color w:val="000000"/>
          <w:kern w:val="0"/>
          <w:sz w:val="44"/>
          <w:szCs w:val="44"/>
          <w:lang w:val="en-US" w:eastAsia="zh-CN" w:bidi="ar-SA"/>
        </w:rPr>
        <w:t>深圳市龙岗区第七人民医院2024年中秋慰问品分项报价单</w:t>
      </w:r>
    </w:p>
    <w:p>
      <w:pPr>
        <w:pStyle w:val="27"/>
        <w:spacing w:line="460" w:lineRule="exact"/>
        <w:ind w:firstLine="640" w:firstLineChars="200"/>
        <w:rPr>
          <w:rFonts w:hint="eastAsia" w:ascii="宋体" w:hAnsi="宋体" w:eastAsia="宋体" w:cs="宋体"/>
          <w:i w:val="0"/>
          <w:iCs w:val="0"/>
          <w:color w:val="000000"/>
          <w:kern w:val="0"/>
          <w:sz w:val="32"/>
          <w:szCs w:val="32"/>
          <w:u w:val="none"/>
          <w:lang w:val="en-US" w:eastAsia="zh-CN" w:bidi="ar"/>
        </w:rPr>
      </w:pPr>
    </w:p>
    <w:p>
      <w:pPr>
        <w:pStyle w:val="27"/>
        <w:spacing w:line="460" w:lineRule="exact"/>
        <w:ind w:firstLine="640" w:firstLineChars="200"/>
        <w:rPr>
          <w:rFonts w:hint="eastAsia"/>
          <w:lang w:val="en-US" w:eastAsia="zh-CN"/>
        </w:rPr>
      </w:pPr>
      <w:r>
        <w:rPr>
          <w:rFonts w:hint="eastAsia" w:ascii="宋体" w:hAnsi="宋体" w:eastAsia="宋体" w:cs="宋体"/>
          <w:i w:val="0"/>
          <w:iCs w:val="0"/>
          <w:color w:val="000000"/>
          <w:kern w:val="0"/>
          <w:sz w:val="32"/>
          <w:szCs w:val="32"/>
          <w:u w:val="none"/>
          <w:lang w:val="en-US" w:eastAsia="zh-CN" w:bidi="ar"/>
        </w:rPr>
        <w:t>A套餐</w:t>
      </w:r>
    </w:p>
    <w:tbl>
      <w:tblPr>
        <w:tblStyle w:val="21"/>
        <w:tblW w:w="13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10"/>
        <w:gridCol w:w="5523"/>
        <w:gridCol w:w="900"/>
        <w:gridCol w:w="1446"/>
        <w:gridCol w:w="1470"/>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35" w:type="dxa"/>
            <w:shd w:val="clear" w:color="000000" w:fill="C0C0C0"/>
            <w:vAlign w:val="center"/>
          </w:tcPr>
          <w:p>
            <w:pPr>
              <w:pStyle w:val="36"/>
              <w:jc w:val="center"/>
              <w:rPr>
                <w:color w:val="auto"/>
                <w:sz w:val="28"/>
                <w:szCs w:val="28"/>
              </w:rPr>
            </w:pPr>
            <w:r>
              <w:rPr>
                <w:rFonts w:hint="eastAsia"/>
                <w:color w:val="auto"/>
                <w:sz w:val="28"/>
                <w:szCs w:val="28"/>
              </w:rPr>
              <w:t>序号</w:t>
            </w:r>
          </w:p>
        </w:tc>
        <w:tc>
          <w:tcPr>
            <w:tcW w:w="1410" w:type="dxa"/>
            <w:shd w:val="clear" w:color="000000" w:fill="C0C0C0"/>
            <w:vAlign w:val="center"/>
          </w:tcPr>
          <w:p>
            <w:pPr>
              <w:widowControl/>
              <w:jc w:val="center"/>
              <w:rPr>
                <w:rFonts w:ascii="宋体" w:hAnsi="宋体" w:cs="宋体"/>
                <w:b/>
                <w:bCs/>
                <w:color w:val="auto"/>
                <w:kern w:val="0"/>
                <w:sz w:val="28"/>
                <w:szCs w:val="28"/>
              </w:rPr>
            </w:pPr>
            <w:r>
              <w:rPr>
                <w:rFonts w:hint="eastAsia" w:ascii="宋体" w:hAnsi="宋体" w:cs="宋体"/>
                <w:b/>
                <w:bCs/>
                <w:color w:val="auto"/>
                <w:kern w:val="0"/>
                <w:sz w:val="28"/>
                <w:szCs w:val="28"/>
              </w:rPr>
              <w:t>产品名称</w:t>
            </w:r>
          </w:p>
        </w:tc>
        <w:tc>
          <w:tcPr>
            <w:tcW w:w="5523" w:type="dxa"/>
            <w:shd w:val="clear" w:color="000000" w:fill="C0C0C0"/>
            <w:vAlign w:val="center"/>
          </w:tcPr>
          <w:p>
            <w:pPr>
              <w:widowControl/>
              <w:jc w:val="center"/>
              <w:rPr>
                <w:rFonts w:hint="default" w:ascii="宋体" w:hAnsi="宋体" w:eastAsia="宋体" w:cs="宋体"/>
                <w:b/>
                <w:bCs/>
                <w:color w:val="auto"/>
                <w:kern w:val="0"/>
                <w:sz w:val="28"/>
                <w:szCs w:val="28"/>
                <w:lang w:val="en-US" w:eastAsia="zh-CN"/>
              </w:rPr>
            </w:pPr>
            <w:r>
              <w:rPr>
                <w:rFonts w:hint="eastAsia" w:ascii="宋体" w:hAnsi="宋体" w:cs="宋体"/>
                <w:b/>
                <w:bCs/>
                <w:color w:val="auto"/>
                <w:kern w:val="0"/>
                <w:sz w:val="28"/>
                <w:szCs w:val="28"/>
                <w:lang w:val="en-US" w:eastAsia="zh-CN"/>
              </w:rPr>
              <w:t>规格/品牌</w:t>
            </w:r>
          </w:p>
        </w:tc>
        <w:tc>
          <w:tcPr>
            <w:tcW w:w="900" w:type="dxa"/>
            <w:shd w:val="clear" w:color="000000" w:fill="C0C0C0"/>
            <w:vAlign w:val="center"/>
          </w:tcPr>
          <w:p>
            <w:pPr>
              <w:widowControl/>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单位</w:t>
            </w:r>
          </w:p>
        </w:tc>
        <w:tc>
          <w:tcPr>
            <w:tcW w:w="1446" w:type="dxa"/>
            <w:shd w:val="clear" w:color="000000" w:fill="C0C0C0"/>
            <w:vAlign w:val="center"/>
          </w:tcPr>
          <w:p>
            <w:pPr>
              <w:widowControl/>
              <w:jc w:val="center"/>
              <w:rPr>
                <w:rFonts w:hint="eastAsia" w:ascii="宋体" w:hAnsi="宋体" w:eastAsia="宋体" w:cs="宋体"/>
                <w:b/>
                <w:bCs/>
                <w:color w:val="auto"/>
                <w:kern w:val="0"/>
                <w:sz w:val="28"/>
                <w:szCs w:val="28"/>
                <w:lang w:val="en-US" w:eastAsia="zh-CN"/>
              </w:rPr>
            </w:pPr>
            <w:r>
              <w:rPr>
                <w:rFonts w:hint="eastAsia" w:ascii="宋体" w:hAnsi="宋体" w:cs="宋体"/>
                <w:b/>
                <w:bCs/>
                <w:color w:val="auto"/>
                <w:kern w:val="0"/>
                <w:sz w:val="28"/>
                <w:szCs w:val="28"/>
              </w:rPr>
              <w:t>数量</w:t>
            </w:r>
            <w:r>
              <w:rPr>
                <w:rFonts w:hint="eastAsia" w:ascii="宋体" w:hAnsi="宋体" w:cs="宋体"/>
                <w:b/>
                <w:bCs/>
                <w:color w:val="auto"/>
                <w:kern w:val="0"/>
                <w:sz w:val="28"/>
                <w:szCs w:val="28"/>
                <w:lang w:eastAsia="zh-CN"/>
              </w:rPr>
              <w:t>（</w:t>
            </w:r>
            <w:r>
              <w:rPr>
                <w:rFonts w:hint="eastAsia" w:ascii="宋体" w:hAnsi="宋体" w:cs="宋体"/>
                <w:b/>
                <w:bCs/>
                <w:color w:val="auto"/>
                <w:kern w:val="0"/>
                <w:sz w:val="28"/>
                <w:szCs w:val="28"/>
                <w:lang w:val="en-US" w:eastAsia="zh-CN"/>
              </w:rPr>
              <w:t>份</w:t>
            </w:r>
            <w:r>
              <w:rPr>
                <w:rFonts w:hint="eastAsia" w:ascii="宋体" w:hAnsi="宋体" w:cs="宋体"/>
                <w:b/>
                <w:bCs/>
                <w:color w:val="auto"/>
                <w:kern w:val="0"/>
                <w:sz w:val="28"/>
                <w:szCs w:val="28"/>
                <w:lang w:eastAsia="zh-CN"/>
              </w:rPr>
              <w:t>）</w:t>
            </w:r>
          </w:p>
        </w:tc>
        <w:tc>
          <w:tcPr>
            <w:tcW w:w="1470" w:type="dxa"/>
            <w:shd w:val="clear" w:color="000000" w:fill="C0C0C0"/>
            <w:vAlign w:val="center"/>
          </w:tcPr>
          <w:p>
            <w:pPr>
              <w:widowControl/>
              <w:jc w:val="center"/>
              <w:rPr>
                <w:rFonts w:hint="eastAsia" w:ascii="宋体" w:hAnsi="宋体" w:eastAsia="宋体" w:cs="宋体"/>
                <w:b/>
                <w:bCs/>
                <w:color w:val="auto"/>
                <w:kern w:val="0"/>
                <w:sz w:val="28"/>
                <w:szCs w:val="28"/>
                <w:lang w:eastAsia="zh-CN"/>
              </w:rPr>
            </w:pPr>
            <w:r>
              <w:rPr>
                <w:rFonts w:hint="eastAsia" w:ascii="宋体" w:hAnsi="宋体" w:cs="宋体"/>
                <w:b/>
                <w:bCs/>
                <w:color w:val="auto"/>
                <w:kern w:val="0"/>
                <w:sz w:val="28"/>
                <w:szCs w:val="28"/>
              </w:rPr>
              <w:t>单</w:t>
            </w:r>
            <w:r>
              <w:rPr>
                <w:rFonts w:hint="eastAsia" w:ascii="宋体" w:hAnsi="宋体" w:cs="宋体"/>
                <w:b/>
                <w:bCs/>
                <w:color w:val="auto"/>
                <w:kern w:val="0"/>
                <w:sz w:val="28"/>
                <w:szCs w:val="28"/>
                <w:lang w:val="en-US" w:eastAsia="zh-CN"/>
              </w:rPr>
              <w:t>价（元）</w:t>
            </w:r>
          </w:p>
        </w:tc>
        <w:tc>
          <w:tcPr>
            <w:tcW w:w="1464" w:type="dxa"/>
            <w:shd w:val="clear" w:color="000000" w:fill="C0C0C0"/>
            <w:vAlign w:val="center"/>
          </w:tcPr>
          <w:p>
            <w:pPr>
              <w:widowControl/>
              <w:jc w:val="center"/>
              <w:rPr>
                <w:rFonts w:hint="default" w:ascii="宋体" w:hAnsi="宋体" w:eastAsia="宋体" w:cs="宋体"/>
                <w:b/>
                <w:bCs/>
                <w:color w:val="auto"/>
                <w:kern w:val="0"/>
                <w:sz w:val="28"/>
                <w:szCs w:val="28"/>
                <w:lang w:val="en-US" w:eastAsia="zh-CN"/>
              </w:rPr>
            </w:pPr>
            <w:r>
              <w:rPr>
                <w:rFonts w:hint="eastAsia" w:ascii="宋体" w:hAnsi="宋体" w:cs="宋体"/>
                <w:b/>
                <w:bCs/>
                <w:color w:val="auto"/>
                <w:kern w:val="0"/>
                <w:sz w:val="28"/>
                <w:szCs w:val="28"/>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35" w:type="dxa"/>
            <w:shd w:val="clear" w:color="auto" w:fill="auto"/>
            <w:vAlign w:val="center"/>
          </w:tcPr>
          <w:p>
            <w:pPr>
              <w:widowControl/>
              <w:jc w:val="center"/>
              <w:rPr>
                <w:rFonts w:ascii="宋体" w:hAnsi="宋体" w:cs="宋体"/>
                <w:color w:val="auto"/>
                <w:kern w:val="0"/>
                <w:sz w:val="28"/>
                <w:szCs w:val="28"/>
              </w:rPr>
            </w:pPr>
            <w:r>
              <w:rPr>
                <w:rFonts w:hint="eastAsia" w:ascii="宋体" w:hAnsi="宋体" w:cs="宋体"/>
                <w:color w:val="auto"/>
                <w:kern w:val="0"/>
                <w:sz w:val="28"/>
                <w:szCs w:val="28"/>
              </w:rPr>
              <w:t>1</w:t>
            </w:r>
          </w:p>
        </w:tc>
        <w:tc>
          <w:tcPr>
            <w:tcW w:w="1410" w:type="dxa"/>
            <w:shd w:val="clear" w:color="auto" w:fill="auto"/>
            <w:vAlign w:val="center"/>
          </w:tcPr>
          <w:p>
            <w:pPr>
              <w:widowControl/>
              <w:jc w:val="center"/>
              <w:rPr>
                <w:rFonts w:hint="eastAsia"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月饼</w:t>
            </w:r>
          </w:p>
        </w:tc>
        <w:tc>
          <w:tcPr>
            <w:tcW w:w="5523" w:type="dxa"/>
            <w:shd w:val="clear" w:color="auto" w:fill="auto"/>
            <w:vAlign w:val="center"/>
          </w:tcPr>
          <w:p>
            <w:pPr>
              <w:widowControl/>
              <w:jc w:val="center"/>
              <w:rPr>
                <w:rFonts w:ascii="宋体" w:hAnsi="宋体" w:cs="宋体"/>
                <w:color w:val="auto"/>
                <w:kern w:val="0"/>
                <w:sz w:val="28"/>
                <w:szCs w:val="28"/>
              </w:rPr>
            </w:pPr>
          </w:p>
        </w:tc>
        <w:tc>
          <w:tcPr>
            <w:tcW w:w="900" w:type="dxa"/>
            <w:shd w:val="clear" w:color="auto" w:fill="auto"/>
            <w:vAlign w:val="center"/>
          </w:tcPr>
          <w:p>
            <w:pPr>
              <w:widowControl/>
              <w:jc w:val="center"/>
              <w:rPr>
                <w:rFonts w:ascii="宋体" w:hAnsi="宋体" w:eastAsia="宋体" w:cs="宋体"/>
                <w:color w:val="auto"/>
                <w:kern w:val="0"/>
                <w:sz w:val="28"/>
                <w:szCs w:val="28"/>
                <w:lang w:val="en-US" w:eastAsia="zh-CN" w:bidi="ar-SA"/>
              </w:rPr>
            </w:pPr>
          </w:p>
        </w:tc>
        <w:tc>
          <w:tcPr>
            <w:tcW w:w="1446" w:type="dxa"/>
            <w:shd w:val="clear" w:color="auto" w:fill="auto"/>
            <w:vAlign w:val="center"/>
          </w:tcPr>
          <w:p>
            <w:pPr>
              <w:widowControl/>
              <w:jc w:val="center"/>
              <w:rPr>
                <w:rFonts w:ascii="宋体" w:hAnsi="宋体" w:cs="宋体"/>
                <w:color w:val="auto"/>
                <w:kern w:val="0"/>
                <w:sz w:val="28"/>
                <w:szCs w:val="28"/>
              </w:rPr>
            </w:pPr>
          </w:p>
        </w:tc>
        <w:tc>
          <w:tcPr>
            <w:tcW w:w="1470" w:type="dxa"/>
            <w:shd w:val="clear" w:color="auto" w:fill="auto"/>
            <w:vAlign w:val="center"/>
          </w:tcPr>
          <w:p>
            <w:pPr>
              <w:widowControl/>
              <w:jc w:val="center"/>
              <w:rPr>
                <w:rFonts w:hint="default" w:ascii="宋体" w:hAnsi="宋体" w:eastAsia="宋体" w:cs="宋体"/>
                <w:color w:val="auto"/>
                <w:kern w:val="0"/>
                <w:sz w:val="28"/>
                <w:szCs w:val="28"/>
                <w:lang w:val="en-US" w:eastAsia="zh-CN"/>
              </w:rPr>
            </w:pPr>
          </w:p>
        </w:tc>
        <w:tc>
          <w:tcPr>
            <w:tcW w:w="1464" w:type="dxa"/>
            <w:shd w:val="clear" w:color="auto" w:fill="auto"/>
            <w:vAlign w:val="center"/>
          </w:tcPr>
          <w:p>
            <w:pPr>
              <w:widowControl/>
              <w:jc w:val="center"/>
              <w:rPr>
                <w:rFonts w:hint="eastAsia" w:ascii="宋体" w:hAnsi="宋体" w:cs="宋体"/>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35" w:type="dxa"/>
            <w:shd w:val="clear" w:color="auto" w:fill="auto"/>
            <w:vAlign w:val="center"/>
          </w:tcPr>
          <w:p>
            <w:pPr>
              <w:widowControl/>
              <w:jc w:val="center"/>
              <w:rPr>
                <w:rFonts w:ascii="宋体" w:hAnsi="宋体" w:cs="宋体"/>
                <w:color w:val="auto"/>
                <w:kern w:val="0"/>
                <w:sz w:val="28"/>
                <w:szCs w:val="28"/>
              </w:rPr>
            </w:pPr>
            <w:r>
              <w:rPr>
                <w:rFonts w:hint="eastAsia" w:ascii="宋体" w:hAnsi="宋体" w:cs="宋体"/>
                <w:color w:val="auto"/>
                <w:kern w:val="0"/>
                <w:sz w:val="28"/>
                <w:szCs w:val="28"/>
              </w:rPr>
              <w:t>2</w:t>
            </w:r>
          </w:p>
        </w:tc>
        <w:tc>
          <w:tcPr>
            <w:tcW w:w="1410" w:type="dxa"/>
            <w:shd w:val="clear" w:color="auto" w:fill="auto"/>
            <w:vAlign w:val="center"/>
          </w:tcPr>
          <w:p>
            <w:pPr>
              <w:widowControl/>
              <w:jc w:val="center"/>
              <w:rPr>
                <w:rFonts w:ascii="宋体" w:hAnsi="宋体" w:cs="宋体"/>
                <w:color w:val="auto"/>
                <w:kern w:val="0"/>
                <w:sz w:val="28"/>
                <w:szCs w:val="28"/>
              </w:rPr>
            </w:pPr>
            <w:r>
              <w:rPr>
                <w:rFonts w:hint="eastAsia" w:ascii="宋体" w:hAnsi="宋体" w:eastAsia="宋体" w:cs="宋体"/>
                <w:i w:val="0"/>
                <w:iCs w:val="0"/>
                <w:color w:val="000000"/>
                <w:kern w:val="0"/>
                <w:sz w:val="28"/>
                <w:szCs w:val="28"/>
                <w:u w:val="none"/>
                <w:lang w:val="en-US" w:eastAsia="zh-CN" w:bidi="ar"/>
              </w:rPr>
              <w:t>洗衣液</w:t>
            </w:r>
          </w:p>
        </w:tc>
        <w:tc>
          <w:tcPr>
            <w:tcW w:w="5523" w:type="dxa"/>
            <w:shd w:val="clear" w:color="auto" w:fill="auto"/>
            <w:vAlign w:val="center"/>
          </w:tcPr>
          <w:p>
            <w:pPr>
              <w:widowControl/>
              <w:jc w:val="center"/>
              <w:rPr>
                <w:rFonts w:hint="eastAsia" w:ascii="宋体" w:hAnsi="宋体" w:eastAsia="宋体" w:cs="宋体"/>
                <w:color w:val="auto"/>
                <w:kern w:val="0"/>
                <w:sz w:val="28"/>
                <w:szCs w:val="28"/>
                <w:lang w:val="en-US" w:eastAsia="zh-CN"/>
              </w:rPr>
            </w:pPr>
          </w:p>
        </w:tc>
        <w:tc>
          <w:tcPr>
            <w:tcW w:w="900" w:type="dxa"/>
            <w:shd w:val="clear" w:color="auto" w:fill="auto"/>
            <w:vAlign w:val="center"/>
          </w:tcPr>
          <w:p>
            <w:pPr>
              <w:widowControl/>
              <w:jc w:val="center"/>
              <w:rPr>
                <w:rFonts w:ascii="宋体" w:hAnsi="宋体" w:eastAsia="宋体" w:cs="宋体"/>
                <w:color w:val="auto"/>
                <w:kern w:val="0"/>
                <w:sz w:val="28"/>
                <w:szCs w:val="28"/>
                <w:lang w:val="en-US" w:eastAsia="zh-CN" w:bidi="ar-SA"/>
              </w:rPr>
            </w:pPr>
          </w:p>
        </w:tc>
        <w:tc>
          <w:tcPr>
            <w:tcW w:w="1446" w:type="dxa"/>
            <w:shd w:val="clear" w:color="auto" w:fill="auto"/>
            <w:vAlign w:val="center"/>
          </w:tcPr>
          <w:p>
            <w:pPr>
              <w:widowControl/>
              <w:jc w:val="center"/>
              <w:rPr>
                <w:rFonts w:ascii="宋体" w:hAnsi="宋体" w:cs="宋体"/>
                <w:color w:val="auto"/>
                <w:kern w:val="0"/>
                <w:sz w:val="28"/>
                <w:szCs w:val="28"/>
              </w:rPr>
            </w:pPr>
          </w:p>
        </w:tc>
        <w:tc>
          <w:tcPr>
            <w:tcW w:w="1470" w:type="dxa"/>
            <w:shd w:val="clear" w:color="auto" w:fill="auto"/>
            <w:vAlign w:val="center"/>
          </w:tcPr>
          <w:p>
            <w:pPr>
              <w:widowControl/>
              <w:jc w:val="center"/>
              <w:rPr>
                <w:rFonts w:hint="default" w:ascii="宋体" w:hAnsi="宋体" w:eastAsia="宋体" w:cs="宋体"/>
                <w:color w:val="auto"/>
                <w:kern w:val="0"/>
                <w:sz w:val="28"/>
                <w:szCs w:val="28"/>
                <w:lang w:val="en-US" w:eastAsia="zh-CN"/>
              </w:rPr>
            </w:pPr>
          </w:p>
        </w:tc>
        <w:tc>
          <w:tcPr>
            <w:tcW w:w="1464" w:type="dxa"/>
            <w:shd w:val="clear" w:color="auto" w:fill="auto"/>
            <w:vAlign w:val="center"/>
          </w:tcPr>
          <w:p>
            <w:pPr>
              <w:widowControl/>
              <w:jc w:val="center"/>
              <w:rPr>
                <w:rFonts w:hint="eastAsia" w:ascii="宋体" w:hAnsi="宋体" w:cs="宋体"/>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35" w:type="dxa"/>
            <w:shd w:val="clear" w:color="auto" w:fill="auto"/>
            <w:vAlign w:val="center"/>
          </w:tcPr>
          <w:p>
            <w:pPr>
              <w:widowControl/>
              <w:jc w:val="center"/>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lang w:val="en-US" w:eastAsia="zh-CN"/>
              </w:rPr>
              <w:t>3</w:t>
            </w:r>
          </w:p>
        </w:tc>
        <w:tc>
          <w:tcPr>
            <w:tcW w:w="1410" w:type="dxa"/>
            <w:shd w:val="clear" w:color="auto" w:fill="auto"/>
            <w:vAlign w:val="center"/>
          </w:tcPr>
          <w:p>
            <w:pPr>
              <w:widowControl/>
              <w:jc w:val="center"/>
              <w:rPr>
                <w:rFonts w:ascii="宋体" w:hAnsi="宋体" w:cs="宋体"/>
                <w:color w:val="auto"/>
                <w:kern w:val="0"/>
                <w:sz w:val="28"/>
                <w:szCs w:val="28"/>
              </w:rPr>
            </w:pPr>
            <w:r>
              <w:rPr>
                <w:rFonts w:hint="eastAsia" w:ascii="宋体" w:hAnsi="宋体" w:eastAsia="宋体" w:cs="宋体"/>
                <w:i w:val="0"/>
                <w:iCs w:val="0"/>
                <w:color w:val="000000"/>
                <w:kern w:val="0"/>
                <w:sz w:val="28"/>
                <w:szCs w:val="28"/>
                <w:u w:val="none"/>
                <w:lang w:val="en-US" w:eastAsia="zh-CN" w:bidi="ar"/>
              </w:rPr>
              <w:t>柚子</w:t>
            </w:r>
          </w:p>
        </w:tc>
        <w:tc>
          <w:tcPr>
            <w:tcW w:w="5523" w:type="dxa"/>
            <w:shd w:val="clear" w:color="auto" w:fill="auto"/>
            <w:vAlign w:val="center"/>
          </w:tcPr>
          <w:p>
            <w:pPr>
              <w:widowControl/>
              <w:jc w:val="center"/>
              <w:rPr>
                <w:rFonts w:hint="eastAsia" w:ascii="宋体" w:hAnsi="宋体" w:eastAsia="宋体" w:cs="宋体"/>
                <w:color w:val="auto"/>
                <w:kern w:val="0"/>
                <w:sz w:val="28"/>
                <w:szCs w:val="28"/>
                <w:lang w:val="en-US" w:eastAsia="zh-CN"/>
              </w:rPr>
            </w:pPr>
          </w:p>
        </w:tc>
        <w:tc>
          <w:tcPr>
            <w:tcW w:w="900" w:type="dxa"/>
            <w:shd w:val="clear" w:color="auto" w:fill="auto"/>
            <w:vAlign w:val="center"/>
          </w:tcPr>
          <w:p>
            <w:pPr>
              <w:widowControl/>
              <w:jc w:val="center"/>
              <w:rPr>
                <w:rFonts w:ascii="宋体" w:hAnsi="宋体" w:eastAsia="宋体" w:cs="宋体"/>
                <w:color w:val="auto"/>
                <w:kern w:val="0"/>
                <w:sz w:val="28"/>
                <w:szCs w:val="28"/>
                <w:lang w:val="en-US" w:eastAsia="zh-CN" w:bidi="ar-SA"/>
              </w:rPr>
            </w:pPr>
          </w:p>
        </w:tc>
        <w:tc>
          <w:tcPr>
            <w:tcW w:w="1446" w:type="dxa"/>
            <w:shd w:val="clear" w:color="auto" w:fill="auto"/>
            <w:vAlign w:val="center"/>
          </w:tcPr>
          <w:p>
            <w:pPr>
              <w:widowControl/>
              <w:jc w:val="center"/>
              <w:rPr>
                <w:rFonts w:ascii="宋体" w:hAnsi="宋体" w:cs="宋体"/>
                <w:color w:val="auto"/>
                <w:kern w:val="0"/>
                <w:sz w:val="28"/>
                <w:szCs w:val="28"/>
              </w:rPr>
            </w:pPr>
          </w:p>
        </w:tc>
        <w:tc>
          <w:tcPr>
            <w:tcW w:w="1470" w:type="dxa"/>
            <w:shd w:val="clear" w:color="auto" w:fill="auto"/>
            <w:vAlign w:val="center"/>
          </w:tcPr>
          <w:p>
            <w:pPr>
              <w:widowControl/>
              <w:jc w:val="center"/>
              <w:rPr>
                <w:rFonts w:hint="default" w:ascii="宋体" w:hAnsi="宋体" w:eastAsia="宋体" w:cs="宋体"/>
                <w:color w:val="auto"/>
                <w:kern w:val="0"/>
                <w:sz w:val="28"/>
                <w:szCs w:val="28"/>
                <w:lang w:val="en-US" w:eastAsia="zh-CN"/>
              </w:rPr>
            </w:pPr>
          </w:p>
        </w:tc>
        <w:tc>
          <w:tcPr>
            <w:tcW w:w="1464" w:type="dxa"/>
            <w:shd w:val="clear" w:color="auto" w:fill="auto"/>
            <w:vAlign w:val="center"/>
          </w:tcPr>
          <w:p>
            <w:pPr>
              <w:widowControl/>
              <w:jc w:val="center"/>
              <w:rPr>
                <w:rFonts w:hint="eastAsia" w:ascii="宋体" w:hAnsi="宋体" w:cs="宋体"/>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35" w:type="dxa"/>
            <w:shd w:val="clear" w:color="auto" w:fill="auto"/>
            <w:vAlign w:val="center"/>
          </w:tcPr>
          <w:p>
            <w:pPr>
              <w:widowControl/>
              <w:jc w:val="center"/>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lang w:val="en-US" w:eastAsia="zh-CN"/>
              </w:rPr>
              <w:t>4</w:t>
            </w:r>
          </w:p>
        </w:tc>
        <w:tc>
          <w:tcPr>
            <w:tcW w:w="1410" w:type="dxa"/>
            <w:shd w:val="clear" w:color="auto" w:fill="auto"/>
            <w:vAlign w:val="center"/>
          </w:tcPr>
          <w:p>
            <w:pPr>
              <w:widowControl/>
              <w:jc w:val="center"/>
              <w:rPr>
                <w:rFonts w:hint="eastAsia"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苹果</w:t>
            </w:r>
          </w:p>
        </w:tc>
        <w:tc>
          <w:tcPr>
            <w:tcW w:w="5523" w:type="dxa"/>
            <w:shd w:val="clear" w:color="auto" w:fill="auto"/>
            <w:vAlign w:val="center"/>
          </w:tcPr>
          <w:p>
            <w:pPr>
              <w:widowControl/>
              <w:jc w:val="center"/>
              <w:rPr>
                <w:rFonts w:hint="eastAsia" w:ascii="宋体" w:hAnsi="宋体" w:eastAsia="宋体" w:cs="宋体"/>
                <w:color w:val="auto"/>
                <w:kern w:val="0"/>
                <w:sz w:val="28"/>
                <w:szCs w:val="28"/>
                <w:lang w:val="en-US" w:eastAsia="zh-CN"/>
              </w:rPr>
            </w:pPr>
          </w:p>
        </w:tc>
        <w:tc>
          <w:tcPr>
            <w:tcW w:w="900" w:type="dxa"/>
            <w:shd w:val="clear" w:color="auto" w:fill="auto"/>
            <w:vAlign w:val="center"/>
          </w:tcPr>
          <w:p>
            <w:pPr>
              <w:widowControl/>
              <w:jc w:val="center"/>
              <w:rPr>
                <w:rFonts w:ascii="宋体" w:hAnsi="宋体" w:eastAsia="宋体" w:cs="宋体"/>
                <w:color w:val="auto"/>
                <w:kern w:val="0"/>
                <w:sz w:val="28"/>
                <w:szCs w:val="28"/>
                <w:lang w:val="en-US" w:eastAsia="zh-CN" w:bidi="ar-SA"/>
              </w:rPr>
            </w:pPr>
          </w:p>
        </w:tc>
        <w:tc>
          <w:tcPr>
            <w:tcW w:w="1446" w:type="dxa"/>
            <w:shd w:val="clear" w:color="auto" w:fill="auto"/>
            <w:vAlign w:val="center"/>
          </w:tcPr>
          <w:p>
            <w:pPr>
              <w:widowControl/>
              <w:jc w:val="center"/>
              <w:rPr>
                <w:rFonts w:ascii="宋体" w:hAnsi="宋体" w:eastAsia="宋体" w:cs="宋体"/>
                <w:color w:val="auto"/>
                <w:kern w:val="0"/>
                <w:sz w:val="28"/>
                <w:szCs w:val="28"/>
                <w:lang w:val="en-US" w:eastAsia="zh-CN" w:bidi="ar-SA"/>
              </w:rPr>
            </w:pPr>
          </w:p>
        </w:tc>
        <w:tc>
          <w:tcPr>
            <w:tcW w:w="1470" w:type="dxa"/>
            <w:shd w:val="clear" w:color="auto" w:fill="auto"/>
            <w:vAlign w:val="center"/>
          </w:tcPr>
          <w:p>
            <w:pPr>
              <w:widowControl/>
              <w:jc w:val="center"/>
              <w:rPr>
                <w:rFonts w:hint="default" w:ascii="宋体" w:hAnsi="宋体" w:eastAsia="宋体" w:cs="宋体"/>
                <w:color w:val="auto"/>
                <w:kern w:val="0"/>
                <w:sz w:val="28"/>
                <w:szCs w:val="28"/>
                <w:lang w:val="en-US" w:eastAsia="zh-CN" w:bidi="ar-SA"/>
              </w:rPr>
            </w:pPr>
          </w:p>
        </w:tc>
        <w:tc>
          <w:tcPr>
            <w:tcW w:w="1464" w:type="dxa"/>
            <w:shd w:val="clear" w:color="auto" w:fill="auto"/>
            <w:vAlign w:val="center"/>
          </w:tcPr>
          <w:p>
            <w:pPr>
              <w:widowControl/>
              <w:jc w:val="center"/>
              <w:rPr>
                <w:rFonts w:hint="eastAsia" w:ascii="宋体" w:hAnsi="宋体" w:cs="宋体"/>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35" w:type="dxa"/>
            <w:shd w:val="clear" w:color="auto" w:fill="auto"/>
            <w:vAlign w:val="center"/>
          </w:tcPr>
          <w:p>
            <w:pPr>
              <w:widowControl/>
              <w:jc w:val="center"/>
              <w:rPr>
                <w:rFonts w:hint="eastAsia"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5</w:t>
            </w:r>
          </w:p>
        </w:tc>
        <w:tc>
          <w:tcPr>
            <w:tcW w:w="1410" w:type="dxa"/>
            <w:shd w:val="clear" w:color="auto" w:fill="auto"/>
            <w:vAlign w:val="center"/>
          </w:tcPr>
          <w:p>
            <w:pPr>
              <w:widowControl/>
              <w:jc w:val="center"/>
              <w:rPr>
                <w:rFonts w:ascii="宋体" w:hAnsi="宋体" w:cs="宋体"/>
                <w:color w:val="auto"/>
                <w:kern w:val="0"/>
                <w:sz w:val="28"/>
                <w:szCs w:val="28"/>
              </w:rPr>
            </w:pPr>
            <w:r>
              <w:rPr>
                <w:rFonts w:hint="eastAsia" w:ascii="宋体" w:hAnsi="宋体" w:eastAsia="宋体" w:cs="宋体"/>
                <w:i w:val="0"/>
                <w:iCs w:val="0"/>
                <w:color w:val="000000"/>
                <w:kern w:val="0"/>
                <w:sz w:val="28"/>
                <w:szCs w:val="28"/>
                <w:u w:val="none"/>
                <w:lang w:val="en-US" w:eastAsia="zh-CN" w:bidi="ar"/>
              </w:rPr>
              <w:t>软籽甜石榴</w:t>
            </w:r>
          </w:p>
        </w:tc>
        <w:tc>
          <w:tcPr>
            <w:tcW w:w="5523" w:type="dxa"/>
            <w:shd w:val="clear" w:color="auto" w:fill="auto"/>
            <w:vAlign w:val="center"/>
          </w:tcPr>
          <w:p>
            <w:pPr>
              <w:widowControl/>
              <w:jc w:val="center"/>
              <w:rPr>
                <w:rFonts w:hint="eastAsia" w:ascii="宋体" w:hAnsi="宋体" w:eastAsia="宋体" w:cs="宋体"/>
                <w:color w:val="auto"/>
                <w:kern w:val="0"/>
                <w:sz w:val="28"/>
                <w:szCs w:val="28"/>
                <w:lang w:val="en-US" w:eastAsia="zh-CN"/>
              </w:rPr>
            </w:pPr>
          </w:p>
        </w:tc>
        <w:tc>
          <w:tcPr>
            <w:tcW w:w="900" w:type="dxa"/>
            <w:shd w:val="clear" w:color="auto" w:fill="auto"/>
            <w:vAlign w:val="center"/>
          </w:tcPr>
          <w:p>
            <w:pPr>
              <w:widowControl/>
              <w:jc w:val="center"/>
              <w:rPr>
                <w:rFonts w:hint="eastAsia" w:ascii="宋体" w:hAnsi="宋体" w:eastAsia="宋体" w:cs="宋体"/>
                <w:color w:val="auto"/>
                <w:kern w:val="0"/>
                <w:sz w:val="28"/>
                <w:szCs w:val="28"/>
                <w:lang w:val="en-US" w:eastAsia="zh-CN" w:bidi="ar-SA"/>
              </w:rPr>
            </w:pPr>
          </w:p>
        </w:tc>
        <w:tc>
          <w:tcPr>
            <w:tcW w:w="1446" w:type="dxa"/>
            <w:shd w:val="clear" w:color="auto" w:fill="auto"/>
            <w:vAlign w:val="center"/>
          </w:tcPr>
          <w:p>
            <w:pPr>
              <w:widowControl/>
              <w:jc w:val="center"/>
              <w:rPr>
                <w:rFonts w:hint="eastAsia" w:ascii="宋体" w:hAnsi="宋体" w:eastAsia="宋体" w:cs="宋体"/>
                <w:color w:val="auto"/>
                <w:kern w:val="0"/>
                <w:sz w:val="28"/>
                <w:szCs w:val="28"/>
                <w:lang w:val="en-US" w:eastAsia="zh-CN"/>
              </w:rPr>
            </w:pPr>
          </w:p>
        </w:tc>
        <w:tc>
          <w:tcPr>
            <w:tcW w:w="1470" w:type="dxa"/>
            <w:shd w:val="clear" w:color="auto" w:fill="auto"/>
            <w:vAlign w:val="center"/>
          </w:tcPr>
          <w:p>
            <w:pPr>
              <w:widowControl/>
              <w:jc w:val="center"/>
              <w:rPr>
                <w:rFonts w:hint="default" w:ascii="宋体" w:hAnsi="宋体" w:eastAsia="宋体" w:cs="宋体"/>
                <w:color w:val="auto"/>
                <w:kern w:val="0"/>
                <w:sz w:val="28"/>
                <w:szCs w:val="28"/>
                <w:lang w:val="en-US" w:eastAsia="zh-CN"/>
              </w:rPr>
            </w:pPr>
          </w:p>
        </w:tc>
        <w:tc>
          <w:tcPr>
            <w:tcW w:w="1464" w:type="dxa"/>
            <w:shd w:val="clear" w:color="auto" w:fill="auto"/>
            <w:vAlign w:val="center"/>
          </w:tcPr>
          <w:p>
            <w:pPr>
              <w:widowControl/>
              <w:jc w:val="center"/>
              <w:rPr>
                <w:rFonts w:hint="eastAsia" w:ascii="宋体" w:hAnsi="宋体" w:cs="宋体"/>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114" w:type="dxa"/>
            <w:gridSpan w:val="5"/>
            <w:shd w:val="clear" w:color="auto" w:fill="auto"/>
            <w:vAlign w:val="center"/>
          </w:tcPr>
          <w:p>
            <w:pPr>
              <w:widowControl/>
              <w:jc w:val="center"/>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合计总价</w:t>
            </w:r>
          </w:p>
        </w:tc>
        <w:tc>
          <w:tcPr>
            <w:tcW w:w="1470" w:type="dxa"/>
            <w:shd w:val="clear" w:color="auto" w:fill="auto"/>
            <w:vAlign w:val="center"/>
          </w:tcPr>
          <w:p>
            <w:pPr>
              <w:widowControl/>
              <w:jc w:val="center"/>
              <w:rPr>
                <w:rFonts w:hint="eastAsia" w:ascii="宋体" w:hAnsi="宋体" w:cs="宋体"/>
                <w:color w:val="auto"/>
                <w:kern w:val="0"/>
                <w:sz w:val="28"/>
                <w:szCs w:val="28"/>
                <w:lang w:val="en-US" w:eastAsia="zh-CN"/>
              </w:rPr>
            </w:pPr>
          </w:p>
        </w:tc>
        <w:tc>
          <w:tcPr>
            <w:tcW w:w="1464" w:type="dxa"/>
            <w:shd w:val="clear" w:color="auto" w:fill="auto"/>
            <w:vAlign w:val="center"/>
          </w:tcPr>
          <w:p>
            <w:pPr>
              <w:widowControl/>
              <w:jc w:val="center"/>
              <w:rPr>
                <w:rFonts w:hint="eastAsia" w:ascii="宋体" w:hAnsi="宋体" w:cs="宋体"/>
                <w:color w:val="auto"/>
                <w:kern w:val="0"/>
                <w:sz w:val="28"/>
                <w:szCs w:val="28"/>
                <w:lang w:val="en-US" w:eastAsia="zh-CN"/>
              </w:rPr>
            </w:pPr>
          </w:p>
        </w:tc>
      </w:tr>
    </w:tbl>
    <w:p>
      <w:pPr>
        <w:spacing w:line="360" w:lineRule="auto"/>
        <w:rPr>
          <w:rFonts w:ascii="宋体" w:hAnsi="宋体" w:cs="宋体"/>
          <w:sz w:val="22"/>
          <w:szCs w:val="22"/>
        </w:rPr>
      </w:pPr>
    </w:p>
    <w:p>
      <w:pPr>
        <w:pStyle w:val="27"/>
        <w:spacing w:line="460" w:lineRule="exact"/>
        <w:ind w:firstLine="640" w:firstLineChars="200"/>
        <w:rPr>
          <w:rFonts w:hint="eastAsia"/>
          <w:lang w:val="en-US" w:eastAsia="zh-CN"/>
        </w:rPr>
      </w:pPr>
      <w:r>
        <w:rPr>
          <w:rFonts w:hint="eastAsia" w:ascii="宋体" w:hAnsi="宋体" w:eastAsia="宋体" w:cs="宋体"/>
          <w:i w:val="0"/>
          <w:iCs w:val="0"/>
          <w:color w:val="000000"/>
          <w:kern w:val="0"/>
          <w:sz w:val="32"/>
          <w:szCs w:val="32"/>
          <w:u w:val="none"/>
          <w:lang w:val="en-US" w:eastAsia="zh-CN" w:bidi="ar"/>
        </w:rPr>
        <w:t>B套餐</w:t>
      </w:r>
    </w:p>
    <w:tbl>
      <w:tblPr>
        <w:tblStyle w:val="21"/>
        <w:tblW w:w="13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10"/>
        <w:gridCol w:w="5523"/>
        <w:gridCol w:w="900"/>
        <w:gridCol w:w="1446"/>
        <w:gridCol w:w="1470"/>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35" w:type="dxa"/>
            <w:shd w:val="clear" w:color="000000" w:fill="C0C0C0"/>
            <w:vAlign w:val="center"/>
          </w:tcPr>
          <w:p>
            <w:pPr>
              <w:pStyle w:val="36"/>
              <w:jc w:val="center"/>
              <w:rPr>
                <w:color w:val="auto"/>
                <w:sz w:val="28"/>
                <w:szCs w:val="28"/>
              </w:rPr>
            </w:pPr>
            <w:r>
              <w:rPr>
                <w:rFonts w:hint="eastAsia"/>
                <w:color w:val="auto"/>
                <w:sz w:val="28"/>
                <w:szCs w:val="28"/>
              </w:rPr>
              <w:t>序号</w:t>
            </w:r>
          </w:p>
        </w:tc>
        <w:tc>
          <w:tcPr>
            <w:tcW w:w="1410" w:type="dxa"/>
            <w:shd w:val="clear" w:color="000000" w:fill="C0C0C0"/>
            <w:vAlign w:val="center"/>
          </w:tcPr>
          <w:p>
            <w:pPr>
              <w:widowControl/>
              <w:jc w:val="center"/>
              <w:rPr>
                <w:rFonts w:ascii="宋体" w:hAnsi="宋体" w:cs="宋体"/>
                <w:b/>
                <w:bCs/>
                <w:color w:val="auto"/>
                <w:kern w:val="0"/>
                <w:sz w:val="28"/>
                <w:szCs w:val="28"/>
              </w:rPr>
            </w:pPr>
            <w:r>
              <w:rPr>
                <w:rFonts w:hint="eastAsia" w:ascii="宋体" w:hAnsi="宋体" w:cs="宋体"/>
                <w:b/>
                <w:bCs/>
                <w:color w:val="auto"/>
                <w:kern w:val="0"/>
                <w:sz w:val="28"/>
                <w:szCs w:val="28"/>
              </w:rPr>
              <w:t>产品名称</w:t>
            </w:r>
          </w:p>
        </w:tc>
        <w:tc>
          <w:tcPr>
            <w:tcW w:w="5523" w:type="dxa"/>
            <w:shd w:val="clear" w:color="000000" w:fill="C0C0C0"/>
            <w:vAlign w:val="center"/>
          </w:tcPr>
          <w:p>
            <w:pPr>
              <w:widowControl/>
              <w:jc w:val="center"/>
              <w:rPr>
                <w:rFonts w:hint="default" w:ascii="宋体" w:hAnsi="宋体" w:eastAsia="宋体" w:cs="宋体"/>
                <w:b/>
                <w:bCs/>
                <w:color w:val="auto"/>
                <w:kern w:val="0"/>
                <w:sz w:val="28"/>
                <w:szCs w:val="28"/>
                <w:lang w:val="en-US" w:eastAsia="zh-CN"/>
              </w:rPr>
            </w:pPr>
            <w:r>
              <w:rPr>
                <w:rFonts w:hint="eastAsia" w:ascii="宋体" w:hAnsi="宋体" w:cs="宋体"/>
                <w:b/>
                <w:bCs/>
                <w:color w:val="auto"/>
                <w:kern w:val="0"/>
                <w:sz w:val="28"/>
                <w:szCs w:val="28"/>
                <w:lang w:val="en-US" w:eastAsia="zh-CN"/>
              </w:rPr>
              <w:t>规格/品牌</w:t>
            </w:r>
          </w:p>
        </w:tc>
        <w:tc>
          <w:tcPr>
            <w:tcW w:w="900" w:type="dxa"/>
            <w:shd w:val="clear" w:color="000000" w:fill="C0C0C0"/>
            <w:vAlign w:val="center"/>
          </w:tcPr>
          <w:p>
            <w:pPr>
              <w:widowControl/>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单位</w:t>
            </w:r>
          </w:p>
        </w:tc>
        <w:tc>
          <w:tcPr>
            <w:tcW w:w="1446" w:type="dxa"/>
            <w:shd w:val="clear" w:color="000000" w:fill="C0C0C0"/>
            <w:vAlign w:val="center"/>
          </w:tcPr>
          <w:p>
            <w:pPr>
              <w:widowControl/>
              <w:jc w:val="center"/>
              <w:rPr>
                <w:rFonts w:hint="eastAsia" w:ascii="宋体" w:hAnsi="宋体" w:eastAsia="宋体" w:cs="宋体"/>
                <w:b/>
                <w:bCs/>
                <w:color w:val="auto"/>
                <w:kern w:val="0"/>
                <w:sz w:val="28"/>
                <w:szCs w:val="28"/>
                <w:lang w:val="en-US" w:eastAsia="zh-CN"/>
              </w:rPr>
            </w:pPr>
            <w:r>
              <w:rPr>
                <w:rFonts w:hint="eastAsia" w:ascii="宋体" w:hAnsi="宋体" w:cs="宋体"/>
                <w:b/>
                <w:bCs/>
                <w:color w:val="auto"/>
                <w:kern w:val="0"/>
                <w:sz w:val="28"/>
                <w:szCs w:val="28"/>
              </w:rPr>
              <w:t>数量</w:t>
            </w:r>
            <w:r>
              <w:rPr>
                <w:rFonts w:hint="eastAsia" w:ascii="宋体" w:hAnsi="宋体" w:cs="宋体"/>
                <w:b/>
                <w:bCs/>
                <w:color w:val="auto"/>
                <w:kern w:val="0"/>
                <w:sz w:val="28"/>
                <w:szCs w:val="28"/>
                <w:lang w:eastAsia="zh-CN"/>
              </w:rPr>
              <w:t>（</w:t>
            </w:r>
            <w:r>
              <w:rPr>
                <w:rFonts w:hint="eastAsia" w:ascii="宋体" w:hAnsi="宋体" w:cs="宋体"/>
                <w:b/>
                <w:bCs/>
                <w:color w:val="auto"/>
                <w:kern w:val="0"/>
                <w:sz w:val="28"/>
                <w:szCs w:val="28"/>
                <w:lang w:val="en-US" w:eastAsia="zh-CN"/>
              </w:rPr>
              <w:t>份</w:t>
            </w:r>
            <w:r>
              <w:rPr>
                <w:rFonts w:hint="eastAsia" w:ascii="宋体" w:hAnsi="宋体" w:cs="宋体"/>
                <w:b/>
                <w:bCs/>
                <w:color w:val="auto"/>
                <w:kern w:val="0"/>
                <w:sz w:val="28"/>
                <w:szCs w:val="28"/>
                <w:lang w:eastAsia="zh-CN"/>
              </w:rPr>
              <w:t>）</w:t>
            </w:r>
          </w:p>
        </w:tc>
        <w:tc>
          <w:tcPr>
            <w:tcW w:w="1470" w:type="dxa"/>
            <w:shd w:val="clear" w:color="000000" w:fill="C0C0C0"/>
            <w:vAlign w:val="center"/>
          </w:tcPr>
          <w:p>
            <w:pPr>
              <w:widowControl/>
              <w:jc w:val="center"/>
              <w:rPr>
                <w:rFonts w:hint="eastAsia" w:ascii="宋体" w:hAnsi="宋体" w:eastAsia="宋体" w:cs="宋体"/>
                <w:b/>
                <w:bCs/>
                <w:color w:val="auto"/>
                <w:kern w:val="0"/>
                <w:sz w:val="28"/>
                <w:szCs w:val="28"/>
                <w:lang w:eastAsia="zh-CN"/>
              </w:rPr>
            </w:pPr>
            <w:r>
              <w:rPr>
                <w:rFonts w:hint="eastAsia" w:ascii="宋体" w:hAnsi="宋体" w:cs="宋体"/>
                <w:b/>
                <w:bCs/>
                <w:color w:val="auto"/>
                <w:kern w:val="0"/>
                <w:sz w:val="28"/>
                <w:szCs w:val="28"/>
              </w:rPr>
              <w:t>单</w:t>
            </w:r>
            <w:r>
              <w:rPr>
                <w:rFonts w:hint="eastAsia" w:ascii="宋体" w:hAnsi="宋体" w:cs="宋体"/>
                <w:b/>
                <w:bCs/>
                <w:color w:val="auto"/>
                <w:kern w:val="0"/>
                <w:sz w:val="28"/>
                <w:szCs w:val="28"/>
                <w:lang w:val="en-US" w:eastAsia="zh-CN"/>
              </w:rPr>
              <w:t>价（元）</w:t>
            </w:r>
          </w:p>
        </w:tc>
        <w:tc>
          <w:tcPr>
            <w:tcW w:w="1464" w:type="dxa"/>
            <w:shd w:val="clear" w:color="000000" w:fill="C0C0C0"/>
            <w:vAlign w:val="center"/>
          </w:tcPr>
          <w:p>
            <w:pPr>
              <w:widowControl/>
              <w:jc w:val="center"/>
              <w:rPr>
                <w:rFonts w:hint="default" w:ascii="宋体" w:hAnsi="宋体" w:eastAsia="宋体" w:cs="宋体"/>
                <w:b/>
                <w:bCs/>
                <w:color w:val="auto"/>
                <w:kern w:val="0"/>
                <w:sz w:val="28"/>
                <w:szCs w:val="28"/>
                <w:lang w:val="en-US" w:eastAsia="zh-CN"/>
              </w:rPr>
            </w:pPr>
            <w:r>
              <w:rPr>
                <w:rFonts w:hint="eastAsia" w:ascii="宋体" w:hAnsi="宋体" w:cs="宋体"/>
                <w:b/>
                <w:bCs/>
                <w:color w:val="auto"/>
                <w:kern w:val="0"/>
                <w:sz w:val="28"/>
                <w:szCs w:val="28"/>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35" w:type="dxa"/>
            <w:shd w:val="clear" w:color="auto" w:fill="auto"/>
            <w:vAlign w:val="center"/>
          </w:tcPr>
          <w:p>
            <w:pPr>
              <w:widowControl/>
              <w:jc w:val="center"/>
              <w:rPr>
                <w:rFonts w:ascii="宋体" w:hAnsi="宋体" w:cs="宋体"/>
                <w:color w:val="auto"/>
                <w:kern w:val="0"/>
                <w:sz w:val="28"/>
                <w:szCs w:val="28"/>
              </w:rPr>
            </w:pPr>
            <w:r>
              <w:rPr>
                <w:rFonts w:hint="eastAsia" w:ascii="宋体" w:hAnsi="宋体" w:cs="宋体"/>
                <w:color w:val="auto"/>
                <w:kern w:val="0"/>
                <w:sz w:val="28"/>
                <w:szCs w:val="28"/>
              </w:rPr>
              <w:t>1</w:t>
            </w:r>
          </w:p>
        </w:tc>
        <w:tc>
          <w:tcPr>
            <w:tcW w:w="1410" w:type="dxa"/>
            <w:shd w:val="clear" w:color="auto" w:fill="auto"/>
            <w:vAlign w:val="center"/>
          </w:tcPr>
          <w:p>
            <w:pPr>
              <w:widowControl/>
              <w:jc w:val="center"/>
              <w:rPr>
                <w:rFonts w:hint="eastAsia"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山珍菌菇组合</w:t>
            </w:r>
          </w:p>
        </w:tc>
        <w:tc>
          <w:tcPr>
            <w:tcW w:w="5523" w:type="dxa"/>
            <w:shd w:val="clear" w:color="auto" w:fill="auto"/>
            <w:vAlign w:val="center"/>
          </w:tcPr>
          <w:p>
            <w:pPr>
              <w:widowControl/>
              <w:jc w:val="center"/>
              <w:rPr>
                <w:rFonts w:ascii="宋体" w:hAnsi="宋体" w:cs="宋体"/>
                <w:color w:val="auto"/>
                <w:kern w:val="0"/>
                <w:sz w:val="28"/>
                <w:szCs w:val="28"/>
              </w:rPr>
            </w:pPr>
          </w:p>
        </w:tc>
        <w:tc>
          <w:tcPr>
            <w:tcW w:w="900" w:type="dxa"/>
            <w:shd w:val="clear" w:color="auto" w:fill="auto"/>
            <w:vAlign w:val="center"/>
          </w:tcPr>
          <w:p>
            <w:pPr>
              <w:widowControl/>
              <w:jc w:val="center"/>
              <w:rPr>
                <w:rFonts w:ascii="宋体" w:hAnsi="宋体" w:eastAsia="宋体" w:cs="宋体"/>
                <w:color w:val="auto"/>
                <w:kern w:val="0"/>
                <w:sz w:val="28"/>
                <w:szCs w:val="28"/>
                <w:lang w:val="en-US" w:eastAsia="zh-CN" w:bidi="ar-SA"/>
              </w:rPr>
            </w:pPr>
          </w:p>
        </w:tc>
        <w:tc>
          <w:tcPr>
            <w:tcW w:w="1446" w:type="dxa"/>
            <w:shd w:val="clear" w:color="auto" w:fill="auto"/>
            <w:vAlign w:val="center"/>
          </w:tcPr>
          <w:p>
            <w:pPr>
              <w:widowControl/>
              <w:jc w:val="center"/>
              <w:rPr>
                <w:rFonts w:ascii="宋体" w:hAnsi="宋体" w:cs="宋体"/>
                <w:color w:val="auto"/>
                <w:kern w:val="0"/>
                <w:sz w:val="28"/>
                <w:szCs w:val="28"/>
              </w:rPr>
            </w:pPr>
          </w:p>
        </w:tc>
        <w:tc>
          <w:tcPr>
            <w:tcW w:w="1470" w:type="dxa"/>
            <w:shd w:val="clear" w:color="auto" w:fill="auto"/>
            <w:vAlign w:val="center"/>
          </w:tcPr>
          <w:p>
            <w:pPr>
              <w:widowControl/>
              <w:jc w:val="center"/>
              <w:rPr>
                <w:rFonts w:hint="default" w:ascii="宋体" w:hAnsi="宋体" w:eastAsia="宋体" w:cs="宋体"/>
                <w:color w:val="auto"/>
                <w:kern w:val="0"/>
                <w:sz w:val="28"/>
                <w:szCs w:val="28"/>
                <w:lang w:val="en-US" w:eastAsia="zh-CN"/>
              </w:rPr>
            </w:pPr>
          </w:p>
        </w:tc>
        <w:tc>
          <w:tcPr>
            <w:tcW w:w="1464" w:type="dxa"/>
            <w:shd w:val="clear" w:color="auto" w:fill="auto"/>
            <w:vAlign w:val="center"/>
          </w:tcPr>
          <w:p>
            <w:pPr>
              <w:widowControl/>
              <w:jc w:val="center"/>
              <w:rPr>
                <w:rFonts w:hint="eastAsia" w:ascii="宋体" w:hAnsi="宋体" w:cs="宋体"/>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35" w:type="dxa"/>
            <w:shd w:val="clear" w:color="auto" w:fill="auto"/>
            <w:vAlign w:val="center"/>
          </w:tcPr>
          <w:p>
            <w:pPr>
              <w:widowControl/>
              <w:jc w:val="center"/>
              <w:rPr>
                <w:rFonts w:ascii="宋体" w:hAnsi="宋体" w:cs="宋体"/>
                <w:color w:val="auto"/>
                <w:kern w:val="0"/>
                <w:sz w:val="28"/>
                <w:szCs w:val="28"/>
              </w:rPr>
            </w:pPr>
            <w:r>
              <w:rPr>
                <w:rFonts w:hint="eastAsia" w:ascii="宋体" w:hAnsi="宋体" w:cs="宋体"/>
                <w:color w:val="auto"/>
                <w:kern w:val="0"/>
                <w:sz w:val="28"/>
                <w:szCs w:val="28"/>
              </w:rPr>
              <w:t>2</w:t>
            </w:r>
          </w:p>
        </w:tc>
        <w:tc>
          <w:tcPr>
            <w:tcW w:w="1410" w:type="dxa"/>
            <w:shd w:val="clear" w:color="auto" w:fill="auto"/>
            <w:vAlign w:val="center"/>
          </w:tcPr>
          <w:p>
            <w:pPr>
              <w:widowControl/>
              <w:jc w:val="center"/>
              <w:rPr>
                <w:rFonts w:ascii="宋体" w:hAnsi="宋体" w:cs="宋体"/>
                <w:color w:val="auto"/>
                <w:kern w:val="0"/>
                <w:sz w:val="28"/>
                <w:szCs w:val="28"/>
              </w:rPr>
            </w:pPr>
            <w:r>
              <w:rPr>
                <w:rFonts w:hint="eastAsia" w:ascii="宋体" w:hAnsi="宋体" w:eastAsia="宋体" w:cs="宋体"/>
                <w:i w:val="0"/>
                <w:iCs w:val="0"/>
                <w:color w:val="000000"/>
                <w:kern w:val="0"/>
                <w:sz w:val="28"/>
                <w:szCs w:val="28"/>
                <w:u w:val="none"/>
                <w:lang w:val="en-US" w:eastAsia="zh-CN" w:bidi="ar"/>
              </w:rPr>
              <w:t>洗衣液</w:t>
            </w:r>
          </w:p>
        </w:tc>
        <w:tc>
          <w:tcPr>
            <w:tcW w:w="5523" w:type="dxa"/>
            <w:shd w:val="clear" w:color="auto" w:fill="auto"/>
            <w:vAlign w:val="center"/>
          </w:tcPr>
          <w:p>
            <w:pPr>
              <w:widowControl/>
              <w:jc w:val="center"/>
              <w:rPr>
                <w:rFonts w:hint="eastAsia" w:ascii="宋体" w:hAnsi="宋体" w:eastAsia="宋体" w:cs="宋体"/>
                <w:color w:val="auto"/>
                <w:kern w:val="0"/>
                <w:sz w:val="28"/>
                <w:szCs w:val="28"/>
                <w:lang w:val="en-US" w:eastAsia="zh-CN"/>
              </w:rPr>
            </w:pPr>
          </w:p>
        </w:tc>
        <w:tc>
          <w:tcPr>
            <w:tcW w:w="900" w:type="dxa"/>
            <w:shd w:val="clear" w:color="auto" w:fill="auto"/>
            <w:vAlign w:val="center"/>
          </w:tcPr>
          <w:p>
            <w:pPr>
              <w:widowControl/>
              <w:jc w:val="center"/>
              <w:rPr>
                <w:rFonts w:ascii="宋体" w:hAnsi="宋体" w:eastAsia="宋体" w:cs="宋体"/>
                <w:color w:val="auto"/>
                <w:kern w:val="0"/>
                <w:sz w:val="28"/>
                <w:szCs w:val="28"/>
                <w:lang w:val="en-US" w:eastAsia="zh-CN" w:bidi="ar-SA"/>
              </w:rPr>
            </w:pPr>
          </w:p>
        </w:tc>
        <w:tc>
          <w:tcPr>
            <w:tcW w:w="1446" w:type="dxa"/>
            <w:shd w:val="clear" w:color="auto" w:fill="auto"/>
            <w:vAlign w:val="center"/>
          </w:tcPr>
          <w:p>
            <w:pPr>
              <w:widowControl/>
              <w:jc w:val="center"/>
              <w:rPr>
                <w:rFonts w:ascii="宋体" w:hAnsi="宋体" w:cs="宋体"/>
                <w:color w:val="auto"/>
                <w:kern w:val="0"/>
                <w:sz w:val="28"/>
                <w:szCs w:val="28"/>
              </w:rPr>
            </w:pPr>
          </w:p>
        </w:tc>
        <w:tc>
          <w:tcPr>
            <w:tcW w:w="1470" w:type="dxa"/>
            <w:shd w:val="clear" w:color="auto" w:fill="auto"/>
            <w:vAlign w:val="center"/>
          </w:tcPr>
          <w:p>
            <w:pPr>
              <w:widowControl/>
              <w:jc w:val="center"/>
              <w:rPr>
                <w:rFonts w:hint="default" w:ascii="宋体" w:hAnsi="宋体" w:eastAsia="宋体" w:cs="宋体"/>
                <w:color w:val="auto"/>
                <w:kern w:val="0"/>
                <w:sz w:val="28"/>
                <w:szCs w:val="28"/>
                <w:lang w:val="en-US" w:eastAsia="zh-CN"/>
              </w:rPr>
            </w:pPr>
          </w:p>
        </w:tc>
        <w:tc>
          <w:tcPr>
            <w:tcW w:w="1464" w:type="dxa"/>
            <w:shd w:val="clear" w:color="auto" w:fill="auto"/>
            <w:vAlign w:val="center"/>
          </w:tcPr>
          <w:p>
            <w:pPr>
              <w:widowControl/>
              <w:jc w:val="center"/>
              <w:rPr>
                <w:rFonts w:hint="eastAsia" w:ascii="宋体" w:hAnsi="宋体" w:cs="宋体"/>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35" w:type="dxa"/>
            <w:shd w:val="clear" w:color="auto" w:fill="auto"/>
            <w:vAlign w:val="center"/>
          </w:tcPr>
          <w:p>
            <w:pPr>
              <w:widowControl/>
              <w:jc w:val="center"/>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lang w:val="en-US" w:eastAsia="zh-CN"/>
              </w:rPr>
              <w:t>3</w:t>
            </w:r>
          </w:p>
        </w:tc>
        <w:tc>
          <w:tcPr>
            <w:tcW w:w="1410" w:type="dxa"/>
            <w:shd w:val="clear" w:color="auto" w:fill="auto"/>
            <w:vAlign w:val="center"/>
          </w:tcPr>
          <w:p>
            <w:pPr>
              <w:widowControl/>
              <w:jc w:val="center"/>
              <w:rPr>
                <w:rFonts w:ascii="宋体" w:hAnsi="宋体" w:cs="宋体"/>
                <w:color w:val="auto"/>
                <w:kern w:val="0"/>
                <w:sz w:val="28"/>
                <w:szCs w:val="28"/>
              </w:rPr>
            </w:pPr>
            <w:r>
              <w:rPr>
                <w:rFonts w:hint="eastAsia" w:ascii="宋体" w:hAnsi="宋体" w:eastAsia="宋体" w:cs="宋体"/>
                <w:i w:val="0"/>
                <w:iCs w:val="0"/>
                <w:color w:val="000000"/>
                <w:kern w:val="0"/>
                <w:sz w:val="28"/>
                <w:szCs w:val="28"/>
                <w:u w:val="none"/>
                <w:lang w:val="en-US" w:eastAsia="zh-CN" w:bidi="ar"/>
              </w:rPr>
              <w:t>柚子</w:t>
            </w:r>
          </w:p>
        </w:tc>
        <w:tc>
          <w:tcPr>
            <w:tcW w:w="5523" w:type="dxa"/>
            <w:shd w:val="clear" w:color="auto" w:fill="auto"/>
            <w:vAlign w:val="center"/>
          </w:tcPr>
          <w:p>
            <w:pPr>
              <w:widowControl/>
              <w:jc w:val="center"/>
              <w:rPr>
                <w:rFonts w:hint="eastAsia" w:ascii="宋体" w:hAnsi="宋体" w:eastAsia="宋体" w:cs="宋体"/>
                <w:color w:val="auto"/>
                <w:kern w:val="0"/>
                <w:sz w:val="28"/>
                <w:szCs w:val="28"/>
                <w:lang w:val="en-US" w:eastAsia="zh-CN"/>
              </w:rPr>
            </w:pPr>
          </w:p>
        </w:tc>
        <w:tc>
          <w:tcPr>
            <w:tcW w:w="900" w:type="dxa"/>
            <w:shd w:val="clear" w:color="auto" w:fill="auto"/>
            <w:vAlign w:val="center"/>
          </w:tcPr>
          <w:p>
            <w:pPr>
              <w:widowControl/>
              <w:jc w:val="center"/>
              <w:rPr>
                <w:rFonts w:ascii="宋体" w:hAnsi="宋体" w:eastAsia="宋体" w:cs="宋体"/>
                <w:color w:val="auto"/>
                <w:kern w:val="0"/>
                <w:sz w:val="28"/>
                <w:szCs w:val="28"/>
                <w:lang w:val="en-US" w:eastAsia="zh-CN" w:bidi="ar-SA"/>
              </w:rPr>
            </w:pPr>
          </w:p>
        </w:tc>
        <w:tc>
          <w:tcPr>
            <w:tcW w:w="1446" w:type="dxa"/>
            <w:shd w:val="clear" w:color="auto" w:fill="auto"/>
            <w:vAlign w:val="center"/>
          </w:tcPr>
          <w:p>
            <w:pPr>
              <w:widowControl/>
              <w:jc w:val="center"/>
              <w:rPr>
                <w:rFonts w:ascii="宋体" w:hAnsi="宋体" w:cs="宋体"/>
                <w:color w:val="auto"/>
                <w:kern w:val="0"/>
                <w:sz w:val="28"/>
                <w:szCs w:val="28"/>
              </w:rPr>
            </w:pPr>
          </w:p>
        </w:tc>
        <w:tc>
          <w:tcPr>
            <w:tcW w:w="1470" w:type="dxa"/>
            <w:shd w:val="clear" w:color="auto" w:fill="auto"/>
            <w:vAlign w:val="center"/>
          </w:tcPr>
          <w:p>
            <w:pPr>
              <w:widowControl/>
              <w:jc w:val="center"/>
              <w:rPr>
                <w:rFonts w:hint="default" w:ascii="宋体" w:hAnsi="宋体" w:eastAsia="宋体" w:cs="宋体"/>
                <w:color w:val="auto"/>
                <w:kern w:val="0"/>
                <w:sz w:val="28"/>
                <w:szCs w:val="28"/>
                <w:lang w:val="en-US" w:eastAsia="zh-CN"/>
              </w:rPr>
            </w:pPr>
          </w:p>
        </w:tc>
        <w:tc>
          <w:tcPr>
            <w:tcW w:w="1464" w:type="dxa"/>
            <w:shd w:val="clear" w:color="auto" w:fill="auto"/>
            <w:vAlign w:val="center"/>
          </w:tcPr>
          <w:p>
            <w:pPr>
              <w:widowControl/>
              <w:jc w:val="center"/>
              <w:rPr>
                <w:rFonts w:hint="eastAsia" w:ascii="宋体" w:hAnsi="宋体" w:cs="宋体"/>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35" w:type="dxa"/>
            <w:shd w:val="clear" w:color="auto" w:fill="auto"/>
            <w:vAlign w:val="center"/>
          </w:tcPr>
          <w:p>
            <w:pPr>
              <w:widowControl/>
              <w:jc w:val="center"/>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lang w:val="en-US" w:eastAsia="zh-CN"/>
              </w:rPr>
              <w:t>4</w:t>
            </w:r>
          </w:p>
        </w:tc>
        <w:tc>
          <w:tcPr>
            <w:tcW w:w="1410" w:type="dxa"/>
            <w:shd w:val="clear" w:color="auto" w:fill="auto"/>
            <w:vAlign w:val="center"/>
          </w:tcPr>
          <w:p>
            <w:pPr>
              <w:widowControl/>
              <w:jc w:val="center"/>
              <w:rPr>
                <w:rFonts w:hint="eastAsia" w:ascii="宋体" w:hAnsi="宋体" w:eastAsia="宋体" w:cs="宋体"/>
                <w:color w:val="auto"/>
                <w:kern w:val="0"/>
                <w:sz w:val="28"/>
                <w:szCs w:val="28"/>
                <w:lang w:val="en-US" w:eastAsia="zh-CN"/>
              </w:rPr>
            </w:pPr>
            <w:r>
              <w:rPr>
                <w:rFonts w:hint="eastAsia" w:ascii="宋体" w:hAnsi="宋体" w:eastAsia="宋体" w:cs="宋体"/>
                <w:i w:val="0"/>
                <w:iCs w:val="0"/>
                <w:color w:val="000000"/>
                <w:kern w:val="0"/>
                <w:sz w:val="28"/>
                <w:szCs w:val="28"/>
                <w:u w:val="none"/>
                <w:lang w:val="en-US" w:eastAsia="zh-CN" w:bidi="ar"/>
              </w:rPr>
              <w:t>苹果</w:t>
            </w:r>
          </w:p>
        </w:tc>
        <w:tc>
          <w:tcPr>
            <w:tcW w:w="5523" w:type="dxa"/>
            <w:shd w:val="clear" w:color="auto" w:fill="auto"/>
            <w:vAlign w:val="center"/>
          </w:tcPr>
          <w:p>
            <w:pPr>
              <w:widowControl/>
              <w:jc w:val="center"/>
              <w:rPr>
                <w:rFonts w:hint="eastAsia" w:ascii="宋体" w:hAnsi="宋体" w:eastAsia="宋体" w:cs="宋体"/>
                <w:color w:val="auto"/>
                <w:kern w:val="0"/>
                <w:sz w:val="28"/>
                <w:szCs w:val="28"/>
                <w:lang w:val="en-US" w:eastAsia="zh-CN"/>
              </w:rPr>
            </w:pPr>
          </w:p>
        </w:tc>
        <w:tc>
          <w:tcPr>
            <w:tcW w:w="900" w:type="dxa"/>
            <w:shd w:val="clear" w:color="auto" w:fill="auto"/>
            <w:vAlign w:val="center"/>
          </w:tcPr>
          <w:p>
            <w:pPr>
              <w:widowControl/>
              <w:jc w:val="center"/>
              <w:rPr>
                <w:rFonts w:ascii="宋体" w:hAnsi="宋体" w:eastAsia="宋体" w:cs="宋体"/>
                <w:color w:val="auto"/>
                <w:kern w:val="0"/>
                <w:sz w:val="28"/>
                <w:szCs w:val="28"/>
                <w:lang w:val="en-US" w:eastAsia="zh-CN" w:bidi="ar-SA"/>
              </w:rPr>
            </w:pPr>
          </w:p>
        </w:tc>
        <w:tc>
          <w:tcPr>
            <w:tcW w:w="1446" w:type="dxa"/>
            <w:shd w:val="clear" w:color="auto" w:fill="auto"/>
            <w:vAlign w:val="center"/>
          </w:tcPr>
          <w:p>
            <w:pPr>
              <w:widowControl/>
              <w:jc w:val="center"/>
              <w:rPr>
                <w:rFonts w:ascii="宋体" w:hAnsi="宋体" w:eastAsia="宋体" w:cs="宋体"/>
                <w:color w:val="auto"/>
                <w:kern w:val="0"/>
                <w:sz w:val="28"/>
                <w:szCs w:val="28"/>
                <w:lang w:val="en-US" w:eastAsia="zh-CN" w:bidi="ar-SA"/>
              </w:rPr>
            </w:pPr>
          </w:p>
        </w:tc>
        <w:tc>
          <w:tcPr>
            <w:tcW w:w="1470" w:type="dxa"/>
            <w:shd w:val="clear" w:color="auto" w:fill="auto"/>
            <w:vAlign w:val="center"/>
          </w:tcPr>
          <w:p>
            <w:pPr>
              <w:widowControl/>
              <w:jc w:val="center"/>
              <w:rPr>
                <w:rFonts w:hint="default" w:ascii="宋体" w:hAnsi="宋体" w:eastAsia="宋体" w:cs="宋体"/>
                <w:color w:val="auto"/>
                <w:kern w:val="0"/>
                <w:sz w:val="28"/>
                <w:szCs w:val="28"/>
                <w:lang w:val="en-US" w:eastAsia="zh-CN" w:bidi="ar-SA"/>
              </w:rPr>
            </w:pPr>
          </w:p>
        </w:tc>
        <w:tc>
          <w:tcPr>
            <w:tcW w:w="1464" w:type="dxa"/>
            <w:shd w:val="clear" w:color="auto" w:fill="auto"/>
            <w:vAlign w:val="center"/>
          </w:tcPr>
          <w:p>
            <w:pPr>
              <w:widowControl/>
              <w:jc w:val="center"/>
              <w:rPr>
                <w:rFonts w:hint="eastAsia" w:ascii="宋体" w:hAnsi="宋体" w:cs="宋体"/>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35" w:type="dxa"/>
            <w:shd w:val="clear" w:color="auto" w:fill="auto"/>
            <w:vAlign w:val="center"/>
          </w:tcPr>
          <w:p>
            <w:pPr>
              <w:widowControl/>
              <w:jc w:val="center"/>
              <w:rPr>
                <w:rFonts w:hint="eastAsia"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5</w:t>
            </w:r>
          </w:p>
        </w:tc>
        <w:tc>
          <w:tcPr>
            <w:tcW w:w="1410" w:type="dxa"/>
            <w:shd w:val="clear" w:color="auto" w:fill="auto"/>
            <w:vAlign w:val="center"/>
          </w:tcPr>
          <w:p>
            <w:pPr>
              <w:widowControl/>
              <w:jc w:val="center"/>
              <w:rPr>
                <w:rFonts w:ascii="宋体" w:hAnsi="宋体" w:cs="宋体"/>
                <w:color w:val="auto"/>
                <w:kern w:val="0"/>
                <w:sz w:val="28"/>
                <w:szCs w:val="28"/>
              </w:rPr>
            </w:pPr>
            <w:r>
              <w:rPr>
                <w:rFonts w:hint="eastAsia" w:ascii="宋体" w:hAnsi="宋体" w:eastAsia="宋体" w:cs="宋体"/>
                <w:i w:val="0"/>
                <w:iCs w:val="0"/>
                <w:color w:val="000000"/>
                <w:kern w:val="0"/>
                <w:sz w:val="28"/>
                <w:szCs w:val="28"/>
                <w:u w:val="none"/>
                <w:lang w:val="en-US" w:eastAsia="zh-CN" w:bidi="ar"/>
              </w:rPr>
              <w:t>软籽甜石榴</w:t>
            </w:r>
          </w:p>
        </w:tc>
        <w:tc>
          <w:tcPr>
            <w:tcW w:w="5523" w:type="dxa"/>
            <w:shd w:val="clear" w:color="auto" w:fill="auto"/>
            <w:vAlign w:val="center"/>
          </w:tcPr>
          <w:p>
            <w:pPr>
              <w:widowControl/>
              <w:jc w:val="center"/>
              <w:rPr>
                <w:rFonts w:hint="eastAsia" w:ascii="宋体" w:hAnsi="宋体" w:eastAsia="宋体" w:cs="宋体"/>
                <w:color w:val="auto"/>
                <w:kern w:val="0"/>
                <w:sz w:val="28"/>
                <w:szCs w:val="28"/>
                <w:lang w:val="en-US" w:eastAsia="zh-CN"/>
              </w:rPr>
            </w:pPr>
          </w:p>
        </w:tc>
        <w:tc>
          <w:tcPr>
            <w:tcW w:w="900" w:type="dxa"/>
            <w:shd w:val="clear" w:color="auto" w:fill="auto"/>
            <w:vAlign w:val="center"/>
          </w:tcPr>
          <w:p>
            <w:pPr>
              <w:widowControl/>
              <w:jc w:val="center"/>
              <w:rPr>
                <w:rFonts w:hint="eastAsia" w:ascii="宋体" w:hAnsi="宋体" w:eastAsia="宋体" w:cs="宋体"/>
                <w:color w:val="auto"/>
                <w:kern w:val="0"/>
                <w:sz w:val="28"/>
                <w:szCs w:val="28"/>
                <w:lang w:val="en-US" w:eastAsia="zh-CN" w:bidi="ar-SA"/>
              </w:rPr>
            </w:pPr>
          </w:p>
        </w:tc>
        <w:tc>
          <w:tcPr>
            <w:tcW w:w="1446" w:type="dxa"/>
            <w:shd w:val="clear" w:color="auto" w:fill="auto"/>
            <w:vAlign w:val="center"/>
          </w:tcPr>
          <w:p>
            <w:pPr>
              <w:widowControl/>
              <w:jc w:val="center"/>
              <w:rPr>
                <w:rFonts w:hint="eastAsia" w:ascii="宋体" w:hAnsi="宋体" w:eastAsia="宋体" w:cs="宋体"/>
                <w:color w:val="auto"/>
                <w:kern w:val="0"/>
                <w:sz w:val="28"/>
                <w:szCs w:val="28"/>
                <w:lang w:val="en-US" w:eastAsia="zh-CN"/>
              </w:rPr>
            </w:pPr>
          </w:p>
        </w:tc>
        <w:tc>
          <w:tcPr>
            <w:tcW w:w="1470" w:type="dxa"/>
            <w:shd w:val="clear" w:color="auto" w:fill="auto"/>
            <w:vAlign w:val="center"/>
          </w:tcPr>
          <w:p>
            <w:pPr>
              <w:widowControl/>
              <w:jc w:val="center"/>
              <w:rPr>
                <w:rFonts w:hint="default" w:ascii="宋体" w:hAnsi="宋体" w:eastAsia="宋体" w:cs="宋体"/>
                <w:color w:val="auto"/>
                <w:kern w:val="0"/>
                <w:sz w:val="28"/>
                <w:szCs w:val="28"/>
                <w:lang w:val="en-US" w:eastAsia="zh-CN"/>
              </w:rPr>
            </w:pPr>
          </w:p>
        </w:tc>
        <w:tc>
          <w:tcPr>
            <w:tcW w:w="1464" w:type="dxa"/>
            <w:shd w:val="clear" w:color="auto" w:fill="auto"/>
            <w:vAlign w:val="center"/>
          </w:tcPr>
          <w:p>
            <w:pPr>
              <w:widowControl/>
              <w:jc w:val="center"/>
              <w:rPr>
                <w:rFonts w:hint="eastAsia" w:ascii="宋体" w:hAnsi="宋体" w:cs="宋体"/>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114" w:type="dxa"/>
            <w:gridSpan w:val="5"/>
            <w:shd w:val="clear" w:color="auto" w:fill="auto"/>
            <w:vAlign w:val="center"/>
          </w:tcPr>
          <w:p>
            <w:pPr>
              <w:widowControl/>
              <w:jc w:val="center"/>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合计总价</w:t>
            </w:r>
          </w:p>
        </w:tc>
        <w:tc>
          <w:tcPr>
            <w:tcW w:w="1470" w:type="dxa"/>
            <w:shd w:val="clear" w:color="auto" w:fill="auto"/>
            <w:vAlign w:val="center"/>
          </w:tcPr>
          <w:p>
            <w:pPr>
              <w:widowControl/>
              <w:jc w:val="center"/>
              <w:rPr>
                <w:rFonts w:hint="eastAsia" w:ascii="宋体" w:hAnsi="宋体" w:cs="宋体"/>
                <w:color w:val="auto"/>
                <w:kern w:val="0"/>
                <w:sz w:val="28"/>
                <w:szCs w:val="28"/>
                <w:lang w:val="en-US" w:eastAsia="zh-CN"/>
              </w:rPr>
            </w:pPr>
          </w:p>
        </w:tc>
        <w:tc>
          <w:tcPr>
            <w:tcW w:w="1464" w:type="dxa"/>
            <w:shd w:val="clear" w:color="auto" w:fill="auto"/>
            <w:vAlign w:val="center"/>
          </w:tcPr>
          <w:p>
            <w:pPr>
              <w:widowControl/>
              <w:jc w:val="center"/>
              <w:rPr>
                <w:rFonts w:hint="eastAsia" w:ascii="宋体" w:hAnsi="宋体" w:cs="宋体"/>
                <w:color w:val="auto"/>
                <w:kern w:val="0"/>
                <w:sz w:val="28"/>
                <w:szCs w:val="28"/>
                <w:lang w:val="en-US" w:eastAsia="zh-CN"/>
              </w:rPr>
            </w:pPr>
          </w:p>
        </w:tc>
      </w:tr>
    </w:tbl>
    <w:p>
      <w:pPr>
        <w:spacing w:line="360" w:lineRule="auto"/>
        <w:rPr>
          <w:rFonts w:ascii="宋体" w:hAnsi="宋体" w:cs="宋体"/>
          <w:b w:val="0"/>
          <w:bCs w:val="0"/>
          <w:sz w:val="32"/>
          <w:szCs w:val="32"/>
        </w:rPr>
      </w:pPr>
      <w:r>
        <w:rPr>
          <w:rFonts w:hint="eastAsia" w:ascii="宋体" w:hAnsi="宋体" w:cs="宋体"/>
          <w:b w:val="0"/>
          <w:bCs w:val="0"/>
          <w:sz w:val="32"/>
          <w:szCs w:val="32"/>
        </w:rPr>
        <w:t xml:space="preserve">投标人名称（盖章）：                        </w:t>
      </w:r>
    </w:p>
    <w:p>
      <w:pPr>
        <w:pStyle w:val="10"/>
        <w:rPr>
          <w:rFonts w:hint="eastAsia"/>
          <w:lang w:eastAsia="zh-CN"/>
        </w:rPr>
      </w:pPr>
      <w:r>
        <w:rPr>
          <w:rFonts w:hint="eastAsia" w:ascii="宋体" w:hAnsi="宋体" w:cs="宋体"/>
          <w:b w:val="0"/>
          <w:bCs w:val="0"/>
          <w:sz w:val="32"/>
          <w:szCs w:val="32"/>
        </w:rPr>
        <w:t>日期：   年   月   日</w:t>
      </w:r>
    </w:p>
    <w:p>
      <w:pPr>
        <w:pStyle w:val="18"/>
        <w:rPr>
          <w:rFonts w:hint="eastAsia"/>
          <w:lang w:eastAsia="zh-CN"/>
        </w:rPr>
      </w:pPr>
    </w:p>
    <w:p>
      <w:pPr>
        <w:pStyle w:val="10"/>
        <w:rPr>
          <w:rFonts w:hint="eastAsia"/>
          <w:lang w:eastAsia="zh-CN"/>
        </w:rPr>
      </w:pPr>
    </w:p>
    <w:p>
      <w:pPr>
        <w:keepNext w:val="0"/>
        <w:keepLines w:val="0"/>
        <w:widowControl/>
        <w:suppressLineNumbers w:val="0"/>
        <w:jc w:val="center"/>
        <w:rPr>
          <w:rFonts w:hint="eastAsia" w:ascii="仿宋" w:hAnsi="仿宋" w:eastAsia="仿宋" w:cs="仿宋"/>
          <w:b/>
          <w:color w:val="000000"/>
          <w:kern w:val="0"/>
          <w:sz w:val="44"/>
          <w:szCs w:val="44"/>
          <w:lang w:val="en-US" w:eastAsia="zh-CN"/>
        </w:rPr>
      </w:pPr>
      <w:r>
        <w:rPr>
          <w:rFonts w:hint="eastAsia" w:ascii="仿宋" w:hAnsi="仿宋" w:eastAsia="仿宋" w:cs="仿宋"/>
          <w:b/>
          <w:color w:val="000000"/>
          <w:kern w:val="0"/>
          <w:sz w:val="44"/>
          <w:szCs w:val="44"/>
          <w:lang w:val="en-US" w:eastAsia="zh-CN"/>
        </w:rPr>
        <w:t>实质性条款响应情况表</w:t>
      </w:r>
    </w:p>
    <w:tbl>
      <w:tblPr>
        <w:tblStyle w:val="21"/>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6"/>
        <w:gridCol w:w="7419"/>
        <w:gridCol w:w="3287"/>
        <w:gridCol w:w="1309"/>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7" w:hRule="atLeast"/>
        </w:trPr>
        <w:tc>
          <w:tcPr>
            <w:tcW w:w="188" w:type="pct"/>
            <w:shd w:val="clear" w:color="auto" w:fill="auto"/>
            <w:vAlign w:val="center"/>
          </w:tcPr>
          <w:p>
            <w:pPr>
              <w:keepNext w:val="0"/>
              <w:keepLines w:val="0"/>
              <w:widowControl/>
              <w:suppressLineNumbers w:val="0"/>
              <w:jc w:val="center"/>
              <w:rPr>
                <w:rFonts w:hint="eastAsia" w:ascii="黑体" w:hAnsi="黑体" w:eastAsia="黑体" w:cs="黑体"/>
                <w:b w:val="0"/>
                <w:bCs w:val="0"/>
              </w:rPr>
            </w:pPr>
            <w:r>
              <w:rPr>
                <w:rFonts w:hint="eastAsia" w:ascii="黑体" w:hAnsi="黑体" w:eastAsia="黑体" w:cs="黑体"/>
                <w:b w:val="0"/>
                <w:bCs w:val="0"/>
                <w:i w:val="0"/>
                <w:iCs w:val="0"/>
                <w:color w:val="000000"/>
                <w:kern w:val="0"/>
                <w:sz w:val="24"/>
                <w:szCs w:val="24"/>
                <w:lang w:val="en-US" w:eastAsia="zh-CN" w:bidi="ar"/>
              </w:rPr>
              <w:t>序 号</w:t>
            </w:r>
          </w:p>
        </w:tc>
        <w:tc>
          <w:tcPr>
            <w:tcW w:w="2715" w:type="pct"/>
            <w:shd w:val="clear" w:color="auto" w:fill="auto"/>
            <w:vAlign w:val="center"/>
          </w:tcPr>
          <w:p>
            <w:pPr>
              <w:keepNext w:val="0"/>
              <w:keepLines w:val="0"/>
              <w:widowControl/>
              <w:suppressLineNumbers w:val="0"/>
              <w:jc w:val="center"/>
              <w:rPr>
                <w:rFonts w:hint="eastAsia" w:ascii="黑体" w:hAnsi="黑体" w:eastAsia="黑体" w:cs="黑体"/>
                <w:b w:val="0"/>
                <w:bCs w:val="0"/>
              </w:rPr>
            </w:pPr>
            <w:r>
              <w:rPr>
                <w:rFonts w:hint="eastAsia" w:ascii="黑体" w:hAnsi="黑体" w:eastAsia="黑体" w:cs="黑体"/>
                <w:b w:val="0"/>
                <w:bCs w:val="0"/>
                <w:i w:val="0"/>
                <w:iCs w:val="0"/>
                <w:color w:val="000000"/>
                <w:kern w:val="0"/>
                <w:sz w:val="24"/>
                <w:szCs w:val="24"/>
                <w:lang w:val="en-US" w:eastAsia="zh-CN" w:bidi="ar"/>
              </w:rPr>
              <w:t>实质性条款具体内容</w:t>
            </w:r>
          </w:p>
        </w:tc>
        <w:tc>
          <w:tcPr>
            <w:tcW w:w="1203" w:type="pct"/>
            <w:shd w:val="clear" w:color="auto" w:fill="auto"/>
            <w:vAlign w:val="center"/>
          </w:tcPr>
          <w:p>
            <w:pPr>
              <w:keepNext w:val="0"/>
              <w:keepLines w:val="0"/>
              <w:widowControl/>
              <w:suppressLineNumbers w:val="0"/>
              <w:jc w:val="center"/>
              <w:rPr>
                <w:rFonts w:hint="eastAsia" w:ascii="黑体" w:hAnsi="黑体" w:eastAsia="黑体" w:cs="黑体"/>
                <w:b w:val="0"/>
                <w:bCs w:val="0"/>
              </w:rPr>
            </w:pPr>
            <w:r>
              <w:rPr>
                <w:rFonts w:hint="eastAsia" w:ascii="黑体" w:hAnsi="黑体" w:eastAsia="黑体" w:cs="黑体"/>
                <w:b w:val="0"/>
                <w:bCs w:val="0"/>
                <w:i w:val="0"/>
                <w:iCs w:val="0"/>
                <w:color w:val="000000"/>
                <w:kern w:val="0"/>
                <w:sz w:val="24"/>
                <w:szCs w:val="24"/>
                <w:lang w:val="en-US" w:eastAsia="zh-CN" w:bidi="ar"/>
              </w:rPr>
              <w:t>投标响应</w:t>
            </w:r>
          </w:p>
        </w:tc>
        <w:tc>
          <w:tcPr>
            <w:tcW w:w="479" w:type="pct"/>
            <w:shd w:val="clear" w:color="auto" w:fill="auto"/>
            <w:vAlign w:val="center"/>
          </w:tcPr>
          <w:p>
            <w:pPr>
              <w:keepNext w:val="0"/>
              <w:keepLines w:val="0"/>
              <w:widowControl/>
              <w:suppressLineNumbers w:val="0"/>
              <w:jc w:val="center"/>
              <w:rPr>
                <w:rFonts w:hint="eastAsia" w:ascii="黑体" w:hAnsi="黑体" w:eastAsia="黑体" w:cs="黑体"/>
                <w:b w:val="0"/>
                <w:bCs w:val="0"/>
              </w:rPr>
            </w:pPr>
            <w:r>
              <w:rPr>
                <w:rFonts w:hint="eastAsia" w:ascii="黑体" w:hAnsi="黑体" w:eastAsia="黑体" w:cs="黑体"/>
                <w:b w:val="0"/>
                <w:bCs w:val="0"/>
                <w:i w:val="0"/>
                <w:iCs w:val="0"/>
                <w:color w:val="000000"/>
                <w:kern w:val="0"/>
                <w:sz w:val="24"/>
                <w:szCs w:val="24"/>
                <w:lang w:val="en-US" w:eastAsia="zh-CN" w:bidi="ar"/>
              </w:rPr>
              <w:t>偏离情况</w:t>
            </w:r>
          </w:p>
        </w:tc>
        <w:tc>
          <w:tcPr>
            <w:tcW w:w="412" w:type="pct"/>
            <w:shd w:val="clear" w:color="auto" w:fill="auto"/>
            <w:vAlign w:val="center"/>
          </w:tcPr>
          <w:p>
            <w:pPr>
              <w:keepNext w:val="0"/>
              <w:keepLines w:val="0"/>
              <w:widowControl/>
              <w:suppressLineNumbers w:val="0"/>
              <w:jc w:val="center"/>
              <w:rPr>
                <w:rFonts w:hint="eastAsia" w:ascii="黑体" w:hAnsi="黑体" w:eastAsia="黑体" w:cs="黑体"/>
                <w:b w:val="0"/>
                <w:bCs w:val="0"/>
              </w:rPr>
            </w:pPr>
            <w:r>
              <w:rPr>
                <w:rFonts w:hint="eastAsia" w:ascii="黑体" w:hAnsi="黑体" w:eastAsia="黑体" w:cs="黑体"/>
                <w:b w:val="0"/>
                <w:bCs w:val="0"/>
                <w:i w:val="0"/>
                <w:iCs w:val="0"/>
                <w:color w:val="000000"/>
                <w:kern w:val="0"/>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8" w:type="pct"/>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2715" w:type="pct"/>
            <w:shd w:val="clear" w:color="auto" w:fill="auto"/>
            <w:vAlign w:val="center"/>
          </w:tcPr>
          <w:p>
            <w:pPr>
              <w:keepNext w:val="0"/>
              <w:keepLines w:val="0"/>
              <w:pageBreakBefore w:val="0"/>
              <w:kinsoku/>
              <w:wordWrap/>
              <w:overflowPunct/>
              <w:topLinePunct w:val="0"/>
              <w:autoSpaceDE/>
              <w:autoSpaceDN/>
              <w:bidi w:val="0"/>
              <w:spacing w:line="400" w:lineRule="exact"/>
              <w:textAlignment w:val="auto"/>
              <w:rPr>
                <w:rFonts w:hint="eastAsia" w:ascii="仿宋" w:hAnsi="仿宋" w:eastAsia="仿宋" w:cs="仿宋"/>
                <w:sz w:val="24"/>
                <w:szCs w:val="24"/>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交货期限：中标人在签订合同后7天内完成交货。</w:t>
            </w:r>
          </w:p>
        </w:tc>
        <w:tc>
          <w:tcPr>
            <w:tcW w:w="1203" w:type="pct"/>
            <w:shd w:val="clear" w:color="auto" w:fill="auto"/>
            <w:vAlign w:val="center"/>
          </w:tcPr>
          <w:p>
            <w:pPr>
              <w:ind w:firstLine="280" w:firstLineChars="100"/>
              <w:rPr>
                <w:rFonts w:hint="eastAsia" w:ascii="仿宋" w:hAnsi="仿宋" w:eastAsia="仿宋" w:cs="仿宋"/>
                <w:sz w:val="28"/>
                <w:szCs w:val="28"/>
              </w:rPr>
            </w:pPr>
          </w:p>
        </w:tc>
        <w:tc>
          <w:tcPr>
            <w:tcW w:w="479" w:type="pct"/>
            <w:shd w:val="clear" w:color="auto" w:fill="auto"/>
            <w:vAlign w:val="center"/>
          </w:tcPr>
          <w:p>
            <w:pPr>
              <w:ind w:firstLine="280" w:firstLineChars="100"/>
              <w:rPr>
                <w:rFonts w:hint="eastAsia" w:ascii="仿宋" w:hAnsi="仿宋" w:eastAsia="仿宋" w:cs="仿宋"/>
                <w:sz w:val="28"/>
                <w:szCs w:val="28"/>
              </w:rPr>
            </w:pPr>
          </w:p>
        </w:tc>
        <w:tc>
          <w:tcPr>
            <w:tcW w:w="412" w:type="pct"/>
            <w:shd w:val="clear" w:color="auto" w:fill="auto"/>
            <w:vAlign w:val="center"/>
          </w:tcPr>
          <w:p>
            <w:pPr>
              <w:ind w:firstLine="280" w:firstLineChars="100"/>
              <w:rPr>
                <w:rFonts w:hint="eastAsia" w:ascii="仿宋" w:hAnsi="仿宋" w:eastAsia="仿宋" w:cs="仿宋"/>
                <w:sz w:val="28"/>
                <w:szCs w:val="28"/>
              </w:rPr>
            </w:pPr>
          </w:p>
        </w:tc>
      </w:tr>
    </w:tbl>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pPr>
      <w:r>
        <w:rPr>
          <w:rFonts w:hint="eastAsia" w:ascii="仿宋" w:hAnsi="仿宋" w:eastAsia="仿宋" w:cs="仿宋"/>
          <w:sz w:val="28"/>
          <w:szCs w:val="28"/>
          <w:lang w:val="en-US" w:eastAsia="zh-CN"/>
        </w:rPr>
        <w:t>注：</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1. 上表所列各项均为不可负偏离条款。</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2.“投标响应”一栏应当详细填写投标人自身响应情况。</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4.评审委员会有权对投标响应情况作出判断（作出评审结论）。</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5.实质性响应条款“投标响应情况”与投标文件其它内容冲突的，以实质性响应条款“投标响应情况”为准。</w:t>
      </w:r>
      <w:r>
        <w:rPr>
          <w:rFonts w:hint="eastAsia" w:ascii="仿宋" w:hAnsi="仿宋" w:eastAsia="仿宋" w:cs="仿宋"/>
          <w:sz w:val="28"/>
          <w:szCs w:val="28"/>
          <w:lang w:val="en-US" w:eastAsia="zh-CN"/>
        </w:rPr>
        <w:br w:type="textWrapping"/>
      </w:r>
    </w:p>
    <w:p>
      <w:pPr>
        <w:keepNext w:val="0"/>
        <w:keepLines w:val="0"/>
        <w:widowControl/>
        <w:suppressLineNumbers w:val="0"/>
        <w:jc w:val="both"/>
        <w:rPr>
          <w:rFonts w:hint="eastAsia" w:ascii="仿宋" w:hAnsi="仿宋" w:eastAsia="仿宋" w:cs="仿宋"/>
          <w:b/>
          <w:color w:val="000000"/>
          <w:kern w:val="0"/>
          <w:sz w:val="44"/>
          <w:szCs w:val="44"/>
          <w:lang w:val="en-US" w:eastAsia="zh-CN"/>
        </w:rPr>
      </w:pPr>
    </w:p>
    <w:p>
      <w:pPr>
        <w:rPr>
          <w:rFonts w:hint="eastAsia"/>
          <w:lang w:eastAsia="zh-CN"/>
        </w:rPr>
        <w:sectPr>
          <w:pgSz w:w="16838" w:h="11906" w:orient="landscape"/>
          <w:pgMar w:top="1304" w:right="1414" w:bottom="1474" w:left="1984" w:header="851" w:footer="1417" w:gutter="0"/>
          <w:pgNumType w:fmt="numberInDash"/>
          <w:cols w:space="0" w:num="1"/>
          <w:docGrid w:type="lines" w:linePitch="327" w:charSpace="0"/>
        </w:sectPr>
      </w:pPr>
    </w:p>
    <w:p>
      <w:pPr>
        <w:pStyle w:val="10"/>
      </w:pPr>
    </w:p>
    <w:p>
      <w:pPr>
        <w:widowControl/>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法定代表人证明书</w:t>
      </w:r>
    </w:p>
    <w:p>
      <w:pPr>
        <w:rPr>
          <w:rFonts w:ascii="仿宋" w:hAnsi="仿宋" w:eastAsia="仿宋" w:cs="仿宋"/>
          <w:color w:val="000000"/>
          <w:sz w:val="28"/>
          <w:szCs w:val="28"/>
        </w:rPr>
      </w:pP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先生/小姐，现任我单位职务，为法定代表人，特此证明。</w:t>
      </w:r>
    </w:p>
    <w:p>
      <w:pPr>
        <w:spacing w:line="560" w:lineRule="exact"/>
        <w:ind w:firstLine="640" w:firstLineChars="200"/>
        <w:rPr>
          <w:rFonts w:ascii="仿宋" w:hAnsi="仿宋" w:eastAsia="仿宋" w:cs="仿宋"/>
          <w:color w:val="000000"/>
          <w:sz w:val="32"/>
          <w:szCs w:val="32"/>
        </w:rPr>
      </w:pP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有效日期：               签发日期：  </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单位：                   （盖章）</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附：</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代表人性别：        年龄：       身份证号码：</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营业执照号码：                   经济性质：</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主营（产）：</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兼营（产）：</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进口物品经营许可证号码：</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主营（产）：</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兼营（产）：</w:t>
      </w:r>
    </w:p>
    <w:p>
      <w:pPr>
        <w:spacing w:line="560" w:lineRule="exact"/>
        <w:ind w:firstLine="640" w:firstLineChars="200"/>
        <w:rPr>
          <w:rFonts w:ascii="仿宋" w:hAnsi="仿宋" w:eastAsia="仿宋" w:cs="仿宋"/>
          <w:color w:val="000000"/>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身份证复印件：</w:t>
      </w:r>
    </w:p>
    <w:tbl>
      <w:tblPr>
        <w:tblStyle w:val="21"/>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5460" w:type="dxa"/>
            <w:noWrap/>
          </w:tcPr>
          <w:p/>
          <w:p/>
          <w:p>
            <w:pPr>
              <w:pStyle w:val="10"/>
            </w:pPr>
          </w:p>
          <w:p>
            <w:pPr>
              <w:ind w:firstLine="2100" w:firstLineChars="1000"/>
            </w:pPr>
            <w:r>
              <w:rPr>
                <w:rFonts w:hint="eastAsia"/>
              </w:rPr>
              <w:t>正反面</w:t>
            </w:r>
          </w:p>
        </w:tc>
      </w:tr>
    </w:tbl>
    <w:p>
      <w:pPr>
        <w:widowControl/>
        <w:spacing w:line="440" w:lineRule="exact"/>
        <w:jc w:val="center"/>
        <w:textAlignment w:val="center"/>
        <w:rPr>
          <w:rFonts w:hint="eastAsia" w:ascii="宋体" w:hAnsi="宋体" w:cs="宋体"/>
          <w:color w:val="000000"/>
          <w:kern w:val="0"/>
          <w:sz w:val="44"/>
          <w:szCs w:val="44"/>
          <w:lang w:bidi="ar"/>
        </w:rPr>
      </w:pPr>
    </w:p>
    <w:p>
      <w:pPr>
        <w:widowControl/>
        <w:spacing w:line="44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法定代表人授权书</w:t>
      </w:r>
    </w:p>
    <w:p>
      <w:pPr>
        <w:spacing w:line="440" w:lineRule="exact"/>
        <w:rPr>
          <w:color w:val="000000"/>
        </w:rPr>
      </w:pPr>
    </w:p>
    <w:p>
      <w:pPr>
        <w:spacing w:line="4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授权书声明：注册于（国家或地区的名称）的（公司名称）的在下面签字的（法定代表人姓名、职务）代表本公司授权（单位名称）的在下面签字的（被授权人的姓名、职务）为本公司的合法代理人，就（项目名称）投标及参加项目谈判，以本公司名义处理一切与之有关的事务。</w:t>
      </w:r>
    </w:p>
    <w:p>
      <w:pPr>
        <w:spacing w:line="4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本授权书于</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日签字生效，有效期至特此声明。</w:t>
      </w:r>
    </w:p>
    <w:p>
      <w:pPr>
        <w:spacing w:line="440" w:lineRule="exact"/>
        <w:ind w:firstLine="480" w:firstLineChars="200"/>
        <w:rPr>
          <w:rFonts w:ascii="仿宋" w:hAnsi="仿宋" w:eastAsia="仿宋" w:cs="仿宋"/>
          <w:color w:val="000000"/>
          <w:sz w:val="24"/>
          <w:szCs w:val="32"/>
        </w:rPr>
      </w:pP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 xml:space="preserve">法定代表人签字： </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被授权人签字：　</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单位盖章：　</w:t>
      </w:r>
    </w:p>
    <w:p>
      <w:pPr>
        <w:spacing w:line="440" w:lineRule="exact"/>
        <w:rPr>
          <w:rFonts w:ascii="仿宋" w:hAnsi="仿宋" w:eastAsia="仿宋" w:cs="仿宋"/>
          <w:color w:val="000000"/>
          <w:sz w:val="24"/>
          <w:szCs w:val="32"/>
        </w:rPr>
      </w:pP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附：</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被授权人姓名：                       身份证号：</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职务：</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详细通信地址：</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邮政编码：</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联系电话：</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移动电话：</w:t>
      </w:r>
    </w:p>
    <w:p>
      <w:pPr>
        <w:spacing w:line="440" w:lineRule="exact"/>
        <w:rPr>
          <w:rFonts w:ascii="仿宋" w:hAnsi="仿宋" w:eastAsia="仿宋" w:cs="仿宋"/>
          <w:color w:val="000000"/>
          <w:sz w:val="24"/>
          <w:szCs w:val="32"/>
        </w:rPr>
      </w:pPr>
      <w:r>
        <w:rPr>
          <w:rFonts w:hint="eastAsia" w:ascii="仿宋" w:hAnsi="仿宋" w:eastAsia="仿宋" w:cs="仿宋"/>
          <w:color w:val="000000"/>
          <w:sz w:val="32"/>
          <w:szCs w:val="32"/>
        </w:rPr>
        <w:t>传真：</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身份证复印件：</w:t>
      </w:r>
    </w:p>
    <w:tbl>
      <w:tblPr>
        <w:tblStyle w:val="21"/>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5580" w:type="dxa"/>
            <w:noWrap/>
          </w:tcPr>
          <w:p/>
          <w:p/>
          <w:p>
            <w:pPr>
              <w:ind w:firstLine="2310" w:firstLineChars="1100"/>
            </w:pPr>
          </w:p>
          <w:p>
            <w:pPr>
              <w:ind w:firstLine="2310" w:firstLineChars="1100"/>
            </w:pPr>
            <w:r>
              <w:rPr>
                <w:rFonts w:hint="eastAsia"/>
              </w:rPr>
              <w:t>正反面</w:t>
            </w:r>
          </w:p>
        </w:tc>
      </w:tr>
    </w:tbl>
    <w:p>
      <w:pPr>
        <w:tabs>
          <w:tab w:val="left" w:pos="0"/>
        </w:tabs>
        <w:snapToGrid w:val="0"/>
        <w:spacing w:line="480" w:lineRule="exact"/>
        <w:rPr>
          <w:rFonts w:ascii="仿宋" w:hAnsi="仿宋" w:eastAsia="仿宋" w:cs="仿宋"/>
          <w:b/>
          <w:color w:val="000000"/>
          <w:kern w:val="0"/>
          <w:sz w:val="28"/>
          <w:szCs w:val="28"/>
          <w:highlight w:val="yellow"/>
        </w:rPr>
      </w:pPr>
      <w:r>
        <w:rPr>
          <w:rFonts w:hint="eastAsia" w:ascii="仿宋" w:hAnsi="仿宋" w:eastAsia="仿宋" w:cs="仿宋"/>
          <w:b/>
          <w:bCs/>
          <w:sz w:val="32"/>
          <w:szCs w:val="32"/>
        </w:rPr>
        <w:t>合同模板</w:t>
      </w:r>
      <w:r>
        <w:rPr>
          <w:rFonts w:hint="eastAsia" w:ascii="仿宋" w:hAnsi="仿宋" w:eastAsia="仿宋" w:cs="仿宋"/>
          <w:b/>
          <w:color w:val="000000"/>
          <w:kern w:val="0"/>
          <w:sz w:val="28"/>
          <w:szCs w:val="28"/>
        </w:rPr>
        <w:t>(合同模板仅供参考，中标人根据招投标文件拟定)</w:t>
      </w:r>
    </w:p>
    <w:p>
      <w:pPr>
        <w:spacing w:line="440" w:lineRule="exact"/>
      </w:pPr>
    </w:p>
    <w:p>
      <w:pPr>
        <w:widowControl/>
        <w:spacing w:line="440" w:lineRule="exact"/>
        <w:jc w:val="center"/>
        <w:textAlignment w:val="center"/>
      </w:pPr>
      <w:r>
        <w:rPr>
          <w:rFonts w:hint="eastAsia" w:ascii="宋体" w:hAnsi="宋体" w:cs="宋体"/>
          <w:color w:val="000000"/>
          <w:kern w:val="0"/>
          <w:sz w:val="44"/>
          <w:szCs w:val="44"/>
          <w:lang w:bidi="ar"/>
        </w:rPr>
        <w:t>《龙岗区第七人民医院采购合同》</w:t>
      </w:r>
    </w:p>
    <w:p>
      <w:pPr>
        <w:spacing w:line="440" w:lineRule="exact"/>
        <w:ind w:firstLine="560" w:firstLineChars="200"/>
        <w:rPr>
          <w:rFonts w:ascii="仿宋" w:hAnsi="仿宋" w:eastAsia="仿宋" w:cs="仿宋"/>
          <w:sz w:val="28"/>
          <w:szCs w:val="28"/>
        </w:rPr>
      </w:pP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项目名称：</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项目编号：</w:t>
      </w:r>
      <w:r>
        <w:rPr>
          <w:rFonts w:hint="eastAsia" w:ascii="仿宋" w:hAnsi="仿宋" w:eastAsia="仿宋" w:cs="仿宋_GB2312"/>
          <w:sz w:val="28"/>
          <w:szCs w:val="28"/>
          <w:u w:val="single"/>
        </w:rPr>
        <w:t>深龙七医采【】号</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项目类型：</w:t>
      </w:r>
      <w:r>
        <w:rPr>
          <w:rFonts w:hint="eastAsia" w:ascii="仿宋" w:hAnsi="仿宋" w:eastAsia="仿宋" w:cs="仿宋"/>
          <w:sz w:val="28"/>
          <w:szCs w:val="28"/>
          <w:u w:val="single"/>
        </w:rPr>
        <w:t>　</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采购单位（甲方）：</w:t>
      </w:r>
      <w:r>
        <w:rPr>
          <w:rFonts w:hint="eastAsia" w:ascii="仿宋" w:hAnsi="仿宋" w:eastAsia="仿宋"/>
          <w:sz w:val="28"/>
          <w:szCs w:val="28"/>
          <w:u w:val="single"/>
        </w:rPr>
        <w:t>深圳市龙岗区第七人民医院</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供 应 商（乙方）：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根据《中华人民共和国政府采购法》《中华人民共和国民法典》《深圳经济特区政府采购条例实施细则》《深圳经济特区政府采购条例》等法律法规的规定，甲乙双方按照</w:t>
      </w:r>
      <w:r>
        <w:rPr>
          <w:rFonts w:hint="eastAsia" w:ascii="仿宋" w:hAnsi="仿宋" w:eastAsia="仿宋" w:cs="仿宋"/>
          <w:sz w:val="28"/>
          <w:szCs w:val="28"/>
          <w:u w:val="single"/>
        </w:rPr>
        <w:t>龙岗区第七人民医院</w:t>
      </w:r>
      <w:r>
        <w:rPr>
          <w:rFonts w:hint="eastAsia" w:ascii="仿宋" w:hAnsi="仿宋" w:eastAsia="仿宋" w:cs="仿宋"/>
          <w:sz w:val="28"/>
          <w:szCs w:val="28"/>
        </w:rPr>
        <w:t>的招标结果并经双方协商签订本合同。</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第一条  合同标的</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乙方根据甲方需求提供下列货物：</w:t>
      </w:r>
    </w:p>
    <w:p>
      <w:pPr>
        <w:widowControl/>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货物名称、规格及单价</w:t>
      </w:r>
      <w:r>
        <w:rPr>
          <w:rFonts w:hint="eastAsia" w:ascii="仿宋" w:hAnsi="仿宋" w:eastAsia="仿宋" w:cs="宋体"/>
          <w:sz w:val="28"/>
          <w:szCs w:val="28"/>
          <w:u w:val="single"/>
        </w:rPr>
        <w:t>见附件 “供货一览表”</w:t>
      </w:r>
      <w:r>
        <w:rPr>
          <w:rFonts w:hint="eastAsia" w:ascii="仿宋" w:hAnsi="仿宋" w:eastAsia="仿宋" w:cs="宋体"/>
          <w:sz w:val="28"/>
          <w:szCs w:val="28"/>
        </w:rPr>
        <w:t>。</w:t>
      </w:r>
    </w:p>
    <w:p>
      <w:pPr>
        <w:widowControl/>
        <w:spacing w:line="440" w:lineRule="exact"/>
        <w:ind w:firstLine="562" w:firstLineChars="200"/>
        <w:rPr>
          <w:rFonts w:ascii="仿宋" w:hAnsi="仿宋" w:eastAsia="仿宋" w:cs="仿宋"/>
          <w:sz w:val="28"/>
          <w:szCs w:val="28"/>
        </w:rPr>
      </w:pPr>
      <w:r>
        <w:rPr>
          <w:rFonts w:hint="eastAsia" w:ascii="仿宋" w:hAnsi="仿宋" w:eastAsia="仿宋" w:cs="仿宋"/>
          <w:b/>
          <w:sz w:val="28"/>
          <w:szCs w:val="28"/>
        </w:rPr>
        <w:t>第二条  合同总价款</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1.本合同总金额为（大写）人民币</w:t>
      </w:r>
      <w:r>
        <w:rPr>
          <w:rFonts w:hint="eastAsia" w:ascii="仿宋" w:hAnsi="仿宋" w:eastAsia="仿宋" w:cs="宋体"/>
          <w:b/>
          <w:sz w:val="28"/>
          <w:szCs w:val="28"/>
          <w:u w:val="single"/>
        </w:rPr>
        <w:t xml:space="preserve">     元整</w:t>
      </w:r>
      <w:r>
        <w:rPr>
          <w:rFonts w:hint="eastAsia" w:ascii="仿宋" w:hAnsi="仿宋" w:eastAsia="仿宋" w:cs="仿宋"/>
          <w:sz w:val="28"/>
          <w:szCs w:val="28"/>
        </w:rPr>
        <w:t>（）。</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 本合同金额</w:t>
      </w:r>
      <w:r>
        <w:rPr>
          <w:rFonts w:hint="eastAsia" w:ascii="仿宋" w:hAnsi="仿宋" w:eastAsia="仿宋" w:cs="仿宋_GB2312"/>
          <w:sz w:val="28"/>
          <w:szCs w:val="28"/>
        </w:rPr>
        <w:t>包含货物价格及货物的包装费、运输费、保修费、保险费、伴随服务费及货物验收之前的所有含税金额。</w:t>
      </w:r>
    </w:p>
    <w:p>
      <w:pPr>
        <w:pStyle w:val="27"/>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第三条  组成本合同的有关文件</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下列关于采购（项目编号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的招投标文件或与本次采购活动方式相适应的文件及有关附件是本合同不可分割的组成部分，与本合同具有同等法律效力，这些文件包括但不限于：</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（1）乙方提供的投标文件（含澄清文件）和投标报价表；</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（2）供货一览表；　　    （3）交货地点一览表；</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（4）技术规格响应表；　　（5）投标承诺；</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（6）服务承诺；　　      （7）中标或成交通知书；</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（8）招标文件（含招标文件补充通知）；</w:t>
      </w:r>
    </w:p>
    <w:p>
      <w:pPr>
        <w:pStyle w:val="27"/>
        <w:widowControl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（9）甲乙双方商定的其他合同补充条款或协议。 </w:t>
      </w:r>
    </w:p>
    <w:p>
      <w:pPr>
        <w:spacing w:line="440" w:lineRule="exact"/>
        <w:ind w:firstLine="562" w:firstLineChars="200"/>
        <w:rPr>
          <w:rFonts w:ascii="仿宋" w:hAnsi="仿宋" w:eastAsia="仿宋" w:cs="宋体"/>
          <w:b/>
          <w:sz w:val="28"/>
          <w:szCs w:val="28"/>
        </w:rPr>
      </w:pPr>
      <w:r>
        <w:rPr>
          <w:rFonts w:hint="eastAsia" w:ascii="仿宋" w:hAnsi="仿宋" w:eastAsia="仿宋" w:cs="宋体"/>
          <w:b/>
          <w:sz w:val="28"/>
          <w:szCs w:val="28"/>
        </w:rPr>
        <w:t>第四条  权利保证</w:t>
      </w:r>
    </w:p>
    <w:p>
      <w:pPr>
        <w:spacing w:line="440" w:lineRule="exact"/>
        <w:ind w:firstLine="560" w:firstLineChars="200"/>
        <w:rPr>
          <w:rFonts w:ascii="仿宋" w:hAnsi="仿宋" w:eastAsia="仿宋" w:cs="仿宋"/>
          <w:b/>
          <w:sz w:val="28"/>
          <w:szCs w:val="28"/>
        </w:rPr>
      </w:pPr>
      <w:r>
        <w:rPr>
          <w:rFonts w:hint="eastAsia" w:ascii="仿宋" w:hAnsi="仿宋" w:eastAsia="仿宋" w:cs="宋体"/>
          <w:sz w:val="28"/>
          <w:szCs w:val="28"/>
        </w:rPr>
        <w:t>乙方应保证甲方在使用、接受本合同货物和服务或其任何一部分时不受第三方提出侵犯其专利权、版权、商标权和工业设计权等知识产权以及所有权、使用权等物权方面的起诉。</w:t>
      </w:r>
      <w:r>
        <w:rPr>
          <w:rFonts w:hint="eastAsia" w:ascii="仿宋" w:hAnsi="仿宋" w:eastAsia="仿宋" w:cs="仿宋"/>
          <w:sz w:val="28"/>
          <w:szCs w:val="28"/>
        </w:rPr>
        <w:t>一旦出现侵权相关纠纷</w:t>
      </w:r>
      <w:r>
        <w:rPr>
          <w:rFonts w:hint="eastAsia" w:ascii="仿宋" w:hAnsi="仿宋" w:eastAsia="仿宋" w:cs="宋体"/>
          <w:sz w:val="28"/>
          <w:szCs w:val="28"/>
        </w:rPr>
        <w:t>，</w:t>
      </w:r>
      <w:r>
        <w:rPr>
          <w:rFonts w:hint="eastAsia" w:ascii="仿宋" w:hAnsi="仿宋" w:eastAsia="仿宋" w:cs="仿宋"/>
          <w:sz w:val="28"/>
          <w:szCs w:val="28"/>
        </w:rPr>
        <w:t>由乙方负全部责任包含因此纠纷甲方支付的全部赔偿和费用。</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 xml:space="preserve">第五条  质量保证  </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1.乙方所提供的货物的技术规格符合招标文件规定的技术规格，货物符合中华人民共和国的设计和制造生产标准或行业标准。</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2.乙方应保证货物是全新、未使用过的原装合格正品（包括零部件），并完全符合甲方要求的质量、规格和性能的要求。如货物安装或配置了软件的，乙方保证相关软件均为正版软件。</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3.乙方保证交货时一并提供货物的质量合格凭证或文件。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4.乙方应保证其提供的货物在正确安装、正常使用和保养</w:t>
      </w:r>
      <w:r>
        <w:rPr>
          <w:rFonts w:hint="eastAsia" w:ascii="仿宋" w:hAnsi="仿宋" w:eastAsia="仿宋" w:cs="仿宋"/>
          <w:color w:val="auto"/>
          <w:sz w:val="28"/>
          <w:szCs w:val="28"/>
          <w:u w:val="none"/>
        </w:rPr>
        <w:t>条件</w:t>
      </w:r>
      <w:r>
        <w:rPr>
          <w:rFonts w:hint="eastAsia" w:ascii="仿宋" w:hAnsi="仿宋" w:eastAsia="仿宋" w:cs="仿宋"/>
          <w:sz w:val="28"/>
          <w:szCs w:val="28"/>
        </w:rPr>
        <w:t>下，在其使用寿命内具有良好的性能。</w:t>
      </w:r>
    </w:p>
    <w:p>
      <w:pPr>
        <w:spacing w:line="440" w:lineRule="exact"/>
        <w:ind w:firstLine="560" w:firstLineChars="200"/>
        <w:rPr>
          <w:rFonts w:ascii="仿宋" w:hAnsi="仿宋" w:eastAsia="仿宋" w:cs="宋体"/>
          <w:sz w:val="28"/>
          <w:szCs w:val="28"/>
        </w:rPr>
      </w:pPr>
      <w:r>
        <w:rPr>
          <w:rFonts w:hint="eastAsia" w:ascii="仿宋" w:hAnsi="仿宋" w:eastAsia="仿宋" w:cs="仿宋"/>
          <w:sz w:val="28"/>
          <w:szCs w:val="28"/>
        </w:rPr>
        <w:t>5.在质量保证期内，乙方应对由于设计、工艺、材料的缺陷或不足发生的质量问题检测、检定等所产生的一切费用负责。</w:t>
      </w:r>
    </w:p>
    <w:p>
      <w:pPr>
        <w:spacing w:line="440" w:lineRule="exact"/>
        <w:ind w:firstLine="562" w:firstLineChars="200"/>
        <w:rPr>
          <w:rFonts w:ascii="仿宋" w:hAnsi="仿宋" w:eastAsia="仿宋" w:cs="仿宋"/>
          <w:sz w:val="28"/>
          <w:szCs w:val="28"/>
        </w:rPr>
      </w:pPr>
      <w:r>
        <w:rPr>
          <w:rFonts w:hint="eastAsia" w:ascii="仿宋" w:hAnsi="仿宋" w:eastAsia="仿宋" w:cs="仿宋"/>
          <w:b/>
          <w:sz w:val="28"/>
          <w:szCs w:val="28"/>
        </w:rPr>
        <w:t>第六条包装和运输</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1.包装要求除双方另有约定外，按照乙方公司或生产厂家包装规范予以包装。</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2.乙方供货的包装标准，应满足运输要求并能有效保护货物，乙方应确保运抵甲方处货物的完好性，包装费用由乙方承担。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3.乙方负责送货上门，乙方应确保产品运输的安全性。乙方将货物运至双方约定的交付地点，卸载、摆放至甲方指定的位置，并办理相关交货手续，运费由乙方承担。</w:t>
      </w:r>
    </w:p>
    <w:p>
      <w:pPr>
        <w:spacing w:line="44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 xml:space="preserve">第七条 交付和验收 </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1.交货时间：合同签订之日起个日历日内。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2.交货地点：深圳市龙岗区第七人民医院或指定的其他地点。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3.交货方式：乙方按合同或招投标文件规定供货的品种、规格、数量、质量、时间等</w:t>
      </w:r>
      <w:r>
        <w:rPr>
          <w:rFonts w:hint="eastAsia" w:ascii="仿宋" w:hAnsi="仿宋" w:eastAsia="仿宋" w:cs="仿宋_GB2312"/>
          <w:sz w:val="28"/>
          <w:szCs w:val="28"/>
        </w:rPr>
        <w:t>（具体以合同及采购订单的要求为准）</w:t>
      </w:r>
      <w:r>
        <w:rPr>
          <w:rFonts w:hint="eastAsia" w:ascii="仿宋" w:hAnsi="仿宋" w:eastAsia="仿宋" w:cs="仿宋"/>
          <w:sz w:val="28"/>
          <w:szCs w:val="28"/>
        </w:rPr>
        <w:t>将所需货物运送到甲方指定地点，所产生的一切费用由乙方负责。</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4.验收：</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（1）乙方交付的货物应当完全符合招投标文件所规定的货物、数量、质量和规格要求。乙方提供的货物不符合招投标文件和合同规定的，甲方有权拒收货物，由此引起的风险，由乙方承担。</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（3）由甲、乙双方及使用科室代表对货物进行验收，需要乙方对货物或系统进行安装调试的，双方应在货物安装调试完毕后的（）个工作日内进行质量验收，在甲方现场验收和培训发生的一切费用由乙方承担。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（4）货物的到货验收包括：型号、规格、数量、外观、质量及货物包装是否符合招标、投标文件以及合同等规定的标准。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验收时以乙方投标文件中的技术规格偏离表为准；产品配置如《合同》中约定的标准与招投标文件不符时，适用标准应以对甲方有利的标准优先适用，甲方有权选择决定适用何种标准，乙方应予以配合。如招投标文件的内容与《合同书》不一致时，甲方有权选择对其有利的约定来要求乙方履行，乙方须予以配合，否则甲方有权解除合同。</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（6）其他约定：</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第八条  伴随服务/售后服务</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1.乙方可能被要求提供下列服务中的一项或全部服务。</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（1）产品的现场搬运或入库；</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（2）提供产品开箱或分装的用具；</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（3）对开箱时发现的破损、近效期产品或其他不合格包装产品无条件及时更换；</w:t>
      </w:r>
    </w:p>
    <w:p>
      <w:pPr>
        <w:pStyle w:val="27"/>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（4）其他乙方应提供的相关服务项目。</w:t>
      </w:r>
    </w:p>
    <w:p>
      <w:pPr>
        <w:snapToGrid w:val="0"/>
        <w:spacing w:line="44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2.乙方应保证提供的货物质保期为</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，应按照国家有关 “三包”规定和招标文件要求及乙方投标文件的相关承诺提供保修及其他服务。</w:t>
      </w:r>
    </w:p>
    <w:p>
      <w:pPr>
        <w:snapToGrid w:val="0"/>
        <w:spacing w:line="44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3.保修期为</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第九条  付款方式</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以转账方式付款，以实收货物的数量为准，验收合格后，收到供应商合法发票后（）日内一次性付款，或按深圳市龙岗区财政局有关规定执行。</w:t>
      </w:r>
    </w:p>
    <w:p>
      <w:pPr>
        <w:spacing w:line="440" w:lineRule="exact"/>
        <w:ind w:firstLine="562" w:firstLineChars="200"/>
        <w:rPr>
          <w:rFonts w:ascii="仿宋" w:hAnsi="仿宋" w:eastAsia="仿宋" w:cs="宋体"/>
          <w:sz w:val="28"/>
          <w:szCs w:val="28"/>
        </w:rPr>
      </w:pPr>
      <w:r>
        <w:rPr>
          <w:rFonts w:hint="eastAsia" w:ascii="仿宋" w:hAnsi="仿宋" w:eastAsia="仿宋" w:cs="宋体"/>
          <w:b/>
          <w:sz w:val="28"/>
          <w:szCs w:val="28"/>
        </w:rPr>
        <w:t>第十条  合同的变更、终止与转让</w:t>
      </w:r>
    </w:p>
    <w:p>
      <w:pPr>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1.除《</w:t>
      </w:r>
      <w:r>
        <w:rPr>
          <w:rFonts w:hint="eastAsia" w:ascii="仿宋" w:hAnsi="仿宋" w:eastAsia="仿宋" w:cs="仿宋"/>
          <w:sz w:val="28"/>
          <w:szCs w:val="28"/>
        </w:rPr>
        <w:t>中华人民共和国政府采购法</w:t>
      </w:r>
      <w:r>
        <w:rPr>
          <w:rFonts w:hint="eastAsia" w:ascii="仿宋" w:hAnsi="仿宋" w:eastAsia="仿宋" w:cs="宋体"/>
          <w:sz w:val="28"/>
          <w:szCs w:val="28"/>
        </w:rPr>
        <w:t xml:space="preserve">》第49条、第50条第二款规定的情形外，本合同一经签订，甲乙双方不得擅自变更、中止或终止合同。  </w:t>
      </w:r>
    </w:p>
    <w:p>
      <w:pPr>
        <w:spacing w:line="440" w:lineRule="exact"/>
        <w:ind w:firstLine="560" w:firstLineChars="200"/>
        <w:rPr>
          <w:rFonts w:ascii="仿宋" w:hAnsi="仿宋" w:eastAsia="仿宋" w:cs="仿宋"/>
          <w:kern w:val="0"/>
          <w:sz w:val="28"/>
          <w:szCs w:val="28"/>
        </w:rPr>
      </w:pPr>
      <w:r>
        <w:rPr>
          <w:rFonts w:hint="eastAsia" w:ascii="仿宋" w:hAnsi="仿宋" w:eastAsia="仿宋" w:cs="宋体"/>
          <w:sz w:val="28"/>
          <w:szCs w:val="28"/>
        </w:rPr>
        <w:t>2.乙方不得擅自部分或全部转让其应履行的</w:t>
      </w:r>
      <w:r>
        <w:rPr>
          <w:rFonts w:hint="eastAsia" w:ascii="仿宋" w:hAnsi="仿宋" w:eastAsia="仿宋" w:cs="宋体"/>
          <w:color w:val="auto"/>
          <w:sz w:val="28"/>
          <w:szCs w:val="28"/>
          <w:u w:val="none"/>
        </w:rPr>
        <w:t>合同义务</w:t>
      </w:r>
      <w:r>
        <w:rPr>
          <w:rFonts w:hint="eastAsia" w:ascii="仿宋" w:hAnsi="仿宋" w:eastAsia="仿宋" w:cs="宋体"/>
          <w:sz w:val="28"/>
          <w:szCs w:val="28"/>
        </w:rPr>
        <w:t>，否则甲方有权终止合同，并有权要求乙方支付违约金，违约金按本合同总金额的（）%计算。</w:t>
      </w:r>
    </w:p>
    <w:p>
      <w:pPr>
        <w:spacing w:line="440" w:lineRule="exact"/>
        <w:ind w:firstLine="562" w:firstLineChars="200"/>
        <w:rPr>
          <w:rFonts w:ascii="仿宋" w:hAnsi="仿宋" w:eastAsia="仿宋" w:cs="仿宋"/>
          <w:color w:val="000000"/>
          <w:sz w:val="28"/>
          <w:szCs w:val="28"/>
        </w:rPr>
      </w:pPr>
      <w:r>
        <w:rPr>
          <w:rFonts w:hint="eastAsia" w:ascii="仿宋" w:hAnsi="仿宋" w:eastAsia="仿宋" w:cs="仿宋"/>
          <w:b/>
          <w:color w:val="000000"/>
          <w:sz w:val="28"/>
          <w:szCs w:val="28"/>
        </w:rPr>
        <w:t>第十一条  违约责任</w:t>
      </w:r>
    </w:p>
    <w:p>
      <w:pPr>
        <w:widowControl/>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1.甲方无正当理由拒收货物、拒付货物款的，由甲方向乙方偿付拒收货物总价的（）%违约金。</w:t>
      </w:r>
    </w:p>
    <w:p>
      <w:pPr>
        <w:widowControl/>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2.甲方未按合同规定的期限向乙方支付货款的，每逾期1天甲方向乙方偿付欠款总额的（）%滞纳金，但累计滞纳金总额不超过欠款总额的（）%。</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color w:val="000000"/>
          <w:sz w:val="28"/>
          <w:szCs w:val="28"/>
        </w:rPr>
        <w:t>3.乙方逾期交付货物的，每逾</w:t>
      </w:r>
      <w:r>
        <w:rPr>
          <w:rFonts w:hint="eastAsia" w:ascii="仿宋" w:hAnsi="仿宋" w:eastAsia="仿宋" w:cs="仿宋"/>
          <w:sz w:val="28"/>
          <w:szCs w:val="28"/>
        </w:rPr>
        <w:t>期1天，乙方向甲方偿付逾期交货部分货款总额的（）%的滞纳金。如超过供货期30天,甲方有权终止合同，同时乙方应向甲方支付合同总价（</w:t>
      </w:r>
      <w:r>
        <w:rPr>
          <w:rFonts w:ascii="仿宋" w:hAnsi="仿宋" w:eastAsia="仿宋" w:cs="仿宋"/>
          <w:sz w:val="28"/>
          <w:szCs w:val="28"/>
        </w:rPr>
        <w:t>）</w:t>
      </w:r>
      <w:r>
        <w:rPr>
          <w:rFonts w:hint="eastAsia" w:ascii="仿宋" w:hAnsi="仿宋" w:eastAsia="仿宋" w:cs="仿宋"/>
          <w:sz w:val="28"/>
          <w:szCs w:val="28"/>
        </w:rPr>
        <w:t>%的违约金。给甲方造成损失的将通过法律程序向乙方进行索赔。</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4.乙方所交付的货物品种、型号、规格不符合合同规定的，甲方有权拒收。甲方拒收的，乙方应向甲方支付货款总额（）%的违约金。</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5.在乙方承诺的或国家规定的质量保证期内（取两者中最长的期限），如经乙方两次更换，货物仍不能达到合同约定的质量标准，甲方有权退货，乙方应退回全部货款。并解除合同</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6.乙方未按本合同的规定和“服务承诺”提供伴随服务/售后服务的，应按合同总价款的（）%向甲方承担违约责任。</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kern w:val="0"/>
          <w:sz w:val="28"/>
          <w:szCs w:val="28"/>
        </w:rPr>
        <w:t>7.</w:t>
      </w:r>
      <w:r>
        <w:rPr>
          <w:rFonts w:hint="eastAsia" w:ascii="仿宋" w:hAnsi="仿宋" w:eastAsia="仿宋" w:cs="仿宋"/>
          <w:sz w:val="28"/>
          <w:szCs w:val="28"/>
        </w:rPr>
        <w:t>乙方在承担上述3-6款一项或多项违约责任后，仍应继续履行合同规定的义务（甲方解除合同的除外）。甲方未能及时追究乙方的任何一项违约责任并不表明甲方放弃追究乙方该项或其他违约责任。</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8.未列入以上条款的其他违规事项，则按照《中华人民共和国招标投标法》法律责任条款处理。</w:t>
      </w:r>
    </w:p>
    <w:p>
      <w:pPr>
        <w:widowControl/>
        <w:spacing w:line="440" w:lineRule="exact"/>
        <w:ind w:firstLine="560" w:firstLineChars="200"/>
        <w:rPr>
          <w:rFonts w:ascii="仿宋" w:hAnsi="仿宋" w:eastAsia="仿宋" w:cs="宋体"/>
          <w:sz w:val="28"/>
          <w:szCs w:val="28"/>
        </w:rPr>
      </w:pPr>
      <w:r>
        <w:rPr>
          <w:rFonts w:hint="eastAsia" w:ascii="仿宋" w:hAnsi="仿宋" w:eastAsia="仿宋" w:cs="仿宋"/>
          <w:sz w:val="28"/>
          <w:szCs w:val="28"/>
        </w:rPr>
        <w:t>11.其他。</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第十二条  免责条款</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第十三条  合同争议解决</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1.因货物质量问题发生争议的，应邀请国家认可的质量检测机构对货物质量进行鉴定。货物符合标准的，鉴定费由甲方承担；货物不符合标准的，鉴定费由乙方承担。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2.因履行本合同引起的或与本合同有关的争议，甲乙双方应首先通过友好协商解决。如果协商不能解决，向甲方所在地人民法院提起诉讼。</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第十四条  本合同附件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以下附件及乙方投标时提供的投标文件和其他相关资料作为本合同的补充内容，具有同等法律效力。</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附件1：供货一览表（加盖公章）；</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附件2：产品销售廉洁协议书</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附件3：龙岗区进一步规范政商交往行为告知书；</w:t>
      </w:r>
    </w:p>
    <w:p>
      <w:pPr>
        <w:spacing w:line="440" w:lineRule="exact"/>
        <w:ind w:firstLine="560" w:firstLineChars="200"/>
      </w:pPr>
      <w:r>
        <w:rPr>
          <w:rFonts w:hint="eastAsia" w:ascii="仿宋" w:hAnsi="仿宋" w:eastAsia="仿宋" w:cs="仿宋"/>
          <w:sz w:val="28"/>
          <w:szCs w:val="28"/>
        </w:rPr>
        <w:t>附件4：售后服务承诺（加盖公章）。</w:t>
      </w:r>
    </w:p>
    <w:p>
      <w:pPr>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第十五条  合同生效及其他</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1.合同经双方法定代表人或授权委托代表人签字并加盖单位公章或合同专用章后生效。</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2.其他约定条款：</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3.本合同未尽事宜，遵照《中华人民共和国民法典》有关条文执行。</w:t>
      </w:r>
    </w:p>
    <w:p>
      <w:pPr>
        <w:spacing w:line="440" w:lineRule="exact"/>
        <w:ind w:firstLine="560" w:firstLineChars="200"/>
      </w:pPr>
      <w:r>
        <w:rPr>
          <w:rFonts w:hint="eastAsia" w:ascii="仿宋" w:hAnsi="仿宋" w:eastAsia="仿宋" w:cs="仿宋"/>
          <w:sz w:val="28"/>
          <w:szCs w:val="28"/>
        </w:rPr>
        <w:t>4.本合同正本一式</w:t>
      </w:r>
      <w:r>
        <w:rPr>
          <w:rFonts w:hint="eastAsia" w:ascii="仿宋" w:hAnsi="仿宋" w:eastAsia="仿宋" w:cs="仿宋"/>
          <w:sz w:val="28"/>
          <w:szCs w:val="28"/>
          <w:u w:val="single"/>
        </w:rPr>
        <w:t xml:space="preserve"> 肆 </w:t>
      </w:r>
      <w:r>
        <w:rPr>
          <w:rFonts w:hint="eastAsia" w:ascii="仿宋" w:hAnsi="仿宋" w:eastAsia="仿宋" w:cs="仿宋"/>
          <w:sz w:val="28"/>
          <w:szCs w:val="28"/>
        </w:rPr>
        <w:t>份，具有同等法律效力，甲方执</w:t>
      </w:r>
      <w:r>
        <w:rPr>
          <w:rFonts w:hint="eastAsia" w:ascii="仿宋" w:hAnsi="仿宋" w:eastAsia="仿宋" w:cs="仿宋"/>
          <w:sz w:val="28"/>
          <w:szCs w:val="28"/>
          <w:u w:val="single"/>
        </w:rPr>
        <w:t xml:space="preserve"> 叁 </w:t>
      </w:r>
      <w:r>
        <w:rPr>
          <w:rFonts w:hint="eastAsia" w:ascii="仿宋" w:hAnsi="仿宋" w:eastAsia="仿宋" w:cs="仿宋"/>
          <w:sz w:val="28"/>
          <w:szCs w:val="28"/>
        </w:rPr>
        <w:t>份；乙方执</w:t>
      </w:r>
      <w:r>
        <w:rPr>
          <w:rFonts w:hint="eastAsia" w:ascii="仿宋" w:hAnsi="仿宋" w:eastAsia="仿宋" w:cs="仿宋"/>
          <w:sz w:val="28"/>
          <w:szCs w:val="28"/>
          <w:u w:val="single"/>
        </w:rPr>
        <w:t>壹</w:t>
      </w:r>
      <w:r>
        <w:rPr>
          <w:rFonts w:hint="eastAsia" w:ascii="仿宋" w:hAnsi="仿宋" w:eastAsia="仿宋" w:cs="仿宋"/>
          <w:sz w:val="28"/>
          <w:szCs w:val="28"/>
        </w:rPr>
        <w:t>份。</w:t>
      </w:r>
    </w:p>
    <w:tbl>
      <w:tblPr>
        <w:tblStyle w:val="22"/>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0"/>
        <w:gridCol w:w="4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0"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甲方：深圳市龙岗区第七人民医院</w:t>
            </w:r>
          </w:p>
        </w:tc>
        <w:tc>
          <w:tcPr>
            <w:tcW w:w="4314"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0"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地址：深圳市龙岗区南湾街道吉厦社区早禾坑工业区2号</w:t>
            </w:r>
          </w:p>
        </w:tc>
        <w:tc>
          <w:tcPr>
            <w:tcW w:w="4314"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0" w:type="dxa"/>
            <w:noWrap/>
          </w:tcPr>
          <w:p>
            <w:pPr>
              <w:spacing w:line="360" w:lineRule="auto"/>
              <w:rPr>
                <w:rFonts w:ascii="仿宋" w:hAnsi="仿宋" w:eastAsia="仿宋" w:cs="仿宋"/>
                <w:kern w:val="0"/>
                <w:sz w:val="24"/>
              </w:rPr>
            </w:pPr>
            <w:r>
              <w:rPr>
                <w:rFonts w:hint="eastAsia" w:ascii="仿宋" w:hAnsi="仿宋" w:eastAsia="仿宋" w:cs="仿宋"/>
                <w:b/>
                <w:bCs/>
                <w:color w:val="000000"/>
                <w:sz w:val="24"/>
              </w:rPr>
              <w:t>纳税人识别号:12440307G34813567P</w:t>
            </w:r>
          </w:p>
        </w:tc>
        <w:tc>
          <w:tcPr>
            <w:tcW w:w="4314"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900" w:type="dxa"/>
            <w:noWrap/>
          </w:tcPr>
          <w:p>
            <w:pPr>
              <w:spacing w:line="360" w:lineRule="auto"/>
              <w:rPr>
                <w:rFonts w:ascii="仿宋" w:hAnsi="仿宋" w:eastAsia="仿宋" w:cs="仿宋"/>
                <w:kern w:val="0"/>
                <w:sz w:val="24"/>
              </w:rPr>
            </w:pPr>
            <w:r>
              <w:rPr>
                <w:rFonts w:hint="eastAsia" w:ascii="仿宋" w:hAnsi="仿宋" w:eastAsia="仿宋" w:cs="仿宋"/>
                <w:b/>
                <w:bCs/>
                <w:kern w:val="0"/>
                <w:sz w:val="24"/>
              </w:rPr>
              <w:t>开户银行：</w:t>
            </w:r>
            <w:r>
              <w:rPr>
                <w:rFonts w:hint="eastAsia" w:ascii="仿宋" w:hAnsi="仿宋" w:eastAsia="仿宋" w:cs="仿宋"/>
                <w:b/>
                <w:bCs/>
                <w:color w:val="000000"/>
                <w:sz w:val="24"/>
              </w:rPr>
              <w:t>深圳农村商业银行南湾支行</w:t>
            </w:r>
          </w:p>
        </w:tc>
        <w:tc>
          <w:tcPr>
            <w:tcW w:w="4314" w:type="dxa"/>
            <w:noWrap/>
          </w:tcPr>
          <w:p>
            <w:pPr>
              <w:spacing w:line="360" w:lineRule="auto"/>
              <w:rPr>
                <w:rFonts w:ascii="仿宋" w:hAnsi="仿宋" w:eastAsia="仿宋" w:cs="仿宋"/>
                <w:color w:val="000000"/>
                <w:sz w:val="24"/>
              </w:rPr>
            </w:pPr>
            <w:r>
              <w:rPr>
                <w:rFonts w:hint="eastAsia" w:ascii="仿宋" w:hAnsi="仿宋" w:eastAsia="仿宋" w:cs="仿宋"/>
                <w:b/>
                <w:bCs/>
                <w:color w:val="000000"/>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00" w:type="dxa"/>
            <w:noWrap/>
          </w:tcPr>
          <w:p>
            <w:pPr>
              <w:spacing w:line="360" w:lineRule="auto"/>
              <w:rPr>
                <w:rFonts w:ascii="仿宋" w:hAnsi="仿宋" w:eastAsia="仿宋" w:cs="仿宋"/>
                <w:kern w:val="0"/>
                <w:sz w:val="24"/>
              </w:rPr>
            </w:pPr>
            <w:r>
              <w:rPr>
                <w:rFonts w:hint="eastAsia" w:ascii="仿宋" w:hAnsi="仿宋" w:eastAsia="仿宋" w:cs="仿宋"/>
                <w:b/>
                <w:bCs/>
                <w:color w:val="000000"/>
                <w:sz w:val="24"/>
              </w:rPr>
              <w:t>账    号：000071202940</w:t>
            </w:r>
          </w:p>
        </w:tc>
        <w:tc>
          <w:tcPr>
            <w:tcW w:w="4314" w:type="dxa"/>
            <w:noWrap/>
          </w:tcPr>
          <w:p>
            <w:pPr>
              <w:spacing w:line="360" w:lineRule="auto"/>
              <w:rPr>
                <w:rFonts w:ascii="仿宋" w:hAnsi="仿宋" w:eastAsia="仿宋" w:cs="仿宋"/>
                <w:b/>
                <w:bCs/>
                <w:color w:val="000000"/>
                <w:sz w:val="24"/>
              </w:rPr>
            </w:pPr>
            <w:r>
              <w:rPr>
                <w:rFonts w:hint="eastAsia" w:ascii="仿宋" w:hAnsi="仿宋" w:eastAsia="仿宋" w:cs="仿宋"/>
                <w:b/>
                <w:bCs/>
                <w:color w:val="000000"/>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900" w:type="dxa"/>
            <w:noWrap/>
          </w:tcPr>
          <w:p>
            <w:pPr>
              <w:spacing w:line="360" w:lineRule="auto"/>
              <w:rPr>
                <w:rFonts w:ascii="仿宋" w:hAnsi="仿宋" w:eastAsia="仿宋" w:cs="仿宋"/>
                <w:b/>
                <w:bCs/>
                <w:kern w:val="0"/>
                <w:sz w:val="24"/>
              </w:rPr>
            </w:pPr>
            <w:r>
              <w:rPr>
                <w:rFonts w:hint="eastAsia" w:ascii="仿宋" w:hAnsi="仿宋" w:eastAsia="仿宋" w:cs="仿宋"/>
                <w:b/>
                <w:bCs/>
                <w:color w:val="000000"/>
                <w:sz w:val="24"/>
              </w:rPr>
              <w:t>电话：0755-28746468</w:t>
            </w:r>
          </w:p>
        </w:tc>
        <w:tc>
          <w:tcPr>
            <w:tcW w:w="4314" w:type="dxa"/>
            <w:noWrap/>
          </w:tcPr>
          <w:p>
            <w:pPr>
              <w:spacing w:line="360" w:lineRule="auto"/>
              <w:rPr>
                <w:rFonts w:ascii="仿宋" w:hAnsi="仿宋" w:eastAsia="仿宋" w:cs="仿宋"/>
                <w:b/>
                <w:bCs/>
                <w:color w:val="000000"/>
                <w:sz w:val="24"/>
              </w:rPr>
            </w:pPr>
            <w:r>
              <w:rPr>
                <w:rFonts w:hint="eastAsia" w:ascii="仿宋" w:hAnsi="仿宋" w:eastAsia="仿宋" w:cs="仿宋"/>
                <w:b/>
                <w:bCs/>
                <w:color w:val="000000"/>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4900" w:type="dxa"/>
            <w:noWrap/>
          </w:tcPr>
          <w:p>
            <w:pPr>
              <w:spacing w:line="360" w:lineRule="auto"/>
              <w:rPr>
                <w:rFonts w:ascii="仿宋" w:hAnsi="仿宋" w:eastAsia="仿宋" w:cs="仿宋"/>
                <w:b/>
                <w:bCs/>
                <w:kern w:val="0"/>
                <w:sz w:val="24"/>
              </w:rPr>
            </w:pPr>
            <w:r>
              <w:rPr>
                <w:rFonts w:hint="eastAsia" w:ascii="仿宋" w:hAnsi="仿宋" w:eastAsia="仿宋" w:cs="仿宋"/>
                <w:b/>
                <w:bCs/>
                <w:kern w:val="0"/>
                <w:sz w:val="24"/>
              </w:rPr>
              <w:t>甲方法定代表人（签字）：</w:t>
            </w:r>
          </w:p>
          <w:p>
            <w:pPr>
              <w:pStyle w:val="8"/>
              <w:ind w:firstLine="0"/>
            </w:pPr>
          </w:p>
          <w:p>
            <w:pPr>
              <w:spacing w:line="360" w:lineRule="auto"/>
            </w:pPr>
            <w:r>
              <w:rPr>
                <w:rFonts w:hint="eastAsia" w:ascii="仿宋" w:hAnsi="仿宋" w:eastAsia="仿宋" w:cs="仿宋"/>
                <w:b/>
                <w:bCs/>
                <w:kern w:val="0"/>
                <w:sz w:val="24"/>
              </w:rPr>
              <w:t>授权人</w:t>
            </w:r>
          </w:p>
        </w:tc>
        <w:tc>
          <w:tcPr>
            <w:tcW w:w="4314" w:type="dxa"/>
            <w:noWrap/>
          </w:tcPr>
          <w:p>
            <w:pPr>
              <w:spacing w:line="360" w:lineRule="auto"/>
            </w:pPr>
            <w:r>
              <w:rPr>
                <w:rFonts w:hint="eastAsia" w:ascii="仿宋" w:hAnsi="仿宋" w:eastAsia="仿宋" w:cs="仿宋"/>
                <w:b/>
                <w:bCs/>
                <w:kern w:val="0"/>
                <w:sz w:val="24"/>
              </w:rPr>
              <w:t>乙方法定代表人（签字）：</w:t>
            </w:r>
          </w:p>
          <w:p>
            <w:pPr>
              <w:pStyle w:val="8"/>
              <w:ind w:firstLine="0"/>
            </w:pPr>
          </w:p>
          <w:p>
            <w:pPr>
              <w:spacing w:line="360" w:lineRule="auto"/>
              <w:rPr>
                <w:rFonts w:ascii="仿宋" w:hAnsi="仿宋" w:eastAsia="仿宋" w:cs="仿宋"/>
                <w:b/>
                <w:bCs/>
                <w:kern w:val="0"/>
                <w:sz w:val="24"/>
              </w:rPr>
            </w:pPr>
            <w:r>
              <w:rPr>
                <w:rFonts w:hint="eastAsia" w:ascii="仿宋" w:hAnsi="仿宋" w:eastAsia="仿宋" w:cs="仿宋"/>
                <w:b/>
                <w:bCs/>
                <w:kern w:val="0"/>
                <w:sz w:val="24"/>
              </w:rPr>
              <w:t>授权人（签字）：</w:t>
            </w:r>
          </w:p>
          <w:p>
            <w:pPr>
              <w:pStyle w:val="8"/>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214" w:type="dxa"/>
            <w:gridSpan w:val="2"/>
            <w:noWrap/>
            <w:vAlign w:val="center"/>
          </w:tcPr>
          <w:p>
            <w:pPr>
              <w:spacing w:line="360" w:lineRule="auto"/>
              <w:jc w:val="center"/>
              <w:rPr>
                <w:rFonts w:ascii="仿宋" w:hAnsi="仿宋" w:eastAsia="仿宋" w:cs="仿宋"/>
                <w:b/>
                <w:bCs/>
                <w:kern w:val="0"/>
                <w:sz w:val="28"/>
                <w:szCs w:val="28"/>
              </w:rPr>
            </w:pPr>
            <w:r>
              <w:rPr>
                <w:rFonts w:hint="eastAsia" w:ascii="仿宋" w:hAnsi="仿宋" w:eastAsia="仿宋" w:cs="仿宋"/>
                <w:b/>
                <w:bCs/>
                <w:kern w:val="0"/>
                <w:sz w:val="28"/>
                <w:szCs w:val="28"/>
              </w:rPr>
              <w:t>签约时间：    年   月   日</w:t>
            </w:r>
          </w:p>
          <w:p>
            <w:pPr>
              <w:spacing w:line="360" w:lineRule="auto"/>
              <w:jc w:val="center"/>
              <w:rPr>
                <w:rFonts w:ascii="宋体" w:hAnsi="宋体"/>
                <w:kern w:val="0"/>
                <w:sz w:val="24"/>
              </w:rPr>
            </w:pPr>
            <w:r>
              <w:rPr>
                <w:rFonts w:hint="eastAsia" w:ascii="仿宋" w:hAnsi="仿宋" w:eastAsia="仿宋" w:cs="仿宋"/>
                <w:b/>
                <w:bCs/>
                <w:kern w:val="0"/>
                <w:sz w:val="28"/>
                <w:szCs w:val="28"/>
              </w:rPr>
              <w:t>签约地址：深圳市龙岗区第七人民医院</w:t>
            </w:r>
          </w:p>
        </w:tc>
      </w:tr>
    </w:tbl>
    <w:p>
      <w:pPr>
        <w:tabs>
          <w:tab w:val="left" w:pos="0"/>
        </w:tabs>
        <w:snapToGrid w:val="0"/>
        <w:spacing w:line="480" w:lineRule="exact"/>
        <w:rPr>
          <w:rFonts w:ascii="仿宋" w:hAnsi="仿宋" w:eastAsia="仿宋" w:cs="仿宋"/>
          <w:b/>
          <w:bCs/>
          <w:sz w:val="32"/>
          <w:szCs w:val="32"/>
        </w:rPr>
        <w:sectPr>
          <w:pgSz w:w="11906" w:h="16838"/>
          <w:pgMar w:top="2098" w:right="1474" w:bottom="1984" w:left="1304" w:header="851" w:footer="1417" w:gutter="0"/>
          <w:pgNumType w:fmt="numberInDash"/>
          <w:cols w:space="0" w:num="1"/>
          <w:rtlGutter w:val="0"/>
          <w:docGrid w:type="lines" w:linePitch="327" w:charSpace="0"/>
        </w:sectPr>
      </w:pPr>
    </w:p>
    <w:p>
      <w:pPr>
        <w:widowControl/>
        <w:spacing w:line="56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深圳市龙岗区第七人民医院廉洁购销合同</w:t>
      </w:r>
    </w:p>
    <w:p>
      <w:pPr>
        <w:spacing w:line="560" w:lineRule="exact"/>
        <w:rPr>
          <w:rFonts w:ascii="楷体_GB2312" w:hAnsi="ˎ̥" w:eastAsia="楷体_GB2312"/>
          <w:b/>
          <w:sz w:val="32"/>
          <w:szCs w:val="32"/>
        </w:rPr>
      </w:pPr>
    </w:p>
    <w:p>
      <w:pPr>
        <w:spacing w:line="560" w:lineRule="exact"/>
        <w:rPr>
          <w:rFonts w:ascii="仿宋_GB2312" w:hAnsi="ˎ̥" w:eastAsia="仿宋_GB2312"/>
          <w:sz w:val="32"/>
          <w:szCs w:val="32"/>
        </w:rPr>
      </w:pPr>
      <w:r>
        <w:rPr>
          <w:rFonts w:hint="eastAsia" w:ascii="楷体_GB2312" w:hAnsi="ˎ̥" w:eastAsia="楷体_GB2312"/>
          <w:b/>
          <w:sz w:val="32"/>
          <w:szCs w:val="32"/>
        </w:rPr>
        <w:t>甲方</w:t>
      </w:r>
      <w:r>
        <w:rPr>
          <w:rFonts w:hint="eastAsia" w:ascii="仿宋_GB2312" w:hAnsi="ˎ̥" w:eastAsia="仿宋_GB2312"/>
          <w:sz w:val="32"/>
          <w:szCs w:val="32"/>
        </w:rPr>
        <w:t>：深圳市龙岗区第七人民医院</w:t>
      </w:r>
    </w:p>
    <w:p>
      <w:pPr>
        <w:spacing w:line="560" w:lineRule="exact"/>
        <w:rPr>
          <w:rFonts w:ascii="楷体_GB2312" w:hAnsi="ˎ̥" w:eastAsia="楷体_GB2312"/>
          <w:b/>
          <w:sz w:val="32"/>
          <w:szCs w:val="32"/>
        </w:rPr>
      </w:pPr>
      <w:r>
        <w:rPr>
          <w:rFonts w:hint="eastAsia" w:ascii="楷体_GB2312" w:hAnsi="ˎ̥" w:eastAsia="楷体_GB2312"/>
          <w:b/>
          <w:sz w:val="32"/>
          <w:szCs w:val="32"/>
        </w:rPr>
        <w:t>乙方</w:t>
      </w:r>
      <w:r>
        <w:rPr>
          <w:rFonts w:hint="eastAsia" w:ascii="仿宋_GB2312" w:hAnsi="ˎ̥" w:eastAsia="仿宋_GB2312"/>
          <w:sz w:val="32"/>
          <w:szCs w:val="32"/>
        </w:rPr>
        <w:t>：</w:t>
      </w:r>
    </w:p>
    <w:p>
      <w:pPr>
        <w:spacing w:line="560" w:lineRule="exact"/>
        <w:rPr>
          <w:rFonts w:ascii="楷体_GB2312" w:hAnsi="ˎ̥" w:eastAsia="楷体_GB2312"/>
          <w:b/>
          <w:sz w:val="32"/>
          <w:szCs w:val="32"/>
        </w:rPr>
      </w:pPr>
      <w:r>
        <w:rPr>
          <w:rFonts w:hint="eastAsia" w:ascii="楷体_GB2312" w:hAnsi="ˎ̥" w:eastAsia="楷体_GB2312"/>
          <w:b/>
          <w:sz w:val="32"/>
          <w:szCs w:val="32"/>
        </w:rPr>
        <w:t xml:space="preserve">项目名称：            </w:t>
      </w:r>
    </w:p>
    <w:p>
      <w:pPr>
        <w:spacing w:line="560" w:lineRule="exact"/>
        <w:rPr>
          <w:rFonts w:ascii="楷体_GB2312" w:hAnsi="ˎ̥" w:eastAsia="楷体_GB2312"/>
          <w:sz w:val="32"/>
          <w:szCs w:val="32"/>
        </w:rPr>
      </w:pPr>
      <w:r>
        <w:rPr>
          <w:rFonts w:hint="eastAsia" w:ascii="楷体_GB2312" w:hAnsi="ˎ̥" w:eastAsia="楷体_GB2312"/>
          <w:b/>
          <w:sz w:val="32"/>
          <w:szCs w:val="32"/>
        </w:rPr>
        <w:t>合同总价</w:t>
      </w:r>
      <w:r>
        <w:rPr>
          <w:rFonts w:hint="eastAsia" w:ascii="楷体_GB2312" w:hAnsi="ˎ̥" w:eastAsia="楷体_GB2312"/>
          <w:sz w:val="32"/>
          <w:szCs w:val="32"/>
        </w:rPr>
        <w:t>：</w:t>
      </w:r>
    </w:p>
    <w:p>
      <w:pPr>
        <w:spacing w:line="560" w:lineRule="exact"/>
        <w:rPr>
          <w:rFonts w:ascii="楷体_GB2312" w:hAnsi="ˎ̥" w:eastAsia="楷体_GB2312"/>
          <w:b/>
          <w:sz w:val="32"/>
          <w:szCs w:val="32"/>
        </w:rPr>
      </w:pPr>
      <w:r>
        <w:rPr>
          <w:rFonts w:hint="eastAsia" w:ascii="楷体_GB2312" w:hAnsi="ˎ̥" w:eastAsia="楷体_GB2312"/>
          <w:b/>
          <w:sz w:val="32"/>
          <w:szCs w:val="32"/>
        </w:rPr>
        <w:t>主办科室：</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为进一步加强医疗卫生行风建设，规范购销行为，有效防范商业贿赂，营造公平交易、诚实守信的购销环境，经甲、乙双方协商，同意签订本合同，并共同遵守：</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一、甲乙双方按照《中华人民共和国民法典》及产品</w:t>
      </w:r>
      <w:r>
        <w:rPr>
          <w:rFonts w:hint="eastAsia" w:ascii="仿宋_GB2312" w:eastAsia="仿宋_GB2312"/>
          <w:sz w:val="32"/>
          <w:szCs w:val="32"/>
        </w:rPr>
        <w:t>购销合同</w:t>
      </w:r>
      <w:r>
        <w:rPr>
          <w:rFonts w:hint="eastAsia" w:ascii="仿宋_GB2312" w:hAnsi="ˎ̥" w:eastAsia="仿宋_GB2312"/>
          <w:sz w:val="32"/>
          <w:szCs w:val="32"/>
        </w:rPr>
        <w:t>约定实施购销行为。</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二、甲方应当严格执行验收、入库制度，对采购产品及发票进行查验，不得违反有关规定进行合同外采购、违价采购或从非规定渠道采购。</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三、甲方不得接受乙方以任何名义、形式给予的利益输送，不得将接受捐赠资助与采购挂钩。甲方工作人员不得参加乙方安排并支付费用的营业性娱乐场所的娱乐活动，</w:t>
      </w:r>
      <w:r>
        <w:rPr>
          <w:rFonts w:hint="eastAsia" w:ascii="仿宋_GB2312" w:eastAsia="仿宋_GB2312"/>
          <w:sz w:val="32"/>
          <w:szCs w:val="32"/>
        </w:rPr>
        <w:t>不得以任何形式向乙方索要现金、有价证券、支付凭证和贵重礼品等</w:t>
      </w:r>
      <w:r>
        <w:rPr>
          <w:rFonts w:hint="eastAsia" w:ascii="仿宋_GB2312" w:hAnsi="ˎ̥" w:eastAsia="仿宋_GB2312"/>
          <w:sz w:val="32"/>
          <w:szCs w:val="32"/>
        </w:rPr>
        <w:t>。被迫接受乙方给予的钱物，应予退还，无法退还的，有责任如实向纪检监察部门反映情况。</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四、严禁甲方工作人员利用任何途径和方式，非法为乙方统计医师个人及临床科室有关医药产品用量信息，或为乙方统方提供便利。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w:t>
      </w:r>
      <w:r>
        <w:rPr>
          <w:rFonts w:hint="eastAsia" w:ascii="仿宋_GB2312" w:hAnsi="ˎ̥" w:eastAsia="仿宋_GB2312"/>
          <w:sz w:val="32"/>
          <w:szCs w:val="32"/>
        </w:rPr>
        <w:t>乙方不得以回扣、</w:t>
      </w:r>
      <w:r>
        <w:rPr>
          <w:rFonts w:hint="eastAsia" w:ascii="仿宋_GB2312" w:eastAsia="仿宋_GB2312"/>
          <w:sz w:val="32"/>
          <w:szCs w:val="32"/>
        </w:rPr>
        <w:t>宴请等方式影响甲方工作人员采购或使用医药产品的选择权，不得在学术活动中提供旅游、超标准支付食宿费用，以及其他任何形式的利益输送。</w:t>
      </w:r>
    </w:p>
    <w:p>
      <w:pPr>
        <w:spacing w:line="560" w:lineRule="exact"/>
        <w:ind w:firstLine="640" w:firstLineChars="200"/>
        <w:rPr>
          <w:rFonts w:ascii="仿宋_GB2312" w:hAnsi="ˎ̥" w:eastAsia="仿宋_GB2312"/>
          <w:sz w:val="32"/>
          <w:szCs w:val="32"/>
        </w:rPr>
      </w:pPr>
      <w:r>
        <w:rPr>
          <w:rFonts w:hint="eastAsia" w:ascii="仿宋_GB2312" w:eastAsia="仿宋_GB2312"/>
          <w:sz w:val="32"/>
          <w:szCs w:val="32"/>
        </w:rPr>
        <w:t>六、乙方指定</w:t>
      </w:r>
      <w:r>
        <w:rPr>
          <w:rFonts w:hint="eastAsia" w:ascii="仿宋_GB2312" w:eastAsia="仿宋_GB2312"/>
          <w:sz w:val="32"/>
          <w:szCs w:val="32"/>
          <w:u w:val="single"/>
        </w:rPr>
        <w:t xml:space="preserve">        </w:t>
      </w:r>
      <w:r>
        <w:rPr>
          <w:rFonts w:hint="eastAsia" w:ascii="仿宋_GB2312" w:eastAsia="仿宋_GB2312"/>
          <w:sz w:val="32"/>
          <w:szCs w:val="32"/>
        </w:rPr>
        <w:t>作为销售代表洽谈业务。销售代表必须在工作时间到甲方指定地点联系商谈，不得到住院部、门诊部、医技科室等推销医药产品，不得借故到甲方相关领导、部门</w:t>
      </w:r>
      <w:r>
        <w:rPr>
          <w:rFonts w:hint="eastAsia" w:ascii="仿宋_GB2312" w:hAnsi="ˎ̥" w:eastAsia="仿宋_GB2312"/>
          <w:sz w:val="32"/>
          <w:szCs w:val="32"/>
        </w:rPr>
        <w:t>负责人及相关工作人员家中访谈并提供任何好处费。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w:t>
      </w:r>
      <w:r>
        <w:rPr>
          <w:rFonts w:hint="eastAsia" w:ascii="仿宋_GB2312" w:hAnsi="ˎ̥" w:eastAsia="仿宋_GB2312"/>
          <w:sz w:val="32"/>
          <w:szCs w:val="32"/>
        </w:rPr>
        <w:t>乙方如违反本合同，一经发现，</w:t>
      </w:r>
      <w:r>
        <w:rPr>
          <w:rFonts w:hint="eastAsia" w:ascii="仿宋_GB2312" w:eastAsia="仿宋_GB2312"/>
          <w:sz w:val="32"/>
          <w:szCs w:val="32"/>
        </w:rPr>
        <w:t>甲方有权终止产品购销合同，并向有关部门报告。如乙方被列入商业贿赂不良记录，则严格按照《国家</w:t>
      </w:r>
      <w:r>
        <w:rPr>
          <w:rFonts w:ascii="仿宋_GB2312" w:eastAsia="仿宋_GB2312"/>
          <w:sz w:val="32"/>
          <w:szCs w:val="32"/>
        </w:rPr>
        <w:t>卫生计生委关于建立医药购销领域商业贿赂不良记录的规定</w:t>
      </w:r>
      <w:r>
        <w:rPr>
          <w:rFonts w:hint="eastAsia" w:ascii="仿宋_GB2312" w:eastAsia="仿宋_GB2312"/>
          <w:sz w:val="32"/>
          <w:szCs w:val="32"/>
        </w:rPr>
        <w:t>》</w:t>
      </w:r>
      <w:r>
        <w:rPr>
          <w:rFonts w:eastAsia="仿宋_GB2312"/>
          <w:color w:val="000000"/>
          <w:sz w:val="32"/>
          <w:szCs w:val="32"/>
          <w:shd w:val="clear" w:color="auto" w:fill="FFFFFF"/>
        </w:rPr>
        <w:t>（国卫法制发〔2013〕50号）</w:t>
      </w:r>
      <w:r>
        <w:rPr>
          <w:rFonts w:hint="eastAsia" w:ascii="仿宋_GB2312" w:eastAsia="仿宋_GB2312"/>
          <w:sz w:val="32"/>
          <w:szCs w:val="32"/>
        </w:rPr>
        <w:t>相关规定处理。</w:t>
      </w:r>
    </w:p>
    <w:p>
      <w:pPr>
        <w:spacing w:line="560" w:lineRule="exact"/>
        <w:ind w:firstLine="640" w:firstLineChars="200"/>
        <w:rPr>
          <w:rFonts w:ascii="仿宋_GB2312" w:eastAsia="仿宋_GB2312"/>
          <w:sz w:val="32"/>
          <w:szCs w:val="32"/>
        </w:rPr>
      </w:pPr>
      <w:r>
        <w:rPr>
          <w:rFonts w:hint="eastAsia" w:ascii="仿宋_GB2312" w:hAnsi="ˎ̥" w:eastAsia="仿宋_GB2312"/>
          <w:sz w:val="32"/>
          <w:szCs w:val="32"/>
        </w:rPr>
        <w:t>八、</w:t>
      </w:r>
      <w:r>
        <w:rPr>
          <w:rFonts w:hint="eastAsia" w:ascii="仿宋_GB2312" w:eastAsia="仿宋_GB2312"/>
          <w:sz w:val="32"/>
          <w:szCs w:val="32"/>
        </w:rPr>
        <w:t>本合同作为产品购销合同的组成部分，与购销合同一并执行，具有同等的法律效力。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九、本合同一式叁份，甲方贰份（一份随购销主合同存档，一份交医院纪检监察部门），乙方壹份，从签订之日起生效。</w:t>
      </w:r>
    </w:p>
    <w:p>
      <w:pPr>
        <w:spacing w:line="560" w:lineRule="exact"/>
        <w:rPr>
          <w:rFonts w:ascii="仿宋_GB2312" w:eastAsia="仿宋_GB2312"/>
          <w:sz w:val="32"/>
          <w:szCs w:val="32"/>
        </w:rPr>
      </w:pPr>
    </w:p>
    <w:p>
      <w:pPr>
        <w:spacing w:line="560" w:lineRule="exact"/>
        <w:rPr>
          <w:rFonts w:ascii="楷体_GB2312" w:eastAsia="楷体_GB2312"/>
          <w:b/>
          <w:sz w:val="32"/>
          <w:szCs w:val="32"/>
        </w:rPr>
      </w:pPr>
      <w:r>
        <w:rPr>
          <w:rFonts w:hint="eastAsia" w:ascii="楷体_GB2312" w:eastAsia="楷体_GB2312"/>
          <w:b/>
          <w:sz w:val="32"/>
          <w:szCs w:val="32"/>
        </w:rPr>
        <w:t>甲方（盖章）：                  乙方（盖章）：</w:t>
      </w:r>
    </w:p>
    <w:p>
      <w:pPr>
        <w:spacing w:line="560" w:lineRule="exact"/>
        <w:rPr>
          <w:rFonts w:ascii="楷体_GB2312" w:eastAsia="楷体_GB2312"/>
          <w:b/>
          <w:sz w:val="32"/>
          <w:szCs w:val="32"/>
        </w:rPr>
      </w:pPr>
      <w:r>
        <w:rPr>
          <w:rFonts w:hint="eastAsia" w:ascii="楷体_GB2312" w:eastAsia="楷体_GB2312"/>
          <w:b/>
          <w:sz w:val="32"/>
          <w:szCs w:val="32"/>
        </w:rPr>
        <w:t>法定代表人（</w:t>
      </w:r>
      <w:r>
        <w:rPr>
          <w:rFonts w:ascii="楷体_GB2312" w:eastAsia="楷体_GB2312"/>
          <w:b/>
          <w:sz w:val="32"/>
          <w:szCs w:val="32"/>
        </w:rPr>
        <w:t>负责人</w:t>
      </w:r>
      <w:r>
        <w:rPr>
          <w:rFonts w:hint="eastAsia" w:ascii="楷体_GB2312" w:eastAsia="楷体_GB2312"/>
          <w:b/>
          <w:sz w:val="32"/>
          <w:szCs w:val="32"/>
        </w:rPr>
        <w:t>）：          法定代表人（</w:t>
      </w:r>
      <w:r>
        <w:rPr>
          <w:rFonts w:ascii="楷体_GB2312" w:eastAsia="楷体_GB2312"/>
          <w:b/>
          <w:sz w:val="32"/>
          <w:szCs w:val="32"/>
        </w:rPr>
        <w:t>负责人</w:t>
      </w:r>
      <w:r>
        <w:rPr>
          <w:rFonts w:hint="eastAsia" w:ascii="楷体_GB2312" w:eastAsia="楷体_GB2312"/>
          <w:b/>
          <w:sz w:val="32"/>
          <w:szCs w:val="32"/>
        </w:rPr>
        <w:t>）：</w:t>
      </w:r>
    </w:p>
    <w:p>
      <w:pPr>
        <w:spacing w:line="560" w:lineRule="exact"/>
      </w:pPr>
      <w:r>
        <w:rPr>
          <w:rFonts w:hint="eastAsia" w:ascii="楷体_GB2312" w:eastAsia="楷体_GB2312"/>
          <w:b/>
          <w:sz w:val="32"/>
          <w:szCs w:val="32"/>
        </w:rPr>
        <w:t>委托代理人签名：               经办人签名：</w:t>
      </w:r>
    </w:p>
    <w:p>
      <w:pPr>
        <w:spacing w:line="560" w:lineRule="exact"/>
        <w:ind w:firstLine="640" w:firstLineChars="200"/>
        <w:rPr>
          <w:rFonts w:ascii="宋体" w:hAnsi="宋体" w:cs="宋体"/>
          <w:color w:val="000000"/>
          <w:kern w:val="0"/>
          <w:sz w:val="44"/>
          <w:szCs w:val="44"/>
          <w:lang w:bidi="ar"/>
        </w:rPr>
      </w:pPr>
      <w:r>
        <w:rPr>
          <w:rFonts w:hint="eastAsia" w:ascii="仿宋_GB2312" w:eastAsia="仿宋_GB2312"/>
          <w:sz w:val="32"/>
          <w:szCs w:val="32"/>
        </w:rPr>
        <w:t>年    月   日                 年    月   日</w:t>
      </w:r>
    </w:p>
    <w:p>
      <w:pPr>
        <w:widowControl/>
        <w:spacing w:line="44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龙岗区进一步规范政商交往行为告知书</w:t>
      </w:r>
    </w:p>
    <w:p>
      <w:pPr>
        <w:spacing w:line="440" w:lineRule="exact"/>
        <w:rPr>
          <w:rFonts w:ascii="宋体" w:hAnsi="宋体" w:cs="宋体"/>
          <w:sz w:val="28"/>
          <w:szCs w:val="28"/>
        </w:rPr>
      </w:pP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构建“亲”“清”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一、不得向公职人员赠送礼品、礼金、消费卡等财物。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二、不得违规向公职人员提供宴请、旅游、娱乐等安排。</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三、不得通过打麻将等形式向公职人员输送利益。</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四、不得为公职人员报销应由其个人支付的费用。</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五、不得违规向公职人员及其亲友借贷款。</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六、不得违规将车辆、住房等借给公职人员使用。</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七、不得在招投标中与公职人员搞暗箱操作、围标串标。</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八、不得为利益相关人和公职人员牵线搭桥或者代为传递信息、传递财物。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九、不得让公职人员在企业违规兼职取酬。</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十、不得为公职人员亲友违规承揽业务提供便利。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上述“十个不得”，请您严格遵守。同时，在政商交往中， 如有发现我区公职人员存在违反“十个不准”的问题，请及时通过网络举报平台或者12388举报电话等方式，向纪检监察机关反映举报，我们将一律严格保密、一律优先处置、一律严肃查处。</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本人已知晓上述告知内容，并愿意遵照执行（签名）：</w:t>
      </w:r>
    </w:p>
    <w:p>
      <w:pPr>
        <w:spacing w:line="440" w:lineRule="exact"/>
        <w:ind w:firstLine="5760" w:firstLineChars="18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ab/>
      </w:r>
    </w:p>
    <w:p>
      <w:pPr>
        <w:spacing w:line="440" w:lineRule="exact"/>
        <w:ind w:firstLine="4480" w:firstLineChars="1400"/>
        <w:rPr>
          <w:rFonts w:ascii="仿宋_GB2312" w:hAnsi="仿宋_GB2312" w:eastAsia="仿宋_GB2312" w:cs="仿宋_GB2312"/>
          <w:sz w:val="32"/>
          <w:szCs w:val="32"/>
        </w:rPr>
      </w:pPr>
    </w:p>
    <w:p>
      <w:pPr>
        <w:pStyle w:val="13"/>
        <w:spacing w:line="44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 xml:space="preserve">                      单位名称（盖章）：</w:t>
      </w:r>
    </w:p>
    <w:p>
      <w:pPr>
        <w:pStyle w:val="13"/>
        <w:spacing w:line="440" w:lineRule="exact"/>
        <w:jc w:val="center"/>
        <w:rPr>
          <w:rFonts w:hint="default" w:ascii="仿宋" w:hAnsi="仿宋" w:eastAsia="仿宋" w:cs="仿宋"/>
          <w:sz w:val="28"/>
          <w:szCs w:val="28"/>
        </w:rPr>
      </w:pPr>
      <w:r>
        <w:rPr>
          <w:rFonts w:ascii="仿宋_GB2312" w:hAnsi="仿宋_GB2312" w:eastAsia="仿宋_GB2312" w:cs="仿宋_GB2312"/>
          <w:sz w:val="32"/>
          <w:szCs w:val="32"/>
        </w:rPr>
        <w:t xml:space="preserve">                   年  月  日</w:t>
      </w:r>
    </w:p>
    <w:p/>
    <w:sectPr>
      <w:headerReference r:id="rId6" w:type="default"/>
      <w:footerReference r:id="rId7" w:type="default"/>
      <w:pgSz w:w="11906" w:h="16838"/>
      <w:pgMar w:top="2098" w:right="1474" w:bottom="1984" w:left="1304" w:header="851" w:footer="1417"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5"/>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47</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JrTRP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6yS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NJrTRPQAQAApQMAAA4AAAAAAAAAAQAgAAAAIgEA&#10;AGRycy9lMm9Eb2MueG1sUEsFBgAAAAAGAAYAWQEAAGQFAAAAAA==&#10;">
              <v:fill on="f" focussize="0,0"/>
              <v:stroke on="f" weight="1.25pt"/>
              <v:imagedata o:title=""/>
              <o:lock v:ext="edit" aspectratio="f"/>
              <v:textbox inset="0mm,0mm,0mm,0mm" style="mso-fit-shape-to-text:t;">
                <w:txbxContent>
                  <w:p>
                    <w:pPr>
                      <w:pStyle w:val="15"/>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47</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B7BE7E"/>
    <w:multiLevelType w:val="singleLevel"/>
    <w:tmpl w:val="22B7BE7E"/>
    <w:lvl w:ilvl="0" w:tentative="0">
      <w:start w:val="3"/>
      <w:numFmt w:val="chineseCounting"/>
      <w:suff w:val="nothing"/>
      <w:lvlText w:val="（%1）"/>
      <w:lvlJc w:val="left"/>
      <w:rPr>
        <w:rFonts w:hint="eastAsia"/>
      </w:rPr>
    </w:lvl>
  </w:abstractNum>
  <w:abstractNum w:abstractNumId="1">
    <w:nsid w:val="5874376B"/>
    <w:multiLevelType w:val="singleLevel"/>
    <w:tmpl w:val="5874376B"/>
    <w:lvl w:ilvl="0" w:tentative="0">
      <w:start w:val="1"/>
      <w:numFmt w:val="decimal"/>
      <w:lvlText w:val="%1."/>
      <w:lvlJc w:val="left"/>
      <w:pPr>
        <w:ind w:left="425" w:hanging="425"/>
      </w:pPr>
      <w:rPr>
        <w:rFonts w:hint="default"/>
      </w:rPr>
    </w:lvl>
  </w:abstractNum>
  <w:abstractNum w:abstractNumId="2">
    <w:nsid w:val="58C64E55"/>
    <w:multiLevelType w:val="singleLevel"/>
    <w:tmpl w:val="58C64E55"/>
    <w:lvl w:ilvl="0" w:tentative="0">
      <w:start w:val="1"/>
      <w:numFmt w:val="decimal"/>
      <w:lvlText w:val="%1."/>
      <w:lvlJc w:val="left"/>
      <w:pPr>
        <w:ind w:left="425" w:hanging="425"/>
      </w:pPr>
      <w:rPr>
        <w:rFonts w:hint="default"/>
      </w:rPr>
    </w:lvl>
  </w:abstractNum>
  <w:abstractNum w:abstractNumId="3">
    <w:nsid w:val="597FE803"/>
    <w:multiLevelType w:val="singleLevel"/>
    <w:tmpl w:val="597FE803"/>
    <w:lvl w:ilvl="0" w:tentative="0">
      <w:start w:val="3"/>
      <w:numFmt w:val="chineseCounting"/>
      <w:suff w:val="space"/>
      <w:lvlText w:val="第%1章"/>
      <w:lvlJc w:val="left"/>
    </w:lvl>
  </w:abstractNum>
  <w:abstractNum w:abstractNumId="4">
    <w:nsid w:val="5983D421"/>
    <w:multiLevelType w:val="singleLevel"/>
    <w:tmpl w:val="5983D421"/>
    <w:lvl w:ilvl="0" w:tentative="0">
      <w:start w:val="1"/>
      <w:numFmt w:val="decimal"/>
      <w:suff w:val="nothing"/>
      <w:lvlText w:val="%1．"/>
      <w:lvlJc w:val="left"/>
      <w:pPr>
        <w:ind w:left="0" w:firstLine="400"/>
      </w:pPr>
      <w:rPr>
        <w:rFon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xMmRkYjg1MWYxOTgzYmE0YjcwNjU0NzA5NzU1Y2UifQ=="/>
  </w:docVars>
  <w:rsids>
    <w:rsidRoot w:val="35550C3B"/>
    <w:rsid w:val="00223D3F"/>
    <w:rsid w:val="0023656C"/>
    <w:rsid w:val="002947F5"/>
    <w:rsid w:val="00295392"/>
    <w:rsid w:val="0036050E"/>
    <w:rsid w:val="00392E7C"/>
    <w:rsid w:val="004353BC"/>
    <w:rsid w:val="00454137"/>
    <w:rsid w:val="004B1BC0"/>
    <w:rsid w:val="00543DA4"/>
    <w:rsid w:val="00592B27"/>
    <w:rsid w:val="005C617A"/>
    <w:rsid w:val="006E7FE0"/>
    <w:rsid w:val="007441B8"/>
    <w:rsid w:val="0075337F"/>
    <w:rsid w:val="007A42BA"/>
    <w:rsid w:val="008305E1"/>
    <w:rsid w:val="008B6AD1"/>
    <w:rsid w:val="008C5A23"/>
    <w:rsid w:val="008F14C3"/>
    <w:rsid w:val="009225E7"/>
    <w:rsid w:val="0097473A"/>
    <w:rsid w:val="00997A00"/>
    <w:rsid w:val="009C35DC"/>
    <w:rsid w:val="00A30121"/>
    <w:rsid w:val="00B72B85"/>
    <w:rsid w:val="00B925D1"/>
    <w:rsid w:val="00BC3C6E"/>
    <w:rsid w:val="00C36B5B"/>
    <w:rsid w:val="00D743B5"/>
    <w:rsid w:val="00DE5384"/>
    <w:rsid w:val="00E35822"/>
    <w:rsid w:val="00E64BFF"/>
    <w:rsid w:val="00F32166"/>
    <w:rsid w:val="00FB1A0F"/>
    <w:rsid w:val="018127EE"/>
    <w:rsid w:val="01A4698D"/>
    <w:rsid w:val="01AA1AC9"/>
    <w:rsid w:val="01F80A87"/>
    <w:rsid w:val="021A09FD"/>
    <w:rsid w:val="023A530D"/>
    <w:rsid w:val="02652F99"/>
    <w:rsid w:val="028C2F57"/>
    <w:rsid w:val="02FF17CC"/>
    <w:rsid w:val="032255CB"/>
    <w:rsid w:val="0374413D"/>
    <w:rsid w:val="03873A94"/>
    <w:rsid w:val="03D16D75"/>
    <w:rsid w:val="0410030A"/>
    <w:rsid w:val="049241B7"/>
    <w:rsid w:val="04AE18D1"/>
    <w:rsid w:val="04AE60AB"/>
    <w:rsid w:val="04B942F4"/>
    <w:rsid w:val="04BF2C00"/>
    <w:rsid w:val="05461B09"/>
    <w:rsid w:val="057E12A3"/>
    <w:rsid w:val="058C7E64"/>
    <w:rsid w:val="05A625A8"/>
    <w:rsid w:val="05B66C8F"/>
    <w:rsid w:val="06301F59"/>
    <w:rsid w:val="06640499"/>
    <w:rsid w:val="06B22DB6"/>
    <w:rsid w:val="06E4288E"/>
    <w:rsid w:val="07126147"/>
    <w:rsid w:val="071E2D3E"/>
    <w:rsid w:val="073F0F06"/>
    <w:rsid w:val="074676D6"/>
    <w:rsid w:val="075157E3"/>
    <w:rsid w:val="07BC60B3"/>
    <w:rsid w:val="07BD64DF"/>
    <w:rsid w:val="07CF5DE6"/>
    <w:rsid w:val="08C54B35"/>
    <w:rsid w:val="08FA7E97"/>
    <w:rsid w:val="08FE0A13"/>
    <w:rsid w:val="092F7FCE"/>
    <w:rsid w:val="09433D1A"/>
    <w:rsid w:val="094445B2"/>
    <w:rsid w:val="0966277A"/>
    <w:rsid w:val="09707B14"/>
    <w:rsid w:val="097924AD"/>
    <w:rsid w:val="097C7EC3"/>
    <w:rsid w:val="09B35A64"/>
    <w:rsid w:val="09B55410"/>
    <w:rsid w:val="0A2A37A7"/>
    <w:rsid w:val="0A4F320E"/>
    <w:rsid w:val="0AB13EC9"/>
    <w:rsid w:val="0AB87005"/>
    <w:rsid w:val="0B04224A"/>
    <w:rsid w:val="0B4A355A"/>
    <w:rsid w:val="0B582596"/>
    <w:rsid w:val="0B6158EF"/>
    <w:rsid w:val="0BC35C62"/>
    <w:rsid w:val="0C217FB9"/>
    <w:rsid w:val="0CBA3508"/>
    <w:rsid w:val="0CDC5714"/>
    <w:rsid w:val="0CFE2CC9"/>
    <w:rsid w:val="0D0429D6"/>
    <w:rsid w:val="0D091D9A"/>
    <w:rsid w:val="0D397A5A"/>
    <w:rsid w:val="0D556D8D"/>
    <w:rsid w:val="0DA675E9"/>
    <w:rsid w:val="0DAD4E1B"/>
    <w:rsid w:val="0DC7755F"/>
    <w:rsid w:val="0E320E7D"/>
    <w:rsid w:val="0E4B1F3E"/>
    <w:rsid w:val="0EB67D00"/>
    <w:rsid w:val="0EE859DF"/>
    <w:rsid w:val="0F503CB0"/>
    <w:rsid w:val="0F9A771C"/>
    <w:rsid w:val="0FA20284"/>
    <w:rsid w:val="0FD20B69"/>
    <w:rsid w:val="0FD85A54"/>
    <w:rsid w:val="10022AD1"/>
    <w:rsid w:val="10341E1C"/>
    <w:rsid w:val="10533B3A"/>
    <w:rsid w:val="10572E1C"/>
    <w:rsid w:val="10AA5642"/>
    <w:rsid w:val="10C7659F"/>
    <w:rsid w:val="111A61E1"/>
    <w:rsid w:val="113A4C18"/>
    <w:rsid w:val="113B2DA0"/>
    <w:rsid w:val="114D677E"/>
    <w:rsid w:val="116D3474"/>
    <w:rsid w:val="117A454A"/>
    <w:rsid w:val="11C52912"/>
    <w:rsid w:val="12113088"/>
    <w:rsid w:val="12301B77"/>
    <w:rsid w:val="12A045C5"/>
    <w:rsid w:val="12B80982"/>
    <w:rsid w:val="12D55CE4"/>
    <w:rsid w:val="12DD1CFF"/>
    <w:rsid w:val="13217712"/>
    <w:rsid w:val="13573133"/>
    <w:rsid w:val="13EB54F9"/>
    <w:rsid w:val="13EC7D20"/>
    <w:rsid w:val="14074B59"/>
    <w:rsid w:val="143F0797"/>
    <w:rsid w:val="144E2788"/>
    <w:rsid w:val="144E4536"/>
    <w:rsid w:val="14D56A06"/>
    <w:rsid w:val="154C6CC8"/>
    <w:rsid w:val="15530355"/>
    <w:rsid w:val="159E5049"/>
    <w:rsid w:val="15B50867"/>
    <w:rsid w:val="15F07F9B"/>
    <w:rsid w:val="15F86E50"/>
    <w:rsid w:val="1604435F"/>
    <w:rsid w:val="16157A01"/>
    <w:rsid w:val="16412C4F"/>
    <w:rsid w:val="173E7811"/>
    <w:rsid w:val="178A120B"/>
    <w:rsid w:val="17953E93"/>
    <w:rsid w:val="17E727FA"/>
    <w:rsid w:val="17EF7DDE"/>
    <w:rsid w:val="18C451BC"/>
    <w:rsid w:val="18FA3739"/>
    <w:rsid w:val="19140EF5"/>
    <w:rsid w:val="195725A1"/>
    <w:rsid w:val="19980116"/>
    <w:rsid w:val="19B64970"/>
    <w:rsid w:val="19CA465F"/>
    <w:rsid w:val="19D811F5"/>
    <w:rsid w:val="19D84FCE"/>
    <w:rsid w:val="19FB0CBC"/>
    <w:rsid w:val="1A172604"/>
    <w:rsid w:val="1A1B1E16"/>
    <w:rsid w:val="1A420699"/>
    <w:rsid w:val="1A7B1DFD"/>
    <w:rsid w:val="1AED4883"/>
    <w:rsid w:val="1AF2200F"/>
    <w:rsid w:val="1B3F4FA9"/>
    <w:rsid w:val="1BDB6FF7"/>
    <w:rsid w:val="1C4E1577"/>
    <w:rsid w:val="1C625023"/>
    <w:rsid w:val="1CB43366"/>
    <w:rsid w:val="1CBF2475"/>
    <w:rsid w:val="1CD84004"/>
    <w:rsid w:val="1CFD4D4B"/>
    <w:rsid w:val="1D271DC8"/>
    <w:rsid w:val="1D2D73DF"/>
    <w:rsid w:val="1D4961E3"/>
    <w:rsid w:val="1D752B34"/>
    <w:rsid w:val="1D862F93"/>
    <w:rsid w:val="1D8B67FB"/>
    <w:rsid w:val="1DFD108C"/>
    <w:rsid w:val="1E90231B"/>
    <w:rsid w:val="1EC24C8C"/>
    <w:rsid w:val="1EDD3086"/>
    <w:rsid w:val="1EEC5078"/>
    <w:rsid w:val="1F0979D8"/>
    <w:rsid w:val="1F1F0CF9"/>
    <w:rsid w:val="1F6F0182"/>
    <w:rsid w:val="1FBF614E"/>
    <w:rsid w:val="1FF22B62"/>
    <w:rsid w:val="1FFB4FB8"/>
    <w:rsid w:val="20465A95"/>
    <w:rsid w:val="206E043A"/>
    <w:rsid w:val="209D2ACD"/>
    <w:rsid w:val="20EA55E7"/>
    <w:rsid w:val="20F52909"/>
    <w:rsid w:val="217A1CED"/>
    <w:rsid w:val="21A30F4A"/>
    <w:rsid w:val="21AC5E36"/>
    <w:rsid w:val="21BF0821"/>
    <w:rsid w:val="21D101DA"/>
    <w:rsid w:val="21D267A7"/>
    <w:rsid w:val="220F17A9"/>
    <w:rsid w:val="224B10B0"/>
    <w:rsid w:val="22520A20"/>
    <w:rsid w:val="22856ADE"/>
    <w:rsid w:val="22F64717"/>
    <w:rsid w:val="231B2164"/>
    <w:rsid w:val="233D2346"/>
    <w:rsid w:val="23463304"/>
    <w:rsid w:val="23562E58"/>
    <w:rsid w:val="23582CDC"/>
    <w:rsid w:val="24AF4B7D"/>
    <w:rsid w:val="24F9229C"/>
    <w:rsid w:val="24FD7FDE"/>
    <w:rsid w:val="250255F5"/>
    <w:rsid w:val="252C6918"/>
    <w:rsid w:val="256242E5"/>
    <w:rsid w:val="256C6F12"/>
    <w:rsid w:val="259124D5"/>
    <w:rsid w:val="25C91C6F"/>
    <w:rsid w:val="25D23219"/>
    <w:rsid w:val="25E1520A"/>
    <w:rsid w:val="25E665E2"/>
    <w:rsid w:val="262A4E03"/>
    <w:rsid w:val="262B18C3"/>
    <w:rsid w:val="265C0D35"/>
    <w:rsid w:val="26D905D7"/>
    <w:rsid w:val="26FF5548"/>
    <w:rsid w:val="272555CB"/>
    <w:rsid w:val="276F4634"/>
    <w:rsid w:val="286F5690"/>
    <w:rsid w:val="28D0778C"/>
    <w:rsid w:val="28EC2844"/>
    <w:rsid w:val="28ED5768"/>
    <w:rsid w:val="28F60FCD"/>
    <w:rsid w:val="292E22DB"/>
    <w:rsid w:val="294C017B"/>
    <w:rsid w:val="29507635"/>
    <w:rsid w:val="2959155B"/>
    <w:rsid w:val="29CB461F"/>
    <w:rsid w:val="29CE5AA6"/>
    <w:rsid w:val="2A8645D2"/>
    <w:rsid w:val="2A8B3997"/>
    <w:rsid w:val="2AB23619"/>
    <w:rsid w:val="2AE232B1"/>
    <w:rsid w:val="2B585F6F"/>
    <w:rsid w:val="2B726905"/>
    <w:rsid w:val="2B8A00F2"/>
    <w:rsid w:val="2BA70CA4"/>
    <w:rsid w:val="2BDB094E"/>
    <w:rsid w:val="2BED3949"/>
    <w:rsid w:val="2C052EDC"/>
    <w:rsid w:val="2C520C10"/>
    <w:rsid w:val="2CF717B7"/>
    <w:rsid w:val="2D033C32"/>
    <w:rsid w:val="2D265D01"/>
    <w:rsid w:val="2D7626DC"/>
    <w:rsid w:val="2D9A3018"/>
    <w:rsid w:val="2DC16930"/>
    <w:rsid w:val="2DF21B43"/>
    <w:rsid w:val="2E1168A9"/>
    <w:rsid w:val="2E33112D"/>
    <w:rsid w:val="2E8C7518"/>
    <w:rsid w:val="2EC1468C"/>
    <w:rsid w:val="2F5126FB"/>
    <w:rsid w:val="2F661D69"/>
    <w:rsid w:val="2F7E1D1C"/>
    <w:rsid w:val="2F7E283A"/>
    <w:rsid w:val="2F860BD0"/>
    <w:rsid w:val="2FB4573E"/>
    <w:rsid w:val="2FD91469"/>
    <w:rsid w:val="2FEF6776"/>
    <w:rsid w:val="2FF65D56"/>
    <w:rsid w:val="2FF975F4"/>
    <w:rsid w:val="302503E9"/>
    <w:rsid w:val="30416508"/>
    <w:rsid w:val="30711881"/>
    <w:rsid w:val="307F5D4C"/>
    <w:rsid w:val="3082583C"/>
    <w:rsid w:val="309728D9"/>
    <w:rsid w:val="30C9346B"/>
    <w:rsid w:val="30D065A7"/>
    <w:rsid w:val="311E2BD7"/>
    <w:rsid w:val="313755DD"/>
    <w:rsid w:val="317F0E37"/>
    <w:rsid w:val="31975317"/>
    <w:rsid w:val="31994BEB"/>
    <w:rsid w:val="31B23A0E"/>
    <w:rsid w:val="31C003CA"/>
    <w:rsid w:val="31C12394"/>
    <w:rsid w:val="323D5EBE"/>
    <w:rsid w:val="32737B32"/>
    <w:rsid w:val="328533C1"/>
    <w:rsid w:val="32A36DF8"/>
    <w:rsid w:val="32BD2D68"/>
    <w:rsid w:val="32CF78F1"/>
    <w:rsid w:val="33266952"/>
    <w:rsid w:val="33477044"/>
    <w:rsid w:val="33552D94"/>
    <w:rsid w:val="337C2A16"/>
    <w:rsid w:val="33CB12A8"/>
    <w:rsid w:val="341E7629"/>
    <w:rsid w:val="34265CF0"/>
    <w:rsid w:val="34545741"/>
    <w:rsid w:val="34D50F94"/>
    <w:rsid w:val="34D92909"/>
    <w:rsid w:val="35063ED8"/>
    <w:rsid w:val="350E3B42"/>
    <w:rsid w:val="35411821"/>
    <w:rsid w:val="35550C3B"/>
    <w:rsid w:val="35656D09"/>
    <w:rsid w:val="359A3628"/>
    <w:rsid w:val="35A31149"/>
    <w:rsid w:val="360037B5"/>
    <w:rsid w:val="36327824"/>
    <w:rsid w:val="36737BCD"/>
    <w:rsid w:val="36AA64F4"/>
    <w:rsid w:val="36CD25AD"/>
    <w:rsid w:val="36D30B9F"/>
    <w:rsid w:val="36E65199"/>
    <w:rsid w:val="36FB00F6"/>
    <w:rsid w:val="3717474B"/>
    <w:rsid w:val="37A75B88"/>
    <w:rsid w:val="37D56B99"/>
    <w:rsid w:val="380A6843"/>
    <w:rsid w:val="385B628E"/>
    <w:rsid w:val="38887767"/>
    <w:rsid w:val="388F0AF6"/>
    <w:rsid w:val="38C369F1"/>
    <w:rsid w:val="38EC7CF6"/>
    <w:rsid w:val="38EF19B1"/>
    <w:rsid w:val="38F46ED0"/>
    <w:rsid w:val="393B1F83"/>
    <w:rsid w:val="397D3044"/>
    <w:rsid w:val="399F07E5"/>
    <w:rsid w:val="39C2500F"/>
    <w:rsid w:val="39C96289"/>
    <w:rsid w:val="39DC7D6B"/>
    <w:rsid w:val="39EE5CF0"/>
    <w:rsid w:val="3A654204"/>
    <w:rsid w:val="3A6A35C8"/>
    <w:rsid w:val="3ACA050B"/>
    <w:rsid w:val="3ACF78CF"/>
    <w:rsid w:val="3ADD50BB"/>
    <w:rsid w:val="3ADF24A2"/>
    <w:rsid w:val="3B3667C9"/>
    <w:rsid w:val="3B7019AF"/>
    <w:rsid w:val="3BCC2061"/>
    <w:rsid w:val="3BDF5CF7"/>
    <w:rsid w:val="3BEE0229"/>
    <w:rsid w:val="3BF55114"/>
    <w:rsid w:val="3C2809C3"/>
    <w:rsid w:val="3C300842"/>
    <w:rsid w:val="3C616C4D"/>
    <w:rsid w:val="3C7D7AB1"/>
    <w:rsid w:val="3C9E57AB"/>
    <w:rsid w:val="3CC316B6"/>
    <w:rsid w:val="3CCA057D"/>
    <w:rsid w:val="3CDD1AFD"/>
    <w:rsid w:val="3D333AD7"/>
    <w:rsid w:val="3D5E4F3B"/>
    <w:rsid w:val="3DA212CB"/>
    <w:rsid w:val="3DA54918"/>
    <w:rsid w:val="3DD5344F"/>
    <w:rsid w:val="3DED3697"/>
    <w:rsid w:val="3E117245"/>
    <w:rsid w:val="3E3068D7"/>
    <w:rsid w:val="3E3208A1"/>
    <w:rsid w:val="3E3A575D"/>
    <w:rsid w:val="3EB968CD"/>
    <w:rsid w:val="3EC040FF"/>
    <w:rsid w:val="3F0E1732"/>
    <w:rsid w:val="3F5D194E"/>
    <w:rsid w:val="3F713F31"/>
    <w:rsid w:val="3FE756BB"/>
    <w:rsid w:val="3FEC4A80"/>
    <w:rsid w:val="40792FA3"/>
    <w:rsid w:val="415D64DE"/>
    <w:rsid w:val="41847666"/>
    <w:rsid w:val="41923405"/>
    <w:rsid w:val="41982325"/>
    <w:rsid w:val="41C5246F"/>
    <w:rsid w:val="425C0DE0"/>
    <w:rsid w:val="42A7780B"/>
    <w:rsid w:val="42B639E7"/>
    <w:rsid w:val="42CE5496"/>
    <w:rsid w:val="430D7078"/>
    <w:rsid w:val="439E0787"/>
    <w:rsid w:val="43AF32DF"/>
    <w:rsid w:val="43B27D8E"/>
    <w:rsid w:val="43C04259"/>
    <w:rsid w:val="4450382F"/>
    <w:rsid w:val="4517259F"/>
    <w:rsid w:val="453273D9"/>
    <w:rsid w:val="453F180C"/>
    <w:rsid w:val="455C26A8"/>
    <w:rsid w:val="45667082"/>
    <w:rsid w:val="45905269"/>
    <w:rsid w:val="4592661E"/>
    <w:rsid w:val="45F94D3F"/>
    <w:rsid w:val="46192347"/>
    <w:rsid w:val="463A4797"/>
    <w:rsid w:val="4648427E"/>
    <w:rsid w:val="46690BD8"/>
    <w:rsid w:val="46C87FF5"/>
    <w:rsid w:val="46F02C34"/>
    <w:rsid w:val="47160F4D"/>
    <w:rsid w:val="471C0AE0"/>
    <w:rsid w:val="475A49C5"/>
    <w:rsid w:val="47653A95"/>
    <w:rsid w:val="478B2DD0"/>
    <w:rsid w:val="47CA1B4A"/>
    <w:rsid w:val="48A00AFD"/>
    <w:rsid w:val="495D2015"/>
    <w:rsid w:val="496F6A33"/>
    <w:rsid w:val="49991D28"/>
    <w:rsid w:val="49AF724A"/>
    <w:rsid w:val="49F16705"/>
    <w:rsid w:val="4A4F6337"/>
    <w:rsid w:val="4AAE12AF"/>
    <w:rsid w:val="4ABA5EC7"/>
    <w:rsid w:val="4AF55130"/>
    <w:rsid w:val="4B114FF9"/>
    <w:rsid w:val="4B426083"/>
    <w:rsid w:val="4C0F5D7E"/>
    <w:rsid w:val="4C7402D7"/>
    <w:rsid w:val="4C9149E5"/>
    <w:rsid w:val="4CFE5DF2"/>
    <w:rsid w:val="4D6640C3"/>
    <w:rsid w:val="4D810EFD"/>
    <w:rsid w:val="4DE568B7"/>
    <w:rsid w:val="4E035DB6"/>
    <w:rsid w:val="4E2D698F"/>
    <w:rsid w:val="4E353A96"/>
    <w:rsid w:val="4E5008D0"/>
    <w:rsid w:val="4E940EAA"/>
    <w:rsid w:val="4E942433"/>
    <w:rsid w:val="4F1C2E7C"/>
    <w:rsid w:val="4F563CC4"/>
    <w:rsid w:val="4FBC446F"/>
    <w:rsid w:val="4FDA1FB0"/>
    <w:rsid w:val="4FE90184"/>
    <w:rsid w:val="50487D45"/>
    <w:rsid w:val="50680152"/>
    <w:rsid w:val="50760AC1"/>
    <w:rsid w:val="50C8790C"/>
    <w:rsid w:val="51273B6A"/>
    <w:rsid w:val="513F5357"/>
    <w:rsid w:val="51443DCD"/>
    <w:rsid w:val="515D0341"/>
    <w:rsid w:val="516B614C"/>
    <w:rsid w:val="51786173"/>
    <w:rsid w:val="51D11D27"/>
    <w:rsid w:val="51E00B37"/>
    <w:rsid w:val="520B5935"/>
    <w:rsid w:val="52102850"/>
    <w:rsid w:val="5281374D"/>
    <w:rsid w:val="528154FB"/>
    <w:rsid w:val="52880638"/>
    <w:rsid w:val="52943481"/>
    <w:rsid w:val="52C35B14"/>
    <w:rsid w:val="52F45CCD"/>
    <w:rsid w:val="533B5A0C"/>
    <w:rsid w:val="53486019"/>
    <w:rsid w:val="534C5B09"/>
    <w:rsid w:val="534F73A8"/>
    <w:rsid w:val="53AC65A8"/>
    <w:rsid w:val="541A1362"/>
    <w:rsid w:val="54A95743"/>
    <w:rsid w:val="54B576DE"/>
    <w:rsid w:val="54EF492F"/>
    <w:rsid w:val="55275FF4"/>
    <w:rsid w:val="556C2493"/>
    <w:rsid w:val="557E5D22"/>
    <w:rsid w:val="55872E29"/>
    <w:rsid w:val="559F4616"/>
    <w:rsid w:val="55E62245"/>
    <w:rsid w:val="55E83420"/>
    <w:rsid w:val="55F97DD2"/>
    <w:rsid w:val="560E5F06"/>
    <w:rsid w:val="56265BD3"/>
    <w:rsid w:val="56562FEB"/>
    <w:rsid w:val="569C2904"/>
    <w:rsid w:val="569D234C"/>
    <w:rsid w:val="56D71A69"/>
    <w:rsid w:val="56FE711B"/>
    <w:rsid w:val="573610DF"/>
    <w:rsid w:val="57914433"/>
    <w:rsid w:val="579F6C1A"/>
    <w:rsid w:val="57CF2FF1"/>
    <w:rsid w:val="57FF75EE"/>
    <w:rsid w:val="58BD150F"/>
    <w:rsid w:val="59165E55"/>
    <w:rsid w:val="593908DE"/>
    <w:rsid w:val="59457283"/>
    <w:rsid w:val="59541256"/>
    <w:rsid w:val="597731B4"/>
    <w:rsid w:val="598D5E93"/>
    <w:rsid w:val="599B6EA3"/>
    <w:rsid w:val="59B12B6A"/>
    <w:rsid w:val="59CB1616"/>
    <w:rsid w:val="5A166E71"/>
    <w:rsid w:val="5AF96577"/>
    <w:rsid w:val="5B17727B"/>
    <w:rsid w:val="5B376423"/>
    <w:rsid w:val="5B5C08B4"/>
    <w:rsid w:val="5BA02E96"/>
    <w:rsid w:val="5BE34B31"/>
    <w:rsid w:val="5C3E620B"/>
    <w:rsid w:val="5C4F0418"/>
    <w:rsid w:val="5C5123E2"/>
    <w:rsid w:val="5C5D3D53"/>
    <w:rsid w:val="5C6B1F9F"/>
    <w:rsid w:val="5C8C0F8F"/>
    <w:rsid w:val="5CA34C23"/>
    <w:rsid w:val="5CEE2462"/>
    <w:rsid w:val="5D1963D4"/>
    <w:rsid w:val="5D504BA8"/>
    <w:rsid w:val="5D6132D5"/>
    <w:rsid w:val="5D9205BD"/>
    <w:rsid w:val="5DC566D1"/>
    <w:rsid w:val="5E1216FE"/>
    <w:rsid w:val="5E157EEA"/>
    <w:rsid w:val="5E3E6996"/>
    <w:rsid w:val="5E816429"/>
    <w:rsid w:val="5E9D3904"/>
    <w:rsid w:val="5ED13367"/>
    <w:rsid w:val="5EE44E48"/>
    <w:rsid w:val="5EEC63F2"/>
    <w:rsid w:val="5EFF6126"/>
    <w:rsid w:val="5F5D4BFA"/>
    <w:rsid w:val="5F6D12E1"/>
    <w:rsid w:val="5F6E2A90"/>
    <w:rsid w:val="5FBE7D8F"/>
    <w:rsid w:val="5FF05A6E"/>
    <w:rsid w:val="5FF91718"/>
    <w:rsid w:val="601D2D07"/>
    <w:rsid w:val="602120CC"/>
    <w:rsid w:val="60363DC9"/>
    <w:rsid w:val="604638E0"/>
    <w:rsid w:val="60940AF0"/>
    <w:rsid w:val="60966616"/>
    <w:rsid w:val="609D5BF6"/>
    <w:rsid w:val="60A01243"/>
    <w:rsid w:val="60C2565D"/>
    <w:rsid w:val="60FB0B6F"/>
    <w:rsid w:val="61475B62"/>
    <w:rsid w:val="617E2342"/>
    <w:rsid w:val="61A261EF"/>
    <w:rsid w:val="61A51E1D"/>
    <w:rsid w:val="620A12CA"/>
    <w:rsid w:val="6283185C"/>
    <w:rsid w:val="634265E1"/>
    <w:rsid w:val="63E61662"/>
    <w:rsid w:val="642A59F3"/>
    <w:rsid w:val="645B3DFE"/>
    <w:rsid w:val="64874BF3"/>
    <w:rsid w:val="64E57851"/>
    <w:rsid w:val="65293EFC"/>
    <w:rsid w:val="653B3C30"/>
    <w:rsid w:val="65515201"/>
    <w:rsid w:val="65962C14"/>
    <w:rsid w:val="661E50E3"/>
    <w:rsid w:val="662C1D3F"/>
    <w:rsid w:val="671E1113"/>
    <w:rsid w:val="67811660"/>
    <w:rsid w:val="67CE7AFB"/>
    <w:rsid w:val="682C2166"/>
    <w:rsid w:val="684702DD"/>
    <w:rsid w:val="68B735CD"/>
    <w:rsid w:val="68BA0AFA"/>
    <w:rsid w:val="68C53F3C"/>
    <w:rsid w:val="68E1798E"/>
    <w:rsid w:val="68E51EE8"/>
    <w:rsid w:val="69256789"/>
    <w:rsid w:val="694035C3"/>
    <w:rsid w:val="697A703D"/>
    <w:rsid w:val="699658D9"/>
    <w:rsid w:val="69BF430A"/>
    <w:rsid w:val="6A152CA1"/>
    <w:rsid w:val="6A301889"/>
    <w:rsid w:val="6A4946F9"/>
    <w:rsid w:val="6A707ED8"/>
    <w:rsid w:val="6ABC5F37"/>
    <w:rsid w:val="6AE85CC0"/>
    <w:rsid w:val="6B1116BB"/>
    <w:rsid w:val="6B255559"/>
    <w:rsid w:val="6B3C600C"/>
    <w:rsid w:val="6B8974A3"/>
    <w:rsid w:val="6BB8314C"/>
    <w:rsid w:val="6BD44496"/>
    <w:rsid w:val="6C4B6506"/>
    <w:rsid w:val="6C691082"/>
    <w:rsid w:val="6C7E27ED"/>
    <w:rsid w:val="6C922387"/>
    <w:rsid w:val="6C937EAD"/>
    <w:rsid w:val="6CA32F55"/>
    <w:rsid w:val="6D2A6A64"/>
    <w:rsid w:val="6D486EEA"/>
    <w:rsid w:val="6D526EEE"/>
    <w:rsid w:val="6D5835D1"/>
    <w:rsid w:val="6D7D3037"/>
    <w:rsid w:val="6DA2484C"/>
    <w:rsid w:val="6DA560EA"/>
    <w:rsid w:val="6DB66549"/>
    <w:rsid w:val="6E0E3C8F"/>
    <w:rsid w:val="6E4E094B"/>
    <w:rsid w:val="6E761835"/>
    <w:rsid w:val="6EA165BF"/>
    <w:rsid w:val="6EB26D11"/>
    <w:rsid w:val="6EC16F54"/>
    <w:rsid w:val="6EE964AB"/>
    <w:rsid w:val="6F6376FF"/>
    <w:rsid w:val="6F7B35A7"/>
    <w:rsid w:val="6FA46CEA"/>
    <w:rsid w:val="6FF375E1"/>
    <w:rsid w:val="70115CB9"/>
    <w:rsid w:val="702E0619"/>
    <w:rsid w:val="703C0167"/>
    <w:rsid w:val="7056191E"/>
    <w:rsid w:val="7058531A"/>
    <w:rsid w:val="705F6A24"/>
    <w:rsid w:val="706A53C9"/>
    <w:rsid w:val="71630796"/>
    <w:rsid w:val="71E57CD8"/>
    <w:rsid w:val="72126D4C"/>
    <w:rsid w:val="725D51E5"/>
    <w:rsid w:val="72DB72A3"/>
    <w:rsid w:val="73012015"/>
    <w:rsid w:val="73102258"/>
    <w:rsid w:val="73816170"/>
    <w:rsid w:val="73A11102"/>
    <w:rsid w:val="73AF03FD"/>
    <w:rsid w:val="73DE5EB2"/>
    <w:rsid w:val="741C4C2C"/>
    <w:rsid w:val="74A7099A"/>
    <w:rsid w:val="74CD6F79"/>
    <w:rsid w:val="74E219D2"/>
    <w:rsid w:val="750A51C1"/>
    <w:rsid w:val="752B5127"/>
    <w:rsid w:val="75530B22"/>
    <w:rsid w:val="75954C96"/>
    <w:rsid w:val="766905FD"/>
    <w:rsid w:val="76D11CFE"/>
    <w:rsid w:val="76E060E7"/>
    <w:rsid w:val="76FA1255"/>
    <w:rsid w:val="77383B2B"/>
    <w:rsid w:val="77495D38"/>
    <w:rsid w:val="7803238B"/>
    <w:rsid w:val="78144598"/>
    <w:rsid w:val="788039DC"/>
    <w:rsid w:val="78BD69DE"/>
    <w:rsid w:val="78D42106"/>
    <w:rsid w:val="78E75809"/>
    <w:rsid w:val="78F80D78"/>
    <w:rsid w:val="799139C7"/>
    <w:rsid w:val="7A3525A4"/>
    <w:rsid w:val="7A7E03EF"/>
    <w:rsid w:val="7B1D3764"/>
    <w:rsid w:val="7B230961"/>
    <w:rsid w:val="7B430CF1"/>
    <w:rsid w:val="7B6A2721"/>
    <w:rsid w:val="7BBF55AB"/>
    <w:rsid w:val="7C226FF3"/>
    <w:rsid w:val="7C584880"/>
    <w:rsid w:val="7C662EE9"/>
    <w:rsid w:val="7C7E0232"/>
    <w:rsid w:val="7CE63A60"/>
    <w:rsid w:val="7CF160B0"/>
    <w:rsid w:val="7D171B39"/>
    <w:rsid w:val="7D592A4D"/>
    <w:rsid w:val="7D5B39DC"/>
    <w:rsid w:val="7D7D673C"/>
    <w:rsid w:val="7DB5257B"/>
    <w:rsid w:val="7DCF4ABD"/>
    <w:rsid w:val="7E5D6B27"/>
    <w:rsid w:val="7E855D33"/>
    <w:rsid w:val="7EAF0B77"/>
    <w:rsid w:val="7EF03305"/>
    <w:rsid w:val="7F015C77"/>
    <w:rsid w:val="7F1E3F4E"/>
    <w:rsid w:val="7F1E7AAB"/>
    <w:rsid w:val="7F945FBF"/>
    <w:rsid w:val="7F963AE5"/>
    <w:rsid w:val="7FC76F08"/>
    <w:rsid w:val="7FF56A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4"/>
    <w:next w:val="1"/>
    <w:autoRedefine/>
    <w:qFormat/>
    <w:uiPriority w:val="0"/>
    <w:pPr>
      <w:widowControl/>
      <w:spacing w:before="480" w:line="276" w:lineRule="auto"/>
      <w:outlineLvl w:val="0"/>
    </w:pPr>
    <w:rPr>
      <w:color w:val="365F91"/>
      <w:sz w:val="28"/>
      <w:szCs w:val="28"/>
    </w:rPr>
  </w:style>
  <w:style w:type="paragraph" w:styleId="5">
    <w:name w:val="heading 2"/>
    <w:basedOn w:val="1"/>
    <w:next w:val="1"/>
    <w:autoRedefine/>
    <w:semiHidden/>
    <w:unhideWhenUsed/>
    <w:qFormat/>
    <w:uiPriority w:val="0"/>
    <w:pPr>
      <w:outlineLvl w:val="1"/>
    </w:pPr>
    <w:rPr>
      <w:sz w:val="36"/>
      <w:szCs w:val="36"/>
    </w:rPr>
  </w:style>
  <w:style w:type="paragraph" w:styleId="4">
    <w:name w:val="heading 3"/>
    <w:basedOn w:val="1"/>
    <w:next w:val="1"/>
    <w:autoRedefine/>
    <w:semiHidden/>
    <w:unhideWhenUsed/>
    <w:qFormat/>
    <w:uiPriority w:val="0"/>
    <w:pPr>
      <w:spacing w:beforeAutospacing="1" w:afterAutospacing="1"/>
      <w:jc w:val="left"/>
      <w:outlineLvl w:val="2"/>
    </w:pPr>
    <w:rPr>
      <w:rFonts w:hint="eastAsia" w:ascii="宋体" w:hAnsi="宋体" w:cs="Times New Roman"/>
      <w:kern w:val="0"/>
      <w:sz w:val="27"/>
      <w:szCs w:val="27"/>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unhideWhenUsed/>
    <w:qFormat/>
    <w:uiPriority w:val="39"/>
  </w:style>
  <w:style w:type="paragraph" w:styleId="7">
    <w:name w:val="index 8"/>
    <w:basedOn w:val="1"/>
    <w:next w:val="1"/>
    <w:autoRedefine/>
    <w:qFormat/>
    <w:uiPriority w:val="0"/>
    <w:pPr>
      <w:ind w:left="2940"/>
    </w:pPr>
  </w:style>
  <w:style w:type="paragraph" w:styleId="8">
    <w:name w:val="Normal Indent"/>
    <w:basedOn w:val="1"/>
    <w:next w:val="1"/>
    <w:autoRedefine/>
    <w:qFormat/>
    <w:uiPriority w:val="0"/>
    <w:pPr>
      <w:ind w:firstLine="420"/>
    </w:pPr>
  </w:style>
  <w:style w:type="paragraph" w:styleId="9">
    <w:name w:val="annotation text"/>
    <w:basedOn w:val="1"/>
    <w:autoRedefine/>
    <w:qFormat/>
    <w:uiPriority w:val="99"/>
    <w:pPr>
      <w:jc w:val="left"/>
    </w:pPr>
  </w:style>
  <w:style w:type="paragraph" w:styleId="10">
    <w:name w:val="Body Text"/>
    <w:basedOn w:val="1"/>
    <w:next w:val="1"/>
    <w:autoRedefine/>
    <w:qFormat/>
    <w:uiPriority w:val="0"/>
    <w:pPr>
      <w:autoSpaceDE w:val="0"/>
      <w:autoSpaceDN w:val="0"/>
      <w:jc w:val="left"/>
    </w:pPr>
    <w:rPr>
      <w:rFonts w:ascii="宋体" w:hAnsi="宋体"/>
      <w:kern w:val="0"/>
      <w:sz w:val="32"/>
      <w:szCs w:val="32"/>
    </w:rPr>
  </w:style>
  <w:style w:type="paragraph" w:styleId="11">
    <w:name w:val="Body Text Indent"/>
    <w:basedOn w:val="1"/>
    <w:next w:val="12"/>
    <w:autoRedefine/>
    <w:qFormat/>
    <w:uiPriority w:val="0"/>
    <w:pPr>
      <w:tabs>
        <w:tab w:val="left" w:pos="72"/>
      </w:tabs>
      <w:ind w:firstLine="480" w:firstLineChars="200"/>
      <w:jc w:val="center"/>
    </w:pPr>
    <w:rPr>
      <w:sz w:val="24"/>
    </w:rPr>
  </w:style>
  <w:style w:type="paragraph" w:styleId="12">
    <w:name w:val="envelope return"/>
    <w:basedOn w:val="1"/>
    <w:autoRedefine/>
    <w:qFormat/>
    <w:uiPriority w:val="0"/>
    <w:pPr>
      <w:widowControl/>
    </w:pPr>
    <w:rPr>
      <w:rFonts w:ascii="Arial" w:hAnsi="Arial" w:eastAsia="Arial"/>
      <w:sz w:val="20"/>
    </w:rPr>
  </w:style>
  <w:style w:type="paragraph" w:styleId="13">
    <w:name w:val="Plain Text"/>
    <w:basedOn w:val="1"/>
    <w:next w:val="7"/>
    <w:autoRedefine/>
    <w:qFormat/>
    <w:uiPriority w:val="0"/>
    <w:rPr>
      <w:rFonts w:hint="eastAsia" w:ascii="宋体" w:hAnsi="Courier New"/>
      <w:kern w:val="0"/>
      <w:sz w:val="20"/>
      <w:szCs w:val="21"/>
    </w:rPr>
  </w:style>
  <w:style w:type="paragraph" w:styleId="14">
    <w:name w:val="Balloon Text"/>
    <w:basedOn w:val="1"/>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footnote text"/>
    <w:basedOn w:val="1"/>
    <w:autoRedefine/>
    <w:qFormat/>
    <w:uiPriority w:val="0"/>
    <w:pPr>
      <w:snapToGrid w:val="0"/>
      <w:jc w:val="left"/>
    </w:pPr>
    <w:rPr>
      <w:sz w:val="18"/>
      <w:szCs w:val="18"/>
    </w:rPr>
  </w:style>
  <w:style w:type="paragraph" w:styleId="18">
    <w:name w:val="Body Text 2"/>
    <w:basedOn w:val="1"/>
    <w:autoRedefine/>
    <w:qFormat/>
    <w:uiPriority w:val="0"/>
    <w:pPr>
      <w:spacing w:line="360" w:lineRule="auto"/>
    </w:pPr>
    <w:rPr>
      <w:rFonts w:ascii="Times New Roman" w:hAnsi="Times New Roman"/>
      <w:kern w:val="0"/>
      <w:sz w:val="24"/>
    </w:rPr>
  </w:style>
  <w:style w:type="paragraph" w:styleId="19">
    <w:name w:val="Normal (Web)"/>
    <w:basedOn w:val="1"/>
    <w:autoRedefine/>
    <w:qFormat/>
    <w:uiPriority w:val="0"/>
    <w:pPr>
      <w:spacing w:beforeAutospacing="1" w:afterAutospacing="1"/>
      <w:jc w:val="left"/>
    </w:pPr>
    <w:rPr>
      <w:rFonts w:cs="Times New Roman"/>
      <w:kern w:val="0"/>
      <w:sz w:val="24"/>
    </w:rPr>
  </w:style>
  <w:style w:type="paragraph" w:styleId="20">
    <w:name w:val="Body Text First Indent 2"/>
    <w:basedOn w:val="11"/>
    <w:next w:val="1"/>
    <w:link w:val="38"/>
    <w:autoRedefine/>
    <w:qFormat/>
    <w:uiPriority w:val="0"/>
    <w:pPr>
      <w:spacing w:after="120"/>
      <w:ind w:left="420" w:leftChars="200"/>
    </w:pPr>
    <w:rPr>
      <w:szCs w:val="22"/>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autoRedefine/>
    <w:qFormat/>
    <w:uiPriority w:val="0"/>
    <w:rPr>
      <w:color w:val="0000FF"/>
      <w:u w:val="single"/>
    </w:rPr>
  </w:style>
  <w:style w:type="character" w:styleId="25">
    <w:name w:val="footnote reference"/>
    <w:autoRedefine/>
    <w:qFormat/>
    <w:uiPriority w:val="0"/>
    <w:rPr>
      <w:vertAlign w:val="superscript"/>
    </w:rPr>
  </w:style>
  <w:style w:type="paragraph" w:customStyle="1" w:styleId="26">
    <w:name w:val="_Style 1"/>
    <w:basedOn w:val="1"/>
    <w:next w:val="1"/>
    <w:autoRedefine/>
    <w:qFormat/>
    <w:uiPriority w:val="99"/>
    <w:pPr>
      <w:ind w:firstLine="420" w:firstLineChars="200"/>
    </w:pPr>
  </w:style>
  <w:style w:type="paragraph" w:customStyle="1" w:styleId="27">
    <w:name w:val="p0"/>
    <w:basedOn w:val="1"/>
    <w:autoRedefine/>
    <w:qFormat/>
    <w:uiPriority w:val="0"/>
    <w:pPr>
      <w:widowControl/>
    </w:pPr>
    <w:rPr>
      <w:kern w:val="0"/>
      <w:szCs w:val="21"/>
    </w:rPr>
  </w:style>
  <w:style w:type="paragraph" w:customStyle="1" w:styleId="28">
    <w:name w:val="列出段落1"/>
    <w:basedOn w:val="1"/>
    <w:autoRedefine/>
    <w:qFormat/>
    <w:uiPriority w:val="34"/>
    <w:pPr>
      <w:ind w:firstLine="420" w:firstLineChars="200"/>
    </w:pPr>
  </w:style>
  <w:style w:type="paragraph" w:customStyle="1" w:styleId="29">
    <w:name w:val="列出段落111"/>
    <w:basedOn w:val="1"/>
    <w:autoRedefine/>
    <w:qFormat/>
    <w:uiPriority w:val="0"/>
    <w:pPr>
      <w:ind w:firstLine="420" w:firstLineChars="200"/>
    </w:pPr>
  </w:style>
  <w:style w:type="character" w:customStyle="1" w:styleId="30">
    <w:name w:val="font31"/>
    <w:basedOn w:val="23"/>
    <w:autoRedefine/>
    <w:qFormat/>
    <w:uiPriority w:val="0"/>
    <w:rPr>
      <w:rFonts w:hint="eastAsia" w:ascii="宋体" w:hAnsi="宋体" w:eastAsia="宋体" w:cs="宋体"/>
      <w:color w:val="000000"/>
      <w:sz w:val="24"/>
      <w:szCs w:val="24"/>
      <w:u w:val="none"/>
    </w:rPr>
  </w:style>
  <w:style w:type="character" w:customStyle="1" w:styleId="31">
    <w:name w:val="font51"/>
    <w:basedOn w:val="23"/>
    <w:autoRedefine/>
    <w:qFormat/>
    <w:uiPriority w:val="0"/>
    <w:rPr>
      <w:rFonts w:hint="eastAsia" w:ascii="宋体" w:hAnsi="宋体" w:eastAsia="宋体" w:cs="宋体"/>
      <w:b/>
      <w:bCs/>
      <w:color w:val="FF0000"/>
      <w:sz w:val="24"/>
      <w:szCs w:val="24"/>
      <w:u w:val="none"/>
    </w:rPr>
  </w:style>
  <w:style w:type="paragraph" w:customStyle="1" w:styleId="32">
    <w:name w:val="表格文字"/>
    <w:basedOn w:val="1"/>
    <w:autoRedefine/>
    <w:qFormat/>
    <w:uiPriority w:val="0"/>
    <w:pPr>
      <w:spacing w:before="25" w:after="25"/>
      <w:jc w:val="left"/>
    </w:pPr>
    <w:rPr>
      <w:bCs/>
      <w:spacing w:val="10"/>
      <w:kern w:val="0"/>
      <w:sz w:val="24"/>
    </w:rPr>
  </w:style>
  <w:style w:type="paragraph" w:customStyle="1" w:styleId="33">
    <w:name w:val="纯文本1"/>
    <w:basedOn w:val="1"/>
    <w:autoRedefine/>
    <w:qFormat/>
    <w:uiPriority w:val="0"/>
    <w:pPr>
      <w:widowControl/>
      <w:adjustRightInd w:val="0"/>
      <w:snapToGrid w:val="0"/>
      <w:spacing w:after="200"/>
      <w:jc w:val="left"/>
    </w:pPr>
    <w:rPr>
      <w:rFonts w:ascii="宋体" w:hAnsi="Courier New" w:eastAsia="微软雅黑"/>
      <w:kern w:val="0"/>
      <w:sz w:val="22"/>
      <w:szCs w:val="20"/>
    </w:rPr>
  </w:style>
  <w:style w:type="paragraph" w:customStyle="1" w:styleId="34">
    <w:name w:val="列出段落11"/>
    <w:basedOn w:val="1"/>
    <w:autoRedefine/>
    <w:qFormat/>
    <w:uiPriority w:val="0"/>
    <w:pPr>
      <w:ind w:firstLine="420"/>
    </w:pPr>
  </w:style>
  <w:style w:type="paragraph" w:customStyle="1" w:styleId="35">
    <w:name w:val="样式2"/>
    <w:basedOn w:val="1"/>
    <w:autoRedefine/>
    <w:qFormat/>
    <w:uiPriority w:val="0"/>
    <w:rPr>
      <w:rFonts w:ascii="楷体_GB2312" w:eastAsia="楷体_GB2312"/>
      <w:color w:val="000000"/>
      <w:sz w:val="24"/>
    </w:rPr>
  </w:style>
  <w:style w:type="paragraph" w:customStyle="1" w:styleId="36">
    <w:name w:val="0级"/>
    <w:basedOn w:val="1"/>
    <w:autoRedefine/>
    <w:qFormat/>
    <w:uiPriority w:val="0"/>
    <w:pPr>
      <w:ind w:left="420" w:hanging="420"/>
    </w:pPr>
    <w:rPr>
      <w:rFonts w:ascii="宋体" w:hAnsi="宋体" w:cs="Times New Roman"/>
      <w:color w:val="000000"/>
      <w:szCs w:val="21"/>
    </w:rPr>
  </w:style>
  <w:style w:type="paragraph" w:styleId="37">
    <w:name w:val="List Paragraph"/>
    <w:basedOn w:val="1"/>
    <w:autoRedefine/>
    <w:unhideWhenUsed/>
    <w:qFormat/>
    <w:uiPriority w:val="99"/>
    <w:pPr>
      <w:ind w:firstLine="420" w:firstLineChars="200"/>
    </w:pPr>
  </w:style>
  <w:style w:type="character" w:customStyle="1" w:styleId="38">
    <w:name w:val="正文首行缩进 2 字符"/>
    <w:link w:val="20"/>
    <w:autoRedefine/>
    <w:qFormat/>
    <w:uiPriority w:val="0"/>
    <w:rPr>
      <w:szCs w:val="22"/>
    </w:rPr>
  </w:style>
  <w:style w:type="paragraph" w:customStyle="1" w:styleId="39">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40">
    <w:name w:val="fontstyle01"/>
    <w:basedOn w:val="23"/>
    <w:autoRedefine/>
    <w:qFormat/>
    <w:uiPriority w:val="0"/>
    <w:rPr>
      <w:rFonts w:hint="eastAsia" w:ascii="宋体" w:hAnsi="宋体" w:eastAsia="宋体" w:cs="宋体"/>
      <w:color w:val="000000"/>
      <w:sz w:val="24"/>
      <w:szCs w:val="24"/>
    </w:rPr>
  </w:style>
  <w:style w:type="character" w:customStyle="1" w:styleId="41">
    <w:name w:val="fontstyle21"/>
    <w:basedOn w:val="23"/>
    <w:autoRedefine/>
    <w:qFormat/>
    <w:uiPriority w:val="0"/>
    <w:rPr>
      <w:rFonts w:ascii="Wingdings" w:hAnsi="Wingdings" w:cs="Wingdings"/>
      <w:color w:val="000000"/>
      <w:sz w:val="24"/>
      <w:szCs w:val="24"/>
    </w:rPr>
  </w:style>
  <w:style w:type="paragraph" w:customStyle="1" w:styleId="42">
    <w:name w:val="列出段落3"/>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23519</Words>
  <Characters>24913</Characters>
  <Lines>20</Lines>
  <Paragraphs>39</Paragraphs>
  <TotalTime>15</TotalTime>
  <ScaleCrop>false</ScaleCrop>
  <LinksUpToDate>false</LinksUpToDate>
  <CharactersWithSpaces>25563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2024-02-19T04:27:00Z</dcterms:created>
  <dc:creator>Z-</dc:creator>
  <cp:lastModifiedBy>HyoQi</cp:lastModifiedBy>
  <cp:lastPrinted>2024-08-28T07:23:00Z</cp:lastPrinted>
  <dcterms:modified xsi:type="dcterms:W3CDTF">2024-08-28T08:29:24Z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2213EBC0EAF344768C79C37D8CF01724_13</vt:lpwstr>
  </property>
</Properties>
</file>