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_GB2312" w:hAnsi="仿宋_GB2312" w:eastAsia="仿宋_GB2312" w:cs="仿宋_GB2312"/>
          <w:b/>
          <w:bCs/>
          <w:highlight w:val="none"/>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-619760</wp:posOffset>
                </wp:positionV>
                <wp:extent cx="931545" cy="340360"/>
                <wp:effectExtent l="0" t="0" r="1905" b="2540"/>
                <wp:wrapNone/>
                <wp:docPr id="1" name="文本框 1"/>
                <wp:cNvGraphicFramePr/>
                <a:graphic xmlns:a="http://schemas.openxmlformats.org/drawingml/2006/main">
                  <a:graphicData uri="http://schemas.microsoft.com/office/word/2010/wordprocessingShape">
                    <wps:wsp>
                      <wps:cNvSpPr txBox="1"/>
                      <wps:spPr>
                        <a:xfrm>
                          <a:off x="1089025" y="712470"/>
                          <a:ext cx="931545" cy="340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48.8pt;height:26.8pt;width:73.35pt;z-index:251659264;mso-width-relative:page;mso-height-relative:page;" fillcolor="#FFFFFF [3201]" filled="t" stroked="f" coordsize="21600,21600" o:gfxdata="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fsO91QAA&#10;AAoBAAAPAAAAAAAAAAEAIAAAACIAAABkcnMvZG93bnJldi54bWxQSwECFAAUAAAACACHTuJAZB2H&#10;yVoCAACZBAAADgAAAAAAAAABACAAAAAkAQAAZHJzL2Uyb0RvYy54bWxQSwUGAAAAAAYABgBZAQAA&#10;8AUAAAAA&#10;">
                <v:fill on="t" focussize="0,0"/>
                <v:stroke on="f" weight="0.5pt"/>
                <v:imagedata o:title=""/>
                <o:lock v:ext="edit" aspectratio="f"/>
                <v:textbo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txbxContent>
                </v:textbox>
              </v:shape>
            </w:pict>
          </mc:Fallback>
        </mc:AlternateContent>
      </w:r>
      <w:r>
        <w:rPr>
          <w:rFonts w:hint="eastAsia" w:ascii="宋体" w:hAnsi="宋体"/>
          <w:szCs w:val="21"/>
          <w:highlight w:val="none"/>
          <w:lang w:val="en-US" w:eastAsia="zh-CN"/>
        </w:rPr>
        <w:t xml:space="preserve">    </w:t>
      </w:r>
      <w:bookmarkStart w:id="0" w:name="bookmark2"/>
      <w:bookmarkStart w:id="1" w:name="bookmark0"/>
      <w:bookmarkStart w:id="2" w:name="bookmark1"/>
      <w:r>
        <w:rPr>
          <w:rFonts w:hint="eastAsia" w:ascii="仿宋_GB2312" w:hAnsi="仿宋_GB2312" w:eastAsia="仿宋_GB2312" w:cs="仿宋_GB2312"/>
          <w:b/>
          <w:bCs/>
          <w:highlight w:val="none"/>
        </w:rPr>
        <w:t>合同编号：</w:t>
      </w:r>
    </w:p>
    <w:p>
      <w:pPr>
        <w:spacing w:line="400" w:lineRule="exact"/>
        <w:ind w:firstLine="422"/>
        <w:rPr>
          <w:rFonts w:hint="eastAsia" w:ascii="仿宋_GB2312" w:hAnsi="仿宋_GB2312" w:eastAsia="仿宋_GB2312" w:cs="仿宋_GB2312"/>
          <w:b/>
          <w:bCs/>
          <w:highlight w:val="none"/>
        </w:rPr>
      </w:pPr>
    </w:p>
    <w:p>
      <w:pPr>
        <w:spacing w:line="400" w:lineRule="exact"/>
        <w:ind w:firstLine="422"/>
        <w:rPr>
          <w:rFonts w:hint="eastAsia" w:ascii="仿宋_GB2312" w:hAnsi="仿宋_GB2312" w:eastAsia="仿宋_GB2312" w:cs="仿宋_GB2312"/>
          <w:b/>
          <w:bCs/>
          <w:highlight w:val="none"/>
        </w:rPr>
      </w:pPr>
    </w:p>
    <w:p>
      <w:pPr>
        <w:snapToGrid w:val="0"/>
        <w:ind w:firstLine="883"/>
        <w:jc w:val="center"/>
        <w:outlineLvl w:val="0"/>
        <w:rPr>
          <w:rFonts w:hint="eastAsia" w:ascii="仿宋_GB2312" w:hAnsi="仿宋_GB2312" w:eastAsia="仿宋_GB2312" w:cs="仿宋_GB2312"/>
          <w:b/>
          <w:sz w:val="44"/>
          <w:szCs w:val="44"/>
          <w:highlight w:val="none"/>
        </w:rPr>
      </w:pPr>
      <w:bookmarkStart w:id="3" w:name="Sixfuhexing9"/>
      <w:bookmarkEnd w:id="3"/>
    </w:p>
    <w:p>
      <w:pPr>
        <w:pStyle w:val="4"/>
        <w:ind w:firstLine="643"/>
        <w:rPr>
          <w:rFonts w:hint="eastAsia" w:ascii="仿宋_GB2312" w:hAnsi="仿宋_GB2312" w:eastAsia="仿宋_GB2312" w:cs="仿宋_GB2312"/>
          <w:highlight w:val="none"/>
        </w:rPr>
      </w:pPr>
    </w:p>
    <w:p>
      <w:pPr>
        <w:ind w:firstLine="420"/>
        <w:rPr>
          <w:rFonts w:hint="eastAsia" w:ascii="仿宋_GB2312" w:hAnsi="仿宋_GB2312" w:eastAsia="仿宋_GB2312" w:cs="仿宋_GB2312"/>
          <w:highlight w:val="none"/>
        </w:rPr>
      </w:pPr>
    </w:p>
    <w:p>
      <w:pPr>
        <w:snapToGrid w:val="0"/>
        <w:jc w:val="center"/>
        <w:outlineLvl w:val="0"/>
        <w:rPr>
          <w:rFonts w:hint="eastAsia" w:ascii="仿宋_GB2312" w:hAnsi="仿宋_GB2312" w:eastAsia="仿宋_GB2312" w:cs="仿宋_GB2312"/>
          <w:b/>
          <w:bCs/>
          <w:kern w:val="36"/>
          <w:sz w:val="52"/>
          <w:szCs w:val="52"/>
          <w:highlight w:val="none"/>
        </w:rPr>
      </w:pPr>
      <w:r>
        <w:rPr>
          <w:rFonts w:hint="eastAsia" w:ascii="仿宋_GB2312" w:hAnsi="仿宋_GB2312" w:eastAsia="仿宋_GB2312" w:cs="仿宋_GB2312"/>
          <w:b/>
          <w:bCs/>
          <w:kern w:val="36"/>
          <w:sz w:val="52"/>
          <w:szCs w:val="52"/>
          <w:highlight w:val="none"/>
          <w:lang w:val="en-US" w:eastAsia="zh-CN"/>
        </w:rPr>
        <w:t>定点</w:t>
      </w:r>
      <w:r>
        <w:rPr>
          <w:rFonts w:hint="eastAsia" w:ascii="仿宋_GB2312" w:hAnsi="仿宋_GB2312" w:cs="仿宋_GB2312"/>
          <w:b/>
          <w:bCs/>
          <w:kern w:val="36"/>
          <w:sz w:val="52"/>
          <w:szCs w:val="52"/>
          <w:highlight w:val="none"/>
          <w:lang w:val="en-US" w:eastAsia="zh-CN"/>
        </w:rPr>
        <w:t>投保</w:t>
      </w:r>
      <w:r>
        <w:rPr>
          <w:rFonts w:hint="eastAsia" w:ascii="仿宋_GB2312" w:hAnsi="仿宋_GB2312" w:eastAsia="仿宋_GB2312" w:cs="仿宋_GB2312"/>
          <w:b/>
          <w:bCs/>
          <w:kern w:val="36"/>
          <w:sz w:val="52"/>
          <w:szCs w:val="52"/>
          <w:highlight w:val="none"/>
          <w:lang w:val="en-US" w:eastAsia="zh-CN"/>
        </w:rPr>
        <w:t>服务</w:t>
      </w:r>
      <w:r>
        <w:rPr>
          <w:rFonts w:hint="eastAsia" w:ascii="仿宋_GB2312" w:hAnsi="仿宋_GB2312" w:eastAsia="仿宋_GB2312" w:cs="仿宋_GB2312"/>
          <w:b/>
          <w:bCs/>
          <w:kern w:val="36"/>
          <w:sz w:val="52"/>
          <w:szCs w:val="52"/>
          <w:highlight w:val="none"/>
        </w:rPr>
        <w:t>合同</w:t>
      </w:r>
    </w:p>
    <w:p>
      <w:pPr>
        <w:snapToGrid w:val="0"/>
        <w:ind w:firstLine="964"/>
        <w:jc w:val="center"/>
        <w:outlineLvl w:val="0"/>
        <w:rPr>
          <w:rFonts w:hint="eastAsia" w:ascii="仿宋_GB2312" w:hAnsi="仿宋_GB2312" w:eastAsia="仿宋_GB2312" w:cs="仿宋_GB2312"/>
          <w:b/>
          <w:bCs/>
          <w:kern w:val="36"/>
          <w:sz w:val="48"/>
          <w:szCs w:val="48"/>
          <w:highlight w:val="none"/>
        </w:rPr>
      </w:pPr>
    </w:p>
    <w:p>
      <w:pPr>
        <w:spacing w:line="720" w:lineRule="auto"/>
        <w:ind w:firstLine="883"/>
        <w:jc w:val="center"/>
        <w:rPr>
          <w:rFonts w:hint="eastAsia" w:ascii="仿宋_GB2312" w:hAnsi="仿宋_GB2312" w:eastAsia="仿宋_GB2312" w:cs="仿宋_GB2312"/>
          <w:b/>
          <w:sz w:val="44"/>
          <w:szCs w:val="44"/>
          <w:highlight w:val="none"/>
        </w:rPr>
      </w:pPr>
    </w:p>
    <w:p>
      <w:pPr>
        <w:spacing w:line="720" w:lineRule="auto"/>
        <w:ind w:firstLine="562"/>
        <w:jc w:val="center"/>
        <w:rPr>
          <w:rFonts w:hint="eastAsia" w:ascii="仿宋_GB2312" w:hAnsi="仿宋_GB2312" w:eastAsia="仿宋_GB2312" w:cs="仿宋_GB2312"/>
          <w:b/>
          <w:bCs/>
          <w:kern w:val="0"/>
          <w:sz w:val="28"/>
          <w:szCs w:val="28"/>
          <w:highlight w:val="none"/>
        </w:rPr>
      </w:pPr>
      <w:bookmarkStart w:id="4" w:name="_Toc260327127"/>
      <w:bookmarkEnd w:id="4"/>
      <w:bookmarkStart w:id="5" w:name="_Toc319652752"/>
      <w:bookmarkEnd w:id="5"/>
    </w:p>
    <w:p>
      <w:pPr>
        <w:spacing w:line="720" w:lineRule="auto"/>
        <w:ind w:firstLine="562"/>
        <w:rPr>
          <w:rFonts w:hint="eastAsia" w:ascii="仿宋_GB2312" w:hAnsi="仿宋_GB2312" w:eastAsia="仿宋_GB2312" w:cs="仿宋_GB2312"/>
          <w:b/>
          <w:bCs/>
          <w:kern w:val="0"/>
          <w:sz w:val="28"/>
          <w:szCs w:val="28"/>
          <w:highlight w:val="none"/>
          <w:u w:val="single"/>
        </w:rPr>
      </w:pPr>
    </w:p>
    <w:p>
      <w:pPr>
        <w:spacing w:line="720" w:lineRule="auto"/>
        <w:ind w:firstLine="1124" w:firstLineChars="400"/>
        <w:rPr>
          <w:rFonts w:hint="eastAsia" w:ascii="仿宋_GB2312" w:hAnsi="仿宋_GB2312" w:eastAsia="仿宋_GB2312" w:cs="仿宋_GB2312"/>
          <w:b/>
          <w:bCs/>
          <w:kern w:val="0"/>
          <w:sz w:val="28"/>
          <w:szCs w:val="28"/>
          <w:highlight w:val="none"/>
          <w:u w:val="single"/>
          <w:lang w:val="en-US" w:eastAsia="zh-CN"/>
        </w:rPr>
      </w:pPr>
      <w:r>
        <w:rPr>
          <w:rFonts w:hint="eastAsia" w:ascii="仿宋_GB2312" w:hAnsi="仿宋_GB2312" w:eastAsia="仿宋_GB2312" w:cs="仿宋_GB2312"/>
          <w:b/>
          <w:bCs/>
          <w:kern w:val="0"/>
          <w:sz w:val="28"/>
          <w:szCs w:val="28"/>
          <w:highlight w:val="none"/>
        </w:rPr>
        <w:t>甲方（服务采购方）：</w:t>
      </w:r>
    </w:p>
    <w:p>
      <w:pPr>
        <w:spacing w:line="720" w:lineRule="auto"/>
        <w:ind w:firstLine="1124" w:firstLineChars="400"/>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rPr>
        <w:t>乙方（服务提供方）：</w:t>
      </w:r>
    </w:p>
    <w:p>
      <w:pPr>
        <w:pStyle w:val="4"/>
        <w:ind w:firstLine="643"/>
        <w:rPr>
          <w:rFonts w:hint="eastAsia" w:ascii="仿宋_GB2312" w:hAnsi="仿宋_GB2312" w:eastAsia="仿宋_GB2312" w:cs="仿宋_GB2312"/>
          <w:highlight w:val="none"/>
        </w:rPr>
      </w:pPr>
      <w:bookmarkStart w:id="10" w:name="_GoBack"/>
      <w:bookmarkEnd w:id="10"/>
    </w:p>
    <w:p>
      <w:pPr>
        <w:spacing w:line="720" w:lineRule="auto"/>
        <w:ind w:firstLine="562"/>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 xml:space="preserve">签订日期：  </w:t>
      </w:r>
      <w:r>
        <w:rPr>
          <w:rFonts w:hint="eastAsia" w:ascii="仿宋_GB2312" w:hAnsi="仿宋_GB2312" w:eastAsia="仿宋_GB2312" w:cs="仿宋_GB2312"/>
          <w:b/>
          <w:bCs/>
          <w:kern w:val="0"/>
          <w:sz w:val="28"/>
          <w:szCs w:val="28"/>
          <w:highlight w:val="none"/>
          <w:lang w:val="en-US" w:eastAsia="zh-CN"/>
        </w:rPr>
        <w:t xml:space="preserve"> </w:t>
      </w:r>
      <w:r>
        <w:rPr>
          <w:rFonts w:hint="eastAsia" w:ascii="仿宋_GB2312" w:hAnsi="仿宋_GB2312" w:eastAsia="仿宋_GB2312" w:cs="仿宋_GB2312"/>
          <w:b/>
          <w:bCs/>
          <w:kern w:val="0"/>
          <w:sz w:val="28"/>
          <w:szCs w:val="28"/>
          <w:highlight w:val="none"/>
        </w:rPr>
        <w:t xml:space="preserve"> 年 </w:t>
      </w:r>
      <w:r>
        <w:rPr>
          <w:rFonts w:hint="eastAsia" w:ascii="仿宋_GB2312" w:hAnsi="仿宋_GB2312" w:eastAsia="仿宋_GB2312" w:cs="仿宋_GB2312"/>
          <w:b/>
          <w:bCs/>
          <w:kern w:val="0"/>
          <w:sz w:val="28"/>
          <w:szCs w:val="28"/>
          <w:highlight w:val="none"/>
          <w:lang w:val="en-US" w:eastAsia="zh-CN"/>
        </w:rPr>
        <w:t xml:space="preserve"> </w:t>
      </w:r>
      <w:r>
        <w:rPr>
          <w:rFonts w:hint="eastAsia" w:ascii="仿宋_GB2312" w:hAnsi="仿宋_GB2312" w:eastAsia="仿宋_GB2312" w:cs="仿宋_GB2312"/>
          <w:b/>
          <w:bCs/>
          <w:kern w:val="0"/>
          <w:sz w:val="28"/>
          <w:szCs w:val="28"/>
          <w:highlight w:val="none"/>
        </w:rPr>
        <w:t xml:space="preserve"> 月 </w:t>
      </w:r>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color w:val="auto"/>
          <w:kern w:val="0"/>
          <w:sz w:val="28"/>
          <w:szCs w:val="28"/>
          <w:highlight w:val="none"/>
          <w:u w:val="single"/>
          <w:lang w:val="en-US" w:eastAsia="zh-CN"/>
        </w:rPr>
      </w:pPr>
      <w:r>
        <w:rPr>
          <w:rFonts w:hint="eastAsia" w:ascii="仿宋_GB2312" w:hAnsi="仿宋_GB2312" w:eastAsia="仿宋_GB2312" w:cs="仿宋_GB2312"/>
          <w:b/>
          <w:bCs/>
          <w:color w:val="auto"/>
          <w:kern w:val="0"/>
          <w:sz w:val="28"/>
          <w:szCs w:val="28"/>
          <w:highlight w:val="none"/>
        </w:rPr>
        <w:t>甲方（服务采购方）：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color w:val="auto"/>
          <w:kern w:val="0"/>
          <w:sz w:val="28"/>
          <w:szCs w:val="28"/>
          <w:highlight w:val="none"/>
        </w:rPr>
      </w:pP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kern w:val="0"/>
          <w:sz w:val="28"/>
          <w:szCs w:val="28"/>
          <w:highlight w:val="none"/>
        </w:rPr>
        <w:t>乙方（服务提供方）：</w:t>
      </w:r>
      <w:r>
        <w:rPr>
          <w:rFonts w:hint="eastAsia" w:ascii="仿宋_GB2312" w:hAnsi="仿宋_GB2312" w:eastAsia="仿宋_GB2312" w:cs="仿宋_GB2312"/>
          <w:b/>
          <w:bCs/>
          <w:color w:val="auto"/>
          <w:sz w:val="28"/>
          <w:szCs w:val="28"/>
          <w:highlight w:val="non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0" w:firstLineChars="200"/>
        <w:jc w:val="both"/>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auto"/>
          <w:sz w:val="28"/>
          <w:szCs w:val="28"/>
          <w:highlight w:val="none"/>
          <w:lang w:val="en-US" w:eastAsia="zh-CN"/>
        </w:rPr>
        <w:t>2024</w:t>
      </w:r>
      <w:r>
        <w:rPr>
          <w:rFonts w:hint="eastAsia" w:ascii="仿宋_GB2312" w:hAnsi="仿宋_GB2312" w:eastAsia="仿宋_GB2312" w:cs="仿宋_GB2312"/>
          <w:color w:val="auto"/>
          <w:sz w:val="28"/>
          <w:szCs w:val="28"/>
          <w:highlight w:val="none"/>
          <w:lang w:val="zh-CN"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日，甲方以公开遴选方式对</w:t>
      </w:r>
      <w:r>
        <w:rPr>
          <w:rFonts w:hint="eastAsia" w:ascii="仿宋_GB2312" w:hAnsi="仿宋_GB2312" w:eastAsia="仿宋_GB2312" w:cs="仿宋_GB2312"/>
          <w:color w:val="auto"/>
          <w:sz w:val="28"/>
          <w:szCs w:val="28"/>
          <w:highlight w:val="none"/>
          <w:u w:val="single"/>
          <w:lang w:val="zh-CN" w:eastAsia="zh-CN"/>
        </w:rPr>
        <w:t>深圳市龙岗区城市建设投资集团有限公司本部及辖属企业公务车辆定点投保服务项目</w:t>
      </w:r>
      <w:r>
        <w:rPr>
          <w:rFonts w:hint="eastAsia" w:ascii="仿宋_GB2312" w:hAnsi="仿宋_GB2312" w:eastAsia="仿宋_GB2312" w:cs="仿宋_GB2312"/>
          <w:color w:val="auto"/>
          <w:sz w:val="28"/>
          <w:szCs w:val="28"/>
          <w:highlight w:val="none"/>
          <w:lang w:val="zh-CN" w:eastAsia="zh-CN"/>
        </w:rPr>
        <w:t>进行了采购。经深圳市龙岗区城市建设投资集团有限公司评审小组评定，乙方为该项目中标服务商。根据《中华人民共和国民法典》《中华人民共和国政府采购法》等相关法律法规之规定，按照平等、自愿、公平和诚实信用的原则，经甲方和乙方协商一致，约定以下合同</w:t>
      </w:r>
      <w:r>
        <w:rPr>
          <w:rFonts w:hint="eastAsia" w:ascii="仿宋_GB2312" w:hAnsi="仿宋_GB2312" w:eastAsia="仿宋_GB2312" w:cs="仿宋_GB2312"/>
          <w:color w:val="auto"/>
          <w:sz w:val="28"/>
          <w:szCs w:val="28"/>
          <w:highlight w:val="none"/>
          <w:lang w:eastAsia="zh-CN"/>
        </w:rPr>
        <w:t>条款，以兹共同遵守、全面履行。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下述文件是构成合同不可分割的部分</w:t>
      </w:r>
      <w:bookmarkStart w:id="6" w:name="bookmark4"/>
      <w:bookmarkEnd w:id="6"/>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（一）本合同；</w:t>
      </w:r>
      <w:bookmarkStart w:id="7" w:name="bookmark5"/>
      <w:bookmarkEnd w:id="7"/>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（二）招标公告；</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leftChars="0" w:right="0" w:rightChars="0" w:firstLine="560" w:firstLineChars="200"/>
        <w:jc w:val="both"/>
        <w:textAlignment w:val="auto"/>
        <w:rPr>
          <w:rFonts w:hint="eastAsia" w:ascii="仿宋_GB2312" w:hAnsi="仿宋_GB2312" w:eastAsia="仿宋_GB2312" w:cs="仿宋_GB2312"/>
          <w:b/>
          <w:bCs/>
          <w:sz w:val="28"/>
          <w:szCs w:val="28"/>
          <w:highlight w:val="none"/>
        </w:rPr>
      </w:pPr>
      <w:bookmarkStart w:id="8" w:name="bookmark7"/>
      <w:bookmarkEnd w:id="8"/>
      <w:bookmarkStart w:id="9" w:name="bookmark6"/>
      <w:bookmarkEnd w:id="9"/>
      <w:r>
        <w:rPr>
          <w:rFonts w:hint="eastAsia" w:ascii="仿宋_GB2312" w:hAnsi="仿宋_GB2312" w:eastAsia="仿宋_GB2312" w:cs="仿宋_GB2312"/>
          <w:color w:val="auto"/>
          <w:sz w:val="28"/>
          <w:szCs w:val="28"/>
          <w:highlight w:val="none"/>
          <w:lang w:val="zh-CN" w:eastAsia="zh-CN"/>
        </w:rPr>
        <w:t>上述文件应认为是互为补充和解释，若有不明确及不一致之处，以上面所列顺序在前者为准。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第一条  承保项目内容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1、投保车辆范围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甲方机动车辆保险。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投保车辆保险险种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（1）交强险为强制保险，所有统保车辆必须购买；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）商业险分为主险和附加险两类</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单位车辆第三者必须投保200万、司乘人员各</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0万。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主险包括机动车损失保险、机动车第三者责任保险、机动车车上人员责任保险共三个独立的险种，投保人可以选择投保全部险种，也可以选择投保其中部分险种。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附加险不能独立投保，甲方可从附加险中自主选择投保。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、商业车险保费＝基准纯风险保费/（1－附加费用率）×无赔款优待系数×交通违法系数×自主定价系数。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其中，基准纯风险保费、无赔款优待系数和交通违法系数费率调整方案参照中国保险行业协会拟订的费率基准执行，此部分调整系数为行业统一，供应商无须对该部分进行报价。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另外附加费用率执行深圳市地方标准，供应商无须对该部分进行报价。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因此，本项目报价主要针对自主定价优惠系数。深圳地区自主定价优惠系数调整范围均为[0.65－1.35]。</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、交强险实行国家统一交通强制保险条款和标准费率，全国执行统一价格，供应商无须对该部分进行报价。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、报价要求：</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（1）根据中国银保监会2020年9月3日发布的《关于实施车险综合改革的指导意见》要求，本项目“自主定价系数”调整范围为[0.65－1.35]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（2）本项目投标人在 [0.65－1.35]范围内报出“自主定价系数”的取值作为投标报价。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（3）投标人应当填写唯一的报价 “自主定价系数”的取值：采购人根据“自主定价系数”的值按商业车险保费计算公式得出商业车险保费。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、“自主定价系数”填写要求：</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（1）填写要求：0.65≤自主定价系数≤1.35，未按此要求填写将作废标处理；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（2）填写的“自主定价系数”最多保留2位小数；如0.95、0.80、0.78；</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（3）投标人参与投标只允许填报唯一一个“自主定价系数”，不允许填报2个（或以上）的“自主定价系数”；填报了2个或以上“自主定价系数”的，其投标将直接作</w:t>
      </w:r>
      <w:r>
        <w:rPr>
          <w:rFonts w:hint="eastAsia" w:ascii="仿宋_GB2312" w:hAnsi="仿宋_GB2312" w:eastAsia="仿宋_GB2312" w:cs="仿宋_GB2312"/>
          <w:sz w:val="28"/>
          <w:szCs w:val="28"/>
          <w:highlight w:val="none"/>
          <w:lang w:val="en-US" w:eastAsia="zh-CN"/>
        </w:rPr>
        <w:t>投标无效</w:t>
      </w:r>
      <w:r>
        <w:rPr>
          <w:rFonts w:hint="eastAsia" w:ascii="仿宋_GB2312" w:hAnsi="仿宋_GB2312" w:eastAsia="仿宋_GB2312" w:cs="仿宋_GB2312"/>
          <w:sz w:val="28"/>
          <w:szCs w:val="28"/>
          <w:highlight w:val="none"/>
        </w:rPr>
        <w:t>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（4）“自主定价系数”缺填、漏填将直接作</w:t>
      </w:r>
      <w:r>
        <w:rPr>
          <w:rFonts w:hint="eastAsia" w:ascii="仿宋_GB2312" w:hAnsi="仿宋_GB2312" w:eastAsia="仿宋_GB2312" w:cs="仿宋_GB2312"/>
          <w:sz w:val="28"/>
          <w:szCs w:val="28"/>
          <w:highlight w:val="none"/>
          <w:lang w:val="en-US" w:eastAsia="zh-CN"/>
        </w:rPr>
        <w:t>投标无效</w:t>
      </w:r>
      <w:r>
        <w:rPr>
          <w:rFonts w:hint="eastAsia" w:ascii="仿宋_GB2312" w:hAnsi="仿宋_GB2312" w:eastAsia="仿宋_GB2312" w:cs="仿宋_GB2312"/>
          <w:sz w:val="28"/>
          <w:szCs w:val="28"/>
          <w:highlight w:val="none"/>
        </w:rPr>
        <w:t>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、投标人的保险费优惠率报价不得违反中国银行保险监督管理委员会等保险监管部门的有关管理规定。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第二条  售后服务承诺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1、及时反馈月报表承诺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每月结束后5个工作日内，每月报送《车辆投保统计月报表》，及时汇总当月甲方车辆的承保情况。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2、及时通知办理投、承保手续服务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体现承保服务的质量，提高承保服务效率，让甲方切实享受到VIP客户待遇，在甲方的车辆保险期限届满之前，乙方将指定专人提前以电话、续保通知书等形式提前与甲方联系，提醒保险到期车辆及时继续参加保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3、上门协助投保、送保单服务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乙方在接到甲方通知后，乙方可根据甲方需求，提供上门办理承保服务。包括：上门办理承保手续，向甲方介绍条款内容，履行明确说明的义务，指导甲方填写投保单。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4、为甲方建立专项承保档案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乙方将通过与甲方的配合，把各投保单位车辆的各项信息，包括车辆号牌号码、厂牌型号、初次登记日期等投保要素搜集整理，登记造册，建立完整的承保档案，以便随时给甲方提供投保情况。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5、定期回访服务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车辆承保后，乙方客户服务中心定期进行回访，调查客户满意度，认真听取甲方对乙方服务质量、服务态度的意见或建议。乙方将对服务小组的日常承保服务工作进行实时跟踪和监督，及时解决甲方在承保中遇到的问题，以便始终为甲方提供最优质的服务。乙方将定期检查和抽查客户回访记录，对未按照规定实行回访，或回访后未解决实际问题的，乙方将对责任人和经办人实行程度不同的处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第三条  理赔服务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为了更大地满足甲方投保车辆的服务需求，乙方</w:t>
      </w:r>
      <w:r>
        <w:rPr>
          <w:rFonts w:hint="eastAsia" w:ascii="仿宋_GB2312" w:hAnsi="仿宋_GB2312" w:eastAsia="仿宋_GB2312" w:cs="仿宋_GB2312"/>
          <w:bCs/>
          <w:sz w:val="28"/>
          <w:szCs w:val="28"/>
          <w:highlight w:val="none"/>
          <w:lang w:val="en-US" w:eastAsia="zh-CN"/>
        </w:rPr>
        <w:t>需提供包括不限于以下服务：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、10000元以下单方事故免现场查勘服务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保单年度内发生损失在10000元以下的单方事故，且车子能正常行驶，可免现场查勘，出险司机登记报案，并根据服务专线员指引，用手机拍摄事故现场照片（照片要能反映事故现场全貌的全景照片，反映车牌号、碰撞部位，损失程度的近景照片），可直接离开现场，并凭现场照片到就近定损中心核定损失。</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、第三者车直赔服务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对于甲方车辆造成的第三者损失，若车辆使用人忙于公务，无暇处理，第三者可以直接向乙方索赔，经甲方确认后，乙方将在保险车辆保险限额内直接向第三者支付赔款。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rPr>
        <w:t>、紧急救援服务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对于甲方投保了车损险的9座以下非营运客车在保险期限内的提供免费紧急救援服务。包括拖车、搭电服务、更换轮胎、充气等。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rPr>
        <w:t>、定损维修零差价服务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（1）自主选择修理厂：甲方投保车辆发生保险事故时，可自主选择维修厂进行事故车辆的维修，事故车的维修工时和配件价格参照相应车型生产商的维修工时和配件价格市场指导价执行。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（2）核损零误差：凡在乙方推荐的深圳区域修理厂维修的事故车辆，乙方与维修企业共同检验车辆，保证实现汽车实际更换项目与核损项目一致。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（3）更换配件零差额：乙方承诺事故车辆维修价格与乙方定损金额一致，两者之间不存在差价。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（4）旧件回收及复勘：为了避免维修厂在更换车辆配件时“以旧充新”、“弄虚作假”，乙方可根据甲方需求及维修情况提供旧件回收及复勘。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w:t>
      </w:r>
      <w:r>
        <w:rPr>
          <w:rFonts w:hint="eastAsia" w:ascii="仿宋_GB2312" w:hAnsi="仿宋_GB2312" w:eastAsia="仿宋_GB2312" w:cs="仿宋_GB2312"/>
          <w:bCs/>
          <w:sz w:val="28"/>
          <w:szCs w:val="28"/>
          <w:highlight w:val="none"/>
        </w:rPr>
        <w:t>、免费提供维修业务咨询服务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乙方对甲方投保车辆保险以外的其他维修业务咨询（如在公务用车定点维修厂修车的部位、换件及收费的合理性）免费提供帮助，审核报价清单。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经提交医疗费用清单，并经医疗审核岗审核属合理费用的，给予赔付。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6</w:t>
      </w:r>
      <w:r>
        <w:rPr>
          <w:rFonts w:hint="eastAsia" w:ascii="仿宋_GB2312" w:hAnsi="仿宋_GB2312" w:eastAsia="仿宋_GB2312" w:cs="仿宋_GB2312"/>
          <w:bCs/>
          <w:sz w:val="28"/>
          <w:szCs w:val="28"/>
          <w:highlight w:val="none"/>
        </w:rPr>
        <w:t>、简易事故快速赔付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（1）现场处理，1小时赔付：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损失10000元以下单方事故，在乙方远程定损中心定损后，无需再提交索赔资料，乙方在1个小时内赔款至甲方账号，以便即时修车。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（2）免报交警与现场查勘：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非警检区域案件：出险地点属非警检区域，事故责任和保险责任明确且</w:t>
      </w:r>
      <w:r>
        <w:rPr>
          <w:rFonts w:hint="eastAsia" w:ascii="仿宋_GB2312" w:hAnsi="仿宋_GB2312" w:eastAsia="仿宋_GB2312" w:cs="仿宋_GB2312"/>
          <w:bCs/>
          <w:sz w:val="28"/>
          <w:szCs w:val="28"/>
          <w:highlight w:val="none"/>
          <w:lang w:eastAsia="zh-CN"/>
        </w:rPr>
        <w:t>不涉及</w:t>
      </w:r>
      <w:r>
        <w:rPr>
          <w:rFonts w:hint="eastAsia" w:ascii="仿宋_GB2312" w:hAnsi="仿宋_GB2312" w:eastAsia="仿宋_GB2312" w:cs="仿宋_GB2312"/>
          <w:bCs/>
          <w:sz w:val="28"/>
          <w:szCs w:val="28"/>
          <w:highlight w:val="none"/>
        </w:rPr>
        <w:t>伤人的案件，则立即派人前往事故现场进行查勘，作为赔付的依据，而无需交警部门处理。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单方轻伤事故：对于单方事故造成车内乘客轻伤（不用住院），可免现场查勘及报交警，凭报案记录及就医证明索赔。</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停放被撞事故：发生停放被撞事故且车子能正常行驶，无法找到责任方时可视情况按单方事故免查勘处理或免报交警直接由乙方查勘员处理。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（3）快捷方便的现场定损服务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甲方投保车辆在深圳市内发生双方事故，查勘员到现场确认第三者损失，2000元以下损失可现场定损，出险司机现场支付对方后赔偿收据（需查勘员签字确认）可作为赔偿凭证。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7</w:t>
      </w:r>
      <w:r>
        <w:rPr>
          <w:rFonts w:hint="eastAsia" w:ascii="仿宋_GB2312" w:hAnsi="仿宋_GB2312" w:eastAsia="仿宋_GB2312" w:cs="仿宋_GB2312"/>
          <w:bCs/>
          <w:sz w:val="28"/>
          <w:szCs w:val="28"/>
          <w:highlight w:val="none"/>
        </w:rPr>
        <w:t>、每月提供车辆赔付状况月报表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承诺，在赔付结案后，将赔款情况，包括投保单位名称、保险单号、出险日期、赔付状态、赔款金额等信息按招标方规定的格式汇总到《XX单位车辆赔付状况月报表》中，于每月结束前三天内将该表发送至甲方指定电子邮箱，并确保统计填报的承保情况数据资料准确、完整，无隐瞒。</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rPr>
        <w:t>、单方事故自选拖车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深圳市内发生单方事故不能行驶的，如司机自己选择联系拖车的，在必要合理范围内的，乙方可凭拖车票据赔付拖车费。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9</w:t>
      </w:r>
      <w:r>
        <w:rPr>
          <w:rFonts w:hint="eastAsia" w:ascii="仿宋_GB2312" w:hAnsi="仿宋_GB2312" w:eastAsia="仿宋_GB2312" w:cs="仿宋_GB2312"/>
          <w:bCs/>
          <w:sz w:val="28"/>
          <w:szCs w:val="28"/>
          <w:highlight w:val="none"/>
        </w:rPr>
        <w:t>、上门定损服务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对于受损严重、不方便现场拆检的事故车辆，乙方可应甲方或承修厂的需求，由就近区域定损中心安排上门定损服务。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bCs/>
          <w:sz w:val="28"/>
          <w:szCs w:val="28"/>
          <w:highlight w:val="none"/>
          <w:lang w:val="en-US" w:eastAsia="zh-CN"/>
        </w:rPr>
        <w:t>0</w:t>
      </w:r>
      <w:r>
        <w:rPr>
          <w:rFonts w:hint="eastAsia" w:ascii="仿宋_GB2312" w:hAnsi="仿宋_GB2312" w:eastAsia="仿宋_GB2312" w:cs="仿宋_GB2312"/>
          <w:bCs/>
          <w:sz w:val="28"/>
          <w:szCs w:val="28"/>
          <w:highlight w:val="none"/>
        </w:rPr>
        <w:t>、专人受理投诉业务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sz w:val="28"/>
          <w:szCs w:val="28"/>
          <w:highlight w:val="none"/>
        </w:rPr>
        <w:t>在甲方接受乙方服务的过程中，遇服务人员有违规违纪行为，可致电乙方的投诉电话，</w:t>
      </w:r>
      <w:r>
        <w:rPr>
          <w:rFonts w:hint="eastAsia" w:ascii="仿宋_GB2312" w:hAnsi="仿宋_GB2312" w:eastAsia="仿宋_GB2312" w:cs="仿宋_GB2312"/>
          <w:bCs/>
          <w:color w:val="auto"/>
          <w:sz w:val="28"/>
          <w:szCs w:val="28"/>
          <w:highlight w:val="none"/>
        </w:rPr>
        <w:t>乙方</w:t>
      </w:r>
      <w:r>
        <w:rPr>
          <w:rFonts w:hint="eastAsia" w:ascii="仿宋_GB2312" w:hAnsi="仿宋_GB2312" w:eastAsia="仿宋_GB2312" w:cs="仿宋_GB2312"/>
          <w:bCs/>
          <w:sz w:val="28"/>
          <w:szCs w:val="28"/>
          <w:highlight w:val="none"/>
        </w:rPr>
        <w:t>将责成专人妥善处理，并在短时间内给甲方一个满意的答复。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第四条 </w:t>
      </w:r>
      <w:r>
        <w:rPr>
          <w:rFonts w:hint="eastAsia" w:ascii="仿宋_GB2312" w:hAnsi="仿宋_GB2312" w:eastAsia="仿宋_GB2312" w:cs="仿宋_GB2312"/>
          <w:b/>
          <w:bCs/>
          <w:color w:val="auto"/>
          <w:sz w:val="28"/>
          <w:szCs w:val="28"/>
          <w:highlight w:val="none"/>
        </w:rPr>
        <w:t>合同</w:t>
      </w:r>
      <w:r>
        <w:rPr>
          <w:rFonts w:hint="eastAsia" w:ascii="仿宋_GB2312" w:hAnsi="仿宋_GB2312" w:eastAsia="仿宋_GB2312" w:cs="仿宋_GB2312"/>
          <w:b/>
          <w:bCs/>
          <w:sz w:val="28"/>
          <w:szCs w:val="28"/>
          <w:highlight w:val="none"/>
        </w:rPr>
        <w:t>期限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合同服务期限为一年，</w:t>
      </w:r>
      <w:r>
        <w:rPr>
          <w:rFonts w:hint="eastAsia" w:ascii="仿宋_GB2312" w:hAnsi="仿宋_GB2312" w:eastAsia="仿宋_GB2312" w:cs="仿宋_GB2312"/>
          <w:bCs/>
          <w:sz w:val="28"/>
          <w:szCs w:val="28"/>
          <w:highlight w:val="none"/>
        </w:rPr>
        <w:t>自     年     月    日起      年    月   日止。服</w:t>
      </w:r>
      <w:r>
        <w:rPr>
          <w:rFonts w:hint="eastAsia" w:ascii="仿宋_GB2312" w:hAnsi="仿宋_GB2312" w:eastAsia="仿宋_GB2312" w:cs="仿宋_GB2312"/>
          <w:sz w:val="28"/>
          <w:szCs w:val="28"/>
          <w:highlight w:val="none"/>
        </w:rPr>
        <w:t>务期满后，采购单位可根据中标供应商的履约情况决定是否续签,总服务期限最长不超过三年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续期合同实质性内容不得改变</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轮招标采用“招一管三”的模式，合同1年1签，第一年为本次招标的服务期限，第一年服务期限满后，公司可根据项目的续签情况以及中标人的合同履约情况（考核达“优良”）确定合同期限是否续签合同，续签不超过2次。公司决定续签的，中标人无约定事由，不得拒绝续签合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最后一年合同到期后，如乙方甲方重新招标的，在甲方与新的中标人签订合同前，甲方有权延长双方的合同期限至甲方与新的中标人签订合同。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第五条  付款方式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1、商业车险保费＝基准纯风险保费/（1－附加费用率）×无赔款优待系数×交通违法系数×自主定价系数。本协议的自主定价系数为：本项目的自主定价优惠系数为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注：其中，基准纯风险保费、无赔款优待系数和交通违法系数费率调整方案参照中国保险行业协会拟订的费率基准执行，此部分调整系数为行业统一；另外附加费用率执行深圳市地方标准；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2、交强险实行国家统一交通强制保险条款和标准费率；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3、车船税根据</w:t>
      </w:r>
      <w:r>
        <w:rPr>
          <w:rFonts w:hint="eastAsia" w:ascii="仿宋_GB2312" w:hAnsi="仿宋_GB2312" w:eastAsia="仿宋_GB2312" w:cs="仿宋_GB2312"/>
          <w:sz w:val="28"/>
          <w:szCs w:val="28"/>
          <w:highlight w:val="none"/>
          <w:lang w:eastAsia="zh-CN"/>
        </w:rPr>
        <w:t>国家税务总局</w:t>
      </w:r>
      <w:r>
        <w:rPr>
          <w:rFonts w:hint="eastAsia" w:ascii="仿宋_GB2312" w:hAnsi="仿宋_GB2312" w:eastAsia="仿宋_GB2312" w:cs="仿宋_GB2312"/>
          <w:sz w:val="28"/>
          <w:szCs w:val="28"/>
          <w:highlight w:val="none"/>
        </w:rPr>
        <w:t>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本保险协议签订后出具正式保险单前一次性支付保费（执行保监局“见费出单”规定），保费自甲方账户划出即视为实际支付的履行。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甲方车辆的保险到期后，乙方提供车辆商业险保费报价，经甲方确认后，</w:t>
      </w:r>
      <w:r>
        <w:rPr>
          <w:rFonts w:hint="eastAsia" w:ascii="仿宋_GB2312" w:hAnsi="仿宋_GB2312" w:eastAsia="仿宋_GB2312" w:cs="仿宋_GB2312"/>
          <w:bCs/>
          <w:sz w:val="28"/>
          <w:szCs w:val="28"/>
          <w:highlight w:val="none"/>
        </w:rPr>
        <w:t>甲方根据乙方提供的《保费缴费通知书》及清单支付保险费用。保险费用到账后乙方必须出具保险单，并在5个工作日内将车辆正式保险单和发票送交至甲方。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付款方式，乙方账户信息：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开户名称：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开户账号：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开户银行：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第六条  甲乙双方的权利和义务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1、甲方的权利：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享有乙方在本合同及投标文件中约定的各项服务承诺及优惠服务；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2、甲方的义务：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（1）甲方必须按保监及保险同业工会的监管要求进行双录，有义务配合乙方提供投保车辆的信息资料。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（2）当发生保险责任范围内的事故后，甲方应及时拨打乙方的保险报案电话报案。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（3）遵守本合同的有关约定；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3、乙方的权利：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（1）有权要求甲方按合同的规定支付保险费用。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（2）有权要求甲方按保监及保险同业公会要求的规定提供车辆购买保险的资料。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4、乙方的义务：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（1）按本合同的约定，优先为甲方的投保车辆提供保险服务；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（2）主动协助指导甲方收集、整理索赔所需的各类单证、资料；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（3）乙方必须配合甲方实施监控管理。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第七条  个人信息保护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甲方对个人信息来源的合法性负责，应按照国家《中华人民共和国个人信息保护法》</w:t>
      </w:r>
      <w:r>
        <w:rPr>
          <w:rFonts w:hint="eastAsia" w:ascii="仿宋_GB2312" w:hAnsi="仿宋_GB2312" w:eastAsia="仿宋_GB2312" w:cs="仿宋_GB2312"/>
          <w:sz w:val="28"/>
          <w:szCs w:val="28"/>
          <w:highlight w:val="none"/>
          <w:lang w:eastAsia="zh-CN"/>
        </w:rPr>
        <w:t>《中华人民共和国民法典》</w:t>
      </w:r>
      <w:r>
        <w:rPr>
          <w:rFonts w:hint="eastAsia" w:ascii="仿宋_GB2312" w:hAnsi="仿宋_GB2312" w:eastAsia="仿宋_GB2312" w:cs="仿宋_GB2312"/>
          <w:sz w:val="28"/>
          <w:szCs w:val="28"/>
          <w:highlight w:val="none"/>
        </w:rPr>
        <w:t>《中华人民共和国网络安全法》等法规要求，收集个人信息遵循合法、正当、必要和诚信原则，向个人</w:t>
      </w:r>
      <w:r>
        <w:rPr>
          <w:rStyle w:val="11"/>
          <w:rFonts w:hint="eastAsia" w:ascii="仿宋_GB2312" w:hAnsi="仿宋_GB2312" w:eastAsia="仿宋_GB2312" w:cs="仿宋_GB2312"/>
          <w:sz w:val="28"/>
          <w:szCs w:val="28"/>
          <w:highlight w:val="none"/>
        </w:rPr>
        <w:t>明示收集、使用的目的、方式和范围，</w:t>
      </w:r>
      <w:r>
        <w:rPr>
          <w:rFonts w:hint="eastAsia" w:ascii="仿宋_GB2312" w:hAnsi="仿宋_GB2312" w:eastAsia="仿宋_GB2312" w:cs="仿宋_GB2312"/>
          <w:sz w:val="28"/>
          <w:szCs w:val="28"/>
          <w:highlight w:val="none"/>
        </w:rPr>
        <w:t>并获得个人信息主体授权同意。对于收集的个人信息应当保证个人信息的质量，避免因个人信息不准确、不完整对个人权益造成不利影响。同时在收集处理个人信息要采取必要措施保障所处理的个人信息的安全。如涉及收集个人敏感信息，应当取得个人的单独同意；如涉及收集不满十四周岁未成年人的个人信息，应当取得未成年人的父母或者其他监护人的同意。如甲方因违反上述约定给乙方造成损失及赔偿责任，由甲方承担。</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sz w:val="28"/>
          <w:szCs w:val="28"/>
          <w:highlight w:val="none"/>
        </w:rPr>
        <w:t>第八条 消费者权益保护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sz w:val="28"/>
          <w:szCs w:val="28"/>
          <w:highlight w:val="none"/>
        </w:rPr>
        <w:t>合同各方应确保本协议项下，各类业务严格遵守国家法律法规及监管规定（包括但不限于《中华人民共和国消费者权益保护法》、银保监会《关于银行保险机构加强消费者权益保护工作体制机制建设的指导意见》中消费者权益保护相关要求，依法保护保险消费者合法权益。</w:t>
      </w:r>
    </w:p>
    <w:p>
      <w:pPr>
        <w:pStyle w:val="7"/>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562" w:firstLineChars="200"/>
        <w:jc w:val="both"/>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第九条  反洗钱合作及代理客户身份识别</w:t>
      </w:r>
    </w:p>
    <w:p>
      <w:pPr>
        <w:pStyle w:val="2"/>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color w:val="000000"/>
          <w:sz w:val="28"/>
          <w:szCs w:val="28"/>
          <w:highlight w:val="none"/>
        </w:rPr>
        <w:t>甲乙双方应遵守《中华人民共和国反洗钱法》《金融机构客户尽职调查和客户身份资料及交易记录保存管理办法》《金融机构大额交易和可疑交易报告管理办法》《关于加强反洗钱客户身份识别有关工作的通知》《义务机构反洗钱交易监测标准建设工作指引》以及《保险业反洗钱工作管理办法》等法律法规及监管规定，有效落实相关反洗钱义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第十条  反商业贿赂条款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各方应自觉抵制商业贿赂，且不得向对方工作人员提供包括但不限于现金、银行卡、有价证券和购物卡、提货单、娱乐场所会员卡、打折卡代币劵，不得向对方工作人员提供宴请、娱乐消费、旅游、国内外考察等形式消费，以及各种形式的回扣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第十一条  争议的解决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因履行本合同引起的或与本合同有关的争议，甲、乙双方应首先通过友好协商解决，如果协商不能解决争议，则向深圳市罗湖区人民法院提起诉讼。</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2" w:firstLineChars="20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第十二条  其他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lang w:val="en-US" w:eastAsia="zh-CN"/>
        </w:rPr>
        <w:t>陆</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lang w:val="en-US" w:eastAsia="zh-CN"/>
        </w:rPr>
        <w:t>肆</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lang w:val="en-US" w:eastAsia="zh-CN"/>
        </w:rPr>
        <w:t>贰</w:t>
      </w:r>
      <w:r>
        <w:rPr>
          <w:rFonts w:hint="eastAsia" w:ascii="仿宋_GB2312" w:hAnsi="仿宋_GB2312" w:eastAsia="仿宋_GB2312" w:cs="仿宋_GB2312"/>
          <w:sz w:val="28"/>
          <w:szCs w:val="28"/>
          <w:highlight w:val="none"/>
        </w:rPr>
        <w:t>份，具有同等法律效力。本合同自双方法定代表人（负责人或授权代表）签字并盖章之日起生效。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本合同未尽事宜，双方友好协商，达成解决方案，经双方签字后，可作为本合同的有效附件。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（以下无正文）</w:t>
      </w:r>
    </w:p>
    <w:p>
      <w:pPr>
        <w:pStyle w:val="12"/>
        <w:autoSpaceDE/>
        <w:autoSpaceDN/>
        <w:snapToGrid w:val="0"/>
        <w:spacing w:before="0" w:line="520" w:lineRule="exact"/>
        <w:ind w:left="0" w:firstLine="0"/>
        <w:rPr>
          <w:rFonts w:hint="eastAsia" w:ascii="仿宋_GB2312" w:hAnsi="仿宋_GB2312" w:eastAsia="仿宋_GB2312" w:cs="仿宋_GB2312"/>
          <w:b w:val="0"/>
          <w:bCs w:val="0"/>
          <w:sz w:val="28"/>
          <w:szCs w:val="28"/>
          <w:highlight w:val="none"/>
          <w:lang w:eastAsia="zh-CN"/>
        </w:rPr>
      </w:pPr>
    </w:p>
    <w:p>
      <w:pPr>
        <w:pStyle w:val="12"/>
        <w:autoSpaceDE/>
        <w:autoSpaceDN/>
        <w:snapToGrid w:val="0"/>
        <w:spacing w:before="0" w:line="520" w:lineRule="exact"/>
        <w:ind w:left="0" w:firstLine="0"/>
        <w:rPr>
          <w:rFonts w:hint="eastAsia" w:ascii="仿宋_GB2312" w:hAnsi="仿宋_GB2312" w:eastAsia="仿宋_GB2312" w:cs="仿宋_GB2312"/>
          <w:b w:val="0"/>
          <w:bCs w:val="0"/>
          <w:sz w:val="28"/>
          <w:szCs w:val="28"/>
          <w:highlight w:val="none"/>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val="0"/>
          <w:bCs w:val="0"/>
          <w:sz w:val="28"/>
          <w:szCs w:val="28"/>
          <w:highlight w:val="none"/>
          <w:lang w:eastAsia="zh-CN"/>
        </w:rPr>
        <w:t>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i w:val="0"/>
          <w:iCs w:val="0"/>
          <w:caps w:val="0"/>
          <w:color w:val="auto"/>
          <w:spacing w:val="0"/>
          <w:sz w:val="28"/>
          <w:szCs w:val="28"/>
          <w:highlight w:val="none"/>
        </w:rPr>
        <w:t>履约评价表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840" w:firstLineChars="300"/>
        <w:jc w:val="both"/>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cs="仿宋_GB2312"/>
          <w:i w:val="0"/>
          <w:iCs w:val="0"/>
          <w:caps w:val="0"/>
          <w:color w:val="auto"/>
          <w:spacing w:val="0"/>
          <w:sz w:val="28"/>
          <w:szCs w:val="28"/>
          <w:highlight w:val="none"/>
          <w:lang w:val="en-US" w:eastAsia="zh-CN"/>
        </w:rPr>
        <w:t>2.</w:t>
      </w:r>
      <w:r>
        <w:rPr>
          <w:rFonts w:hint="eastAsia" w:ascii="仿宋_GB2312" w:hAnsi="仿宋_GB2312" w:eastAsia="仿宋_GB2312" w:cs="仿宋_GB2312"/>
          <w:i w:val="0"/>
          <w:iCs w:val="0"/>
          <w:caps w:val="0"/>
          <w:color w:val="auto"/>
          <w:spacing w:val="0"/>
          <w:sz w:val="28"/>
          <w:szCs w:val="28"/>
          <w:highlight w:val="none"/>
        </w:rPr>
        <w:t>龙岗区进一步规范政商交往行为告知书</w:t>
      </w:r>
    </w:p>
    <w:p>
      <w:pPr>
        <w:pStyle w:val="12"/>
        <w:autoSpaceDE/>
        <w:autoSpaceDN/>
        <w:snapToGrid w:val="0"/>
        <w:spacing w:before="0" w:line="520" w:lineRule="exact"/>
        <w:ind w:left="0" w:firstLine="0"/>
        <w:rPr>
          <w:rFonts w:hint="eastAsia" w:ascii="仿宋_GB2312" w:hAnsi="仿宋_GB2312" w:eastAsia="仿宋_GB2312" w:cs="仿宋_GB2312"/>
          <w:b/>
          <w:bCs/>
          <w:sz w:val="28"/>
          <w:szCs w:val="28"/>
          <w:highlight w:val="none"/>
        </w:rPr>
      </w:pPr>
    </w:p>
    <w:p>
      <w:pPr>
        <w:pStyle w:val="12"/>
        <w:autoSpaceDE/>
        <w:autoSpaceDN/>
        <w:snapToGrid w:val="0"/>
        <w:spacing w:before="0" w:line="520" w:lineRule="exact"/>
        <w:ind w:left="0" w:firstLine="0"/>
        <w:rPr>
          <w:rFonts w:hint="eastAsia" w:ascii="仿宋_GB2312" w:hAnsi="仿宋_GB2312" w:eastAsia="仿宋_GB2312" w:cs="仿宋_GB2312"/>
          <w:b/>
          <w:bCs/>
          <w:sz w:val="28"/>
          <w:szCs w:val="28"/>
          <w:highlight w:val="none"/>
        </w:rPr>
      </w:pPr>
    </w:p>
    <w:p>
      <w:pPr>
        <w:pStyle w:val="12"/>
        <w:autoSpaceDE/>
        <w:autoSpaceDN/>
        <w:snapToGrid w:val="0"/>
        <w:spacing w:before="0" w:line="520" w:lineRule="exact"/>
        <w:ind w:left="0" w:firstLine="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签约方签字盖章：</w:t>
      </w:r>
    </w:p>
    <w:p>
      <w:pPr>
        <w:pStyle w:val="12"/>
        <w:autoSpaceDE/>
        <w:autoSpaceDN/>
        <w:snapToGrid w:val="0"/>
        <w:spacing w:before="0" w:line="520" w:lineRule="exact"/>
        <w:ind w:left="0" w:firstLine="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pStyle w:val="12"/>
        <w:autoSpaceDE/>
        <w:autoSpaceDN/>
        <w:snapToGrid w:val="0"/>
        <w:spacing w:before="0" w:line="520" w:lineRule="exact"/>
        <w:ind w:left="0" w:firstLine="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 xml:space="preserve">           </w:t>
      </w:r>
    </w:p>
    <w:p>
      <w:pPr>
        <w:pStyle w:val="12"/>
        <w:autoSpaceDE/>
        <w:autoSpaceDN/>
        <w:snapToGrid w:val="0"/>
        <w:spacing w:before="0" w:line="520" w:lineRule="exact"/>
        <w:ind w:left="0" w:firstLine="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法定代表人</w:t>
      </w:r>
    </w:p>
    <w:p>
      <w:pPr>
        <w:pStyle w:val="12"/>
        <w:autoSpaceDE/>
        <w:autoSpaceDN/>
        <w:snapToGrid w:val="0"/>
        <w:spacing w:before="0" w:line="520" w:lineRule="exact"/>
        <w:ind w:left="0" w:firstLine="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（或授权代表）签字：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（或授权代表）签字：</w:t>
      </w:r>
    </w:p>
    <w:p>
      <w:pPr>
        <w:pStyle w:val="12"/>
        <w:wordWrap w:val="0"/>
        <w:autoSpaceDE/>
        <w:autoSpaceDN/>
        <w:snapToGrid w:val="0"/>
        <w:spacing w:before="0" w:line="520" w:lineRule="exact"/>
        <w:ind w:left="0" w:firstLine="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日期：   年   月   日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日期：   年   月   日</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3"/>
        <w:rPr>
          <w:rFonts w:hint="eastAsia"/>
        </w:rPr>
      </w:pPr>
    </w:p>
    <w:p>
      <w:pPr>
        <w:pStyle w:val="3"/>
        <w:rPr>
          <w:rFonts w:hint="eastAsia"/>
          <w:highlight w:val="none"/>
        </w:rPr>
      </w:pPr>
    </w:p>
    <w:p>
      <w:pPr>
        <w:rPr>
          <w:rFonts w:hint="eastAsia" w:ascii="仿宋_GB2312" w:hAnsi="仿宋_GB2312" w:eastAsia="仿宋_GB2312" w:cs="仿宋_GB2312"/>
          <w:sz w:val="28"/>
          <w:szCs w:val="28"/>
          <w:highlight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rPr>
        <w:t>附件</w:t>
      </w:r>
      <w:r>
        <w:rPr>
          <w:rFonts w:hint="eastAsia" w:ascii="仿宋_GB2312" w:hAnsi="仿宋_GB2312" w:eastAsia="仿宋_GB2312" w:cs="仿宋_GB2312"/>
          <w:i w:val="0"/>
          <w:iCs w:val="0"/>
          <w:caps w:val="0"/>
          <w:color w:val="auto"/>
          <w:spacing w:val="0"/>
          <w:sz w:val="28"/>
          <w:szCs w:val="28"/>
          <w:highlight w:val="none"/>
          <w:lang w:val="en-US" w:eastAsia="zh-CN"/>
        </w:rPr>
        <w:t>1</w:t>
      </w:r>
      <w:r>
        <w:rPr>
          <w:rFonts w:hint="eastAsia" w:ascii="仿宋_GB2312" w:hAnsi="仿宋_GB2312" w:cs="仿宋_GB2312"/>
          <w:i w:val="0"/>
          <w:iCs w:val="0"/>
          <w:caps w:val="0"/>
          <w:color w:val="auto"/>
          <w:spacing w:val="0"/>
          <w:sz w:val="28"/>
          <w:szCs w:val="28"/>
          <w:highlight w:val="none"/>
          <w:lang w:eastAsia="zh-CN"/>
        </w:rPr>
        <w:t>：</w:t>
      </w:r>
      <w:r>
        <w:rPr>
          <w:rFonts w:hint="eastAsia" w:ascii="仿宋_GB2312" w:hAnsi="仿宋_GB2312" w:eastAsia="仿宋_GB2312" w:cs="仿宋_GB2312"/>
          <w:i w:val="0"/>
          <w:iCs w:val="0"/>
          <w:caps w:val="0"/>
          <w:color w:val="auto"/>
          <w:spacing w:val="0"/>
          <w:sz w:val="28"/>
          <w:szCs w:val="28"/>
          <w:highlight w:val="none"/>
        </w:rPr>
        <w:t>履约评价表</w:t>
      </w:r>
    </w:p>
    <w:p>
      <w:pPr>
        <w:ind w:firstLine="422"/>
        <w:jc w:val="left"/>
        <w:rPr>
          <w:rFonts w:hint="eastAsia" w:ascii="宋体" w:hAnsi="宋体" w:cs="宋体"/>
          <w:b/>
          <w:bCs/>
          <w:sz w:val="22"/>
          <w:szCs w:val="16"/>
          <w:highlight w:val="none"/>
        </w:rPr>
      </w:pPr>
    </w:p>
    <w:p>
      <w:pPr>
        <w:ind w:firstLine="422"/>
        <w:jc w:val="left"/>
        <w:rPr>
          <w:rFonts w:ascii="宋体" w:hAnsi="宋体" w:cs="宋体"/>
          <w:b/>
          <w:bCs/>
          <w:szCs w:val="21"/>
          <w:highlight w:val="none"/>
        </w:rPr>
      </w:pPr>
      <w:r>
        <w:rPr>
          <w:rFonts w:hint="eastAsia" w:ascii="宋体" w:hAnsi="宋体" w:cs="宋体"/>
          <w:b/>
          <w:bCs/>
          <w:sz w:val="22"/>
          <w:szCs w:val="16"/>
          <w:highlight w:val="none"/>
        </w:rPr>
        <w:t>评价单位：</w:t>
      </w:r>
      <w:r>
        <w:rPr>
          <w:rFonts w:hint="eastAsia" w:ascii="宋体" w:hAnsi="宋体" w:cs="宋体"/>
          <w:b/>
          <w:bCs/>
          <w:sz w:val="22"/>
          <w:szCs w:val="16"/>
          <w:highlight w:val="none"/>
          <w:u w:val="single"/>
        </w:rPr>
        <w:t xml:space="preserve">                      </w:t>
      </w:r>
      <w:r>
        <w:rPr>
          <w:rFonts w:hint="eastAsia" w:ascii="宋体" w:hAnsi="宋体" w:cs="宋体"/>
          <w:b/>
          <w:bCs/>
          <w:sz w:val="22"/>
          <w:szCs w:val="16"/>
          <w:highlight w:val="none"/>
        </w:rPr>
        <w:t xml:space="preserve">     评价结果：</w:t>
      </w:r>
      <w:r>
        <w:rPr>
          <w:rFonts w:hint="eastAsia" w:ascii="宋体" w:hAnsi="宋体" w:cs="宋体"/>
          <w:b/>
          <w:bCs/>
          <w:sz w:val="22"/>
          <w:szCs w:val="16"/>
          <w:highlight w:val="none"/>
          <w:u w:val="single"/>
        </w:rPr>
        <w:t xml:space="preserve"> </w:t>
      </w:r>
      <w:r>
        <w:rPr>
          <w:rFonts w:hint="eastAsia" w:ascii="宋体" w:hAnsi="宋体" w:cs="宋体"/>
          <w:b/>
          <w:bCs/>
          <w:sz w:val="22"/>
          <w:szCs w:val="16"/>
          <w:highlight w:val="none"/>
          <w:u w:val="single"/>
        </w:rPr>
        <w:sym w:font="Wingdings 2" w:char="00A3"/>
      </w:r>
      <w:r>
        <w:rPr>
          <w:rFonts w:hint="eastAsia" w:ascii="宋体" w:hAnsi="宋体" w:cs="宋体"/>
          <w:b/>
          <w:bCs/>
          <w:sz w:val="22"/>
          <w:szCs w:val="16"/>
          <w:highlight w:val="none"/>
          <w:u w:val="single"/>
        </w:rPr>
        <w:t xml:space="preserve"> 优</w:t>
      </w:r>
      <w:r>
        <w:rPr>
          <w:rFonts w:hint="eastAsia" w:ascii="宋体" w:hAnsi="宋体" w:cs="宋体"/>
          <w:b/>
          <w:bCs/>
          <w:sz w:val="22"/>
          <w:szCs w:val="16"/>
          <w:highlight w:val="none"/>
          <w:u w:val="single"/>
          <w:lang w:val="en-US" w:eastAsia="zh-CN"/>
        </w:rPr>
        <w:t>良</w:t>
      </w:r>
      <w:r>
        <w:rPr>
          <w:rFonts w:hint="eastAsia" w:ascii="宋体" w:hAnsi="宋体" w:cs="宋体"/>
          <w:b/>
          <w:bCs/>
          <w:sz w:val="22"/>
          <w:szCs w:val="16"/>
          <w:highlight w:val="none"/>
          <w:u w:val="single"/>
        </w:rPr>
        <w:t xml:space="preserve">   </w:t>
      </w:r>
      <w:r>
        <w:rPr>
          <w:rFonts w:hint="eastAsia" w:ascii="宋体" w:hAnsi="宋体" w:cs="宋体"/>
          <w:b/>
          <w:bCs/>
          <w:sz w:val="22"/>
          <w:szCs w:val="16"/>
          <w:highlight w:val="none"/>
          <w:u w:val="single"/>
        </w:rPr>
        <w:sym w:font="Wingdings 2" w:char="00A3"/>
      </w:r>
      <w:r>
        <w:rPr>
          <w:rFonts w:hint="eastAsia" w:ascii="宋体" w:hAnsi="宋体" w:cs="宋体"/>
          <w:b/>
          <w:bCs/>
          <w:sz w:val="22"/>
          <w:szCs w:val="16"/>
          <w:highlight w:val="none"/>
          <w:u w:val="single"/>
        </w:rPr>
        <w:t xml:space="preserve">合格   </w:t>
      </w:r>
      <w:r>
        <w:rPr>
          <w:rFonts w:hint="eastAsia" w:ascii="宋体" w:hAnsi="宋体" w:cs="宋体"/>
          <w:b/>
          <w:bCs/>
          <w:sz w:val="22"/>
          <w:szCs w:val="16"/>
          <w:highlight w:val="none"/>
          <w:u w:val="single"/>
        </w:rPr>
        <w:sym w:font="Wingdings 2" w:char="00A3"/>
      </w:r>
      <w:r>
        <w:rPr>
          <w:rFonts w:hint="eastAsia" w:ascii="宋体" w:hAnsi="宋体" w:cs="宋体"/>
          <w:b/>
          <w:bCs/>
          <w:sz w:val="22"/>
          <w:szCs w:val="16"/>
          <w:highlight w:val="none"/>
          <w:u w:val="single"/>
        </w:rPr>
        <w:t xml:space="preserve">不合格  </w:t>
      </w:r>
      <w:r>
        <w:rPr>
          <w:rFonts w:hint="eastAsia" w:ascii="宋体" w:hAnsi="宋体" w:cs="宋体"/>
          <w:b/>
          <w:bCs/>
          <w:sz w:val="22"/>
          <w:szCs w:val="16"/>
          <w:highlight w:val="none"/>
        </w:rPr>
        <w:t xml:space="preserve"> </w:t>
      </w:r>
      <w:r>
        <w:rPr>
          <w:rFonts w:hint="eastAsia" w:ascii="宋体" w:hAnsi="宋体" w:cs="宋体"/>
          <w:b/>
          <w:bCs/>
          <w:szCs w:val="21"/>
          <w:highlight w:val="none"/>
        </w:rPr>
        <w:t xml:space="preserve">   </w:t>
      </w:r>
    </w:p>
    <w:tbl>
      <w:tblPr>
        <w:tblStyle w:val="9"/>
        <w:tblpPr w:leftFromText="180" w:rightFromText="180" w:vertAnchor="text" w:horzAnchor="page" w:tblpX="754" w:tblpY="293"/>
        <w:tblOverlap w:val="never"/>
        <w:tblW w:w="10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4327"/>
        <w:gridCol w:w="1301"/>
        <w:gridCol w:w="735"/>
        <w:gridCol w:w="645"/>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top"/>
          </w:tcPr>
          <w:p>
            <w:pPr>
              <w:spacing w:line="560" w:lineRule="exact"/>
              <w:ind w:firstLine="0" w:firstLineChars="0"/>
              <w:jc w:val="left"/>
              <w:rPr>
                <w:rFonts w:ascii="宋体" w:hAnsi="宋体" w:cs="宋体"/>
                <w:b/>
                <w:bCs/>
                <w:sz w:val="21"/>
                <w:szCs w:val="21"/>
                <w:highlight w:val="none"/>
              </w:rPr>
            </w:pPr>
            <w:r>
              <w:rPr>
                <w:rFonts w:hint="eastAsia" w:ascii="宋体" w:hAnsi="宋体" w:cs="宋体"/>
                <w:b/>
                <w:bCs/>
                <w:sz w:val="21"/>
                <w:szCs w:val="21"/>
                <w:highlight w:val="none"/>
              </w:rPr>
              <w:t>评价日期</w:t>
            </w:r>
          </w:p>
        </w:tc>
        <w:tc>
          <w:tcPr>
            <w:tcW w:w="4327" w:type="dxa"/>
            <w:vAlign w:val="top"/>
          </w:tcPr>
          <w:p>
            <w:pPr>
              <w:spacing w:line="560" w:lineRule="exact"/>
              <w:ind w:firstLine="422"/>
              <w:jc w:val="left"/>
              <w:rPr>
                <w:rFonts w:ascii="宋体" w:hAnsi="宋体" w:cs="宋体"/>
                <w:b/>
                <w:bCs/>
                <w:sz w:val="21"/>
                <w:szCs w:val="21"/>
                <w:highlight w:val="none"/>
              </w:rPr>
            </w:pPr>
          </w:p>
        </w:tc>
        <w:tc>
          <w:tcPr>
            <w:tcW w:w="1301" w:type="dxa"/>
            <w:vAlign w:val="top"/>
          </w:tcPr>
          <w:p>
            <w:pPr>
              <w:spacing w:line="560" w:lineRule="exact"/>
              <w:ind w:firstLine="0" w:firstLineChars="0"/>
              <w:jc w:val="left"/>
              <w:rPr>
                <w:rFonts w:ascii="宋体" w:hAnsi="宋体" w:cs="宋体"/>
                <w:b/>
                <w:bCs/>
                <w:sz w:val="21"/>
                <w:szCs w:val="21"/>
                <w:highlight w:val="none"/>
              </w:rPr>
            </w:pPr>
            <w:r>
              <w:rPr>
                <w:rFonts w:hint="eastAsia" w:ascii="宋体" w:hAnsi="宋体" w:cs="宋体"/>
                <w:b/>
                <w:bCs/>
                <w:sz w:val="21"/>
                <w:szCs w:val="21"/>
                <w:highlight w:val="none"/>
              </w:rPr>
              <w:t>被评价单位</w:t>
            </w:r>
          </w:p>
        </w:tc>
        <w:tc>
          <w:tcPr>
            <w:tcW w:w="4155" w:type="dxa"/>
            <w:gridSpan w:val="3"/>
            <w:vAlign w:val="top"/>
          </w:tcPr>
          <w:p>
            <w:pPr>
              <w:spacing w:line="560" w:lineRule="exact"/>
              <w:ind w:firstLine="422"/>
              <w:jc w:val="left"/>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top"/>
          </w:tcPr>
          <w:p>
            <w:pPr>
              <w:spacing w:line="560" w:lineRule="exact"/>
              <w:ind w:firstLine="0" w:firstLineChars="0"/>
              <w:jc w:val="left"/>
              <w:rPr>
                <w:rFonts w:ascii="宋体" w:hAnsi="宋体" w:cs="宋体"/>
                <w:b/>
                <w:bCs/>
                <w:sz w:val="21"/>
                <w:szCs w:val="21"/>
                <w:highlight w:val="none"/>
              </w:rPr>
            </w:pPr>
            <w:r>
              <w:rPr>
                <w:rFonts w:hint="eastAsia" w:ascii="宋体" w:hAnsi="宋体" w:cs="宋体"/>
                <w:b/>
                <w:bCs/>
                <w:sz w:val="21"/>
                <w:szCs w:val="21"/>
                <w:highlight w:val="none"/>
              </w:rPr>
              <w:t>合同名称</w:t>
            </w:r>
          </w:p>
        </w:tc>
        <w:tc>
          <w:tcPr>
            <w:tcW w:w="4327" w:type="dxa"/>
            <w:vAlign w:val="top"/>
          </w:tcPr>
          <w:p>
            <w:pPr>
              <w:spacing w:line="560" w:lineRule="exact"/>
              <w:ind w:firstLine="422"/>
              <w:jc w:val="left"/>
              <w:rPr>
                <w:rFonts w:ascii="宋体" w:hAnsi="宋体" w:cs="宋体"/>
                <w:b/>
                <w:bCs/>
                <w:sz w:val="21"/>
                <w:szCs w:val="21"/>
                <w:highlight w:val="none"/>
              </w:rPr>
            </w:pPr>
          </w:p>
        </w:tc>
        <w:tc>
          <w:tcPr>
            <w:tcW w:w="1301" w:type="dxa"/>
            <w:vAlign w:val="top"/>
          </w:tcPr>
          <w:p>
            <w:pPr>
              <w:spacing w:line="560" w:lineRule="exact"/>
              <w:ind w:firstLine="0" w:firstLineChars="0"/>
              <w:jc w:val="left"/>
              <w:rPr>
                <w:rFonts w:ascii="宋体" w:hAnsi="宋体" w:cs="宋体"/>
                <w:b/>
                <w:bCs/>
                <w:sz w:val="21"/>
                <w:szCs w:val="21"/>
                <w:highlight w:val="none"/>
              </w:rPr>
            </w:pPr>
            <w:r>
              <w:rPr>
                <w:rFonts w:hint="eastAsia" w:ascii="宋体" w:hAnsi="宋体" w:cs="宋体"/>
                <w:b/>
                <w:bCs/>
                <w:sz w:val="21"/>
                <w:szCs w:val="21"/>
                <w:highlight w:val="none"/>
              </w:rPr>
              <w:t>合同编号</w:t>
            </w:r>
          </w:p>
        </w:tc>
        <w:tc>
          <w:tcPr>
            <w:tcW w:w="4155" w:type="dxa"/>
            <w:gridSpan w:val="3"/>
            <w:vAlign w:val="top"/>
          </w:tcPr>
          <w:p>
            <w:pPr>
              <w:spacing w:line="560" w:lineRule="exact"/>
              <w:ind w:firstLine="422"/>
              <w:jc w:val="left"/>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top"/>
          </w:tcPr>
          <w:p>
            <w:pPr>
              <w:spacing w:line="560" w:lineRule="exact"/>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评价指标</w:t>
            </w:r>
          </w:p>
        </w:tc>
        <w:tc>
          <w:tcPr>
            <w:tcW w:w="4327" w:type="dxa"/>
            <w:vAlign w:val="top"/>
          </w:tcPr>
          <w:p>
            <w:pPr>
              <w:spacing w:line="560" w:lineRule="exact"/>
              <w:jc w:val="center"/>
              <w:rPr>
                <w:rFonts w:ascii="宋体" w:hAnsi="宋体" w:cs="宋体"/>
                <w:b/>
                <w:bCs/>
                <w:sz w:val="21"/>
                <w:szCs w:val="21"/>
                <w:highlight w:val="none"/>
              </w:rPr>
            </w:pPr>
            <w:r>
              <w:rPr>
                <w:rFonts w:hint="eastAsia" w:ascii="宋体" w:hAnsi="宋体" w:cs="宋体"/>
                <w:b/>
                <w:bCs/>
                <w:sz w:val="21"/>
                <w:szCs w:val="21"/>
                <w:highlight w:val="none"/>
              </w:rPr>
              <w:t>一般情形评价内容</w:t>
            </w:r>
          </w:p>
        </w:tc>
        <w:tc>
          <w:tcPr>
            <w:tcW w:w="1301" w:type="dxa"/>
            <w:vAlign w:val="top"/>
          </w:tcPr>
          <w:p>
            <w:pPr>
              <w:spacing w:line="560" w:lineRule="exact"/>
              <w:jc w:val="center"/>
              <w:rPr>
                <w:rFonts w:ascii="宋体" w:hAnsi="宋体" w:cs="宋体"/>
                <w:b/>
                <w:bCs/>
                <w:sz w:val="21"/>
                <w:szCs w:val="21"/>
                <w:highlight w:val="none"/>
              </w:rPr>
            </w:pPr>
            <w:r>
              <w:rPr>
                <w:rFonts w:hint="eastAsia" w:ascii="宋体" w:hAnsi="宋体" w:cs="宋体"/>
                <w:b/>
                <w:bCs/>
                <w:sz w:val="21"/>
                <w:szCs w:val="21"/>
                <w:highlight w:val="none"/>
              </w:rPr>
              <w:t>分值</w:t>
            </w:r>
          </w:p>
        </w:tc>
        <w:tc>
          <w:tcPr>
            <w:tcW w:w="735" w:type="dxa"/>
            <w:vAlign w:val="top"/>
          </w:tcPr>
          <w:p>
            <w:pPr>
              <w:spacing w:line="560" w:lineRule="exact"/>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扣分</w:t>
            </w:r>
          </w:p>
        </w:tc>
        <w:tc>
          <w:tcPr>
            <w:tcW w:w="645" w:type="dxa"/>
            <w:vAlign w:val="top"/>
          </w:tcPr>
          <w:p>
            <w:pPr>
              <w:spacing w:line="560" w:lineRule="exact"/>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得分</w:t>
            </w:r>
          </w:p>
        </w:tc>
        <w:tc>
          <w:tcPr>
            <w:tcW w:w="2775" w:type="dxa"/>
            <w:vAlign w:val="top"/>
          </w:tcPr>
          <w:p>
            <w:pPr>
              <w:spacing w:line="560" w:lineRule="exact"/>
              <w:ind w:firstLine="422"/>
              <w:jc w:val="center"/>
              <w:rPr>
                <w:rFonts w:ascii="宋体" w:hAnsi="宋体" w:cs="宋体"/>
                <w:b/>
                <w:bCs/>
                <w:sz w:val="21"/>
                <w:szCs w:val="21"/>
                <w:highlight w:val="none"/>
              </w:rPr>
            </w:pPr>
            <w:r>
              <w:rPr>
                <w:rFonts w:hint="eastAsia" w:ascii="宋体" w:hAnsi="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center"/>
          </w:tcPr>
          <w:p>
            <w:pPr>
              <w:spacing w:line="560" w:lineRule="exact"/>
              <w:jc w:val="center"/>
              <w:rPr>
                <w:rFonts w:hint="eastAsia" w:ascii="宋体" w:hAnsi="宋体" w:cs="宋体"/>
                <w:sz w:val="21"/>
                <w:szCs w:val="21"/>
                <w:highlight w:val="none"/>
              </w:rPr>
            </w:pPr>
            <w:r>
              <w:rPr>
                <w:rFonts w:hint="eastAsia" w:ascii="宋体" w:hAnsi="宋体" w:cs="宋体"/>
                <w:sz w:val="21"/>
                <w:szCs w:val="21"/>
                <w:highlight w:val="none"/>
              </w:rPr>
              <w:t>服务态度</w:t>
            </w:r>
          </w:p>
        </w:tc>
        <w:tc>
          <w:tcPr>
            <w:tcW w:w="4327" w:type="dxa"/>
            <w:vAlign w:val="center"/>
          </w:tcPr>
          <w:p>
            <w:pPr>
              <w:spacing w:line="240" w:lineRule="auto"/>
              <w:jc w:val="both"/>
              <w:rPr>
                <w:rFonts w:hint="eastAsia" w:ascii="宋体" w:hAnsi="宋体" w:cs="宋体"/>
                <w:sz w:val="21"/>
                <w:szCs w:val="21"/>
                <w:highlight w:val="none"/>
              </w:rPr>
            </w:pPr>
            <w:r>
              <w:rPr>
                <w:rFonts w:hint="eastAsia" w:ascii="宋体" w:hAnsi="宋体" w:cs="宋体"/>
                <w:sz w:val="21"/>
                <w:szCs w:val="21"/>
                <w:highlight w:val="none"/>
              </w:rPr>
              <w:t>服务人员态度专业、热情，积极响应公务车投保需求</w:t>
            </w:r>
          </w:p>
        </w:tc>
        <w:tc>
          <w:tcPr>
            <w:tcW w:w="1301" w:type="dxa"/>
            <w:vAlign w:val="top"/>
          </w:tcPr>
          <w:p>
            <w:pPr>
              <w:spacing w:line="560" w:lineRule="exact"/>
              <w:ind w:firstLine="420"/>
              <w:jc w:val="left"/>
              <w:rPr>
                <w:rFonts w:hint="default" w:ascii="宋体" w:hAnsi="宋体" w:eastAsia="仿宋_GB2312" w:cs="宋体"/>
                <w:sz w:val="21"/>
                <w:szCs w:val="21"/>
                <w:highlight w:val="none"/>
                <w:lang w:val="en-US" w:eastAsia="zh-CN"/>
              </w:rPr>
            </w:pPr>
            <w:r>
              <w:rPr>
                <w:rFonts w:hint="eastAsia" w:ascii="宋体" w:hAnsi="宋体" w:cs="宋体"/>
                <w:sz w:val="21"/>
                <w:szCs w:val="21"/>
                <w:highlight w:val="none"/>
                <w:lang w:val="en-US" w:eastAsia="zh-CN"/>
              </w:rPr>
              <w:t>20</w:t>
            </w:r>
          </w:p>
        </w:tc>
        <w:tc>
          <w:tcPr>
            <w:tcW w:w="735" w:type="dxa"/>
            <w:vAlign w:val="top"/>
          </w:tcPr>
          <w:p>
            <w:pPr>
              <w:spacing w:line="560" w:lineRule="exact"/>
              <w:ind w:firstLine="420"/>
              <w:jc w:val="left"/>
              <w:rPr>
                <w:rFonts w:ascii="宋体" w:hAnsi="宋体" w:cs="宋体"/>
                <w:sz w:val="21"/>
                <w:szCs w:val="21"/>
                <w:highlight w:val="none"/>
              </w:rPr>
            </w:pPr>
          </w:p>
        </w:tc>
        <w:tc>
          <w:tcPr>
            <w:tcW w:w="645" w:type="dxa"/>
            <w:vAlign w:val="top"/>
          </w:tcPr>
          <w:p>
            <w:pPr>
              <w:spacing w:line="560" w:lineRule="exact"/>
              <w:ind w:firstLine="420"/>
              <w:jc w:val="left"/>
              <w:rPr>
                <w:rFonts w:ascii="宋体" w:hAnsi="宋体" w:cs="宋体"/>
                <w:sz w:val="21"/>
                <w:szCs w:val="21"/>
                <w:highlight w:val="none"/>
              </w:rPr>
            </w:pPr>
          </w:p>
        </w:tc>
        <w:tc>
          <w:tcPr>
            <w:tcW w:w="2775" w:type="dxa"/>
            <w:vMerge w:val="restart"/>
            <w:vAlign w:val="center"/>
          </w:tcPr>
          <w:p>
            <w:pPr>
              <w:spacing w:line="56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优良：90（含）-100分；</w:t>
            </w:r>
          </w:p>
          <w:p>
            <w:pPr>
              <w:spacing w:line="56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合格：60（含）-90（不含）；</w:t>
            </w:r>
          </w:p>
          <w:p>
            <w:pPr>
              <w:spacing w:line="560" w:lineRule="exact"/>
              <w:jc w:val="left"/>
              <w:rPr>
                <w:rFonts w:ascii="宋体" w:hAnsi="宋体" w:cs="宋体"/>
                <w:sz w:val="21"/>
                <w:szCs w:val="21"/>
                <w:highlight w:val="none"/>
              </w:rPr>
            </w:pPr>
            <w:r>
              <w:rPr>
                <w:rFonts w:hint="eastAsia" w:ascii="宋体" w:hAnsi="宋体" w:cs="宋体"/>
                <w:sz w:val="21"/>
                <w:szCs w:val="21"/>
                <w:highlight w:val="none"/>
                <w:lang w:val="en-US" w:eastAsia="zh-CN"/>
              </w:rPr>
              <w:t>不合格：60分（不含）以下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center"/>
          </w:tcPr>
          <w:p>
            <w:pPr>
              <w:spacing w:line="560" w:lineRule="exact"/>
              <w:jc w:val="center"/>
              <w:rPr>
                <w:rFonts w:hint="eastAsia" w:ascii="宋体" w:hAnsi="宋体" w:cs="宋体"/>
                <w:sz w:val="21"/>
                <w:szCs w:val="21"/>
                <w:highlight w:val="none"/>
              </w:rPr>
            </w:pPr>
            <w:r>
              <w:rPr>
                <w:rFonts w:hint="eastAsia" w:ascii="宋体" w:hAnsi="宋体" w:cs="宋体"/>
                <w:sz w:val="21"/>
                <w:szCs w:val="21"/>
                <w:highlight w:val="none"/>
              </w:rPr>
              <w:t>理赔服务</w:t>
            </w:r>
          </w:p>
        </w:tc>
        <w:tc>
          <w:tcPr>
            <w:tcW w:w="4327" w:type="dxa"/>
            <w:vAlign w:val="center"/>
          </w:tcPr>
          <w:p>
            <w:pPr>
              <w:spacing w:line="240" w:lineRule="auto"/>
              <w:jc w:val="both"/>
              <w:rPr>
                <w:rFonts w:hint="eastAsia" w:ascii="宋体" w:hAnsi="宋体" w:cs="宋体"/>
                <w:sz w:val="21"/>
                <w:szCs w:val="21"/>
                <w:highlight w:val="none"/>
              </w:rPr>
            </w:pPr>
            <w:r>
              <w:rPr>
                <w:rFonts w:hint="eastAsia" w:ascii="宋体" w:hAnsi="宋体" w:cs="宋体"/>
                <w:sz w:val="21"/>
                <w:szCs w:val="21"/>
                <w:highlight w:val="none"/>
              </w:rPr>
              <w:t>理赔过程顺畅，能够快速响应并处理公务车出险情况</w:t>
            </w:r>
          </w:p>
        </w:tc>
        <w:tc>
          <w:tcPr>
            <w:tcW w:w="1301" w:type="dxa"/>
            <w:vAlign w:val="top"/>
          </w:tcPr>
          <w:p>
            <w:pPr>
              <w:spacing w:line="560" w:lineRule="exact"/>
              <w:ind w:firstLine="42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w:t>
            </w:r>
          </w:p>
        </w:tc>
        <w:tc>
          <w:tcPr>
            <w:tcW w:w="735" w:type="dxa"/>
            <w:vAlign w:val="top"/>
          </w:tcPr>
          <w:p>
            <w:pPr>
              <w:spacing w:line="560" w:lineRule="exact"/>
              <w:ind w:firstLine="420"/>
              <w:jc w:val="left"/>
              <w:rPr>
                <w:rFonts w:ascii="宋体" w:hAnsi="宋体" w:cs="宋体"/>
                <w:sz w:val="21"/>
                <w:szCs w:val="21"/>
                <w:highlight w:val="none"/>
              </w:rPr>
            </w:pPr>
          </w:p>
        </w:tc>
        <w:tc>
          <w:tcPr>
            <w:tcW w:w="645" w:type="dxa"/>
            <w:vAlign w:val="top"/>
          </w:tcPr>
          <w:p>
            <w:pPr>
              <w:spacing w:line="560" w:lineRule="exact"/>
              <w:ind w:firstLine="420"/>
              <w:jc w:val="left"/>
              <w:rPr>
                <w:rFonts w:ascii="宋体" w:hAnsi="宋体" w:cs="宋体"/>
                <w:sz w:val="21"/>
                <w:szCs w:val="21"/>
                <w:highlight w:val="none"/>
              </w:rPr>
            </w:pPr>
          </w:p>
        </w:tc>
        <w:tc>
          <w:tcPr>
            <w:tcW w:w="2775" w:type="dxa"/>
            <w:vMerge w:val="continue"/>
            <w:vAlign w:val="top"/>
          </w:tcPr>
          <w:p>
            <w:pPr>
              <w:spacing w:line="560" w:lineRule="exact"/>
              <w:ind w:firstLine="420"/>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center"/>
          </w:tcPr>
          <w:p>
            <w:pPr>
              <w:spacing w:line="560" w:lineRule="exact"/>
              <w:jc w:val="center"/>
              <w:rPr>
                <w:rFonts w:hint="eastAsia" w:ascii="宋体" w:hAnsi="宋体" w:cs="宋体"/>
                <w:sz w:val="21"/>
                <w:szCs w:val="21"/>
                <w:highlight w:val="none"/>
              </w:rPr>
            </w:pPr>
            <w:r>
              <w:rPr>
                <w:rFonts w:hint="eastAsia" w:ascii="宋体" w:hAnsi="宋体" w:cs="宋体"/>
                <w:sz w:val="21"/>
                <w:szCs w:val="21"/>
                <w:highlight w:val="none"/>
              </w:rPr>
              <w:t>合同履行</w:t>
            </w:r>
          </w:p>
        </w:tc>
        <w:tc>
          <w:tcPr>
            <w:tcW w:w="4327" w:type="dxa"/>
            <w:vAlign w:val="center"/>
          </w:tcPr>
          <w:p>
            <w:pPr>
              <w:spacing w:line="240" w:lineRule="auto"/>
              <w:jc w:val="both"/>
              <w:rPr>
                <w:rFonts w:hint="eastAsia" w:ascii="宋体" w:hAnsi="宋体" w:cs="宋体"/>
                <w:sz w:val="21"/>
                <w:szCs w:val="21"/>
                <w:highlight w:val="none"/>
              </w:rPr>
            </w:pPr>
            <w:r>
              <w:rPr>
                <w:rFonts w:hint="eastAsia" w:ascii="宋体" w:hAnsi="宋体" w:cs="宋体"/>
                <w:sz w:val="21"/>
                <w:szCs w:val="21"/>
                <w:highlight w:val="none"/>
              </w:rPr>
              <w:t>严格按照合同履行投保服务，无违约行为</w:t>
            </w:r>
          </w:p>
        </w:tc>
        <w:tc>
          <w:tcPr>
            <w:tcW w:w="1301" w:type="dxa"/>
            <w:vAlign w:val="top"/>
          </w:tcPr>
          <w:p>
            <w:pPr>
              <w:spacing w:line="560" w:lineRule="exact"/>
              <w:ind w:firstLine="42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w:t>
            </w:r>
          </w:p>
        </w:tc>
        <w:tc>
          <w:tcPr>
            <w:tcW w:w="735" w:type="dxa"/>
            <w:vAlign w:val="top"/>
          </w:tcPr>
          <w:p>
            <w:pPr>
              <w:spacing w:line="560" w:lineRule="exact"/>
              <w:ind w:firstLine="420"/>
              <w:jc w:val="left"/>
              <w:rPr>
                <w:rFonts w:ascii="宋体" w:hAnsi="宋体" w:cs="宋体"/>
                <w:sz w:val="21"/>
                <w:szCs w:val="21"/>
                <w:highlight w:val="none"/>
              </w:rPr>
            </w:pPr>
          </w:p>
        </w:tc>
        <w:tc>
          <w:tcPr>
            <w:tcW w:w="645" w:type="dxa"/>
            <w:vAlign w:val="top"/>
          </w:tcPr>
          <w:p>
            <w:pPr>
              <w:spacing w:line="560" w:lineRule="exact"/>
              <w:ind w:firstLine="420"/>
              <w:jc w:val="left"/>
              <w:rPr>
                <w:rFonts w:ascii="宋体" w:hAnsi="宋体" w:cs="宋体"/>
                <w:sz w:val="21"/>
                <w:szCs w:val="21"/>
                <w:highlight w:val="none"/>
              </w:rPr>
            </w:pPr>
          </w:p>
        </w:tc>
        <w:tc>
          <w:tcPr>
            <w:tcW w:w="2775" w:type="dxa"/>
            <w:vMerge w:val="continue"/>
            <w:vAlign w:val="top"/>
          </w:tcPr>
          <w:p>
            <w:pPr>
              <w:spacing w:line="560" w:lineRule="exact"/>
              <w:ind w:firstLine="420"/>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center"/>
          </w:tcPr>
          <w:p>
            <w:pPr>
              <w:spacing w:line="560" w:lineRule="exact"/>
              <w:jc w:val="center"/>
              <w:rPr>
                <w:rFonts w:hint="eastAsia" w:ascii="宋体" w:hAnsi="宋体" w:cs="宋体"/>
                <w:sz w:val="21"/>
                <w:szCs w:val="21"/>
                <w:highlight w:val="none"/>
              </w:rPr>
            </w:pPr>
            <w:r>
              <w:rPr>
                <w:rFonts w:hint="eastAsia" w:ascii="宋体" w:hAnsi="宋体" w:cs="宋体"/>
                <w:sz w:val="21"/>
                <w:szCs w:val="21"/>
                <w:highlight w:val="none"/>
              </w:rPr>
              <w:t>保险方案</w:t>
            </w:r>
          </w:p>
        </w:tc>
        <w:tc>
          <w:tcPr>
            <w:tcW w:w="4327" w:type="dxa"/>
            <w:vAlign w:val="center"/>
          </w:tcPr>
          <w:p>
            <w:pPr>
              <w:spacing w:line="240" w:lineRule="auto"/>
              <w:jc w:val="both"/>
              <w:rPr>
                <w:rFonts w:hint="eastAsia" w:ascii="宋体" w:hAnsi="宋体" w:cs="宋体"/>
                <w:sz w:val="21"/>
                <w:szCs w:val="21"/>
                <w:highlight w:val="none"/>
              </w:rPr>
            </w:pPr>
            <w:r>
              <w:rPr>
                <w:rFonts w:hint="eastAsia" w:ascii="宋体" w:hAnsi="宋体" w:cs="宋体"/>
                <w:sz w:val="21"/>
                <w:szCs w:val="21"/>
                <w:highlight w:val="none"/>
              </w:rPr>
              <w:t>提供的保险方案全面、合理，满足公务车使用需求</w:t>
            </w:r>
          </w:p>
        </w:tc>
        <w:tc>
          <w:tcPr>
            <w:tcW w:w="1301" w:type="dxa"/>
            <w:vAlign w:val="top"/>
          </w:tcPr>
          <w:p>
            <w:pPr>
              <w:spacing w:line="560" w:lineRule="exact"/>
              <w:ind w:firstLine="42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w:t>
            </w:r>
          </w:p>
        </w:tc>
        <w:tc>
          <w:tcPr>
            <w:tcW w:w="735" w:type="dxa"/>
            <w:vAlign w:val="top"/>
          </w:tcPr>
          <w:p>
            <w:pPr>
              <w:spacing w:line="560" w:lineRule="exact"/>
              <w:ind w:firstLine="420"/>
              <w:jc w:val="left"/>
              <w:rPr>
                <w:rFonts w:ascii="宋体" w:hAnsi="宋体" w:cs="宋体"/>
                <w:sz w:val="21"/>
                <w:szCs w:val="21"/>
                <w:highlight w:val="none"/>
              </w:rPr>
            </w:pPr>
          </w:p>
        </w:tc>
        <w:tc>
          <w:tcPr>
            <w:tcW w:w="645" w:type="dxa"/>
            <w:vAlign w:val="top"/>
          </w:tcPr>
          <w:p>
            <w:pPr>
              <w:spacing w:line="560" w:lineRule="exact"/>
              <w:ind w:firstLine="420"/>
              <w:jc w:val="left"/>
              <w:rPr>
                <w:rFonts w:ascii="宋体" w:hAnsi="宋体" w:cs="宋体"/>
                <w:sz w:val="21"/>
                <w:szCs w:val="21"/>
                <w:highlight w:val="none"/>
              </w:rPr>
            </w:pPr>
          </w:p>
        </w:tc>
        <w:tc>
          <w:tcPr>
            <w:tcW w:w="2775" w:type="dxa"/>
            <w:vMerge w:val="continue"/>
            <w:vAlign w:val="top"/>
          </w:tcPr>
          <w:p>
            <w:pPr>
              <w:spacing w:line="560" w:lineRule="exact"/>
              <w:ind w:firstLine="420"/>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2"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后续</w:t>
            </w:r>
            <w:r>
              <w:rPr>
                <w:rFonts w:hint="eastAsia" w:ascii="宋体" w:hAnsi="宋体" w:eastAsia="宋体" w:cs="宋体"/>
                <w:sz w:val="21"/>
                <w:szCs w:val="21"/>
                <w:highlight w:val="none"/>
              </w:rPr>
              <w:t>服务</w:t>
            </w:r>
          </w:p>
        </w:tc>
        <w:tc>
          <w:tcPr>
            <w:tcW w:w="4327" w:type="dxa"/>
            <w:vAlign w:val="center"/>
          </w:tcPr>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提供持续的售后服务，解答疑问，处理问题</w:t>
            </w:r>
          </w:p>
        </w:tc>
        <w:tc>
          <w:tcPr>
            <w:tcW w:w="1301" w:type="dxa"/>
            <w:vAlign w:val="top"/>
          </w:tcPr>
          <w:p>
            <w:pPr>
              <w:spacing w:line="560" w:lineRule="exact"/>
              <w:ind w:firstLine="42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w:t>
            </w:r>
          </w:p>
        </w:tc>
        <w:tc>
          <w:tcPr>
            <w:tcW w:w="735" w:type="dxa"/>
            <w:vAlign w:val="top"/>
          </w:tcPr>
          <w:p>
            <w:pPr>
              <w:spacing w:line="560" w:lineRule="exact"/>
              <w:ind w:firstLine="420"/>
              <w:jc w:val="left"/>
              <w:rPr>
                <w:rFonts w:ascii="宋体" w:hAnsi="宋体" w:cs="宋体"/>
                <w:sz w:val="21"/>
                <w:szCs w:val="21"/>
                <w:highlight w:val="none"/>
              </w:rPr>
            </w:pPr>
          </w:p>
        </w:tc>
        <w:tc>
          <w:tcPr>
            <w:tcW w:w="645" w:type="dxa"/>
            <w:vAlign w:val="top"/>
          </w:tcPr>
          <w:p>
            <w:pPr>
              <w:spacing w:line="560" w:lineRule="exact"/>
              <w:ind w:firstLine="420"/>
              <w:jc w:val="left"/>
              <w:rPr>
                <w:rFonts w:ascii="宋体" w:hAnsi="宋体" w:cs="宋体"/>
                <w:sz w:val="21"/>
                <w:szCs w:val="21"/>
                <w:highlight w:val="none"/>
              </w:rPr>
            </w:pPr>
          </w:p>
        </w:tc>
        <w:tc>
          <w:tcPr>
            <w:tcW w:w="2775" w:type="dxa"/>
            <w:vMerge w:val="continue"/>
            <w:vAlign w:val="top"/>
          </w:tcPr>
          <w:p>
            <w:pPr>
              <w:spacing w:line="560" w:lineRule="exact"/>
              <w:ind w:firstLine="420"/>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99" w:type="dxa"/>
            <w:gridSpan w:val="2"/>
            <w:vAlign w:val="top"/>
          </w:tcPr>
          <w:p>
            <w:pPr>
              <w:spacing w:line="560" w:lineRule="exact"/>
              <w:ind w:firstLine="422"/>
              <w:jc w:val="left"/>
              <w:rPr>
                <w:rFonts w:ascii="宋体" w:hAnsi="宋体" w:cs="宋体"/>
                <w:b/>
                <w:bCs/>
                <w:sz w:val="21"/>
                <w:szCs w:val="21"/>
                <w:highlight w:val="none"/>
              </w:rPr>
            </w:pPr>
            <w:r>
              <w:rPr>
                <w:rFonts w:hint="eastAsia" w:ascii="宋体" w:hAnsi="宋体" w:cs="宋体"/>
                <w:b/>
                <w:bCs/>
                <w:sz w:val="21"/>
                <w:szCs w:val="21"/>
                <w:highlight w:val="none"/>
              </w:rPr>
              <w:t>合计</w:t>
            </w:r>
          </w:p>
        </w:tc>
        <w:tc>
          <w:tcPr>
            <w:tcW w:w="1301" w:type="dxa"/>
            <w:vAlign w:val="top"/>
          </w:tcPr>
          <w:p>
            <w:pPr>
              <w:spacing w:line="560" w:lineRule="exact"/>
              <w:ind w:firstLine="422"/>
              <w:jc w:val="left"/>
              <w:rPr>
                <w:rFonts w:ascii="宋体" w:hAnsi="宋体" w:cs="宋体"/>
                <w:b/>
                <w:bCs/>
                <w:sz w:val="21"/>
                <w:szCs w:val="21"/>
                <w:highlight w:val="none"/>
              </w:rPr>
            </w:pPr>
            <w:r>
              <w:rPr>
                <w:rFonts w:hint="eastAsia" w:ascii="宋体" w:hAnsi="宋体" w:cs="宋体"/>
                <w:b/>
                <w:bCs/>
                <w:sz w:val="21"/>
                <w:szCs w:val="21"/>
                <w:highlight w:val="none"/>
              </w:rPr>
              <w:t>100</w:t>
            </w:r>
          </w:p>
        </w:tc>
        <w:tc>
          <w:tcPr>
            <w:tcW w:w="735" w:type="dxa"/>
            <w:vAlign w:val="top"/>
          </w:tcPr>
          <w:p>
            <w:pPr>
              <w:spacing w:line="560" w:lineRule="exact"/>
              <w:ind w:firstLine="422"/>
              <w:jc w:val="left"/>
              <w:rPr>
                <w:rFonts w:ascii="宋体" w:hAnsi="宋体" w:cs="宋体"/>
                <w:b/>
                <w:bCs/>
                <w:sz w:val="21"/>
                <w:szCs w:val="21"/>
                <w:highlight w:val="none"/>
              </w:rPr>
            </w:pPr>
          </w:p>
        </w:tc>
        <w:tc>
          <w:tcPr>
            <w:tcW w:w="645" w:type="dxa"/>
            <w:vAlign w:val="top"/>
          </w:tcPr>
          <w:p>
            <w:pPr>
              <w:spacing w:line="560" w:lineRule="exact"/>
              <w:ind w:firstLine="422"/>
              <w:jc w:val="left"/>
              <w:rPr>
                <w:rFonts w:ascii="宋体" w:hAnsi="宋体" w:cs="宋体"/>
                <w:b/>
                <w:bCs/>
                <w:sz w:val="21"/>
                <w:szCs w:val="21"/>
                <w:highlight w:val="none"/>
              </w:rPr>
            </w:pPr>
          </w:p>
        </w:tc>
        <w:tc>
          <w:tcPr>
            <w:tcW w:w="2775" w:type="dxa"/>
            <w:vAlign w:val="top"/>
          </w:tcPr>
          <w:p>
            <w:pPr>
              <w:spacing w:line="560" w:lineRule="exact"/>
              <w:ind w:firstLine="422"/>
              <w:jc w:val="left"/>
              <w:rPr>
                <w:rFonts w:ascii="宋体" w:hAnsi="宋体" w:cs="宋体"/>
                <w:b/>
                <w:bCs/>
                <w:sz w:val="21"/>
                <w:szCs w:val="21"/>
                <w:highlight w:val="none"/>
              </w:rPr>
            </w:pPr>
          </w:p>
        </w:tc>
      </w:tr>
    </w:tbl>
    <w:p>
      <w:pPr>
        <w:rPr>
          <w:rFonts w:hint="eastAsia"/>
          <w:highlight w:val="none"/>
        </w:rPr>
      </w:pPr>
    </w:p>
    <w:p>
      <w:pPr>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3"/>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3"/>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3"/>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3"/>
        <w:rPr>
          <w:rFonts w:hint="eastAsia" w:ascii="仿宋_GB2312" w:hAnsi="仿宋_GB2312" w:eastAsia="仿宋_GB2312" w:cs="仿宋_GB2312"/>
          <w:sz w:val="28"/>
          <w:szCs w:val="28"/>
          <w:highlight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280" w:firstLineChars="100"/>
        <w:jc w:val="both"/>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附件2：</w:t>
      </w:r>
    </w:p>
    <w:p>
      <w:pPr>
        <w:pStyle w:val="2"/>
        <w:rPr>
          <w:rFonts w:hint="eastAsia"/>
          <w:highlight w:val="none"/>
        </w:rPr>
      </w:pPr>
    </w:p>
    <w:p>
      <w:pPr>
        <w:jc w:val="center"/>
        <w:rPr>
          <w:rFonts w:ascii="宋体"/>
          <w:sz w:val="36"/>
          <w:szCs w:val="36"/>
          <w:highlight w:val="none"/>
        </w:rPr>
      </w:pPr>
      <w:r>
        <w:rPr>
          <w:rFonts w:hint="eastAsia" w:ascii="方正小标宋_GBK" w:hAnsi="方正小标宋_GBK" w:eastAsia="方正小标宋_GBK" w:cs="方正小标宋_GBK"/>
          <w:sz w:val="36"/>
          <w:szCs w:val="36"/>
          <w:highlight w:val="none"/>
        </w:rPr>
        <w:t>龙岗区进一步规范政商交往行为告知书</w:t>
      </w:r>
    </w:p>
    <w:p>
      <w:pPr>
        <w:pStyle w:val="6"/>
        <w:spacing w:after="0" w:line="520" w:lineRule="exact"/>
        <w:ind w:left="108" w:right="114" w:firstLine="50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5"/>
          <w:sz w:val="28"/>
          <w:szCs w:val="28"/>
          <w:highlight w:val="none"/>
        </w:rPr>
        <w:t>为深入构建“亲”“清”新型政商关系，努力打造尊商、亲商、助商、</w:t>
      </w:r>
      <w:r>
        <w:rPr>
          <w:rFonts w:hint="eastAsia" w:ascii="仿宋_GB2312" w:hAnsi="仿宋_GB2312" w:eastAsia="仿宋_GB2312" w:cs="仿宋_GB2312"/>
          <w:spacing w:val="-10"/>
          <w:sz w:val="28"/>
          <w:szCs w:val="28"/>
          <w:highlight w:val="none"/>
        </w:rPr>
        <w:t>安商良好营商环境，龙岗区委区政府制定了《龙岗区公</w:t>
      </w:r>
      <w:r>
        <w:rPr>
          <w:rFonts w:hint="eastAsia" w:ascii="仿宋_GB2312" w:hAnsi="仿宋_GB2312" w:eastAsia="仿宋_GB2312" w:cs="仿宋_GB2312"/>
          <w:spacing w:val="-22"/>
          <w:sz w:val="28"/>
          <w:szCs w:val="28"/>
          <w:highlight w:val="none"/>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highlight w:val="none"/>
        </w:rPr>
        <w:t>区公职人员交往中切实做到“十个不得”。</w:t>
      </w:r>
    </w:p>
    <w:p>
      <w:pPr>
        <w:pStyle w:val="6"/>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不得向公职人员赠送礼品、礼金、消费卡等财物。</w:t>
      </w:r>
    </w:p>
    <w:p>
      <w:pPr>
        <w:pStyle w:val="6"/>
        <w:numPr>
          <w:ilvl w:val="0"/>
          <w:numId w:val="1"/>
        </w:numPr>
        <w:spacing w:before="11" w:after="0" w:line="520" w:lineRule="exact"/>
        <w:ind w:right="478" w:firstLine="556"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不得违规向公职人员提供宴请、旅游、娱乐等安排。</w:t>
      </w:r>
    </w:p>
    <w:p>
      <w:pPr>
        <w:pStyle w:val="6"/>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不得通过打麻将等形式向公职人员输送利益。</w:t>
      </w:r>
    </w:p>
    <w:p>
      <w:pPr>
        <w:pStyle w:val="6"/>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不得为公职人员报销应由其个人支付的费用。</w:t>
      </w:r>
    </w:p>
    <w:p>
      <w:pPr>
        <w:pStyle w:val="6"/>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不得违规向公职人员及其亲友借贷款。</w:t>
      </w:r>
    </w:p>
    <w:p>
      <w:pPr>
        <w:pStyle w:val="6"/>
        <w:spacing w:before="3"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六、不得违规将车辆、住房等借给公职人员使用。</w:t>
      </w:r>
    </w:p>
    <w:p>
      <w:pPr>
        <w:pStyle w:val="6"/>
        <w:spacing w:after="0" w:line="520" w:lineRule="exact"/>
        <w:ind w:right="271"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七、不得在招投标中与公职人员搞暗箱操作、围标串标。</w:t>
      </w:r>
      <w:r>
        <w:rPr>
          <w:rFonts w:hint="eastAsia" w:ascii="仿宋_GB2312" w:hAnsi="仿宋_GB2312" w:eastAsia="仿宋_GB2312" w:cs="仿宋_GB2312"/>
          <w:spacing w:val="-12"/>
          <w:sz w:val="28"/>
          <w:szCs w:val="28"/>
          <w:highlight w:val="none"/>
        </w:rPr>
        <w:t>八、不得为利益相关人和公职人员牵线搭桥或者代为传递信</w:t>
      </w:r>
      <w:r>
        <w:rPr>
          <w:rFonts w:hint="eastAsia" w:ascii="仿宋_GB2312" w:hAnsi="仿宋_GB2312" w:eastAsia="仿宋_GB2312" w:cs="仿宋_GB2312"/>
          <w:sz w:val="28"/>
          <w:szCs w:val="28"/>
          <w:highlight w:val="none"/>
        </w:rPr>
        <w:t>息、传递财物。</w:t>
      </w:r>
    </w:p>
    <w:p>
      <w:pPr>
        <w:pStyle w:val="6"/>
        <w:spacing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九、不得让公职人员在企业违规兼职取酬。</w:t>
      </w:r>
    </w:p>
    <w:p>
      <w:pPr>
        <w:pStyle w:val="6"/>
        <w:spacing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十、不得为公职人员亲友违规承揽业务提供便利。</w:t>
      </w:r>
    </w:p>
    <w:p>
      <w:pPr>
        <w:pStyle w:val="6"/>
        <w:spacing w:after="0" w:line="520" w:lineRule="exact"/>
        <w:ind w:right="156"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上述“十个不得”，请您严格遵守。同时，在政商交往中， </w:t>
      </w:r>
      <w:r>
        <w:rPr>
          <w:rFonts w:hint="eastAsia" w:ascii="仿宋_GB2312" w:hAnsi="仿宋_GB2312" w:eastAsia="仿宋_GB2312" w:cs="仿宋_GB2312"/>
          <w:spacing w:val="-7"/>
          <w:sz w:val="28"/>
          <w:szCs w:val="28"/>
          <w:highlight w:val="none"/>
        </w:rPr>
        <w:t>如有发现我区公职人员存在违反“十个不准”的问题，请及时通</w:t>
      </w:r>
      <w:r>
        <w:rPr>
          <w:rFonts w:hint="eastAsia" w:ascii="仿宋_GB2312" w:hAnsi="仿宋_GB2312" w:eastAsia="仿宋_GB2312" w:cs="仿宋_GB2312"/>
          <w:spacing w:val="-15"/>
          <w:sz w:val="28"/>
          <w:szCs w:val="28"/>
          <w:highlight w:val="none"/>
        </w:rPr>
        <w:t xml:space="preserve">过网络举报平台或者 </w:t>
      </w:r>
      <w:r>
        <w:rPr>
          <w:rFonts w:hint="eastAsia" w:ascii="仿宋_GB2312" w:hAnsi="仿宋_GB2312" w:eastAsia="仿宋_GB2312" w:cs="仿宋_GB2312"/>
          <w:sz w:val="28"/>
          <w:szCs w:val="28"/>
          <w:highlight w:val="none"/>
        </w:rPr>
        <w:t>12388</w:t>
      </w:r>
      <w:r>
        <w:rPr>
          <w:rFonts w:hint="eastAsia" w:ascii="仿宋_GB2312" w:hAnsi="仿宋_GB2312" w:eastAsia="仿宋_GB2312" w:cs="仿宋_GB2312"/>
          <w:spacing w:val="-15"/>
          <w:sz w:val="28"/>
          <w:szCs w:val="28"/>
          <w:highlight w:val="none"/>
        </w:rPr>
        <w:t xml:space="preserve"> 举报电话等方式，向纪检监察机关反映举报，我们将一律严格保密、一律优先处置、一律严肃查处。</w:t>
      </w:r>
    </w:p>
    <w:p>
      <w:pPr>
        <w:pStyle w:val="6"/>
        <w:spacing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本人已知晓上述告知内容，并愿意遵照执行（签名）：</w:t>
      </w:r>
    </w:p>
    <w:p>
      <w:pPr>
        <w:rPr>
          <w:rFonts w:hint="eastAsia"/>
          <w:highlight w:val="none"/>
        </w:rPr>
      </w:pPr>
    </w:p>
    <w:p>
      <w:pPr>
        <w:pStyle w:val="6"/>
        <w:tabs>
          <w:tab w:val="left" w:pos="7068"/>
          <w:tab w:val="left" w:pos="7827"/>
          <w:tab w:val="left" w:pos="8587"/>
        </w:tabs>
        <w:jc w:val="right"/>
        <w:rPr>
          <w:rFonts w:hint="eastAsia"/>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u w:val="none"/>
        </w:rPr>
        <w:t>0</w:t>
      </w:r>
      <w:r>
        <w:rPr>
          <w:rFonts w:hint="eastAsia" w:ascii="仿宋_GB2312" w:hAnsi="仿宋_GB2312" w:eastAsia="仿宋_GB2312" w:cs="仿宋_GB2312"/>
          <w:sz w:val="28"/>
          <w:szCs w:val="28"/>
          <w:highlight w:val="none"/>
          <w:u w:val="none"/>
          <w:lang w:val="en-US" w:eastAsia="zh-CN"/>
        </w:rPr>
        <w:t>24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sectPr>
      <w:pgSz w:w="11910" w:h="16840"/>
      <w:pgMar w:top="2098" w:right="1474" w:bottom="1984" w:left="1587" w:header="720" w:footer="975"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UxMDgxODE0ZTk4NTJhOTVkYmEwNThkNjQzYjcifQ=="/>
  </w:docVars>
  <w:rsids>
    <w:rsidRoot w:val="350E1338"/>
    <w:rsid w:val="262D7FF7"/>
    <w:rsid w:val="27B64475"/>
    <w:rsid w:val="28426C1F"/>
    <w:rsid w:val="28AE1B3A"/>
    <w:rsid w:val="2CCE28B7"/>
    <w:rsid w:val="350E1338"/>
    <w:rsid w:val="3B8244AF"/>
    <w:rsid w:val="55F006A2"/>
    <w:rsid w:val="625D7578"/>
    <w:rsid w:val="63FD6B3A"/>
    <w:rsid w:val="68620AA7"/>
    <w:rsid w:val="6DC24528"/>
    <w:rsid w:val="70E47FA6"/>
    <w:rsid w:val="7B027FE0"/>
    <w:rsid w:val="7B0D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Courier New" w:hAnsi="Courier New"/>
      <w:szCs w:val="20"/>
    </w:rPr>
  </w:style>
  <w:style w:type="paragraph" w:styleId="3">
    <w:name w:val="index 8"/>
    <w:basedOn w:val="1"/>
    <w:next w:val="1"/>
    <w:qFormat/>
    <w:uiPriority w:val="0"/>
    <w:pPr>
      <w:ind w:left="1400" w:leftChars="1400"/>
    </w:pPr>
  </w:style>
  <w:style w:type="paragraph" w:styleId="5">
    <w:name w:val="Normal Indent"/>
    <w:basedOn w:val="1"/>
    <w:qFormat/>
    <w:uiPriority w:val="99"/>
    <w:pPr>
      <w:ind w:firstLine="420" w:firstLineChars="200"/>
    </w:pPr>
  </w:style>
  <w:style w:type="paragraph" w:styleId="6">
    <w:name w:val="Body Text"/>
    <w:basedOn w:val="1"/>
    <w:next w:val="1"/>
    <w:qFormat/>
    <w:uiPriority w:val="0"/>
    <w:pPr>
      <w:spacing w:after="120"/>
    </w:pPr>
  </w:style>
  <w:style w:type="paragraph" w:styleId="7">
    <w:name w:val="Body Text Indent"/>
    <w:basedOn w:val="1"/>
    <w:qFormat/>
    <w:uiPriority w:val="99"/>
    <w:pPr>
      <w:spacing w:after="120" w:afterLines="0"/>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fontstyle01"/>
    <w:qFormat/>
    <w:uiPriority w:val="0"/>
    <w:rPr>
      <w:rFonts w:ascii="仿宋_GB2312" w:eastAsia="仿宋_GB2312" w:cs="仿宋_GB2312"/>
      <w:color w:val="000000"/>
      <w:sz w:val="32"/>
      <w:szCs w:val="32"/>
    </w:rPr>
  </w:style>
  <w:style w:type="paragraph" w:customStyle="1" w:styleId="12">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5883</Words>
  <Characters>5974</Characters>
  <Lines>0</Lines>
  <Paragraphs>0</Paragraphs>
  <TotalTime>5</TotalTime>
  <ScaleCrop>false</ScaleCrop>
  <LinksUpToDate>false</LinksUpToDate>
  <CharactersWithSpaces>6234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2024-07-17T07:02:00Z</dcterms:created>
  <dc:creator>葉祖崬</dc:creator>
  <cp:lastModifiedBy>戴刚勇1</cp:lastModifiedBy>
  <cp:lastPrinted>2024-07-23T02:39:00Z</cp:lastPrinted>
  <dcterms:modified xsi:type="dcterms:W3CDTF">2024-08-05T03:10:36Z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C4CE906324BB46C884888E34343FB928_11</vt:lpwstr>
  </property>
</Properties>
</file>