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9E28C">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附件1 </w:t>
      </w:r>
      <w:bookmarkStart w:id="0" w:name="_GoBack"/>
      <w:bookmarkEnd w:id="0"/>
      <w:r>
        <w:rPr>
          <w:rFonts w:hint="eastAsia" w:ascii="黑体" w:hAnsi="黑体" w:eastAsia="黑体" w:cs="黑体"/>
          <w:sz w:val="32"/>
          <w:szCs w:val="32"/>
          <w:lang w:val="en-US" w:eastAsia="zh-CN"/>
        </w:rPr>
        <w:t>项目采购评分表</w:t>
      </w:r>
    </w:p>
    <w:tbl>
      <w:tblPr>
        <w:tblStyle w:val="2"/>
        <w:tblW w:w="106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1"/>
        <w:gridCol w:w="1200"/>
        <w:gridCol w:w="1201"/>
        <w:gridCol w:w="4249"/>
        <w:gridCol w:w="851"/>
        <w:gridCol w:w="2431"/>
      </w:tblGrid>
      <w:tr w14:paraId="4B4A6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1" w:type="dxa"/>
            <w:tcBorders>
              <w:top w:val="single" w:color="000000" w:sz="4" w:space="0"/>
              <w:left w:val="single" w:color="000000" w:sz="4" w:space="0"/>
              <w:bottom w:val="single" w:color="000000" w:sz="4" w:space="0"/>
              <w:right w:val="single" w:color="000000" w:sz="4" w:space="0"/>
            </w:tcBorders>
            <w:noWrap w:val="0"/>
            <w:vAlign w:val="center"/>
          </w:tcPr>
          <w:p w14:paraId="431E859C">
            <w:pPr>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2401" w:type="dxa"/>
            <w:gridSpan w:val="2"/>
            <w:tcBorders>
              <w:top w:val="single" w:color="000000" w:sz="4" w:space="0"/>
              <w:left w:val="single" w:color="000000" w:sz="4" w:space="0"/>
              <w:bottom w:val="single" w:color="000000" w:sz="4" w:space="0"/>
              <w:right w:val="single" w:color="000000" w:sz="4" w:space="0"/>
            </w:tcBorders>
            <w:noWrap w:val="0"/>
            <w:vAlign w:val="center"/>
          </w:tcPr>
          <w:p w14:paraId="46FC9668">
            <w:pPr>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评分项</w:t>
            </w:r>
          </w:p>
        </w:tc>
        <w:tc>
          <w:tcPr>
            <w:tcW w:w="4249" w:type="dxa"/>
            <w:tcBorders>
              <w:top w:val="single" w:color="000000" w:sz="4" w:space="0"/>
              <w:left w:val="single" w:color="000000" w:sz="4" w:space="0"/>
              <w:bottom w:val="single" w:color="000000" w:sz="4" w:space="0"/>
              <w:right w:val="single" w:color="auto" w:sz="4" w:space="0"/>
            </w:tcBorders>
            <w:noWrap w:val="0"/>
            <w:vAlign w:val="center"/>
          </w:tcPr>
          <w:p w14:paraId="6EDFB513">
            <w:pPr>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评分细则</w:t>
            </w:r>
          </w:p>
        </w:tc>
        <w:tc>
          <w:tcPr>
            <w:tcW w:w="851" w:type="dxa"/>
            <w:tcBorders>
              <w:top w:val="single" w:color="000000" w:sz="4" w:space="0"/>
              <w:left w:val="single" w:color="auto" w:sz="4" w:space="0"/>
              <w:bottom w:val="single" w:color="000000" w:sz="4" w:space="0"/>
              <w:right w:val="single" w:color="auto" w:sz="4" w:space="0"/>
            </w:tcBorders>
            <w:noWrap w:val="0"/>
            <w:vAlign w:val="center"/>
          </w:tcPr>
          <w:p w14:paraId="1220CF35">
            <w:pPr>
              <w:snapToGrid w:val="0"/>
              <w:jc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最高分值</w:t>
            </w:r>
          </w:p>
        </w:tc>
        <w:tc>
          <w:tcPr>
            <w:tcW w:w="2431" w:type="dxa"/>
            <w:tcBorders>
              <w:top w:val="single" w:color="000000" w:sz="4" w:space="0"/>
              <w:left w:val="single" w:color="auto" w:sz="4" w:space="0"/>
              <w:bottom w:val="single" w:color="000000" w:sz="4" w:space="0"/>
              <w:right w:val="single" w:color="000000" w:sz="4" w:space="0"/>
            </w:tcBorders>
            <w:noWrap w:val="0"/>
            <w:vAlign w:val="center"/>
          </w:tcPr>
          <w:p w14:paraId="35CB3F0B">
            <w:pPr>
              <w:snapToGrid w:val="0"/>
              <w:jc w:val="center"/>
              <w:rPr>
                <w:rFonts w:hint="eastAsia" w:ascii="仿宋_GB2312" w:hAnsi="仿宋_GB2312" w:eastAsia="仿宋_GB2312" w:cs="仿宋_GB2312"/>
                <w:b/>
                <w:sz w:val="24"/>
                <w:szCs w:val="24"/>
              </w:rPr>
            </w:pPr>
            <w:r>
              <w:rPr>
                <w:rFonts w:hint="eastAsia" w:ascii="仿宋_GB2312" w:hAnsi="仿宋_GB2312" w:cs="仿宋_GB2312"/>
                <w:b/>
                <w:sz w:val="24"/>
                <w:szCs w:val="24"/>
                <w:lang w:eastAsia="zh-CN"/>
              </w:rPr>
              <w:t>其他</w:t>
            </w:r>
            <w:r>
              <w:rPr>
                <w:rFonts w:hint="eastAsia" w:ascii="仿宋_GB2312" w:hAnsi="仿宋_GB2312" w:eastAsia="仿宋_GB2312" w:cs="仿宋_GB2312"/>
                <w:b/>
                <w:sz w:val="24"/>
                <w:szCs w:val="24"/>
              </w:rPr>
              <w:t>说明</w:t>
            </w:r>
          </w:p>
        </w:tc>
      </w:tr>
      <w:tr w14:paraId="2ECA6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691" w:type="dxa"/>
            <w:tcBorders>
              <w:top w:val="single" w:color="000000" w:sz="4" w:space="0"/>
              <w:left w:val="single" w:color="000000" w:sz="4" w:space="0"/>
              <w:right w:val="single" w:color="000000" w:sz="4" w:space="0"/>
            </w:tcBorders>
            <w:noWrap w:val="0"/>
            <w:vAlign w:val="center"/>
          </w:tcPr>
          <w:p w14:paraId="7E2DFF33">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200" w:type="dxa"/>
            <w:tcBorders>
              <w:top w:val="single" w:color="000000" w:sz="4" w:space="0"/>
              <w:left w:val="single" w:color="000000" w:sz="4" w:space="0"/>
              <w:right w:val="single" w:color="000000" w:sz="4" w:space="0"/>
            </w:tcBorders>
            <w:noWrap w:val="0"/>
            <w:vAlign w:val="center"/>
          </w:tcPr>
          <w:p w14:paraId="2DB17502">
            <w:pPr>
              <w:snapToGrid w:val="0"/>
              <w:jc w:val="center"/>
              <w:rPr>
                <w:rFonts w:hint="eastAsia"/>
                <w:lang w:eastAsia="zh-CN"/>
              </w:rPr>
            </w:pPr>
            <w:r>
              <w:rPr>
                <w:rFonts w:hint="eastAsia" w:ascii="仿宋_GB2312" w:hAnsi="仿宋_GB2312" w:eastAsia="仿宋_GB2312" w:cs="仿宋_GB2312"/>
                <w:b/>
                <w:bCs/>
                <w:sz w:val="24"/>
                <w:szCs w:val="24"/>
                <w:lang w:eastAsia="zh-CN"/>
              </w:rPr>
              <w:t>价格部分</w:t>
            </w:r>
            <w:r>
              <w:rPr>
                <w:rFonts w:hint="eastAsia" w:ascii="仿宋_GB2312" w:hAnsi="仿宋_GB2312" w:cs="仿宋_GB2312"/>
                <w:b/>
                <w:bCs/>
                <w:sz w:val="24"/>
                <w:szCs w:val="24"/>
                <w:lang w:eastAsia="zh-CN"/>
              </w:rPr>
              <w:t>（</w:t>
            </w:r>
            <w:r>
              <w:rPr>
                <w:rFonts w:hint="eastAsia" w:ascii="仿宋_GB2312" w:hAnsi="仿宋_GB2312" w:cs="仿宋_GB2312"/>
                <w:b/>
                <w:bCs/>
                <w:sz w:val="24"/>
                <w:szCs w:val="24"/>
                <w:lang w:val="en-US" w:eastAsia="zh-CN"/>
              </w:rPr>
              <w:t>30分</w:t>
            </w:r>
            <w:r>
              <w:rPr>
                <w:rFonts w:hint="eastAsia" w:ascii="仿宋_GB2312" w:hAnsi="仿宋_GB2312" w:cs="仿宋_GB2312"/>
                <w:b/>
                <w:bCs/>
                <w:sz w:val="24"/>
                <w:szCs w:val="24"/>
                <w:lang w:eastAsia="zh-CN"/>
              </w:rPr>
              <w:t>）</w:t>
            </w:r>
          </w:p>
        </w:tc>
        <w:tc>
          <w:tcPr>
            <w:tcW w:w="1201" w:type="dxa"/>
            <w:tcBorders>
              <w:top w:val="single" w:color="000000" w:sz="4" w:space="0"/>
              <w:left w:val="single" w:color="000000" w:sz="4" w:space="0"/>
              <w:right w:val="single" w:color="000000" w:sz="4" w:space="0"/>
            </w:tcBorders>
            <w:noWrap w:val="0"/>
            <w:vAlign w:val="center"/>
          </w:tcPr>
          <w:p w14:paraId="34B26498">
            <w:pPr>
              <w:spacing w:line="400" w:lineRule="exact"/>
              <w:jc w:val="center"/>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sz w:val="24"/>
                <w:szCs w:val="24"/>
                <w:lang w:val="en-US" w:eastAsia="zh-CN"/>
              </w:rPr>
              <w:t>自主定价系数</w:t>
            </w:r>
          </w:p>
        </w:tc>
        <w:tc>
          <w:tcPr>
            <w:tcW w:w="4249" w:type="dxa"/>
            <w:tcBorders>
              <w:top w:val="single" w:color="000000" w:sz="4" w:space="0"/>
              <w:left w:val="single" w:color="000000" w:sz="4" w:space="0"/>
              <w:bottom w:val="single" w:color="000000" w:sz="4" w:space="0"/>
              <w:right w:val="single" w:color="auto" w:sz="4" w:space="0"/>
            </w:tcBorders>
            <w:noWrap w:val="0"/>
            <w:vAlign w:val="center"/>
          </w:tcPr>
          <w:p w14:paraId="4DD02C23">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1.满足招标文件要求且自主定价系数最低的为评标基准</w:t>
            </w:r>
            <w:r>
              <w:rPr>
                <w:rFonts w:hint="eastAsia" w:ascii="仿宋_GB2312" w:hAnsi="仿宋_GB2312" w:cs="仿宋_GB2312"/>
                <w:color w:val="000000"/>
                <w:sz w:val="24"/>
                <w:szCs w:val="24"/>
                <w:highlight w:val="none"/>
                <w:lang w:eastAsia="zh-CN"/>
              </w:rPr>
              <w:t>系数</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其价格分为满分。</w:t>
            </w:r>
          </w:p>
          <w:p w14:paraId="498357B7">
            <w:pPr>
              <w:pStyle w:val="4"/>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仿宋_GB2312" w:hAnsi="仿宋_GB2312" w:eastAsia="仿宋_GB2312" w:cs="仿宋_GB2312"/>
                <w:b w:val="0"/>
                <w:bCs/>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rPr>
              <w:t>2.其他投标人</w:t>
            </w:r>
            <w:r>
              <w:rPr>
                <w:rFonts w:hint="eastAsia" w:ascii="仿宋_GB2312" w:hAnsi="仿宋_GB2312" w:cs="仿宋_GB2312"/>
                <w:color w:val="000000"/>
                <w:sz w:val="24"/>
                <w:szCs w:val="24"/>
                <w:highlight w:val="none"/>
                <w:lang w:eastAsia="zh-CN"/>
              </w:rPr>
              <w:t>价格</w:t>
            </w:r>
            <w:r>
              <w:rPr>
                <w:rFonts w:hint="eastAsia" w:ascii="仿宋_GB2312" w:hAnsi="仿宋_GB2312" w:eastAsia="仿宋_GB2312" w:cs="仿宋_GB2312"/>
                <w:color w:val="000000"/>
                <w:sz w:val="24"/>
                <w:szCs w:val="24"/>
                <w:highlight w:val="none"/>
              </w:rPr>
              <w:t>得分=评标基准</w:t>
            </w:r>
            <w:r>
              <w:rPr>
                <w:rFonts w:hint="eastAsia" w:ascii="仿宋_GB2312" w:hAnsi="仿宋_GB2312" w:cs="仿宋_GB2312"/>
                <w:color w:val="000000"/>
                <w:sz w:val="24"/>
                <w:szCs w:val="24"/>
                <w:highlight w:val="none"/>
                <w:lang w:eastAsia="zh-CN"/>
              </w:rPr>
              <w:t>系数</w:t>
            </w:r>
            <w:r>
              <w:rPr>
                <w:rFonts w:hint="eastAsia" w:ascii="仿宋_GB2312" w:hAnsi="仿宋_GB2312" w:eastAsia="仿宋_GB2312" w:cs="仿宋_GB2312"/>
                <w:color w:val="000000"/>
                <w:sz w:val="24"/>
                <w:szCs w:val="24"/>
                <w:highlight w:val="none"/>
              </w:rPr>
              <w:t>/投标</w:t>
            </w:r>
            <w:r>
              <w:rPr>
                <w:rFonts w:hint="eastAsia" w:ascii="仿宋_GB2312" w:hAnsi="仿宋_GB2312" w:cs="仿宋_GB2312"/>
                <w:color w:val="000000"/>
                <w:sz w:val="24"/>
                <w:szCs w:val="24"/>
                <w:highlight w:val="none"/>
                <w:lang w:eastAsia="zh-CN"/>
              </w:rPr>
              <w:t>人自主定价系数</w:t>
            </w:r>
            <w:r>
              <w:rPr>
                <w:rFonts w:hint="eastAsia" w:ascii="仿宋_GB2312" w:hAnsi="仿宋_GB2312" w:eastAsia="仿宋_GB2312" w:cs="仿宋_GB2312"/>
                <w:color w:val="000000"/>
                <w:sz w:val="24"/>
                <w:szCs w:val="24"/>
                <w:highlight w:val="none"/>
              </w:rPr>
              <w:t>×</w:t>
            </w:r>
            <w:r>
              <w:rPr>
                <w:rFonts w:hint="eastAsia" w:ascii="仿宋_GB2312" w:hAnsi="仿宋_GB2312" w:cs="仿宋_GB2312"/>
                <w:color w:val="000000"/>
                <w:sz w:val="24"/>
                <w:szCs w:val="24"/>
                <w:highlight w:val="none"/>
                <w:lang w:val="en-US" w:eastAsia="zh-CN"/>
              </w:rPr>
              <w:t>30</w:t>
            </w:r>
          </w:p>
        </w:tc>
        <w:tc>
          <w:tcPr>
            <w:tcW w:w="851" w:type="dxa"/>
            <w:tcBorders>
              <w:top w:val="single" w:color="000000" w:sz="4" w:space="0"/>
              <w:left w:val="single" w:color="auto" w:sz="4" w:space="0"/>
              <w:bottom w:val="single" w:color="000000" w:sz="4" w:space="0"/>
              <w:right w:val="single" w:color="auto" w:sz="4" w:space="0"/>
            </w:tcBorders>
            <w:noWrap w:val="0"/>
            <w:vAlign w:val="center"/>
          </w:tcPr>
          <w:p w14:paraId="5E87290C">
            <w:pPr>
              <w:pStyle w:val="4"/>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b w:val="0"/>
                <w:bCs/>
                <w:kern w:val="2"/>
                <w:sz w:val="24"/>
                <w:szCs w:val="24"/>
                <w:vertAlign w:val="baseline"/>
                <w:lang w:val="en-US" w:eastAsia="zh-CN" w:bidi="ar-SA"/>
              </w:rPr>
            </w:pPr>
            <w:r>
              <w:rPr>
                <w:rFonts w:hint="eastAsia" w:ascii="仿宋_GB2312" w:hAnsi="仿宋_GB2312" w:cs="仿宋_GB2312"/>
                <w:b w:val="0"/>
                <w:bCs/>
                <w:kern w:val="2"/>
                <w:sz w:val="24"/>
                <w:szCs w:val="24"/>
                <w:vertAlign w:val="baseline"/>
                <w:lang w:val="en-US" w:eastAsia="zh-CN" w:bidi="ar-SA"/>
              </w:rPr>
              <w:t>30</w:t>
            </w:r>
          </w:p>
        </w:tc>
        <w:tc>
          <w:tcPr>
            <w:tcW w:w="2431" w:type="dxa"/>
            <w:tcBorders>
              <w:top w:val="single" w:color="000000" w:sz="4" w:space="0"/>
              <w:left w:val="single" w:color="auto" w:sz="4" w:space="0"/>
              <w:right w:val="single" w:color="000000" w:sz="4" w:space="0"/>
            </w:tcBorders>
            <w:noWrap w:val="0"/>
            <w:vAlign w:val="center"/>
          </w:tcPr>
          <w:p w14:paraId="148B99B6">
            <w:pPr>
              <w:pStyle w:val="4"/>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仿宋_GB2312" w:hAnsi="仿宋_GB2312" w:eastAsia="仿宋_GB2312" w:cs="仿宋_GB2312"/>
                <w:b w:val="0"/>
                <w:bCs/>
                <w:kern w:val="2"/>
                <w:sz w:val="24"/>
                <w:szCs w:val="24"/>
                <w:vertAlign w:val="baseline"/>
                <w:lang w:val="en-US" w:eastAsia="zh-CN" w:bidi="ar-SA"/>
              </w:rPr>
            </w:pPr>
            <w:r>
              <w:rPr>
                <w:rFonts w:hint="eastAsia" w:ascii="仿宋_GB2312" w:hAnsi="仿宋_GB2312" w:cs="仿宋_GB2312"/>
                <w:b w:val="0"/>
                <w:bCs/>
                <w:kern w:val="2"/>
                <w:sz w:val="24"/>
                <w:szCs w:val="24"/>
                <w:vertAlign w:val="baseline"/>
                <w:lang w:val="en-US" w:eastAsia="zh-CN" w:bidi="ar-SA"/>
              </w:rPr>
              <w:t>①</w:t>
            </w:r>
            <w:r>
              <w:rPr>
                <w:rFonts w:hint="eastAsia" w:ascii="仿宋_GB2312" w:hAnsi="仿宋_GB2312" w:eastAsia="仿宋_GB2312" w:cs="仿宋_GB2312"/>
                <w:b w:val="0"/>
                <w:bCs/>
                <w:kern w:val="2"/>
                <w:sz w:val="24"/>
                <w:szCs w:val="24"/>
                <w:vertAlign w:val="baseline"/>
                <w:lang w:val="en-US" w:eastAsia="zh-CN" w:bidi="ar-SA"/>
              </w:rPr>
              <w:t>0.65≤自主定价系数≤1.35</w:t>
            </w:r>
            <w:r>
              <w:rPr>
                <w:rFonts w:hint="eastAsia" w:ascii="仿宋_GB2312" w:hAnsi="仿宋_GB2312" w:cs="仿宋_GB2312"/>
                <w:b w:val="0"/>
                <w:bCs/>
                <w:kern w:val="2"/>
                <w:sz w:val="24"/>
                <w:szCs w:val="24"/>
                <w:vertAlign w:val="baseline"/>
                <w:lang w:val="en-US" w:eastAsia="zh-CN" w:bidi="ar-SA"/>
              </w:rPr>
              <w:t>；②</w:t>
            </w:r>
            <w:r>
              <w:rPr>
                <w:rFonts w:hint="eastAsia" w:ascii="仿宋_GB2312" w:hAnsi="仿宋_GB2312" w:eastAsia="仿宋_GB2312" w:cs="仿宋_GB2312"/>
                <w:b w:val="0"/>
                <w:bCs/>
                <w:kern w:val="2"/>
                <w:sz w:val="24"/>
                <w:szCs w:val="24"/>
                <w:vertAlign w:val="baseline"/>
                <w:lang w:val="en-US" w:eastAsia="zh-CN" w:bidi="ar-SA"/>
              </w:rPr>
              <w:t>最多保留2位小数</w:t>
            </w:r>
            <w:r>
              <w:rPr>
                <w:rFonts w:hint="eastAsia" w:ascii="仿宋_GB2312" w:hAnsi="仿宋_GB2312" w:cs="仿宋_GB2312"/>
                <w:b w:val="0"/>
                <w:bCs/>
                <w:kern w:val="2"/>
                <w:sz w:val="24"/>
                <w:szCs w:val="24"/>
                <w:vertAlign w:val="baseline"/>
                <w:lang w:val="en-US" w:eastAsia="zh-CN" w:bidi="ar-SA"/>
              </w:rPr>
              <w:t>且</w:t>
            </w:r>
            <w:r>
              <w:rPr>
                <w:rFonts w:hint="eastAsia" w:ascii="仿宋_GB2312" w:hAnsi="仿宋_GB2312" w:eastAsia="仿宋_GB2312" w:cs="仿宋_GB2312"/>
                <w:b w:val="0"/>
                <w:bCs/>
                <w:kern w:val="2"/>
                <w:sz w:val="24"/>
                <w:szCs w:val="24"/>
                <w:vertAlign w:val="baseline"/>
                <w:lang w:val="en-US" w:eastAsia="zh-CN" w:bidi="ar-SA"/>
              </w:rPr>
              <w:t>只允许填报一个“自主定价系数”</w:t>
            </w:r>
            <w:r>
              <w:rPr>
                <w:rFonts w:hint="eastAsia" w:ascii="仿宋_GB2312" w:hAnsi="仿宋_GB2312" w:cs="仿宋_GB2312"/>
                <w:b w:val="0"/>
                <w:bCs/>
                <w:kern w:val="2"/>
                <w:sz w:val="24"/>
                <w:szCs w:val="24"/>
                <w:vertAlign w:val="baseline"/>
                <w:lang w:val="en-US" w:eastAsia="zh-CN" w:bidi="ar-SA"/>
              </w:rPr>
              <w:t>。</w:t>
            </w:r>
          </w:p>
        </w:tc>
      </w:tr>
      <w:tr w14:paraId="4E4B1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1" w:type="dxa"/>
            <w:tcBorders>
              <w:top w:val="single" w:color="000000" w:sz="4" w:space="0"/>
              <w:left w:val="single" w:color="000000" w:sz="4" w:space="0"/>
              <w:right w:val="single" w:color="000000" w:sz="4" w:space="0"/>
            </w:tcBorders>
            <w:noWrap w:val="0"/>
            <w:vAlign w:val="center"/>
          </w:tcPr>
          <w:p w14:paraId="06764EC3">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200" w:type="dxa"/>
            <w:vMerge w:val="restart"/>
            <w:tcBorders>
              <w:left w:val="single" w:color="000000" w:sz="4" w:space="0"/>
              <w:right w:val="single" w:color="000000" w:sz="4" w:space="0"/>
            </w:tcBorders>
            <w:noWrap w:val="0"/>
            <w:vAlign w:val="center"/>
          </w:tcPr>
          <w:p w14:paraId="053A8762">
            <w:pPr>
              <w:snapToGrid w:val="0"/>
              <w:jc w:val="center"/>
              <w:rPr>
                <w:rFonts w:hint="eastAsia"/>
                <w:lang w:val="en-US" w:eastAsia="zh-CN"/>
              </w:rPr>
            </w:pPr>
            <w:r>
              <w:rPr>
                <w:rFonts w:hint="eastAsia" w:ascii="仿宋_GB2312" w:hAnsi="仿宋_GB2312" w:eastAsia="仿宋_GB2312" w:cs="仿宋_GB2312"/>
                <w:b/>
                <w:bCs/>
                <w:sz w:val="24"/>
                <w:szCs w:val="24"/>
                <w:lang w:eastAsia="zh-CN"/>
              </w:rPr>
              <w:t>商务部分（</w:t>
            </w:r>
            <w:r>
              <w:rPr>
                <w:rFonts w:hint="eastAsia" w:ascii="仿宋_GB2312" w:hAnsi="仿宋_GB2312" w:eastAsia="仿宋_GB2312" w:cs="仿宋_GB2312"/>
                <w:b/>
                <w:bCs/>
                <w:sz w:val="24"/>
                <w:szCs w:val="24"/>
                <w:lang w:val="en-US" w:eastAsia="zh-CN"/>
              </w:rPr>
              <w:t>45</w:t>
            </w:r>
            <w:r>
              <w:rPr>
                <w:rFonts w:hint="eastAsia" w:ascii="仿宋_GB2312" w:hAnsi="仿宋_GB2312" w:cs="仿宋_GB2312"/>
                <w:b/>
                <w:bCs/>
                <w:sz w:val="24"/>
                <w:szCs w:val="24"/>
                <w:lang w:val="en-US" w:eastAsia="zh-CN"/>
              </w:rPr>
              <w:t>分</w:t>
            </w:r>
            <w:r>
              <w:rPr>
                <w:rFonts w:hint="eastAsia" w:ascii="仿宋_GB2312" w:hAnsi="仿宋_GB2312" w:eastAsia="仿宋_GB2312" w:cs="仿宋_GB2312"/>
                <w:b/>
                <w:bCs/>
                <w:sz w:val="24"/>
                <w:szCs w:val="24"/>
                <w:lang w:eastAsia="zh-CN"/>
              </w:rPr>
              <w:t>）</w:t>
            </w:r>
          </w:p>
        </w:tc>
        <w:tc>
          <w:tcPr>
            <w:tcW w:w="1201" w:type="dxa"/>
            <w:tcBorders>
              <w:top w:val="single" w:color="000000" w:sz="4" w:space="0"/>
              <w:left w:val="single" w:color="000000" w:sz="4" w:space="0"/>
              <w:right w:val="single" w:color="000000" w:sz="4" w:space="0"/>
            </w:tcBorders>
            <w:noWrap w:val="0"/>
            <w:vAlign w:val="center"/>
          </w:tcPr>
          <w:p w14:paraId="2F1E0FE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eastAsia="zh-CN"/>
              </w:rPr>
              <w:t>同类项目业绩情况</w:t>
            </w:r>
          </w:p>
        </w:tc>
        <w:tc>
          <w:tcPr>
            <w:tcW w:w="4249" w:type="dxa"/>
            <w:tcBorders>
              <w:top w:val="single" w:color="000000" w:sz="4" w:space="0"/>
              <w:left w:val="single" w:color="000000" w:sz="4" w:space="0"/>
              <w:bottom w:val="single" w:color="000000" w:sz="4" w:space="0"/>
              <w:right w:val="single" w:color="auto" w:sz="4" w:space="0"/>
            </w:tcBorders>
            <w:noWrap w:val="0"/>
            <w:vAlign w:val="center"/>
          </w:tcPr>
          <w:p w14:paraId="58ABA9B4">
            <w:pPr>
              <w:pStyle w:val="4"/>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仿宋_GB2312" w:hAnsi="仿宋_GB2312" w:eastAsia="仿宋_GB2312" w:cs="仿宋_GB2312"/>
                <w:b w:val="0"/>
                <w:bCs/>
                <w:kern w:val="2"/>
                <w:sz w:val="24"/>
                <w:szCs w:val="24"/>
                <w:vertAlign w:val="baseline"/>
                <w:lang w:val="en-US" w:eastAsia="zh-CN" w:bidi="ar-SA"/>
              </w:rPr>
            </w:pPr>
            <w:r>
              <w:rPr>
                <w:rFonts w:hint="eastAsia" w:ascii="仿宋_GB2312" w:hAnsi="仿宋_GB2312" w:eastAsia="仿宋_GB2312" w:cs="仿宋_GB2312"/>
                <w:b w:val="0"/>
                <w:bCs/>
                <w:kern w:val="2"/>
                <w:sz w:val="24"/>
                <w:szCs w:val="24"/>
                <w:vertAlign w:val="baseline"/>
                <w:lang w:val="en-US" w:eastAsia="zh-CN" w:bidi="ar-SA"/>
              </w:rPr>
              <w:t>202</w:t>
            </w:r>
            <w:r>
              <w:rPr>
                <w:rFonts w:hint="eastAsia" w:ascii="仿宋_GB2312" w:hAnsi="仿宋_GB2312" w:cs="仿宋_GB2312"/>
                <w:b w:val="0"/>
                <w:bCs/>
                <w:kern w:val="2"/>
                <w:sz w:val="24"/>
                <w:szCs w:val="24"/>
                <w:vertAlign w:val="baseline"/>
                <w:lang w:val="en-US" w:eastAsia="zh-CN" w:bidi="ar-SA"/>
              </w:rPr>
              <w:t>1</w:t>
            </w:r>
            <w:r>
              <w:rPr>
                <w:rFonts w:hint="eastAsia" w:ascii="仿宋_GB2312" w:hAnsi="仿宋_GB2312" w:eastAsia="仿宋_GB2312" w:cs="仿宋_GB2312"/>
                <w:b w:val="0"/>
                <w:bCs/>
                <w:kern w:val="2"/>
                <w:sz w:val="24"/>
                <w:szCs w:val="24"/>
                <w:vertAlign w:val="baseline"/>
                <w:lang w:val="en-US" w:eastAsia="zh-CN" w:bidi="ar-SA"/>
              </w:rPr>
              <w:t>年</w:t>
            </w:r>
            <w:r>
              <w:rPr>
                <w:rFonts w:hint="eastAsia" w:ascii="仿宋_GB2312" w:hAnsi="仿宋_GB2312" w:cs="仿宋_GB2312"/>
                <w:b w:val="0"/>
                <w:bCs/>
                <w:kern w:val="2"/>
                <w:sz w:val="24"/>
                <w:szCs w:val="24"/>
                <w:vertAlign w:val="baseline"/>
                <w:lang w:val="en-US" w:eastAsia="zh-CN" w:bidi="ar-SA"/>
              </w:rPr>
              <w:t>7</w:t>
            </w:r>
            <w:r>
              <w:rPr>
                <w:rFonts w:hint="eastAsia" w:ascii="仿宋_GB2312" w:hAnsi="仿宋_GB2312" w:eastAsia="仿宋_GB2312" w:cs="仿宋_GB2312"/>
                <w:b w:val="0"/>
                <w:bCs/>
                <w:kern w:val="2"/>
                <w:sz w:val="24"/>
                <w:szCs w:val="24"/>
                <w:vertAlign w:val="baseline"/>
                <w:lang w:val="en-US" w:eastAsia="zh-CN" w:bidi="ar-SA"/>
              </w:rPr>
              <w:t>月1日至本项目投标截止时间止（以合同签订时间为准），考察投标人承担过的政府机关或事业单位或国有企业车辆保险服务项目业绩情况：</w:t>
            </w:r>
          </w:p>
          <w:p w14:paraId="4B7BF17C">
            <w:pPr>
              <w:pStyle w:val="4"/>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仿宋_GB2312" w:hAnsi="仿宋_GB2312" w:eastAsia="仿宋_GB2312" w:cs="仿宋_GB2312"/>
                <w:b w:val="0"/>
                <w:bCs/>
                <w:kern w:val="2"/>
                <w:sz w:val="24"/>
                <w:szCs w:val="24"/>
                <w:vertAlign w:val="baseline"/>
                <w:lang w:val="en-US" w:eastAsia="zh-CN" w:bidi="ar-SA"/>
              </w:rPr>
            </w:pPr>
            <w:r>
              <w:rPr>
                <w:rFonts w:hint="eastAsia" w:ascii="仿宋_GB2312" w:hAnsi="仿宋_GB2312" w:eastAsia="仿宋_GB2312" w:cs="仿宋_GB2312"/>
                <w:b w:val="0"/>
                <w:bCs/>
                <w:kern w:val="2"/>
                <w:sz w:val="24"/>
                <w:szCs w:val="24"/>
                <w:vertAlign w:val="baseline"/>
                <w:lang w:val="en-US" w:eastAsia="zh-CN" w:bidi="ar-SA"/>
              </w:rPr>
              <w:t>评分标准：每个得2分，最高10分，没有不得分。</w:t>
            </w:r>
          </w:p>
        </w:tc>
        <w:tc>
          <w:tcPr>
            <w:tcW w:w="851" w:type="dxa"/>
            <w:tcBorders>
              <w:top w:val="single" w:color="000000" w:sz="4" w:space="0"/>
              <w:left w:val="single" w:color="auto" w:sz="4" w:space="0"/>
              <w:bottom w:val="single" w:color="000000" w:sz="4" w:space="0"/>
              <w:right w:val="single" w:color="auto" w:sz="4" w:space="0"/>
            </w:tcBorders>
            <w:noWrap w:val="0"/>
            <w:vAlign w:val="center"/>
          </w:tcPr>
          <w:p w14:paraId="20D806EF">
            <w:pPr>
              <w:pStyle w:val="4"/>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b w:val="0"/>
                <w:bCs/>
                <w:kern w:val="2"/>
                <w:sz w:val="24"/>
                <w:szCs w:val="24"/>
                <w:vertAlign w:val="baseline"/>
                <w:lang w:val="en-US" w:eastAsia="zh-CN" w:bidi="ar-SA"/>
              </w:rPr>
            </w:pPr>
            <w:r>
              <w:rPr>
                <w:rFonts w:hint="eastAsia" w:ascii="仿宋_GB2312" w:hAnsi="仿宋_GB2312" w:cs="仿宋_GB2312"/>
                <w:b w:val="0"/>
                <w:bCs/>
                <w:kern w:val="2"/>
                <w:sz w:val="24"/>
                <w:szCs w:val="24"/>
                <w:vertAlign w:val="baseline"/>
                <w:lang w:val="en-US" w:eastAsia="zh-CN" w:bidi="ar-SA"/>
              </w:rPr>
              <w:t>10</w:t>
            </w:r>
          </w:p>
        </w:tc>
        <w:tc>
          <w:tcPr>
            <w:tcW w:w="2431" w:type="dxa"/>
            <w:tcBorders>
              <w:left w:val="single" w:color="auto" w:sz="4" w:space="0"/>
              <w:right w:val="single" w:color="000000" w:sz="4" w:space="0"/>
            </w:tcBorders>
            <w:noWrap w:val="0"/>
            <w:vAlign w:val="center"/>
          </w:tcPr>
          <w:p w14:paraId="319ADF9C">
            <w:pPr>
              <w:pStyle w:val="4"/>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仿宋_GB2312" w:hAnsi="仿宋_GB2312" w:eastAsia="仿宋_GB2312" w:cs="仿宋_GB2312"/>
                <w:b w:val="0"/>
                <w:bCs/>
                <w:kern w:val="2"/>
                <w:sz w:val="24"/>
                <w:szCs w:val="24"/>
                <w:vertAlign w:val="baseline"/>
                <w:lang w:val="en-US" w:eastAsia="zh-CN" w:bidi="ar-SA"/>
              </w:rPr>
            </w:pPr>
            <w:r>
              <w:rPr>
                <w:rFonts w:hint="eastAsia" w:ascii="仿宋_GB2312" w:hAnsi="仿宋_GB2312" w:eastAsia="仿宋_GB2312" w:cs="仿宋_GB2312"/>
                <w:b w:val="0"/>
                <w:bCs/>
                <w:kern w:val="2"/>
                <w:sz w:val="24"/>
                <w:szCs w:val="24"/>
                <w:vertAlign w:val="baseline"/>
                <w:lang w:val="en-US" w:eastAsia="zh-CN" w:bidi="ar-SA"/>
              </w:rPr>
              <w:t>提供合同关键页扫描件；未提供或提供不清晰或提供不符合要求不得分。</w:t>
            </w:r>
          </w:p>
        </w:tc>
      </w:tr>
      <w:tr w14:paraId="6BE6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1" w:type="dxa"/>
            <w:tcBorders>
              <w:top w:val="single" w:color="000000" w:sz="4" w:space="0"/>
              <w:left w:val="single" w:color="000000" w:sz="4" w:space="0"/>
              <w:right w:val="single" w:color="000000" w:sz="4" w:space="0"/>
            </w:tcBorders>
            <w:noWrap w:val="0"/>
            <w:vAlign w:val="center"/>
          </w:tcPr>
          <w:p w14:paraId="432DE33F">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200" w:type="dxa"/>
            <w:vMerge w:val="continue"/>
            <w:tcBorders>
              <w:left w:val="single" w:color="000000" w:sz="4" w:space="0"/>
              <w:right w:val="single" w:color="000000" w:sz="4" w:space="0"/>
            </w:tcBorders>
            <w:noWrap w:val="0"/>
            <w:vAlign w:val="center"/>
          </w:tcPr>
          <w:p w14:paraId="657C993A">
            <w:pPr>
              <w:snapToGrid w:val="0"/>
              <w:jc w:val="center"/>
              <w:rPr>
                <w:rFonts w:hint="eastAsia" w:ascii="仿宋_GB2312" w:hAnsi="仿宋_GB2312" w:eastAsia="仿宋_GB2312" w:cs="仿宋_GB2312"/>
                <w:b/>
                <w:bCs/>
                <w:kern w:val="2"/>
                <w:sz w:val="24"/>
                <w:szCs w:val="24"/>
                <w:lang w:val="en-US" w:eastAsia="zh-CN" w:bidi="ar-SA"/>
              </w:rPr>
            </w:pPr>
          </w:p>
        </w:tc>
        <w:tc>
          <w:tcPr>
            <w:tcW w:w="1201" w:type="dxa"/>
            <w:tcBorders>
              <w:top w:val="single" w:color="000000" w:sz="4" w:space="0"/>
              <w:left w:val="single" w:color="000000" w:sz="4" w:space="0"/>
              <w:right w:val="single" w:color="000000" w:sz="4" w:space="0"/>
            </w:tcBorders>
            <w:noWrap w:val="0"/>
            <w:vAlign w:val="center"/>
          </w:tcPr>
          <w:p w14:paraId="30C0726B">
            <w:pPr>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法人机构经营评价</w:t>
            </w:r>
          </w:p>
        </w:tc>
        <w:tc>
          <w:tcPr>
            <w:tcW w:w="4249" w:type="dxa"/>
            <w:tcBorders>
              <w:top w:val="single" w:color="000000" w:sz="4" w:space="0"/>
              <w:left w:val="single" w:color="000000" w:sz="4" w:space="0"/>
              <w:bottom w:val="single" w:color="000000" w:sz="4" w:space="0"/>
              <w:right w:val="single" w:color="auto" w:sz="4" w:space="0"/>
            </w:tcBorders>
            <w:noWrap w:val="0"/>
            <w:vAlign w:val="center"/>
          </w:tcPr>
          <w:p w14:paraId="10E604B8">
            <w:pPr>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根据2022年度中国保险行业协会发布的“2022年度财产险公司经营评价结果”，考察投标人或总公司的保险公司2022年度财产保险公司经营评价结果：</w:t>
            </w:r>
          </w:p>
          <w:p w14:paraId="49BB12A8">
            <w:pPr>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评分标准：</w:t>
            </w:r>
          </w:p>
          <w:p w14:paraId="278E7430">
            <w:pPr>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投标人或总公司法人机构经营评价结果为A，得10分；</w:t>
            </w:r>
          </w:p>
          <w:p w14:paraId="4D40A8D1">
            <w:pPr>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投标人或总公司法人机构经营评价结果为B，得5分；</w:t>
            </w:r>
          </w:p>
          <w:p w14:paraId="7330118B">
            <w:pPr>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投标人或总公司法人机构经营评价结果为C，得2分。</w:t>
            </w:r>
          </w:p>
        </w:tc>
        <w:tc>
          <w:tcPr>
            <w:tcW w:w="851" w:type="dxa"/>
            <w:tcBorders>
              <w:top w:val="single" w:color="000000" w:sz="4" w:space="0"/>
              <w:left w:val="single" w:color="auto" w:sz="4" w:space="0"/>
              <w:bottom w:val="single" w:color="000000" w:sz="4" w:space="0"/>
              <w:right w:val="single" w:color="auto" w:sz="4" w:space="0"/>
            </w:tcBorders>
            <w:noWrap w:val="0"/>
            <w:vAlign w:val="center"/>
          </w:tcPr>
          <w:p w14:paraId="4880A5AD">
            <w:pPr>
              <w:snapToGrid w:val="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10</w:t>
            </w:r>
          </w:p>
        </w:tc>
        <w:tc>
          <w:tcPr>
            <w:tcW w:w="2431" w:type="dxa"/>
            <w:tcBorders>
              <w:top w:val="single" w:color="000000" w:sz="4" w:space="0"/>
              <w:left w:val="single" w:color="auto" w:sz="4" w:space="0"/>
              <w:right w:val="single" w:color="000000" w:sz="4" w:space="0"/>
            </w:tcBorders>
            <w:noWrap w:val="0"/>
            <w:vAlign w:val="center"/>
          </w:tcPr>
          <w:p w14:paraId="70510A1D">
            <w:pPr>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提供中国保险行业协会公布的2022年度保险公司法人机构经营评价结果的截图。</w:t>
            </w:r>
          </w:p>
        </w:tc>
      </w:tr>
      <w:tr w14:paraId="220BE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1" w:type="dxa"/>
            <w:tcBorders>
              <w:top w:val="single" w:color="000000" w:sz="4" w:space="0"/>
              <w:left w:val="single" w:color="000000" w:sz="4" w:space="0"/>
              <w:right w:val="single" w:color="000000" w:sz="4" w:space="0"/>
            </w:tcBorders>
            <w:noWrap w:val="0"/>
            <w:vAlign w:val="center"/>
          </w:tcPr>
          <w:p w14:paraId="29234C4B">
            <w:pPr>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200" w:type="dxa"/>
            <w:vMerge w:val="restart"/>
            <w:tcBorders>
              <w:left w:val="single" w:color="000000" w:sz="4" w:space="0"/>
              <w:right w:val="single" w:color="000000" w:sz="4" w:space="0"/>
            </w:tcBorders>
            <w:noWrap w:val="0"/>
            <w:vAlign w:val="center"/>
          </w:tcPr>
          <w:p w14:paraId="4179D362">
            <w:pPr>
              <w:snapToGrid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商务部分</w:t>
            </w:r>
            <w:r>
              <w:rPr>
                <w:rFonts w:hint="eastAsia" w:ascii="仿宋_GB2312" w:hAnsi="仿宋_GB2312" w:cs="仿宋_GB2312"/>
                <w:b/>
                <w:bCs/>
                <w:sz w:val="24"/>
                <w:szCs w:val="24"/>
                <w:lang w:eastAsia="zh-CN"/>
              </w:rPr>
              <w:t>（</w:t>
            </w:r>
            <w:r>
              <w:rPr>
                <w:rFonts w:hint="eastAsia" w:ascii="仿宋_GB2312" w:hAnsi="仿宋_GB2312" w:cs="仿宋_GB2312"/>
                <w:b/>
                <w:bCs/>
                <w:sz w:val="24"/>
                <w:szCs w:val="24"/>
                <w:lang w:val="en-US" w:eastAsia="zh-CN"/>
              </w:rPr>
              <w:t>45分</w:t>
            </w:r>
            <w:r>
              <w:rPr>
                <w:rFonts w:hint="eastAsia" w:ascii="仿宋_GB2312" w:hAnsi="仿宋_GB2312" w:cs="仿宋_GB2312"/>
                <w:b/>
                <w:bCs/>
                <w:sz w:val="24"/>
                <w:szCs w:val="24"/>
                <w:lang w:eastAsia="zh-CN"/>
              </w:rPr>
              <w:t>）</w:t>
            </w:r>
          </w:p>
        </w:tc>
        <w:tc>
          <w:tcPr>
            <w:tcW w:w="1201" w:type="dxa"/>
            <w:tcBorders>
              <w:top w:val="single" w:color="000000" w:sz="4" w:space="0"/>
              <w:left w:val="single" w:color="000000" w:sz="4" w:space="0"/>
              <w:right w:val="single" w:color="000000" w:sz="4" w:space="0"/>
            </w:tcBorders>
            <w:noWrap w:val="0"/>
            <w:vAlign w:val="center"/>
          </w:tcPr>
          <w:p w14:paraId="7B4C28D2">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服务质量情况</w:t>
            </w:r>
          </w:p>
        </w:tc>
        <w:tc>
          <w:tcPr>
            <w:tcW w:w="4249" w:type="dxa"/>
            <w:tcBorders>
              <w:top w:val="single" w:color="000000" w:sz="4" w:space="0"/>
              <w:left w:val="single" w:color="000000" w:sz="4" w:space="0"/>
              <w:bottom w:val="single" w:color="000000" w:sz="4" w:space="0"/>
              <w:right w:val="single" w:color="auto" w:sz="4" w:space="0"/>
            </w:tcBorders>
            <w:noWrap w:val="0"/>
            <w:vAlign w:val="center"/>
          </w:tcPr>
          <w:p w14:paraId="53AD6C16">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国家金融监督管理总局关于2023年保险消费投诉情况的通报”，考察投标人2023年第一季度保单投诉量总和（件/万张）：0≤万张保单投诉量≤0.02的，得10分；0.02＜万张保单投诉量≤0.1的，得8分；0.1＜万张保单投诉量≤0.2的，得6分；万张保单投诉量＞0.2的，得4分。其他不得分。</w:t>
            </w:r>
          </w:p>
        </w:tc>
        <w:tc>
          <w:tcPr>
            <w:tcW w:w="851" w:type="dxa"/>
            <w:tcBorders>
              <w:top w:val="single" w:color="000000" w:sz="4" w:space="0"/>
              <w:left w:val="single" w:color="auto" w:sz="4" w:space="0"/>
              <w:bottom w:val="single" w:color="000000" w:sz="4" w:space="0"/>
              <w:right w:val="single" w:color="auto" w:sz="4" w:space="0"/>
            </w:tcBorders>
            <w:noWrap w:val="0"/>
            <w:vAlign w:val="center"/>
          </w:tcPr>
          <w:p w14:paraId="4B54A1D9">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431" w:type="dxa"/>
            <w:tcBorders>
              <w:top w:val="single" w:color="000000" w:sz="4" w:space="0"/>
              <w:left w:val="single" w:color="auto" w:sz="4" w:space="0"/>
              <w:right w:val="single" w:color="000000" w:sz="4" w:space="0"/>
            </w:tcBorders>
            <w:noWrap w:val="0"/>
            <w:vAlign w:val="center"/>
          </w:tcPr>
          <w:p w14:paraId="501CF0D6">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提供国家金融监督管理总局网站公示的《国家金融监督管理总局关于2023年一季度保险消费投诉情况的通报》中万张保单投诉量情况截图。如投标人为分公司，则提供总公司的截图</w:t>
            </w:r>
          </w:p>
        </w:tc>
      </w:tr>
      <w:tr w14:paraId="4A9F8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1" w:type="dxa"/>
            <w:tcBorders>
              <w:top w:val="single" w:color="000000" w:sz="4" w:space="0"/>
              <w:left w:val="single" w:color="000000" w:sz="4" w:space="0"/>
              <w:bottom w:val="single" w:color="000000" w:sz="4" w:space="0"/>
              <w:right w:val="single" w:color="000000" w:sz="4" w:space="0"/>
            </w:tcBorders>
            <w:noWrap w:val="0"/>
            <w:vAlign w:val="center"/>
          </w:tcPr>
          <w:p w14:paraId="4455F07B">
            <w:pPr>
              <w:snapToGrid w:val="0"/>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val="en-US" w:eastAsia="zh-CN"/>
              </w:rPr>
              <w:t>5</w:t>
            </w:r>
          </w:p>
        </w:tc>
        <w:tc>
          <w:tcPr>
            <w:tcW w:w="1200" w:type="dxa"/>
            <w:vMerge w:val="continue"/>
            <w:tcBorders>
              <w:left w:val="single" w:color="000000" w:sz="4" w:space="0"/>
              <w:right w:val="single" w:color="000000" w:sz="4" w:space="0"/>
            </w:tcBorders>
            <w:noWrap w:val="0"/>
            <w:vAlign w:val="center"/>
          </w:tcPr>
          <w:p w14:paraId="362AA7FD">
            <w:pPr>
              <w:snapToGrid w:val="0"/>
              <w:jc w:val="center"/>
              <w:rPr>
                <w:rFonts w:hint="eastAsia" w:ascii="仿宋_GB2312" w:hAnsi="仿宋_GB2312" w:eastAsia="仿宋_GB2312" w:cs="仿宋_GB2312"/>
                <w:sz w:val="24"/>
                <w:szCs w:val="24"/>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07B3F730">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偿付能力</w:t>
            </w:r>
          </w:p>
        </w:tc>
        <w:tc>
          <w:tcPr>
            <w:tcW w:w="4249" w:type="dxa"/>
            <w:tcBorders>
              <w:top w:val="single" w:color="000000" w:sz="4" w:space="0"/>
              <w:left w:val="single" w:color="000000" w:sz="4" w:space="0"/>
              <w:bottom w:val="single" w:color="000000" w:sz="4" w:space="0"/>
              <w:right w:val="single" w:color="auto" w:sz="4" w:space="0"/>
            </w:tcBorders>
            <w:noWrap w:val="0"/>
            <w:vAlign w:val="center"/>
          </w:tcPr>
          <w:p w14:paraId="5576DF9C">
            <w:pPr>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投标人2023年四个季度的核心偿付能力充足率平均数（四个季度的总和除以4）（如投标人为分公司的，则以总公司的核心偿付能力充足率为准）：</w:t>
            </w:r>
          </w:p>
          <w:p w14:paraId="53576DE9">
            <w:pPr>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eastAsia="zh-CN"/>
              </w:rPr>
              <w:t>核心偿付能力充足率≥190%的，得15分；</w:t>
            </w:r>
          </w:p>
          <w:p w14:paraId="327B5BDF">
            <w:pPr>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eastAsia="zh-CN"/>
              </w:rPr>
              <w:t>150%≤核心偿付能力充足率＜190%的，得10分；</w:t>
            </w:r>
          </w:p>
          <w:p w14:paraId="7B455B2C">
            <w:pPr>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eastAsia="zh-CN"/>
              </w:rPr>
              <w:t>100%≤核心偿付能力充足率＜150%的，得5分；</w:t>
            </w:r>
          </w:p>
          <w:p w14:paraId="649911CA">
            <w:pPr>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eastAsia="zh-CN"/>
              </w:rPr>
              <w:t>核心偿付能力充足率＜100%的，不得分。</w:t>
            </w:r>
          </w:p>
        </w:tc>
        <w:tc>
          <w:tcPr>
            <w:tcW w:w="851" w:type="dxa"/>
            <w:tcBorders>
              <w:top w:val="single" w:color="000000" w:sz="4" w:space="0"/>
              <w:left w:val="single" w:color="auto" w:sz="4" w:space="0"/>
              <w:bottom w:val="single" w:color="000000" w:sz="4" w:space="0"/>
              <w:right w:val="single" w:color="auto" w:sz="4" w:space="0"/>
            </w:tcBorders>
            <w:noWrap w:val="0"/>
            <w:vAlign w:val="center"/>
          </w:tcPr>
          <w:p w14:paraId="17E8729B">
            <w:pPr>
              <w:snapToGrid w:val="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15</w:t>
            </w:r>
          </w:p>
        </w:tc>
        <w:tc>
          <w:tcPr>
            <w:tcW w:w="2431" w:type="dxa"/>
            <w:tcBorders>
              <w:top w:val="single" w:color="000000" w:sz="4" w:space="0"/>
              <w:left w:val="single" w:color="auto" w:sz="4" w:space="0"/>
              <w:bottom w:val="single" w:color="000000" w:sz="4" w:space="0"/>
              <w:right w:val="single" w:color="000000" w:sz="4" w:space="0"/>
            </w:tcBorders>
            <w:noWrap w:val="0"/>
            <w:vAlign w:val="center"/>
          </w:tcPr>
          <w:p w14:paraId="5CCEC2FC">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提供中国保险行业协会上经披露的2023年的四个季度（第1、2、3、4季度）核心偿付能力报告扫描件，报告内容须体现核心偿付能力充足率指标</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如投标人为分公司的，则以总公司的偿付能力充足率为准。</w:t>
            </w:r>
          </w:p>
        </w:tc>
      </w:tr>
      <w:tr w14:paraId="5D6FB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9" w:hRule="atLeast"/>
          <w:jc w:val="center"/>
        </w:trPr>
        <w:tc>
          <w:tcPr>
            <w:tcW w:w="691" w:type="dxa"/>
            <w:tcBorders>
              <w:top w:val="single" w:color="000000" w:sz="4" w:space="0"/>
              <w:left w:val="single" w:color="000000" w:sz="4" w:space="0"/>
              <w:bottom w:val="single" w:color="000000" w:sz="4" w:space="0"/>
              <w:right w:val="single" w:color="000000" w:sz="4" w:space="0"/>
            </w:tcBorders>
            <w:noWrap w:val="0"/>
            <w:vAlign w:val="center"/>
          </w:tcPr>
          <w:p w14:paraId="14F602EA">
            <w:pPr>
              <w:snapToGrid w:val="0"/>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val="en-US" w:eastAsia="zh-CN"/>
              </w:rPr>
              <w:t>6</w:t>
            </w:r>
          </w:p>
        </w:tc>
        <w:tc>
          <w:tcPr>
            <w:tcW w:w="1200" w:type="dxa"/>
            <w:tcBorders>
              <w:left w:val="single" w:color="000000" w:sz="4" w:space="0"/>
              <w:right w:val="single" w:color="000000" w:sz="4" w:space="0"/>
            </w:tcBorders>
            <w:noWrap w:val="0"/>
            <w:vAlign w:val="center"/>
          </w:tcPr>
          <w:p w14:paraId="3CB99373">
            <w:pPr>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商务部分</w:t>
            </w:r>
            <w:r>
              <w:rPr>
                <w:rFonts w:hint="eastAsia" w:ascii="仿宋_GB2312" w:hAnsi="仿宋_GB2312" w:cs="仿宋_GB2312"/>
                <w:b/>
                <w:bCs/>
                <w:sz w:val="24"/>
                <w:szCs w:val="24"/>
                <w:lang w:eastAsia="zh-CN"/>
              </w:rPr>
              <w:t>（</w:t>
            </w:r>
            <w:r>
              <w:rPr>
                <w:rFonts w:hint="eastAsia" w:ascii="仿宋_GB2312" w:hAnsi="仿宋_GB2312" w:cs="仿宋_GB2312"/>
                <w:b/>
                <w:bCs/>
                <w:sz w:val="24"/>
                <w:szCs w:val="24"/>
                <w:lang w:val="en-US" w:eastAsia="zh-CN"/>
              </w:rPr>
              <w:t>25分</w:t>
            </w:r>
            <w:r>
              <w:rPr>
                <w:rFonts w:hint="eastAsia" w:ascii="仿宋_GB2312" w:hAnsi="仿宋_GB2312" w:cs="仿宋_GB2312"/>
                <w:b/>
                <w:bCs/>
                <w:sz w:val="24"/>
                <w:szCs w:val="24"/>
                <w:lang w:eastAsia="zh-CN"/>
              </w:rPr>
              <w:t>）</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1595185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承保服务方案</w:t>
            </w:r>
          </w:p>
        </w:tc>
        <w:tc>
          <w:tcPr>
            <w:tcW w:w="4249" w:type="dxa"/>
            <w:tcBorders>
              <w:top w:val="single" w:color="000000" w:sz="4" w:space="0"/>
              <w:left w:val="single" w:color="000000" w:sz="4" w:space="0"/>
              <w:bottom w:val="single" w:color="000000" w:sz="4" w:space="0"/>
              <w:right w:val="single" w:color="auto" w:sz="4" w:space="0"/>
            </w:tcBorders>
            <w:noWrap w:val="0"/>
            <w:vAlign w:val="center"/>
          </w:tcPr>
          <w:p w14:paraId="1AF6C230">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评审内容：投标人提供承保服务方案，包括但不限于：</w:t>
            </w:r>
          </w:p>
          <w:p w14:paraId="3CCFED6C">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1.投保服务；</w:t>
            </w:r>
          </w:p>
          <w:p w14:paraId="56E8F560">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2.增值服务。</w:t>
            </w:r>
          </w:p>
          <w:p w14:paraId="5417D72B">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满足以上两点得4分，满足任意一点得2分，未满足不得分。</w:t>
            </w:r>
          </w:p>
        </w:tc>
        <w:tc>
          <w:tcPr>
            <w:tcW w:w="851" w:type="dxa"/>
            <w:tcBorders>
              <w:top w:val="single" w:color="000000" w:sz="4" w:space="0"/>
              <w:left w:val="single" w:color="auto" w:sz="4" w:space="0"/>
              <w:bottom w:val="single" w:color="000000" w:sz="4" w:space="0"/>
              <w:right w:val="single" w:color="auto" w:sz="4" w:space="0"/>
            </w:tcBorders>
            <w:noWrap w:val="0"/>
            <w:vAlign w:val="center"/>
          </w:tcPr>
          <w:p w14:paraId="7CE74108">
            <w:pPr>
              <w:snapToGrid w:val="0"/>
              <w:jc w:val="center"/>
              <w:rPr>
                <w:rFonts w:hint="default" w:ascii="仿宋_GB2312" w:hAnsi="仿宋_GB2312" w:eastAsia="仿宋_GB2312" w:cs="仿宋_GB2312"/>
                <w:color w:val="000000"/>
                <w:sz w:val="24"/>
                <w:szCs w:val="24"/>
                <w:lang w:val="en-US" w:eastAsia="zh-CN"/>
              </w:rPr>
            </w:pPr>
            <w:r>
              <w:rPr>
                <w:rFonts w:hint="eastAsia" w:ascii="仿宋_GB2312" w:hAnsi="仿宋_GB2312" w:cs="仿宋_GB2312"/>
                <w:color w:val="000000"/>
                <w:sz w:val="24"/>
                <w:szCs w:val="24"/>
                <w:lang w:val="en-US" w:eastAsia="zh-CN"/>
              </w:rPr>
              <w:t>15</w:t>
            </w:r>
          </w:p>
        </w:tc>
        <w:tc>
          <w:tcPr>
            <w:tcW w:w="2431" w:type="dxa"/>
            <w:tcBorders>
              <w:top w:val="single" w:color="000000" w:sz="4" w:space="0"/>
              <w:left w:val="single" w:color="auto" w:sz="4" w:space="0"/>
              <w:bottom w:val="single" w:color="000000" w:sz="4" w:space="0"/>
              <w:right w:val="single" w:color="000000" w:sz="4" w:space="0"/>
            </w:tcBorders>
            <w:noWrap w:val="0"/>
            <w:vAlign w:val="center"/>
          </w:tcPr>
          <w:p w14:paraId="212DC7A6">
            <w:pPr>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在此基础上</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专家根据各</w:t>
            </w:r>
            <w:r>
              <w:rPr>
                <w:rFonts w:hint="eastAsia" w:ascii="仿宋_GB2312" w:hAnsi="仿宋_GB2312" w:cs="仿宋_GB2312"/>
                <w:sz w:val="24"/>
                <w:szCs w:val="24"/>
                <w:lang w:eastAsia="zh-CN"/>
              </w:rPr>
              <w:t>单位</w:t>
            </w:r>
            <w:r>
              <w:rPr>
                <w:rFonts w:hint="eastAsia" w:ascii="仿宋_GB2312" w:hAnsi="仿宋_GB2312" w:eastAsia="仿宋_GB2312" w:cs="仿宋_GB2312"/>
                <w:sz w:val="24"/>
                <w:szCs w:val="24"/>
              </w:rPr>
              <w:t>的具体响应</w:t>
            </w:r>
            <w:r>
              <w:rPr>
                <w:rFonts w:hint="eastAsia" w:ascii="仿宋_GB2312" w:hAnsi="仿宋_GB2312" w:cs="仿宋_GB2312"/>
                <w:sz w:val="24"/>
                <w:szCs w:val="24"/>
                <w:lang w:eastAsia="zh-CN"/>
              </w:rPr>
              <w:t>方案</w:t>
            </w:r>
            <w:r>
              <w:rPr>
                <w:rFonts w:hint="eastAsia" w:ascii="仿宋_GB2312" w:hAnsi="仿宋_GB2312" w:eastAsia="仿宋_GB2312" w:cs="仿宋_GB2312"/>
                <w:sz w:val="24"/>
                <w:szCs w:val="24"/>
              </w:rPr>
              <w:t>按照量化评审因素指标进一步评审</w:t>
            </w:r>
            <w:r>
              <w:rPr>
                <w:rFonts w:hint="eastAsia" w:ascii="仿宋_GB2312" w:hAnsi="仿宋_GB2312" w:cs="仿宋_GB2312"/>
                <w:sz w:val="24"/>
                <w:szCs w:val="24"/>
                <w:lang w:eastAsia="zh-CN"/>
              </w:rPr>
              <w:t>：</w:t>
            </w:r>
          </w:p>
          <w:p w14:paraId="6DDB2870">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（1）内容全面； </w:t>
            </w:r>
          </w:p>
          <w:p w14:paraId="25EE0284">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（2）内容具体；</w:t>
            </w:r>
          </w:p>
          <w:p w14:paraId="5C652152">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（3）内容科学合理；</w:t>
            </w:r>
          </w:p>
          <w:p w14:paraId="0352005F">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（4）内容针对性强；</w:t>
            </w:r>
          </w:p>
          <w:p w14:paraId="7130276A">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（5）内容操作性强。 </w:t>
            </w:r>
          </w:p>
          <w:p w14:paraId="17182430">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优评分标准：满足以上五项要求的评价为优，加6分； </w:t>
            </w:r>
          </w:p>
          <w:p w14:paraId="0A062980">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良评分标准：满足以上四项要求的评价为良，得4分； </w:t>
            </w:r>
          </w:p>
          <w:p w14:paraId="1EF376E4">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中评分标准：满足以上三项要求的评价为中，得2分；</w:t>
            </w:r>
          </w:p>
          <w:p w14:paraId="67062537">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差评分标准：其余情况评价为差，得0分。</w:t>
            </w:r>
          </w:p>
        </w:tc>
      </w:tr>
      <w:tr w14:paraId="044F9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1" w:type="dxa"/>
            <w:tcBorders>
              <w:top w:val="single" w:color="000000" w:sz="4" w:space="0"/>
              <w:left w:val="single" w:color="000000" w:sz="4" w:space="0"/>
              <w:bottom w:val="single" w:color="000000" w:sz="4" w:space="0"/>
              <w:right w:val="single" w:color="000000" w:sz="4" w:space="0"/>
            </w:tcBorders>
            <w:noWrap w:val="0"/>
            <w:vAlign w:val="center"/>
          </w:tcPr>
          <w:p w14:paraId="5A7B8CD4">
            <w:pPr>
              <w:snapToGrid w:val="0"/>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val="en-US" w:eastAsia="zh-CN"/>
              </w:rPr>
              <w:t>7</w:t>
            </w:r>
          </w:p>
        </w:tc>
        <w:tc>
          <w:tcPr>
            <w:tcW w:w="1200" w:type="dxa"/>
            <w:tcBorders>
              <w:left w:val="single" w:color="000000" w:sz="4" w:space="0"/>
              <w:right w:val="single" w:color="000000" w:sz="4" w:space="0"/>
            </w:tcBorders>
            <w:noWrap w:val="0"/>
            <w:vAlign w:val="center"/>
          </w:tcPr>
          <w:p w14:paraId="1F9A56BE">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eastAsia="zh-CN"/>
              </w:rPr>
              <w:t>商务部分</w:t>
            </w:r>
            <w:r>
              <w:rPr>
                <w:rFonts w:hint="eastAsia" w:ascii="仿宋_GB2312" w:hAnsi="仿宋_GB2312" w:cs="仿宋_GB2312"/>
                <w:b/>
                <w:bCs/>
                <w:sz w:val="24"/>
                <w:szCs w:val="24"/>
                <w:lang w:eastAsia="zh-CN"/>
              </w:rPr>
              <w:t>（</w:t>
            </w:r>
            <w:r>
              <w:rPr>
                <w:rFonts w:hint="eastAsia" w:ascii="仿宋_GB2312" w:hAnsi="仿宋_GB2312" w:cs="仿宋_GB2312"/>
                <w:b/>
                <w:bCs/>
                <w:sz w:val="24"/>
                <w:szCs w:val="24"/>
                <w:lang w:val="en-US" w:eastAsia="zh-CN"/>
              </w:rPr>
              <w:t>25分</w:t>
            </w:r>
            <w:r>
              <w:rPr>
                <w:rFonts w:hint="eastAsia" w:ascii="仿宋_GB2312" w:hAnsi="仿宋_GB2312" w:cs="仿宋_GB2312"/>
                <w:b/>
                <w:bCs/>
                <w:sz w:val="24"/>
                <w:szCs w:val="24"/>
                <w:lang w:eastAsia="zh-CN"/>
              </w:rPr>
              <w:t>）</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36AF42B7">
            <w:pPr>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理赔方案</w:t>
            </w:r>
          </w:p>
        </w:tc>
        <w:tc>
          <w:tcPr>
            <w:tcW w:w="4249" w:type="dxa"/>
            <w:tcBorders>
              <w:top w:val="single" w:color="000000" w:sz="4" w:space="0"/>
              <w:left w:val="single" w:color="000000" w:sz="4" w:space="0"/>
              <w:bottom w:val="single" w:color="000000" w:sz="4" w:space="0"/>
              <w:right w:val="single" w:color="auto" w:sz="4" w:space="0"/>
            </w:tcBorders>
            <w:noWrap w:val="0"/>
            <w:vAlign w:val="center"/>
          </w:tcPr>
          <w:p w14:paraId="325C59C8">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评审内容：投标人提供理赔方案，包括但不限于：</w:t>
            </w:r>
          </w:p>
          <w:p w14:paraId="5CDD9C68">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1.理赔流程；</w:t>
            </w:r>
          </w:p>
          <w:p w14:paraId="2D932970">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2.理赔服务；</w:t>
            </w:r>
          </w:p>
          <w:p w14:paraId="1579ECE8">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3.理赔时效；</w:t>
            </w:r>
          </w:p>
          <w:p w14:paraId="64711516">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4.本项目的特殊赔案通融服务。</w:t>
            </w:r>
          </w:p>
          <w:p w14:paraId="5FF9E872">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满足任意一点得1分，最高得4分，未满足不得分。</w:t>
            </w:r>
          </w:p>
        </w:tc>
        <w:tc>
          <w:tcPr>
            <w:tcW w:w="851" w:type="dxa"/>
            <w:tcBorders>
              <w:top w:val="single" w:color="000000" w:sz="4" w:space="0"/>
              <w:left w:val="single" w:color="auto" w:sz="4" w:space="0"/>
              <w:bottom w:val="single" w:color="000000" w:sz="4" w:space="0"/>
              <w:right w:val="single" w:color="auto" w:sz="4" w:space="0"/>
            </w:tcBorders>
            <w:noWrap w:val="0"/>
            <w:vAlign w:val="center"/>
          </w:tcPr>
          <w:p w14:paraId="68B09640">
            <w:pPr>
              <w:snapToGrid w:val="0"/>
              <w:jc w:val="center"/>
              <w:rPr>
                <w:rFonts w:hint="default" w:ascii="仿宋_GB2312" w:hAnsi="仿宋_GB2312" w:eastAsia="仿宋_GB2312" w:cs="仿宋_GB2312"/>
                <w:color w:val="000000"/>
                <w:sz w:val="24"/>
                <w:szCs w:val="24"/>
                <w:lang w:val="en-US" w:eastAsia="zh-CN"/>
              </w:rPr>
            </w:pPr>
            <w:r>
              <w:rPr>
                <w:rFonts w:hint="eastAsia" w:ascii="仿宋_GB2312" w:hAnsi="仿宋_GB2312" w:cs="仿宋_GB2312"/>
                <w:color w:val="000000"/>
                <w:sz w:val="24"/>
                <w:szCs w:val="24"/>
                <w:lang w:val="en-US" w:eastAsia="zh-CN"/>
              </w:rPr>
              <w:t>10</w:t>
            </w:r>
          </w:p>
        </w:tc>
        <w:tc>
          <w:tcPr>
            <w:tcW w:w="2431" w:type="dxa"/>
            <w:tcBorders>
              <w:top w:val="single" w:color="000000" w:sz="4" w:space="0"/>
              <w:left w:val="single" w:color="auto" w:sz="4" w:space="0"/>
              <w:bottom w:val="single" w:color="000000" w:sz="4" w:space="0"/>
              <w:right w:val="single" w:color="000000" w:sz="4" w:space="0"/>
            </w:tcBorders>
            <w:noWrap w:val="0"/>
            <w:vAlign w:val="center"/>
          </w:tcPr>
          <w:p w14:paraId="16939A49">
            <w:pPr>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在此基础上</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专家根据各</w:t>
            </w:r>
            <w:r>
              <w:rPr>
                <w:rFonts w:hint="eastAsia" w:ascii="仿宋_GB2312" w:hAnsi="仿宋_GB2312" w:cs="仿宋_GB2312"/>
                <w:sz w:val="24"/>
                <w:szCs w:val="24"/>
                <w:lang w:eastAsia="zh-CN"/>
              </w:rPr>
              <w:t>单位</w:t>
            </w:r>
            <w:r>
              <w:rPr>
                <w:rFonts w:hint="eastAsia" w:ascii="仿宋_GB2312" w:hAnsi="仿宋_GB2312" w:eastAsia="仿宋_GB2312" w:cs="仿宋_GB2312"/>
                <w:sz w:val="24"/>
                <w:szCs w:val="24"/>
              </w:rPr>
              <w:t>的具体响应</w:t>
            </w:r>
            <w:r>
              <w:rPr>
                <w:rFonts w:hint="eastAsia" w:ascii="仿宋_GB2312" w:hAnsi="仿宋_GB2312" w:cs="仿宋_GB2312"/>
                <w:sz w:val="24"/>
                <w:szCs w:val="24"/>
                <w:lang w:eastAsia="zh-CN"/>
              </w:rPr>
              <w:t>方案</w:t>
            </w:r>
            <w:r>
              <w:rPr>
                <w:rFonts w:hint="eastAsia" w:ascii="仿宋_GB2312" w:hAnsi="仿宋_GB2312" w:eastAsia="仿宋_GB2312" w:cs="仿宋_GB2312"/>
                <w:sz w:val="24"/>
                <w:szCs w:val="24"/>
              </w:rPr>
              <w:t>按照量化评审因素指标进一步评审</w:t>
            </w:r>
            <w:r>
              <w:rPr>
                <w:rFonts w:hint="eastAsia" w:ascii="仿宋_GB2312" w:hAnsi="仿宋_GB2312" w:cs="仿宋_GB2312"/>
                <w:sz w:val="24"/>
                <w:szCs w:val="24"/>
                <w:lang w:eastAsia="zh-CN"/>
              </w:rPr>
              <w:t>：</w:t>
            </w:r>
          </w:p>
          <w:p w14:paraId="270445D6">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（1）内容全面； </w:t>
            </w:r>
          </w:p>
          <w:p w14:paraId="72CB4CC8">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（2）内容具体；</w:t>
            </w:r>
          </w:p>
          <w:p w14:paraId="7FF1AD9F">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（3）内容科学合理；</w:t>
            </w:r>
          </w:p>
          <w:p w14:paraId="06E1725F">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（4）内容针对性强；</w:t>
            </w:r>
          </w:p>
          <w:p w14:paraId="7F45BB7A">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（5）内容操作性强。 </w:t>
            </w:r>
          </w:p>
          <w:p w14:paraId="1B6E65D9">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优评分标准：满足以上五项要求的评价为优，加6分； </w:t>
            </w:r>
          </w:p>
          <w:p w14:paraId="699D33A7">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良评分标准：满足以上四项要求的评价为良，得4分； </w:t>
            </w:r>
          </w:p>
          <w:p w14:paraId="37A4C482">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中评分标准：满足以上三项要求的评价为中，得2分；</w:t>
            </w:r>
          </w:p>
          <w:p w14:paraId="015D8F9E">
            <w:pPr>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差评分标准：其余情况评价为差，得0分</w:t>
            </w:r>
            <w:r>
              <w:rPr>
                <w:rFonts w:hint="eastAsia" w:ascii="仿宋_GB2312" w:hAnsi="仿宋_GB2312" w:eastAsia="仿宋_GB2312" w:cs="仿宋_GB2312"/>
                <w:sz w:val="24"/>
                <w:szCs w:val="24"/>
                <w:lang w:eastAsia="zh-CN"/>
              </w:rPr>
              <w:t>。</w:t>
            </w:r>
          </w:p>
        </w:tc>
      </w:tr>
      <w:tr w14:paraId="57064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7341" w:type="dxa"/>
            <w:gridSpan w:val="4"/>
            <w:tcBorders>
              <w:top w:val="single" w:color="000000" w:sz="4" w:space="0"/>
              <w:left w:val="single" w:color="000000" w:sz="4" w:space="0"/>
              <w:bottom w:val="single" w:color="000000" w:sz="4" w:space="0"/>
              <w:right w:val="single" w:color="auto" w:sz="4" w:space="0"/>
            </w:tcBorders>
            <w:noWrap w:val="0"/>
            <w:vAlign w:val="center"/>
          </w:tcPr>
          <w:p w14:paraId="4861615D">
            <w:pPr>
              <w:snapToGrid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合计</w:t>
            </w:r>
          </w:p>
        </w:tc>
        <w:tc>
          <w:tcPr>
            <w:tcW w:w="851" w:type="dxa"/>
            <w:tcBorders>
              <w:top w:val="single" w:color="000000" w:sz="4" w:space="0"/>
              <w:left w:val="single" w:color="auto" w:sz="4" w:space="0"/>
              <w:bottom w:val="single" w:color="000000" w:sz="4" w:space="0"/>
              <w:right w:val="single" w:color="auto" w:sz="4" w:space="0"/>
            </w:tcBorders>
            <w:noWrap w:val="0"/>
            <w:vAlign w:val="center"/>
          </w:tcPr>
          <w:p w14:paraId="494C62A1">
            <w:pPr>
              <w:snapToGrid w:val="0"/>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100</w:t>
            </w:r>
          </w:p>
        </w:tc>
        <w:tc>
          <w:tcPr>
            <w:tcW w:w="2431" w:type="dxa"/>
            <w:tcBorders>
              <w:top w:val="single" w:color="000000" w:sz="4" w:space="0"/>
              <w:left w:val="single" w:color="auto" w:sz="4" w:space="0"/>
              <w:bottom w:val="single" w:color="000000" w:sz="4" w:space="0"/>
              <w:right w:val="single" w:color="000000" w:sz="4" w:space="0"/>
            </w:tcBorders>
            <w:noWrap w:val="0"/>
            <w:vAlign w:val="center"/>
          </w:tcPr>
          <w:p w14:paraId="0668DA0A">
            <w:pPr>
              <w:snapToGrid w:val="0"/>
              <w:jc w:val="center"/>
              <w:rPr>
                <w:rFonts w:hint="eastAsia" w:ascii="仿宋_GB2312" w:hAnsi="仿宋_GB2312" w:eastAsia="仿宋_GB2312" w:cs="仿宋_GB2312"/>
                <w:b w:val="0"/>
                <w:bCs w:val="0"/>
                <w:sz w:val="24"/>
                <w:szCs w:val="24"/>
              </w:rPr>
            </w:pPr>
          </w:p>
        </w:tc>
      </w:tr>
    </w:tbl>
    <w:p w14:paraId="29850FD1">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default" w:ascii="黑体" w:hAnsi="黑体" w:eastAsia="黑体" w:cs="黑体"/>
          <w:sz w:val="32"/>
          <w:szCs w:val="32"/>
          <w:lang w:val="en-US" w:eastAsia="zh-CN"/>
        </w:rPr>
      </w:pPr>
    </w:p>
    <w:p w14:paraId="27F56300"/>
    <w:sectPr>
      <w:pgSz w:w="11910" w:h="16840"/>
      <w:pgMar w:top="2098" w:right="1474" w:bottom="1984" w:left="1587" w:header="720" w:footer="975" w:gutter="0"/>
      <w:pgNumType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OTljN2VkNmMxN2UxZjI1YTcwZGRmNDM3OTNkNzQifQ=="/>
  </w:docVars>
  <w:rsids>
    <w:rsidRoot w:val="26764FF2"/>
    <w:rsid w:val="26764FF2"/>
    <w:rsid w:val="28426C1F"/>
    <w:rsid w:val="28AE1B3A"/>
    <w:rsid w:val="5293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纯文本1"/>
    <w:basedOn w:val="1"/>
    <w:qFormat/>
    <w:uiPriority w:val="0"/>
    <w:rPr>
      <w:rFonts w:asci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1443</Words>
  <Characters>1548</Characters>
  <Lines>0</Lines>
  <Paragraphs>0</Paragraphs>
  <TotalTime>0</TotalTime>
  <ScaleCrop>false</ScaleCrop>
  <LinksUpToDate>false</LinksUpToDate>
  <CharactersWithSpaces>1556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2024-07-16T06:27:00Z</dcterms:created>
  <dc:creator>葉祖崬</dc:creator>
  <cp:lastModifiedBy>葉祖崬</cp:lastModifiedBy>
  <dcterms:modified xsi:type="dcterms:W3CDTF">2024-08-01T06:21:29Z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50F9FA0127034DA78CE28C1E91EEF6EA_11</vt:lpwstr>
  </property>
</Properties>
</file>