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kinsoku w:val="0"/>
        <w:wordWrap/>
        <w:overflowPunct/>
        <w:topLinePunct w:val="0"/>
        <w:autoSpaceDE w:val="0"/>
        <w:autoSpaceDN w:val="0"/>
        <w:bidi w:val="0"/>
        <w:adjustRightInd w:val="0"/>
        <w:snapToGrid w:val="0"/>
        <w:spacing w:line="560" w:lineRule="exact"/>
        <w:textAlignment w:val="baseline"/>
        <w:rPr>
          <w:rFonts w:hint="eastAsia" w:ascii="仿宋_GB2312" w:hAnsi="仿宋_GB2312" w:eastAsia="仿宋_GB2312" w:cs="仿宋_GB2312"/>
          <w:b/>
          <w:bCs/>
          <w:sz w:val="28"/>
          <w:szCs w:val="28"/>
          <w:lang w:val="en-US" w:eastAsia="zh-CN"/>
        </w:rPr>
      </w:pPr>
      <w:r>
        <w:rPr>
          <w:rFonts w:hint="eastAsia" w:ascii="仿宋_GB2312" w:hAnsi="仿宋_GB2312" w:eastAsia="仿宋_GB2312" w:cs="仿宋_GB2312"/>
          <w:b/>
          <w:bCs/>
          <w:sz w:val="28"/>
          <w:szCs w:val="28"/>
          <w:lang w:val="en-US" w:eastAsia="zh-CN"/>
        </w:rPr>
        <w:t>附件4：</w:t>
      </w:r>
    </w:p>
    <w:p>
      <w:pPr>
        <w:keepNext w:val="0"/>
        <w:keepLines w:val="0"/>
        <w:pageBreakBefore w:val="0"/>
        <w:widowControl/>
        <w:kinsoku w:val="0"/>
        <w:wordWrap/>
        <w:overflowPunct/>
        <w:topLinePunct w:val="0"/>
        <w:autoSpaceDE w:val="0"/>
        <w:autoSpaceDN w:val="0"/>
        <w:bidi w:val="0"/>
        <w:adjustRightInd w:val="0"/>
        <w:snapToGrid w:val="0"/>
        <w:spacing w:before="143" w:line="560" w:lineRule="exact"/>
        <w:ind w:left="5671"/>
        <w:textAlignment w:val="baseline"/>
        <w:rPr>
          <w:rFonts w:ascii="仿宋" w:hAnsi="仿宋" w:eastAsia="仿宋" w:cs="仿宋"/>
          <w:sz w:val="44"/>
          <w:szCs w:val="44"/>
        </w:rPr>
      </w:pPr>
      <w:r>
        <w:rPr>
          <w:rFonts w:ascii="仿宋" w:hAnsi="仿宋" w:eastAsia="仿宋" w:cs="仿宋"/>
          <w:b/>
          <w:bCs/>
          <w:spacing w:val="-4"/>
          <w:sz w:val="44"/>
          <w:szCs w:val="44"/>
        </w:rPr>
        <w:t>综合评审表</w:t>
      </w:r>
    </w:p>
    <w:p/>
    <w:p>
      <w:pPr>
        <w:spacing w:line="171" w:lineRule="exact"/>
      </w:pPr>
    </w:p>
    <w:p>
      <w:pPr>
        <w:sectPr>
          <w:pgSz w:w="16820" w:h="11900"/>
          <w:pgMar w:top="1011" w:right="1764" w:bottom="0" w:left="1575" w:header="0" w:footer="0" w:gutter="0"/>
          <w:cols w:equalWidth="0" w:num="1">
            <w:col w:w="13480"/>
          </w:cols>
        </w:sectPr>
      </w:pPr>
    </w:p>
    <w:p>
      <w:pPr>
        <w:spacing w:before="88" w:line="240" w:lineRule="auto"/>
        <w:ind w:left="124"/>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b/>
          <w:bCs/>
          <w:spacing w:val="3"/>
          <w:sz w:val="28"/>
          <w:szCs w:val="28"/>
        </w:rPr>
        <w:t>工程名称：</w:t>
      </w:r>
      <w:r>
        <w:rPr>
          <w:rFonts w:hint="eastAsia" w:ascii="仿宋_GB2312" w:hAnsi="仿宋_GB2312" w:eastAsia="仿宋_GB2312" w:cs="仿宋_GB2312"/>
          <w:spacing w:val="3"/>
          <w:sz w:val="28"/>
          <w:szCs w:val="28"/>
          <w:lang w:eastAsia="zh-CN"/>
        </w:rPr>
        <w:t>坪地88工业区宿舍与厂房屋面防水维修</w:t>
      </w:r>
      <w:r>
        <w:rPr>
          <w:rFonts w:hint="eastAsia" w:ascii="仿宋_GB2312" w:hAnsi="仿宋_GB2312" w:eastAsia="仿宋_GB2312" w:cs="仿宋_GB2312"/>
          <w:spacing w:val="3"/>
          <w:sz w:val="28"/>
          <w:szCs w:val="28"/>
          <w:lang w:val="en-US" w:eastAsia="zh-CN"/>
        </w:rPr>
        <w:t xml:space="preserve">项目           </w:t>
      </w:r>
      <w:r>
        <w:rPr>
          <w:rFonts w:hint="eastAsia" w:ascii="仿宋_GB2312" w:hAnsi="仿宋_GB2312" w:eastAsia="仿宋_GB2312" w:cs="仿宋_GB2312"/>
          <w:b/>
          <w:bCs/>
          <w:spacing w:val="3"/>
          <w:sz w:val="28"/>
          <w:szCs w:val="28"/>
          <w:lang w:val="en-US" w:eastAsia="zh-CN"/>
        </w:rPr>
        <w:t>开标时间：</w:t>
      </w:r>
      <w:r>
        <w:rPr>
          <w:rFonts w:hint="eastAsia" w:ascii="仿宋_GB2312" w:hAnsi="仿宋_GB2312" w:eastAsia="仿宋_GB2312" w:cs="仿宋_GB2312"/>
          <w:spacing w:val="3"/>
          <w:sz w:val="28"/>
          <w:szCs w:val="28"/>
          <w:lang w:val="en-US" w:eastAsia="zh-CN"/>
        </w:rPr>
        <w:t xml:space="preserve">    年   月   日</w:t>
      </w:r>
    </w:p>
    <w:p>
      <w:pPr>
        <w:spacing w:before="95" w:line="240" w:lineRule="auto"/>
        <w:ind w:left="124"/>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b/>
          <w:bCs/>
          <w:spacing w:val="6"/>
          <w:sz w:val="28"/>
          <w:szCs w:val="28"/>
        </w:rPr>
        <w:t>开标地点：</w:t>
      </w:r>
      <w:r>
        <w:rPr>
          <w:rFonts w:hint="eastAsia" w:ascii="仿宋_GB2312" w:hAnsi="仿宋_GB2312" w:eastAsia="仿宋_GB2312" w:cs="仿宋_GB2312"/>
          <w:b/>
          <w:bCs/>
          <w:spacing w:val="6"/>
          <w:sz w:val="28"/>
          <w:szCs w:val="28"/>
          <w:lang w:val="en-US" w:eastAsia="zh-CN"/>
        </w:rPr>
        <w:t xml:space="preserve"> </w:t>
      </w:r>
      <w:r>
        <w:rPr>
          <w:rFonts w:hint="eastAsia" w:ascii="仿宋_GB2312" w:hAnsi="仿宋_GB2312" w:eastAsia="仿宋_GB2312" w:cs="仿宋_GB2312"/>
          <w:spacing w:val="6"/>
          <w:sz w:val="28"/>
          <w:szCs w:val="28"/>
          <w:lang w:val="en-US" w:eastAsia="zh-CN"/>
        </w:rPr>
        <w:t xml:space="preserve">                                     </w:t>
      </w:r>
      <w:r>
        <w:rPr>
          <w:rFonts w:hint="eastAsia" w:ascii="仿宋_GB2312" w:hAnsi="仿宋_GB2312" w:eastAsia="仿宋_GB2312" w:cs="仿宋_GB2312"/>
          <w:b/>
          <w:bCs/>
          <w:spacing w:val="6"/>
          <w:sz w:val="28"/>
          <w:szCs w:val="28"/>
          <w:lang w:val="en-US" w:eastAsia="zh-CN"/>
        </w:rPr>
        <w:t>招标人：</w:t>
      </w:r>
      <w:r>
        <w:rPr>
          <w:rFonts w:hint="eastAsia" w:ascii="仿宋_GB2312" w:hAnsi="仿宋_GB2312" w:eastAsia="仿宋_GB2312" w:cs="仿宋_GB2312"/>
          <w:spacing w:val="6"/>
          <w:sz w:val="28"/>
          <w:szCs w:val="28"/>
          <w:lang w:val="en-US" w:eastAsia="zh-CN"/>
        </w:rPr>
        <w:t>深圳市龙岗区城市建设投资集团有限公司</w:t>
      </w:r>
    </w:p>
    <w:tbl>
      <w:tblPr>
        <w:tblStyle w:val="4"/>
        <w:tblW w:w="15417"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524"/>
        <w:gridCol w:w="1482"/>
        <w:gridCol w:w="1470"/>
        <w:gridCol w:w="1815"/>
        <w:gridCol w:w="1980"/>
        <w:gridCol w:w="1350"/>
        <w:gridCol w:w="1560"/>
        <w:gridCol w:w="2235"/>
        <w:gridCol w:w="2027"/>
        <w:gridCol w:w="97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70" w:hRule="atLeast"/>
          <w:jc w:val="center"/>
        </w:trPr>
        <w:tc>
          <w:tcPr>
            <w:tcW w:w="524" w:type="dxa"/>
            <w:textDirection w:val="tbRlV"/>
            <w:vAlign w:val="center"/>
          </w:tcPr>
          <w:p>
            <w:pPr>
              <w:spacing w:before="109" w:line="240" w:lineRule="auto"/>
              <w:jc w:val="center"/>
              <w:rPr>
                <w:rFonts w:hint="eastAsia" w:ascii="仿宋_GB2312" w:hAnsi="仿宋_GB2312" w:eastAsia="仿宋_GB2312" w:cs="仿宋_GB2312"/>
                <w:sz w:val="24"/>
                <w:szCs w:val="24"/>
              </w:rPr>
            </w:pPr>
            <w:r>
              <w:rPr>
                <w:rFonts w:hint="eastAsia" w:ascii="仿宋_GB2312" w:hAnsi="仿宋_GB2312" w:eastAsia="仿宋_GB2312" w:cs="仿宋_GB2312"/>
                <w:spacing w:val="13"/>
                <w:sz w:val="24"/>
                <w:szCs w:val="24"/>
              </w:rPr>
              <w:t>序号</w:t>
            </w:r>
          </w:p>
        </w:tc>
        <w:tc>
          <w:tcPr>
            <w:tcW w:w="1482" w:type="dxa"/>
            <w:vAlign w:val="center"/>
          </w:tcPr>
          <w:p>
            <w:pPr>
              <w:keepNext w:val="0"/>
              <w:keepLines w:val="0"/>
              <w:pageBreakBefore w:val="0"/>
              <w:widowControl/>
              <w:kinsoku w:val="0"/>
              <w:wordWrap/>
              <w:overflowPunct/>
              <w:topLinePunct w:val="0"/>
              <w:autoSpaceDE w:val="0"/>
              <w:autoSpaceDN w:val="0"/>
              <w:bidi w:val="0"/>
              <w:adjustRightInd w:val="0"/>
              <w:snapToGrid w:val="0"/>
              <w:spacing w:before="171" w:line="360" w:lineRule="exact"/>
              <w:ind w:right="33"/>
              <w:jc w:val="center"/>
              <w:textAlignment w:val="baseline"/>
              <w:rPr>
                <w:rFonts w:hint="eastAsia" w:ascii="仿宋_GB2312" w:hAnsi="仿宋_GB2312" w:eastAsia="仿宋_GB2312" w:cs="仿宋_GB2312"/>
                <w:spacing w:val="1"/>
                <w:sz w:val="24"/>
                <w:szCs w:val="24"/>
              </w:rPr>
            </w:pPr>
            <w:r>
              <w:rPr>
                <w:rFonts w:hint="eastAsia" w:ascii="仿宋_GB2312" w:hAnsi="仿宋_GB2312" w:eastAsia="仿宋_GB2312" w:cs="仿宋_GB2312"/>
                <w:spacing w:val="1"/>
                <w:sz w:val="24"/>
                <w:szCs w:val="24"/>
              </w:rPr>
              <w:t>投标人</w:t>
            </w:r>
          </w:p>
        </w:tc>
        <w:tc>
          <w:tcPr>
            <w:tcW w:w="1470" w:type="dxa"/>
            <w:vAlign w:val="center"/>
          </w:tcPr>
          <w:p>
            <w:pPr>
              <w:keepNext w:val="0"/>
              <w:keepLines w:val="0"/>
              <w:pageBreakBefore w:val="0"/>
              <w:widowControl/>
              <w:kinsoku w:val="0"/>
              <w:wordWrap/>
              <w:overflowPunct/>
              <w:topLinePunct w:val="0"/>
              <w:autoSpaceDE w:val="0"/>
              <w:autoSpaceDN w:val="0"/>
              <w:bidi w:val="0"/>
              <w:adjustRightInd w:val="0"/>
              <w:snapToGrid w:val="0"/>
              <w:spacing w:before="171" w:line="360" w:lineRule="exact"/>
              <w:ind w:right="33"/>
              <w:jc w:val="center"/>
              <w:textAlignment w:val="baseline"/>
              <w:rPr>
                <w:rFonts w:hint="eastAsia" w:ascii="仿宋_GB2312" w:hAnsi="仿宋_GB2312" w:eastAsia="仿宋_GB2312" w:cs="仿宋_GB2312"/>
                <w:spacing w:val="1"/>
                <w:sz w:val="24"/>
                <w:szCs w:val="24"/>
              </w:rPr>
            </w:pPr>
            <w:r>
              <w:rPr>
                <w:rFonts w:hint="eastAsia" w:ascii="仿宋_GB2312" w:hAnsi="仿宋_GB2312" w:eastAsia="仿宋_GB2312" w:cs="仿宋_GB2312"/>
                <w:sz w:val="24"/>
                <w:szCs w:val="24"/>
              </w:rPr>
              <w:t>具有防水工程施工三级以上资质的为优</w:t>
            </w:r>
            <w:r>
              <w:rPr>
                <w:rFonts w:hint="eastAsia" w:ascii="仿宋_GB2312" w:hAnsi="仿宋_GB2312" w:eastAsia="仿宋_GB2312" w:cs="仿宋_GB2312"/>
                <w:i w:val="0"/>
                <w:iCs w:val="0"/>
                <w:caps w:val="0"/>
                <w:spacing w:val="0"/>
                <w:sz w:val="24"/>
                <w:szCs w:val="24"/>
                <w:shd w:val="clear" w:color="auto" w:fill="auto"/>
                <w:lang w:eastAsia="zh-CN"/>
              </w:rPr>
              <w:t>。</w:t>
            </w:r>
          </w:p>
        </w:tc>
        <w:tc>
          <w:tcPr>
            <w:tcW w:w="1815" w:type="dxa"/>
            <w:vAlign w:val="center"/>
          </w:tcPr>
          <w:p>
            <w:pPr>
              <w:keepNext w:val="0"/>
              <w:keepLines w:val="0"/>
              <w:pageBreakBefore w:val="0"/>
              <w:widowControl/>
              <w:kinsoku w:val="0"/>
              <w:wordWrap/>
              <w:overflowPunct/>
              <w:topLinePunct w:val="0"/>
              <w:autoSpaceDE w:val="0"/>
              <w:autoSpaceDN w:val="0"/>
              <w:bidi w:val="0"/>
              <w:adjustRightInd w:val="0"/>
              <w:snapToGrid w:val="0"/>
              <w:spacing w:before="171" w:line="360" w:lineRule="exact"/>
              <w:ind w:right="33"/>
              <w:jc w:val="center"/>
              <w:textAlignment w:val="baseline"/>
              <w:rPr>
                <w:rFonts w:hint="eastAsia" w:ascii="仿宋_GB2312" w:hAnsi="仿宋_GB2312" w:eastAsia="仿宋_GB2312" w:cs="仿宋_GB2312"/>
                <w:spacing w:val="1"/>
                <w:sz w:val="24"/>
                <w:szCs w:val="24"/>
                <w:lang w:eastAsia="zh-CN"/>
              </w:rPr>
            </w:pPr>
            <w:r>
              <w:rPr>
                <w:rFonts w:hint="eastAsia" w:ascii="仿宋_GB2312" w:hAnsi="仿宋_GB2312" w:eastAsia="仿宋_GB2312" w:cs="仿宋_GB2312"/>
                <w:sz w:val="24"/>
                <w:szCs w:val="24"/>
              </w:rPr>
              <w:t>在深圳市住房和建设局工程建设诚信档案中没有处于红色警示公示期内的企业为优</w:t>
            </w:r>
            <w:r>
              <w:rPr>
                <w:rFonts w:hint="eastAsia" w:ascii="仿宋_GB2312" w:hAnsi="仿宋_GB2312" w:eastAsia="仿宋_GB2312" w:cs="仿宋_GB2312"/>
                <w:sz w:val="24"/>
                <w:szCs w:val="24"/>
                <w:lang w:eastAsia="zh-CN"/>
              </w:rPr>
              <w:t>。</w:t>
            </w:r>
          </w:p>
        </w:tc>
        <w:tc>
          <w:tcPr>
            <w:tcW w:w="1980" w:type="dxa"/>
            <w:vAlign w:val="center"/>
          </w:tcPr>
          <w:p>
            <w:pPr>
              <w:keepNext w:val="0"/>
              <w:keepLines w:val="0"/>
              <w:pageBreakBefore w:val="0"/>
              <w:widowControl/>
              <w:kinsoku w:val="0"/>
              <w:wordWrap/>
              <w:overflowPunct/>
              <w:topLinePunct w:val="0"/>
              <w:autoSpaceDE w:val="0"/>
              <w:autoSpaceDN w:val="0"/>
              <w:bidi w:val="0"/>
              <w:adjustRightInd w:val="0"/>
              <w:snapToGrid w:val="0"/>
              <w:spacing w:before="171" w:line="360" w:lineRule="exact"/>
              <w:ind w:right="33"/>
              <w:jc w:val="center"/>
              <w:textAlignment w:val="baseline"/>
              <w:rPr>
                <w:rFonts w:hint="eastAsia" w:ascii="仿宋_GB2312" w:hAnsi="仿宋_GB2312" w:eastAsia="仿宋_GB2312" w:cs="仿宋_GB2312"/>
                <w:spacing w:val="1"/>
                <w:sz w:val="24"/>
                <w:szCs w:val="24"/>
                <w:lang w:eastAsia="zh-CN"/>
              </w:rPr>
            </w:pPr>
            <w:r>
              <w:rPr>
                <w:rFonts w:hint="eastAsia" w:ascii="仿宋_GB2312" w:hAnsi="仿宋_GB2312" w:eastAsia="仿宋_GB2312" w:cs="仿宋_GB2312"/>
                <w:sz w:val="24"/>
                <w:szCs w:val="24"/>
              </w:rPr>
              <w:t>近1年内（从公告截止之日起倒算）在深圳市住房和建设局工程建设诚信档案中无行政处罚记录的企业为优</w:t>
            </w:r>
            <w:r>
              <w:rPr>
                <w:rFonts w:hint="eastAsia" w:ascii="仿宋_GB2312" w:hAnsi="仿宋_GB2312" w:eastAsia="仿宋_GB2312" w:cs="仿宋_GB2312"/>
                <w:sz w:val="24"/>
                <w:szCs w:val="24"/>
                <w:lang w:eastAsia="zh-CN"/>
              </w:rPr>
              <w:t>。</w:t>
            </w:r>
          </w:p>
        </w:tc>
        <w:tc>
          <w:tcPr>
            <w:tcW w:w="1350" w:type="dxa"/>
            <w:vAlign w:val="center"/>
          </w:tcPr>
          <w:p>
            <w:pPr>
              <w:keepNext w:val="0"/>
              <w:keepLines w:val="0"/>
              <w:pageBreakBefore w:val="0"/>
              <w:widowControl/>
              <w:kinsoku w:val="0"/>
              <w:wordWrap/>
              <w:overflowPunct/>
              <w:topLinePunct w:val="0"/>
              <w:autoSpaceDE w:val="0"/>
              <w:autoSpaceDN w:val="0"/>
              <w:bidi w:val="0"/>
              <w:adjustRightInd w:val="0"/>
              <w:snapToGrid w:val="0"/>
              <w:spacing w:before="171" w:line="360" w:lineRule="exact"/>
              <w:ind w:right="33"/>
              <w:jc w:val="center"/>
              <w:textAlignment w:val="baseline"/>
              <w:rPr>
                <w:rFonts w:hint="eastAsia" w:ascii="仿宋_GB2312" w:hAnsi="仿宋_GB2312" w:eastAsia="仿宋_GB2312" w:cs="仿宋_GB2312"/>
                <w:spacing w:val="1"/>
                <w:sz w:val="24"/>
                <w:szCs w:val="24"/>
                <w:lang w:eastAsia="zh-CN"/>
              </w:rPr>
            </w:pPr>
            <w:r>
              <w:rPr>
                <w:rFonts w:hint="eastAsia" w:ascii="仿宋_GB2312" w:hAnsi="仿宋_GB2312" w:eastAsia="仿宋_GB2312" w:cs="仿宋_GB2312"/>
                <w:sz w:val="24"/>
                <w:szCs w:val="24"/>
              </w:rPr>
              <w:t>横向对比下浮率</w:t>
            </w:r>
            <w:r>
              <w:rPr>
                <w:rFonts w:hint="eastAsia" w:ascii="仿宋_GB2312" w:hAnsi="仿宋_GB2312" w:eastAsia="仿宋_GB2312" w:cs="仿宋_GB2312"/>
                <w:sz w:val="24"/>
                <w:szCs w:val="24"/>
                <w:lang w:eastAsia="zh-CN"/>
              </w:rPr>
              <w:t>最大的</w:t>
            </w:r>
            <w:r>
              <w:rPr>
                <w:rFonts w:hint="eastAsia" w:ascii="仿宋_GB2312" w:hAnsi="仿宋_GB2312" w:eastAsia="仿宋_GB2312" w:cs="仿宋_GB2312"/>
                <w:sz w:val="24"/>
                <w:szCs w:val="24"/>
              </w:rPr>
              <w:t>为优</w:t>
            </w:r>
            <w:r>
              <w:rPr>
                <w:rFonts w:hint="eastAsia" w:ascii="仿宋_GB2312" w:hAnsi="仿宋_GB2312" w:eastAsia="仿宋_GB2312" w:cs="仿宋_GB2312"/>
                <w:sz w:val="24"/>
                <w:szCs w:val="24"/>
                <w:lang w:eastAsia="zh-CN"/>
              </w:rPr>
              <w:t>。</w:t>
            </w:r>
          </w:p>
        </w:tc>
        <w:tc>
          <w:tcPr>
            <w:tcW w:w="1560" w:type="dxa"/>
            <w:vAlign w:val="center"/>
          </w:tcPr>
          <w:p>
            <w:pPr>
              <w:keepNext w:val="0"/>
              <w:keepLines w:val="0"/>
              <w:pageBreakBefore w:val="0"/>
              <w:widowControl/>
              <w:kinsoku w:val="0"/>
              <w:wordWrap/>
              <w:overflowPunct/>
              <w:topLinePunct w:val="0"/>
              <w:autoSpaceDE w:val="0"/>
              <w:autoSpaceDN w:val="0"/>
              <w:bidi w:val="0"/>
              <w:adjustRightInd w:val="0"/>
              <w:snapToGrid w:val="0"/>
              <w:spacing w:before="171" w:line="360" w:lineRule="exact"/>
              <w:ind w:right="33"/>
              <w:jc w:val="center"/>
              <w:textAlignment w:val="baseline"/>
              <w:rPr>
                <w:rFonts w:hint="eastAsia" w:ascii="仿宋_GB2312" w:hAnsi="仿宋_GB2312" w:eastAsia="仿宋_GB2312" w:cs="仿宋_GB2312"/>
                <w:spacing w:val="1"/>
                <w:sz w:val="24"/>
                <w:szCs w:val="24"/>
                <w:lang w:val="en-US" w:eastAsia="zh-CN"/>
              </w:rPr>
            </w:pPr>
            <w:r>
              <w:rPr>
                <w:rFonts w:hint="eastAsia" w:ascii="仿宋_GB2312" w:hAnsi="仿宋_GB2312" w:eastAsia="仿宋_GB2312" w:cs="仿宋_GB2312"/>
                <w:sz w:val="24"/>
                <w:szCs w:val="24"/>
              </w:rPr>
              <w:t>近三年（20</w:t>
            </w:r>
            <w:r>
              <w:rPr>
                <w:rFonts w:hint="eastAsia" w:ascii="仿宋_GB2312" w:hAnsi="仿宋_GB2312" w:eastAsia="仿宋_GB2312" w:cs="仿宋_GB2312"/>
                <w:sz w:val="24"/>
                <w:szCs w:val="24"/>
                <w:lang w:val="en-US" w:eastAsia="zh-CN"/>
              </w:rPr>
              <w:t>21</w:t>
            </w:r>
            <w:r>
              <w:rPr>
                <w:rFonts w:hint="eastAsia" w:ascii="仿宋_GB2312" w:hAnsi="仿宋_GB2312" w:eastAsia="仿宋_GB2312" w:cs="仿宋_GB2312"/>
                <w:sz w:val="24"/>
                <w:szCs w:val="24"/>
              </w:rPr>
              <w:t>年</w:t>
            </w:r>
            <w:r>
              <w:rPr>
                <w:rFonts w:hint="eastAsia" w:ascii="仿宋_GB2312" w:hAnsi="仿宋_GB2312" w:eastAsia="仿宋_GB2312" w:cs="仿宋_GB2312"/>
                <w:sz w:val="24"/>
                <w:szCs w:val="24"/>
                <w:lang w:val="en-US" w:eastAsia="zh-CN"/>
              </w:rPr>
              <w:t>7</w:t>
            </w:r>
            <w:r>
              <w:rPr>
                <w:rFonts w:hint="eastAsia" w:ascii="仿宋_GB2312" w:hAnsi="仿宋_GB2312" w:eastAsia="仿宋_GB2312" w:cs="仿宋_GB2312"/>
                <w:sz w:val="24"/>
                <w:szCs w:val="24"/>
              </w:rPr>
              <w:t>月-202</w:t>
            </w:r>
            <w:r>
              <w:rPr>
                <w:rFonts w:hint="eastAsia" w:ascii="仿宋_GB2312" w:hAnsi="仿宋_GB2312" w:eastAsia="仿宋_GB2312" w:cs="仿宋_GB2312"/>
                <w:sz w:val="24"/>
                <w:szCs w:val="24"/>
                <w:lang w:val="en-US" w:eastAsia="zh-CN"/>
              </w:rPr>
              <w:t>4</w:t>
            </w:r>
            <w:r>
              <w:rPr>
                <w:rFonts w:hint="eastAsia" w:ascii="仿宋_GB2312" w:hAnsi="仿宋_GB2312" w:eastAsia="仿宋_GB2312" w:cs="仿宋_GB2312"/>
                <w:sz w:val="24"/>
                <w:szCs w:val="24"/>
              </w:rPr>
              <w:t>年</w:t>
            </w:r>
            <w:r>
              <w:rPr>
                <w:rFonts w:hint="eastAsia" w:ascii="仿宋_GB2312" w:hAnsi="仿宋_GB2312" w:eastAsia="仿宋_GB2312" w:cs="仿宋_GB2312"/>
                <w:sz w:val="24"/>
                <w:szCs w:val="24"/>
                <w:lang w:val="en-US" w:eastAsia="zh-CN"/>
              </w:rPr>
              <w:t>7</w:t>
            </w:r>
            <w:bookmarkStart w:id="0" w:name="_GoBack"/>
            <w:bookmarkEnd w:id="0"/>
            <w:r>
              <w:rPr>
                <w:rFonts w:hint="eastAsia" w:ascii="仿宋_GB2312" w:hAnsi="仿宋_GB2312" w:eastAsia="仿宋_GB2312" w:cs="仿宋_GB2312"/>
                <w:sz w:val="24"/>
                <w:szCs w:val="24"/>
              </w:rPr>
              <w:t>月）有3项防水工程业绩的为优</w:t>
            </w:r>
            <w:r>
              <w:rPr>
                <w:rFonts w:hint="eastAsia" w:ascii="仿宋_GB2312" w:hAnsi="仿宋_GB2312" w:eastAsia="仿宋_GB2312" w:cs="仿宋_GB2312"/>
                <w:sz w:val="24"/>
                <w:szCs w:val="24"/>
                <w:lang w:eastAsia="zh-CN"/>
              </w:rPr>
              <w:t>。</w:t>
            </w:r>
          </w:p>
        </w:tc>
        <w:tc>
          <w:tcPr>
            <w:tcW w:w="2235" w:type="dxa"/>
            <w:vAlign w:val="center"/>
          </w:tcPr>
          <w:p>
            <w:pPr>
              <w:keepNext w:val="0"/>
              <w:keepLines w:val="0"/>
              <w:pageBreakBefore w:val="0"/>
              <w:widowControl/>
              <w:kinsoku w:val="0"/>
              <w:wordWrap/>
              <w:overflowPunct/>
              <w:topLinePunct w:val="0"/>
              <w:autoSpaceDE w:val="0"/>
              <w:autoSpaceDN w:val="0"/>
              <w:bidi w:val="0"/>
              <w:adjustRightInd w:val="0"/>
              <w:snapToGrid w:val="0"/>
              <w:spacing w:before="171" w:line="360" w:lineRule="exact"/>
              <w:ind w:right="33"/>
              <w:jc w:val="center"/>
              <w:textAlignment w:val="baseline"/>
              <w:rPr>
                <w:rFonts w:hint="eastAsia" w:ascii="仿宋_GB2312" w:hAnsi="仿宋_GB2312" w:eastAsia="仿宋_GB2312" w:cs="仿宋_GB2312"/>
                <w:spacing w:val="1"/>
                <w:sz w:val="24"/>
                <w:szCs w:val="24"/>
                <w:lang w:eastAsia="zh-CN"/>
              </w:rPr>
            </w:pPr>
            <w:r>
              <w:rPr>
                <w:rFonts w:hint="eastAsia" w:ascii="仿宋_GB2312" w:hAnsi="仿宋_GB2312" w:eastAsia="仿宋_GB2312" w:cs="仿宋_GB2312"/>
                <w:sz w:val="24"/>
                <w:szCs w:val="24"/>
              </w:rPr>
              <w:t>近1年内（从公告截止之日起倒算）响应单位或者其法定代表人在中国裁判文书网查询没有行贿犯罪记录的为优</w:t>
            </w:r>
            <w:r>
              <w:rPr>
                <w:rFonts w:hint="eastAsia" w:ascii="仿宋_GB2312" w:hAnsi="仿宋_GB2312" w:eastAsia="仿宋_GB2312" w:cs="仿宋_GB2312"/>
                <w:sz w:val="24"/>
                <w:szCs w:val="24"/>
                <w:lang w:eastAsia="zh-CN"/>
              </w:rPr>
              <w:t>。</w:t>
            </w:r>
          </w:p>
        </w:tc>
        <w:tc>
          <w:tcPr>
            <w:tcW w:w="2027" w:type="dxa"/>
            <w:vAlign w:val="center"/>
          </w:tcPr>
          <w:p>
            <w:pPr>
              <w:keepNext w:val="0"/>
              <w:keepLines w:val="0"/>
              <w:pageBreakBefore w:val="0"/>
              <w:widowControl/>
              <w:kinsoku w:val="0"/>
              <w:wordWrap/>
              <w:overflowPunct/>
              <w:topLinePunct w:val="0"/>
              <w:autoSpaceDE w:val="0"/>
              <w:autoSpaceDN w:val="0"/>
              <w:bidi w:val="0"/>
              <w:adjustRightInd w:val="0"/>
              <w:snapToGrid w:val="0"/>
              <w:spacing w:before="171" w:line="360" w:lineRule="exact"/>
              <w:ind w:right="33"/>
              <w:jc w:val="center"/>
              <w:textAlignment w:val="baseline"/>
              <w:rPr>
                <w:rFonts w:hint="eastAsia" w:ascii="仿宋_GB2312" w:hAnsi="仿宋_GB2312" w:eastAsia="仿宋_GB2312" w:cs="仿宋_GB2312"/>
                <w:spacing w:val="1"/>
                <w:sz w:val="24"/>
                <w:szCs w:val="24"/>
                <w:lang w:eastAsia="zh-CN"/>
              </w:rPr>
            </w:pPr>
            <w:r>
              <w:rPr>
                <w:rFonts w:hint="eastAsia" w:ascii="仿宋_GB2312" w:hAnsi="仿宋_GB2312" w:eastAsia="仿宋_GB2312" w:cs="仿宋_GB2312"/>
                <w:sz w:val="24"/>
                <w:szCs w:val="24"/>
              </w:rPr>
              <w:t>横向对比项目实施方案，根据项目实际情况，从工期、安全质量保证措施、人员配置、工艺等方面综合评价，横向选取一名优</w:t>
            </w:r>
            <w:r>
              <w:rPr>
                <w:rFonts w:hint="eastAsia" w:ascii="仿宋_GB2312" w:hAnsi="仿宋_GB2312" w:eastAsia="仿宋_GB2312" w:cs="仿宋_GB2312"/>
                <w:sz w:val="24"/>
                <w:szCs w:val="24"/>
                <w:lang w:eastAsia="zh-CN"/>
              </w:rPr>
              <w:t>。</w:t>
            </w:r>
          </w:p>
        </w:tc>
        <w:tc>
          <w:tcPr>
            <w:tcW w:w="974" w:type="dxa"/>
            <w:vAlign w:val="center"/>
          </w:tcPr>
          <w:p>
            <w:pPr>
              <w:keepNext w:val="0"/>
              <w:keepLines w:val="0"/>
              <w:pageBreakBefore w:val="0"/>
              <w:widowControl/>
              <w:kinsoku w:val="0"/>
              <w:wordWrap/>
              <w:overflowPunct/>
              <w:topLinePunct w:val="0"/>
              <w:autoSpaceDE w:val="0"/>
              <w:autoSpaceDN w:val="0"/>
              <w:bidi w:val="0"/>
              <w:adjustRightInd w:val="0"/>
              <w:snapToGrid w:val="0"/>
              <w:spacing w:before="171" w:line="360" w:lineRule="exact"/>
              <w:ind w:right="33"/>
              <w:jc w:val="center"/>
              <w:textAlignment w:val="baseline"/>
              <w:rPr>
                <w:rFonts w:hint="eastAsia" w:ascii="仿宋_GB2312" w:hAnsi="仿宋_GB2312" w:eastAsia="仿宋_GB2312" w:cs="仿宋_GB2312"/>
                <w:spacing w:val="1"/>
                <w:sz w:val="24"/>
                <w:szCs w:val="24"/>
                <w:lang w:val="en-US" w:eastAsia="zh-CN"/>
              </w:rPr>
            </w:pPr>
            <w:r>
              <w:rPr>
                <w:rFonts w:hint="eastAsia" w:ascii="仿宋_GB2312" w:hAnsi="仿宋_GB2312" w:eastAsia="仿宋_GB2312" w:cs="仿宋_GB2312"/>
                <w:spacing w:val="1"/>
                <w:sz w:val="24"/>
                <w:szCs w:val="24"/>
                <w:lang w:val="en-US" w:eastAsia="zh-CN"/>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78" w:hRule="atLeast"/>
          <w:jc w:val="center"/>
        </w:trPr>
        <w:tc>
          <w:tcPr>
            <w:tcW w:w="524" w:type="dxa"/>
            <w:vAlign w:val="center"/>
          </w:tcPr>
          <w:p>
            <w:pPr>
              <w:spacing w:before="78" w:line="184" w:lineRule="auto"/>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w:t>
            </w:r>
          </w:p>
        </w:tc>
        <w:tc>
          <w:tcPr>
            <w:tcW w:w="1482" w:type="dxa"/>
            <w:vAlign w:val="center"/>
          </w:tcPr>
          <w:p>
            <w:pPr>
              <w:spacing w:before="274" w:line="245" w:lineRule="auto"/>
              <w:ind w:left="1170" w:right="204" w:hanging="960"/>
              <w:jc w:val="center"/>
              <w:rPr>
                <w:rFonts w:hint="eastAsia" w:ascii="仿宋_GB2312" w:hAnsi="仿宋_GB2312" w:eastAsia="仿宋_GB2312" w:cs="仿宋_GB2312"/>
                <w:sz w:val="24"/>
                <w:szCs w:val="24"/>
              </w:rPr>
            </w:pPr>
          </w:p>
        </w:tc>
        <w:tc>
          <w:tcPr>
            <w:tcW w:w="1470" w:type="dxa"/>
            <w:vAlign w:val="center"/>
          </w:tcPr>
          <w:p>
            <w:pPr>
              <w:jc w:val="center"/>
              <w:rPr>
                <w:rFonts w:hint="eastAsia" w:ascii="仿宋_GB2312" w:hAnsi="仿宋_GB2312" w:eastAsia="仿宋_GB2312" w:cs="仿宋_GB2312"/>
                <w:sz w:val="24"/>
                <w:szCs w:val="24"/>
              </w:rPr>
            </w:pPr>
          </w:p>
        </w:tc>
        <w:tc>
          <w:tcPr>
            <w:tcW w:w="1815" w:type="dxa"/>
            <w:vAlign w:val="center"/>
          </w:tcPr>
          <w:p>
            <w:pPr>
              <w:spacing w:line="283" w:lineRule="auto"/>
              <w:jc w:val="center"/>
              <w:rPr>
                <w:rFonts w:hint="eastAsia" w:ascii="仿宋_GB2312" w:hAnsi="仿宋_GB2312" w:eastAsia="仿宋_GB2312" w:cs="仿宋_GB2312"/>
                <w:sz w:val="24"/>
                <w:szCs w:val="24"/>
              </w:rPr>
            </w:pPr>
          </w:p>
          <w:p>
            <w:pPr>
              <w:spacing w:line="550" w:lineRule="exact"/>
              <w:ind w:firstLine="1144"/>
              <w:jc w:val="center"/>
              <w:textAlignment w:val="center"/>
              <w:rPr>
                <w:rFonts w:hint="eastAsia" w:ascii="仿宋_GB2312" w:hAnsi="仿宋_GB2312" w:eastAsia="仿宋_GB2312" w:cs="仿宋_GB2312"/>
                <w:sz w:val="24"/>
                <w:szCs w:val="24"/>
              </w:rPr>
            </w:pPr>
          </w:p>
        </w:tc>
        <w:tc>
          <w:tcPr>
            <w:tcW w:w="1980" w:type="dxa"/>
            <w:vAlign w:val="center"/>
          </w:tcPr>
          <w:p>
            <w:pPr>
              <w:spacing w:before="185" w:line="620" w:lineRule="exact"/>
              <w:ind w:firstLine="356"/>
              <w:jc w:val="center"/>
              <w:textAlignment w:val="center"/>
              <w:rPr>
                <w:rFonts w:hint="eastAsia" w:ascii="仿宋_GB2312" w:hAnsi="仿宋_GB2312" w:eastAsia="仿宋_GB2312" w:cs="仿宋_GB2312"/>
                <w:sz w:val="24"/>
                <w:szCs w:val="24"/>
              </w:rPr>
            </w:pPr>
          </w:p>
        </w:tc>
        <w:tc>
          <w:tcPr>
            <w:tcW w:w="1350" w:type="dxa"/>
            <w:vAlign w:val="center"/>
          </w:tcPr>
          <w:p>
            <w:pPr>
              <w:spacing w:before="175" w:line="569" w:lineRule="exact"/>
              <w:ind w:firstLine="467"/>
              <w:jc w:val="center"/>
              <w:textAlignment w:val="center"/>
              <w:rPr>
                <w:rFonts w:hint="eastAsia" w:ascii="仿宋_GB2312" w:hAnsi="仿宋_GB2312" w:eastAsia="仿宋_GB2312" w:cs="仿宋_GB2312"/>
                <w:sz w:val="24"/>
                <w:szCs w:val="24"/>
              </w:rPr>
            </w:pPr>
          </w:p>
        </w:tc>
        <w:tc>
          <w:tcPr>
            <w:tcW w:w="1560" w:type="dxa"/>
            <w:vAlign w:val="center"/>
          </w:tcPr>
          <w:p>
            <w:pPr>
              <w:spacing w:before="185" w:line="529" w:lineRule="exact"/>
              <w:ind w:firstLine="518"/>
              <w:jc w:val="center"/>
              <w:textAlignment w:val="center"/>
              <w:rPr>
                <w:rFonts w:hint="eastAsia" w:ascii="仿宋_GB2312" w:hAnsi="仿宋_GB2312" w:eastAsia="仿宋_GB2312" w:cs="仿宋_GB2312"/>
                <w:sz w:val="24"/>
                <w:szCs w:val="24"/>
              </w:rPr>
            </w:pPr>
          </w:p>
        </w:tc>
        <w:tc>
          <w:tcPr>
            <w:tcW w:w="2235" w:type="dxa"/>
            <w:vAlign w:val="center"/>
          </w:tcPr>
          <w:p>
            <w:pPr>
              <w:jc w:val="center"/>
              <w:rPr>
                <w:rFonts w:hint="eastAsia" w:ascii="仿宋_GB2312" w:hAnsi="仿宋_GB2312" w:eastAsia="仿宋_GB2312" w:cs="仿宋_GB2312"/>
                <w:sz w:val="24"/>
                <w:szCs w:val="24"/>
              </w:rPr>
            </w:pPr>
          </w:p>
        </w:tc>
        <w:tc>
          <w:tcPr>
            <w:tcW w:w="2027" w:type="dxa"/>
            <w:vAlign w:val="center"/>
          </w:tcPr>
          <w:p>
            <w:pPr>
              <w:jc w:val="center"/>
              <w:rPr>
                <w:rFonts w:hint="eastAsia" w:ascii="仿宋_GB2312" w:hAnsi="仿宋_GB2312" w:eastAsia="仿宋_GB2312" w:cs="仿宋_GB2312"/>
                <w:sz w:val="24"/>
                <w:szCs w:val="24"/>
              </w:rPr>
            </w:pPr>
          </w:p>
        </w:tc>
        <w:tc>
          <w:tcPr>
            <w:tcW w:w="974" w:type="dxa"/>
            <w:vAlign w:val="center"/>
          </w:tcPr>
          <w:p>
            <w:pPr>
              <w:jc w:val="center"/>
              <w:rPr>
                <w:rFonts w:hint="eastAsia" w:ascii="仿宋_GB2312" w:hAnsi="仿宋_GB2312" w:eastAsia="仿宋_GB2312" w:cs="仿宋_GB2312"/>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68" w:hRule="atLeast"/>
          <w:jc w:val="center"/>
        </w:trPr>
        <w:tc>
          <w:tcPr>
            <w:tcW w:w="524" w:type="dxa"/>
            <w:vAlign w:val="center"/>
          </w:tcPr>
          <w:p>
            <w:pPr>
              <w:spacing w:before="78" w:line="183" w:lineRule="auto"/>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w:t>
            </w:r>
          </w:p>
        </w:tc>
        <w:tc>
          <w:tcPr>
            <w:tcW w:w="1482" w:type="dxa"/>
            <w:vAlign w:val="center"/>
          </w:tcPr>
          <w:p>
            <w:pPr>
              <w:jc w:val="center"/>
              <w:rPr>
                <w:rFonts w:hint="eastAsia" w:ascii="仿宋_GB2312" w:hAnsi="仿宋_GB2312" w:eastAsia="仿宋_GB2312" w:cs="仿宋_GB2312"/>
                <w:sz w:val="24"/>
                <w:szCs w:val="24"/>
              </w:rPr>
            </w:pPr>
          </w:p>
        </w:tc>
        <w:tc>
          <w:tcPr>
            <w:tcW w:w="1470" w:type="dxa"/>
            <w:vAlign w:val="center"/>
          </w:tcPr>
          <w:p>
            <w:pPr>
              <w:jc w:val="center"/>
              <w:rPr>
                <w:rFonts w:hint="eastAsia" w:ascii="仿宋_GB2312" w:hAnsi="仿宋_GB2312" w:eastAsia="仿宋_GB2312" w:cs="仿宋_GB2312"/>
                <w:sz w:val="24"/>
                <w:szCs w:val="24"/>
              </w:rPr>
            </w:pPr>
          </w:p>
        </w:tc>
        <w:tc>
          <w:tcPr>
            <w:tcW w:w="1815" w:type="dxa"/>
            <w:vAlign w:val="center"/>
          </w:tcPr>
          <w:p>
            <w:pPr>
              <w:jc w:val="center"/>
              <w:rPr>
                <w:rFonts w:hint="eastAsia" w:ascii="仿宋_GB2312" w:hAnsi="仿宋_GB2312" w:eastAsia="仿宋_GB2312" w:cs="仿宋_GB2312"/>
                <w:sz w:val="24"/>
                <w:szCs w:val="24"/>
              </w:rPr>
            </w:pPr>
          </w:p>
        </w:tc>
        <w:tc>
          <w:tcPr>
            <w:tcW w:w="1980" w:type="dxa"/>
            <w:vAlign w:val="center"/>
          </w:tcPr>
          <w:p>
            <w:pPr>
              <w:jc w:val="center"/>
              <w:rPr>
                <w:rFonts w:hint="eastAsia" w:ascii="仿宋_GB2312" w:hAnsi="仿宋_GB2312" w:eastAsia="仿宋_GB2312" w:cs="仿宋_GB2312"/>
                <w:sz w:val="24"/>
                <w:szCs w:val="24"/>
              </w:rPr>
            </w:pPr>
          </w:p>
        </w:tc>
        <w:tc>
          <w:tcPr>
            <w:tcW w:w="1350" w:type="dxa"/>
            <w:vAlign w:val="center"/>
          </w:tcPr>
          <w:p>
            <w:pPr>
              <w:jc w:val="center"/>
              <w:rPr>
                <w:rFonts w:hint="eastAsia" w:ascii="仿宋_GB2312" w:hAnsi="仿宋_GB2312" w:eastAsia="仿宋_GB2312" w:cs="仿宋_GB2312"/>
                <w:sz w:val="24"/>
                <w:szCs w:val="24"/>
              </w:rPr>
            </w:pPr>
          </w:p>
        </w:tc>
        <w:tc>
          <w:tcPr>
            <w:tcW w:w="1560" w:type="dxa"/>
            <w:vAlign w:val="center"/>
          </w:tcPr>
          <w:p>
            <w:pPr>
              <w:jc w:val="center"/>
              <w:rPr>
                <w:rFonts w:hint="eastAsia" w:ascii="仿宋_GB2312" w:hAnsi="仿宋_GB2312" w:eastAsia="仿宋_GB2312" w:cs="仿宋_GB2312"/>
                <w:sz w:val="24"/>
                <w:szCs w:val="24"/>
              </w:rPr>
            </w:pPr>
          </w:p>
        </w:tc>
        <w:tc>
          <w:tcPr>
            <w:tcW w:w="2235" w:type="dxa"/>
            <w:vAlign w:val="center"/>
          </w:tcPr>
          <w:p>
            <w:pPr>
              <w:jc w:val="center"/>
              <w:rPr>
                <w:rFonts w:hint="eastAsia" w:ascii="仿宋_GB2312" w:hAnsi="仿宋_GB2312" w:eastAsia="仿宋_GB2312" w:cs="仿宋_GB2312"/>
                <w:sz w:val="24"/>
                <w:szCs w:val="24"/>
              </w:rPr>
            </w:pPr>
          </w:p>
        </w:tc>
        <w:tc>
          <w:tcPr>
            <w:tcW w:w="2027" w:type="dxa"/>
            <w:vAlign w:val="center"/>
          </w:tcPr>
          <w:p>
            <w:pPr>
              <w:jc w:val="center"/>
              <w:rPr>
                <w:rFonts w:hint="eastAsia" w:ascii="仿宋_GB2312" w:hAnsi="仿宋_GB2312" w:eastAsia="仿宋_GB2312" w:cs="仿宋_GB2312"/>
                <w:sz w:val="24"/>
                <w:szCs w:val="24"/>
              </w:rPr>
            </w:pPr>
          </w:p>
        </w:tc>
        <w:tc>
          <w:tcPr>
            <w:tcW w:w="974" w:type="dxa"/>
            <w:vAlign w:val="center"/>
          </w:tcPr>
          <w:p>
            <w:pPr>
              <w:jc w:val="center"/>
              <w:rPr>
                <w:rFonts w:hint="eastAsia" w:ascii="仿宋_GB2312" w:hAnsi="仿宋_GB2312" w:eastAsia="仿宋_GB2312" w:cs="仿宋_GB2312"/>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103" w:hRule="atLeast"/>
          <w:jc w:val="center"/>
        </w:trPr>
        <w:tc>
          <w:tcPr>
            <w:tcW w:w="524" w:type="dxa"/>
            <w:vAlign w:val="center"/>
          </w:tcPr>
          <w:p>
            <w:pPr>
              <w:spacing w:before="78" w:line="183" w:lineRule="auto"/>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w:t>
            </w:r>
          </w:p>
        </w:tc>
        <w:tc>
          <w:tcPr>
            <w:tcW w:w="1482" w:type="dxa"/>
            <w:vAlign w:val="center"/>
          </w:tcPr>
          <w:p>
            <w:pPr>
              <w:jc w:val="center"/>
              <w:rPr>
                <w:rFonts w:hint="eastAsia" w:ascii="仿宋_GB2312" w:hAnsi="仿宋_GB2312" w:eastAsia="仿宋_GB2312" w:cs="仿宋_GB2312"/>
                <w:sz w:val="24"/>
                <w:szCs w:val="24"/>
              </w:rPr>
            </w:pPr>
          </w:p>
        </w:tc>
        <w:tc>
          <w:tcPr>
            <w:tcW w:w="1470" w:type="dxa"/>
            <w:vAlign w:val="center"/>
          </w:tcPr>
          <w:p>
            <w:pPr>
              <w:jc w:val="center"/>
              <w:rPr>
                <w:rFonts w:hint="eastAsia" w:ascii="仿宋_GB2312" w:hAnsi="仿宋_GB2312" w:eastAsia="仿宋_GB2312" w:cs="仿宋_GB2312"/>
                <w:sz w:val="24"/>
                <w:szCs w:val="24"/>
              </w:rPr>
            </w:pPr>
          </w:p>
        </w:tc>
        <w:tc>
          <w:tcPr>
            <w:tcW w:w="1815" w:type="dxa"/>
            <w:vAlign w:val="center"/>
          </w:tcPr>
          <w:p>
            <w:pPr>
              <w:jc w:val="center"/>
              <w:rPr>
                <w:rFonts w:hint="eastAsia" w:ascii="仿宋_GB2312" w:hAnsi="仿宋_GB2312" w:eastAsia="仿宋_GB2312" w:cs="仿宋_GB2312"/>
                <w:sz w:val="24"/>
                <w:szCs w:val="24"/>
              </w:rPr>
            </w:pPr>
          </w:p>
        </w:tc>
        <w:tc>
          <w:tcPr>
            <w:tcW w:w="1980" w:type="dxa"/>
            <w:vAlign w:val="center"/>
          </w:tcPr>
          <w:p>
            <w:pPr>
              <w:jc w:val="center"/>
              <w:rPr>
                <w:rFonts w:hint="eastAsia" w:ascii="仿宋_GB2312" w:hAnsi="仿宋_GB2312" w:eastAsia="仿宋_GB2312" w:cs="仿宋_GB2312"/>
                <w:sz w:val="24"/>
                <w:szCs w:val="24"/>
              </w:rPr>
            </w:pPr>
          </w:p>
        </w:tc>
        <w:tc>
          <w:tcPr>
            <w:tcW w:w="1350" w:type="dxa"/>
            <w:vAlign w:val="center"/>
          </w:tcPr>
          <w:p>
            <w:pPr>
              <w:jc w:val="center"/>
              <w:rPr>
                <w:rFonts w:hint="eastAsia" w:ascii="仿宋_GB2312" w:hAnsi="仿宋_GB2312" w:eastAsia="仿宋_GB2312" w:cs="仿宋_GB2312"/>
                <w:sz w:val="24"/>
                <w:szCs w:val="24"/>
              </w:rPr>
            </w:pPr>
          </w:p>
        </w:tc>
        <w:tc>
          <w:tcPr>
            <w:tcW w:w="1560" w:type="dxa"/>
            <w:vAlign w:val="center"/>
          </w:tcPr>
          <w:p>
            <w:pPr>
              <w:jc w:val="center"/>
              <w:rPr>
                <w:rFonts w:hint="eastAsia" w:ascii="仿宋_GB2312" w:hAnsi="仿宋_GB2312" w:eastAsia="仿宋_GB2312" w:cs="仿宋_GB2312"/>
                <w:sz w:val="24"/>
                <w:szCs w:val="24"/>
              </w:rPr>
            </w:pPr>
          </w:p>
        </w:tc>
        <w:tc>
          <w:tcPr>
            <w:tcW w:w="2235" w:type="dxa"/>
            <w:vAlign w:val="center"/>
          </w:tcPr>
          <w:p>
            <w:pPr>
              <w:jc w:val="center"/>
              <w:rPr>
                <w:rFonts w:hint="eastAsia" w:ascii="仿宋_GB2312" w:hAnsi="仿宋_GB2312" w:eastAsia="仿宋_GB2312" w:cs="仿宋_GB2312"/>
                <w:sz w:val="24"/>
                <w:szCs w:val="24"/>
              </w:rPr>
            </w:pPr>
          </w:p>
        </w:tc>
        <w:tc>
          <w:tcPr>
            <w:tcW w:w="2027" w:type="dxa"/>
            <w:vAlign w:val="center"/>
          </w:tcPr>
          <w:p>
            <w:pPr>
              <w:jc w:val="center"/>
              <w:rPr>
                <w:rFonts w:hint="eastAsia" w:ascii="仿宋_GB2312" w:hAnsi="仿宋_GB2312" w:eastAsia="仿宋_GB2312" w:cs="仿宋_GB2312"/>
                <w:sz w:val="24"/>
                <w:szCs w:val="24"/>
              </w:rPr>
            </w:pPr>
          </w:p>
        </w:tc>
        <w:tc>
          <w:tcPr>
            <w:tcW w:w="974" w:type="dxa"/>
            <w:vAlign w:val="center"/>
          </w:tcPr>
          <w:p>
            <w:pPr>
              <w:jc w:val="center"/>
              <w:rPr>
                <w:rFonts w:hint="eastAsia" w:ascii="仿宋_GB2312" w:hAnsi="仿宋_GB2312" w:eastAsia="仿宋_GB2312" w:cs="仿宋_GB2312"/>
                <w:sz w:val="24"/>
                <w:szCs w:val="24"/>
              </w:rPr>
            </w:pPr>
          </w:p>
        </w:tc>
      </w:tr>
    </w:tbl>
    <w:p>
      <w:pPr>
        <w:spacing w:before="179" w:line="184" w:lineRule="auto"/>
        <w:ind w:left="124"/>
        <w:rPr>
          <w:rFonts w:hint="eastAsia" w:ascii="仿宋_GB2312" w:hAnsi="仿宋_GB2312" w:eastAsia="仿宋_GB2312" w:cs="仿宋_GB2312"/>
          <w:b/>
          <w:bCs/>
          <w:spacing w:val="-10"/>
          <w:sz w:val="24"/>
          <w:szCs w:val="24"/>
          <w:lang w:val="en-US" w:eastAsia="zh-CN"/>
        </w:rPr>
      </w:pPr>
      <w:r>
        <w:rPr>
          <w:rFonts w:hint="eastAsia" w:ascii="仿宋_GB2312" w:hAnsi="仿宋_GB2312" w:eastAsia="仿宋_GB2312" w:cs="仿宋_GB2312"/>
          <w:b/>
          <w:bCs/>
          <w:spacing w:val="-10"/>
          <w:sz w:val="24"/>
          <w:szCs w:val="24"/>
          <w:lang w:val="en-US" w:eastAsia="zh-CN"/>
        </w:rPr>
        <w:t>注：</w:t>
      </w:r>
      <w:r>
        <w:rPr>
          <w:rFonts w:hint="eastAsia" w:ascii="仿宋_GB2312" w:hAnsi="仿宋_GB2312" w:eastAsia="仿宋_GB2312" w:cs="仿宋_GB2312"/>
          <w:b/>
          <w:bCs/>
          <w:sz w:val="24"/>
          <w:szCs w:val="24"/>
        </w:rPr>
        <w:t>如得优数量一致，则根据评审人对本项目的理解，投票确定中标候选人。</w:t>
      </w:r>
    </w:p>
    <w:p>
      <w:pPr>
        <w:spacing w:before="179" w:line="184" w:lineRule="auto"/>
        <w:ind w:left="124"/>
        <w:rPr>
          <w:rFonts w:hint="eastAsia" w:ascii="仿宋_GB2312" w:hAnsi="仿宋_GB2312" w:eastAsia="仿宋_GB2312" w:cs="仿宋_GB2312"/>
          <w:b/>
          <w:bCs/>
          <w:sz w:val="28"/>
          <w:szCs w:val="28"/>
          <w:lang w:val="en-US" w:eastAsia="zh-CN"/>
        </w:rPr>
      </w:pPr>
      <w:r>
        <w:rPr>
          <w:rFonts w:hint="eastAsia" w:ascii="仿宋_GB2312" w:hAnsi="仿宋_GB2312" w:eastAsia="仿宋_GB2312" w:cs="仿宋_GB2312"/>
          <w:b/>
          <w:bCs/>
          <w:spacing w:val="-10"/>
          <w:sz w:val="28"/>
          <w:szCs w:val="28"/>
        </w:rPr>
        <w:t>评标专</w:t>
      </w:r>
      <w:r>
        <w:rPr>
          <w:rFonts w:hint="eastAsia" w:ascii="仿宋_GB2312" w:hAnsi="仿宋_GB2312" w:eastAsia="仿宋_GB2312" w:cs="仿宋_GB2312"/>
          <w:b/>
          <w:bCs/>
          <w:spacing w:val="-10"/>
          <w:sz w:val="28"/>
          <w:szCs w:val="28"/>
          <w:lang w:val="en-US" w:eastAsia="zh-CN"/>
        </w:rPr>
        <w:t>家：</w:t>
      </w:r>
    </w:p>
    <w:sectPr>
      <w:type w:val="continuous"/>
      <w:pgSz w:w="16820" w:h="11900"/>
      <w:pgMar w:top="1011" w:right="1764" w:bottom="0" w:left="1575" w:header="0" w:footer="0" w:gutter="0"/>
      <w:cols w:equalWidth="0" w:num="1">
        <w:col w:w="13480"/>
      </w:cols>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documentProtection w:enforcement="0"/>
  <w:characterSpacingControl w:val="doNotCompress"/>
  <w:footnotePr>
    <w:footnote w:id="0"/>
    <w:footnote w:id="1"/>
  </w:footnotePr>
  <w:endnotePr>
    <w:endnote w:id="0"/>
    <w:endnote w:id="1"/>
  </w:endnotePr>
  <w:compat>
    <w:spaceForUL/>
    <w:ulTrailSpace/>
    <w:useFELayout/>
    <w:compatSetting w:name="compatibilityMode" w:uri="http://schemas.microsoft.com/office/word" w:val="14"/>
  </w:compat>
  <w:docVars>
    <w:docVar w:name="commondata" w:val="eyJoZGlkIjoiMmE5NjVjZDY1MWI4YmNlYzJhZmUwZWQ3NWUwZGNjMGEifQ=="/>
  </w:docVars>
  <w:rsids>
    <w:rsidRoot w:val="00000000"/>
    <w:rsid w:val="1F186157"/>
    <w:rsid w:val="1F3856F5"/>
    <w:rsid w:val="2E824004"/>
    <w:rsid w:val="2F5104AF"/>
    <w:rsid w:val="52C92E97"/>
    <w:rsid w:val="578B70E8"/>
    <w:rsid w:val="5F255351"/>
    <w:rsid w:val="700109B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Arial" w:cs="Arial"/>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table" w:customStyle="1" w:styleId="4">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1</Pages>
  <Words>216</Words>
  <Characters>218</Characters>
  <TotalTime>1</TotalTime>
  <ScaleCrop>false</ScaleCrop>
  <LinksUpToDate>false</LinksUpToDate>
  <CharactersWithSpaces>294</CharactersWithSpaces>
  <Application>WPS Office_12.1.0.15990_F1E327BC-269C-435d-A152-05C5408002CA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2023-08-16T17:59:00Z</dcterms:created>
  <dc:creator>Kingsoft-PDF</dc:creator>
  <cp:lastModifiedBy>邱前祯</cp:lastModifiedBy>
  <dcterms:modified xsi:type="dcterms:W3CDTF">2024-07-19T00:58:37Z</dcterms:modified>
  <dc:subject>pdfbuilder</dc:subject>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wqlLaW5nc29mdCBQREYgdG8gV1BTIDg1</vt:lpwstr>
  </property>
  <property fmtid="{D5CDD505-2E9C-101B-9397-08002B2CF9AE}" pid="3" name="Created">
    <vt:filetime>2023-08-16T17:59:04Z</vt:filetime>
  </property>
  <property fmtid="{D5CDD505-2E9C-101B-9397-08002B2CF9AE}" pid="4" name="UsrData">
    <vt:lpwstr>64dc9de6ec219a001f0a4a06wl</vt:lpwstr>
  </property>
  <property fmtid="{D5CDD505-2E9C-101B-9397-08002B2CF9AE}" pid="5" name="KSOProductBuildVer">
    <vt:lpwstr>2052-12.1.0.15990</vt:lpwstr>
  </property>
  <property fmtid="{D5CDD505-2E9C-101B-9397-08002B2CF9AE}" pid="6" name="ICV">
    <vt:lpwstr>8F130A96ADB7439D884943FE7F96F5B1_12</vt:lpwstr>
  </property>
</Properties>
</file>