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微软雅黑" w:hAnsi="微软雅黑" w:cs="宋体"/>
          <w:b/>
          <w:sz w:val="36"/>
          <w:szCs w:val="36"/>
        </w:rPr>
      </w:pPr>
      <w:r>
        <w:rPr>
          <w:rFonts w:hint="eastAsia" w:ascii="微软雅黑" w:hAnsi="微软雅黑" w:cs="宋体"/>
          <w:b/>
          <w:sz w:val="36"/>
          <w:szCs w:val="36"/>
        </w:rPr>
        <w:t>医疗收费电子结算凭证上传服务招标参数</w:t>
      </w:r>
    </w:p>
    <w:p>
      <w:pPr>
        <w:spacing w:line="400" w:lineRule="exact"/>
        <w:rPr>
          <w:rFonts w:ascii="微软雅黑" w:hAnsi="微软雅黑" w:cs="宋体"/>
          <w:b/>
          <w:color w:val="FF0000"/>
          <w:szCs w:val="21"/>
        </w:rPr>
      </w:pPr>
    </w:p>
    <w:p>
      <w:pPr>
        <w:spacing w:line="400" w:lineRule="exact"/>
        <w:rPr>
          <w:rFonts w:ascii="微软雅黑" w:hAnsi="微软雅黑" w:cs="宋体"/>
          <w:color w:val="000000" w:themeColor="text1"/>
          <w:szCs w:val="21"/>
          <w14:textFill>
            <w14:solidFill>
              <w14:schemeClr w14:val="tx1"/>
            </w14:solidFill>
          </w14:textFill>
        </w:rPr>
      </w:pPr>
      <w:r>
        <w:rPr>
          <w:rFonts w:hint="eastAsia" w:ascii="微软雅黑" w:hAnsi="微软雅黑" w:cs="宋体"/>
          <w:b/>
          <w:color w:val="000000" w:themeColor="text1"/>
          <w:szCs w:val="21"/>
          <w14:textFill>
            <w14:solidFill>
              <w14:schemeClr w14:val="tx1"/>
            </w14:solidFill>
          </w14:textFill>
        </w:rPr>
        <w:t>项目名称：</w:t>
      </w:r>
      <w:r>
        <w:rPr>
          <w:rFonts w:hint="eastAsia" w:ascii="微软雅黑" w:hAnsi="微软雅黑" w:cs="宋体"/>
          <w:color w:val="000000" w:themeColor="text1"/>
          <w:szCs w:val="21"/>
          <w14:textFill>
            <w14:solidFill>
              <w14:schemeClr w14:val="tx1"/>
            </w14:solidFill>
          </w14:textFill>
        </w:rPr>
        <w:t>医疗收费电子结算凭证上传服务</w:t>
      </w:r>
    </w:p>
    <w:p>
      <w:pPr>
        <w:pStyle w:val="2"/>
        <w:spacing w:line="400" w:lineRule="exact"/>
        <w:rPr>
          <w:rFonts w:ascii="微软雅黑" w:hAnsi="微软雅黑"/>
          <w:color w:val="000000" w:themeColor="text1"/>
          <w:sz w:val="21"/>
          <w:szCs w:val="21"/>
          <w14:textFill>
            <w14:solidFill>
              <w14:schemeClr w14:val="tx1"/>
            </w14:solidFill>
          </w14:textFill>
        </w:rPr>
      </w:pPr>
    </w:p>
    <w:p>
      <w:pPr>
        <w:spacing w:line="400" w:lineRule="exact"/>
        <w:rPr>
          <w:rFonts w:ascii="微软雅黑" w:hAnsi="微软雅黑" w:cs="宋体"/>
          <w:color w:val="000000" w:themeColor="text1"/>
          <w:szCs w:val="21"/>
          <w14:textFill>
            <w14:solidFill>
              <w14:schemeClr w14:val="tx1"/>
            </w14:solidFill>
          </w14:textFill>
        </w:rPr>
      </w:pPr>
      <w:r>
        <w:rPr>
          <w:rFonts w:hint="eastAsia" w:ascii="微软雅黑" w:hAnsi="微软雅黑" w:cs="宋体"/>
          <w:b/>
          <w:color w:val="000000" w:themeColor="text1"/>
          <w:szCs w:val="21"/>
          <w14:textFill>
            <w14:solidFill>
              <w14:schemeClr w14:val="tx1"/>
            </w14:solidFill>
          </w14:textFill>
        </w:rPr>
        <w:t>预算金额：</w:t>
      </w:r>
      <w:r>
        <w:rPr>
          <w:rFonts w:hint="eastAsia" w:ascii="微软雅黑" w:hAnsi="微软雅黑" w:cs="宋体"/>
          <w:color w:val="000000" w:themeColor="text1"/>
          <w:szCs w:val="21"/>
          <w14:textFill>
            <w14:solidFill>
              <w14:schemeClr w14:val="tx1"/>
            </w14:solidFill>
          </w14:textFill>
        </w:rPr>
        <w:t>人民币9.5万元</w:t>
      </w:r>
    </w:p>
    <w:p>
      <w:pPr>
        <w:wordWrap w:val="0"/>
        <w:spacing w:line="360" w:lineRule="exact"/>
        <w:ind w:right="-33" w:firstLine="602"/>
        <w:rPr>
          <w:rFonts w:ascii="微软雅黑" w:hAnsi="微软雅黑" w:cs="宋体"/>
          <w:color w:val="000000" w:themeColor="text1"/>
          <w:kern w:val="0"/>
          <w:szCs w:val="21"/>
          <w14:textFill>
            <w14:solidFill>
              <w14:schemeClr w14:val="tx1"/>
            </w14:solidFill>
          </w14:textFill>
        </w:rPr>
      </w:pPr>
      <w:r>
        <w:rPr>
          <w:rFonts w:hint="eastAsia" w:ascii="微软雅黑" w:hAnsi="微软雅黑" w:cs="宋体"/>
          <w:b/>
          <w:color w:val="000000" w:themeColor="text1"/>
          <w:szCs w:val="21"/>
          <w14:textFill>
            <w14:solidFill>
              <w14:schemeClr w14:val="tx1"/>
            </w14:solidFill>
          </w14:textFill>
        </w:rPr>
        <w:t>申请理由及相关说明</w:t>
      </w:r>
      <w:r>
        <w:rPr>
          <w:rFonts w:hint="eastAsia" w:ascii="微软雅黑" w:hAnsi="微软雅黑" w:cs="宋体"/>
          <w:color w:val="000000" w:themeColor="text1"/>
          <w:szCs w:val="21"/>
          <w14:textFill>
            <w14:solidFill>
              <w14:schemeClr w14:val="tx1"/>
            </w14:solidFill>
          </w14:textFill>
        </w:rPr>
        <w:t>：</w:t>
      </w:r>
      <w:r>
        <w:rPr>
          <w:rFonts w:hint="eastAsia" w:ascii="微软雅黑" w:hAnsi="微软雅黑" w:cs="宋体"/>
          <w:color w:val="000000" w:themeColor="text1"/>
          <w:kern w:val="0"/>
          <w:szCs w:val="21"/>
          <w14:textFill>
            <w14:solidFill>
              <w14:schemeClr w14:val="tx1"/>
            </w14:solidFill>
          </w14:textFill>
        </w:rPr>
        <w:t>根据深圳市医保中心下发的《关于做好医疗收费电子结算凭证上传的通知》的通知的要求，深圳市定点医疗机构应做好医疗收费电子结算凭证上传工作，三级及二级定点医疗机构应于2024年6月30日前完成信息系统改造、联调测试并向辖区医保分局提交测试报告。该项工作已经纳入2024年广东省医保信息化标准化考核。</w:t>
      </w:r>
    </w:p>
    <w:p>
      <w:pPr>
        <w:wordWrap w:val="0"/>
        <w:spacing w:line="360" w:lineRule="exact"/>
        <w:ind w:right="-33" w:firstLine="602"/>
        <w:rPr>
          <w:rFonts w:ascii="微软雅黑" w:hAnsi="微软雅黑" w:cs="宋体"/>
          <w:color w:val="000000" w:themeColor="text1"/>
          <w:kern w:val="0"/>
          <w:szCs w:val="21"/>
          <w14:textFill>
            <w14:solidFill>
              <w14:schemeClr w14:val="tx1"/>
            </w14:solidFill>
          </w14:textFill>
        </w:rPr>
      </w:pPr>
      <w:r>
        <w:rPr>
          <w:rFonts w:hint="eastAsia" w:ascii="微软雅黑" w:hAnsi="微软雅黑" w:cs="宋体"/>
          <w:color w:val="000000" w:themeColor="text1"/>
          <w:kern w:val="0"/>
          <w:szCs w:val="21"/>
          <w14:textFill>
            <w14:solidFill>
              <w14:schemeClr w14:val="tx1"/>
            </w14:solidFill>
          </w14:textFill>
        </w:rPr>
        <w:t>医疗收费电子结算凭证涵盖了参保就医患者医保结算数据、电子票据等信息，通过及时、准确上传医疗收费电子结算凭证，参保人零星报销只需要线上提交报销申请，系统可自动获取票据数据，有效提升业务办理效率，优化参保人的医保服务体验。同时，医疗收费电子结算凭证可有效防范虚假发票、一票多报等潜在风险，在基金监管、医药服务价格监测等工作中发挥相应作用。</w:t>
      </w:r>
    </w:p>
    <w:p>
      <w:pPr>
        <w:adjustRightInd w:val="0"/>
        <w:snapToGrid w:val="0"/>
        <w:spacing w:line="400" w:lineRule="exact"/>
        <w:ind w:firstLine="403" w:firstLineChars="192"/>
        <w:rPr>
          <w:rFonts w:ascii="微软雅黑" w:hAnsi="微软雅黑" w:cs="宋体"/>
          <w:szCs w:val="21"/>
        </w:rPr>
      </w:pPr>
    </w:p>
    <w:p>
      <w:pPr>
        <w:spacing w:line="400" w:lineRule="exact"/>
        <w:ind w:firstLine="482"/>
        <w:outlineLvl w:val="1"/>
        <w:rPr>
          <w:rFonts w:ascii="微软雅黑" w:hAnsi="微软雅黑"/>
          <w:b/>
          <w:bCs/>
          <w:szCs w:val="21"/>
        </w:rPr>
      </w:pPr>
      <w:r>
        <w:rPr>
          <w:rFonts w:hint="eastAsia" w:ascii="微软雅黑" w:hAnsi="微软雅黑"/>
          <w:b/>
          <w:bCs/>
          <w:szCs w:val="21"/>
        </w:rPr>
        <w:t>一、项目技术需求：</w:t>
      </w:r>
    </w:p>
    <w:tbl>
      <w:tblPr>
        <w:tblStyle w:val="10"/>
        <w:tblW w:w="9209" w:type="dxa"/>
        <w:tblInd w:w="0" w:type="dxa"/>
        <w:tblLayout w:type="fixed"/>
        <w:tblCellMar>
          <w:top w:w="0" w:type="dxa"/>
          <w:left w:w="108" w:type="dxa"/>
          <w:bottom w:w="0" w:type="dxa"/>
          <w:right w:w="108" w:type="dxa"/>
        </w:tblCellMar>
      </w:tblPr>
      <w:tblGrid>
        <w:gridCol w:w="562"/>
        <w:gridCol w:w="709"/>
        <w:gridCol w:w="709"/>
        <w:gridCol w:w="1276"/>
        <w:gridCol w:w="5103"/>
        <w:gridCol w:w="850"/>
      </w:tblGrid>
      <w:tr>
        <w:tblPrEx>
          <w:tblCellMar>
            <w:top w:w="0" w:type="dxa"/>
            <w:left w:w="108" w:type="dxa"/>
            <w:bottom w:w="0" w:type="dxa"/>
            <w:right w:w="108" w:type="dxa"/>
          </w:tblCellMar>
        </w:tblPrEx>
        <w:trPr>
          <w:trHeight w:val="480" w:hRule="atLeast"/>
        </w:trPr>
        <w:tc>
          <w:tcPr>
            <w:tcW w:w="562"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微软雅黑" w:hAnsi="微软雅黑" w:cs="宋体"/>
                <w:b/>
                <w:bCs/>
                <w:color w:val="000000"/>
                <w:kern w:val="0"/>
                <w:sz w:val="18"/>
                <w:szCs w:val="18"/>
              </w:rPr>
            </w:pPr>
            <w:r>
              <w:rPr>
                <w:rFonts w:hint="eastAsia" w:ascii="微软雅黑" w:hAnsi="微软雅黑" w:cs="宋体"/>
                <w:b/>
                <w:bCs/>
                <w:color w:val="000000"/>
                <w:kern w:val="0"/>
                <w:sz w:val="18"/>
                <w:szCs w:val="18"/>
              </w:rPr>
              <w:t>序号</w:t>
            </w:r>
          </w:p>
        </w:tc>
        <w:tc>
          <w:tcPr>
            <w:tcW w:w="709"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cs="宋体"/>
                <w:b/>
                <w:bCs/>
                <w:color w:val="000000"/>
                <w:kern w:val="0"/>
                <w:sz w:val="18"/>
                <w:szCs w:val="18"/>
              </w:rPr>
            </w:pPr>
            <w:r>
              <w:rPr>
                <w:rFonts w:hint="eastAsia" w:ascii="微软雅黑" w:hAnsi="微软雅黑" w:cs="宋体"/>
                <w:b/>
                <w:bCs/>
                <w:color w:val="000000"/>
                <w:kern w:val="0"/>
                <w:sz w:val="18"/>
                <w:szCs w:val="18"/>
              </w:rPr>
              <w:t>建设类别</w:t>
            </w:r>
          </w:p>
        </w:tc>
        <w:tc>
          <w:tcPr>
            <w:tcW w:w="709"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cs="宋体"/>
                <w:b/>
                <w:bCs/>
                <w:color w:val="000000"/>
                <w:kern w:val="0"/>
                <w:sz w:val="18"/>
                <w:szCs w:val="18"/>
              </w:rPr>
            </w:pPr>
            <w:r>
              <w:rPr>
                <w:rFonts w:hint="eastAsia" w:ascii="微软雅黑" w:hAnsi="微软雅黑" w:cs="宋体"/>
                <w:b/>
                <w:bCs/>
                <w:color w:val="000000"/>
                <w:kern w:val="0"/>
                <w:sz w:val="18"/>
                <w:szCs w:val="18"/>
              </w:rPr>
              <w:t>接口说明</w:t>
            </w:r>
          </w:p>
        </w:tc>
        <w:tc>
          <w:tcPr>
            <w:tcW w:w="1276"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cs="宋体"/>
                <w:b/>
                <w:bCs/>
                <w:color w:val="000000"/>
                <w:kern w:val="0"/>
                <w:sz w:val="18"/>
                <w:szCs w:val="18"/>
              </w:rPr>
            </w:pPr>
            <w:r>
              <w:rPr>
                <w:rFonts w:hint="eastAsia" w:ascii="微软雅黑" w:hAnsi="微软雅黑" w:cs="宋体"/>
                <w:b/>
                <w:bCs/>
                <w:color w:val="000000"/>
                <w:kern w:val="0"/>
                <w:sz w:val="18"/>
                <w:szCs w:val="18"/>
              </w:rPr>
              <w:t>接口编码</w:t>
            </w:r>
          </w:p>
        </w:tc>
        <w:tc>
          <w:tcPr>
            <w:tcW w:w="5103"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cs="宋体"/>
                <w:b/>
                <w:bCs/>
                <w:color w:val="000000"/>
                <w:kern w:val="0"/>
                <w:sz w:val="18"/>
                <w:szCs w:val="18"/>
              </w:rPr>
            </w:pPr>
            <w:r>
              <w:rPr>
                <w:rFonts w:hint="eastAsia" w:ascii="微软雅黑" w:hAnsi="微软雅黑" w:cs="宋体"/>
                <w:b/>
                <w:bCs/>
                <w:color w:val="000000"/>
                <w:kern w:val="0"/>
                <w:sz w:val="18"/>
                <w:szCs w:val="18"/>
              </w:rPr>
              <w:t>接口名称</w:t>
            </w:r>
          </w:p>
        </w:tc>
        <w:tc>
          <w:tcPr>
            <w:tcW w:w="850"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微软雅黑" w:hAnsi="微软雅黑" w:cs="宋体"/>
                <w:b/>
                <w:bCs/>
                <w:color w:val="000000"/>
                <w:kern w:val="0"/>
                <w:sz w:val="18"/>
                <w:szCs w:val="18"/>
              </w:rPr>
            </w:pPr>
            <w:r>
              <w:rPr>
                <w:rFonts w:hint="eastAsia" w:ascii="微软雅黑" w:hAnsi="微软雅黑" w:cs="宋体"/>
                <w:b/>
                <w:bCs/>
                <w:color w:val="000000"/>
                <w:kern w:val="0"/>
                <w:sz w:val="18"/>
                <w:szCs w:val="18"/>
              </w:rPr>
              <w:t>备注</w:t>
            </w: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HIS部分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中间数据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5501</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查询电子结算凭证状态</w:t>
            </w:r>
          </w:p>
        </w:tc>
        <w:tc>
          <w:tcPr>
            <w:tcW w:w="850" w:type="dxa"/>
            <w:vMerge w:val="restart"/>
            <w:tcBorders>
              <w:top w:val="nil"/>
              <w:left w:val="nil"/>
              <w:right w:val="single" w:color="auto" w:sz="4" w:space="0"/>
            </w:tcBorders>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w:t>
            </w: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2</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3.1.1.1</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医疗门诊电子票据开具接口</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3</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3.1.1.2</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医疗住院电子票据开具接口</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4</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3.1.1.3</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医疗挂号电子票据开具接口</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5</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服务升级</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HIS与博思交互服务升级</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48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6</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HIS退费业务改造</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门诊自费结算退费时调用接口效验是否已报销</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48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7</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挂号自费结算退费时调用接口效验是否已报销</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8</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住院自费结算退费时调用接口效验是否已报销</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169"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9</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电子票据部分</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按照最新数据规范要素改造开票接口</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医疗门诊电子票据开具接口开发</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医疗住院电子票据开具接口开发</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11</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医疗挂号电子票据开具接口开发</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12</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医疗体检电子票据开具接口开发</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13</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医保平台两定接口开发</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4901</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上传电子结算凭证</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14</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4902</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查询电子结算凭证上传结果</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15</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4903</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上传电子结算凭证基本信息</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16</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4904</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查询电子凭证基本信息上传结果</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17</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4905</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重传电子结算凭证</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18</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5501</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查询电子结算凭证状态</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19</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联调测试</w:t>
            </w:r>
          </w:p>
        </w:tc>
        <w:tc>
          <w:tcPr>
            <w:tcW w:w="708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提供关于省医保电子结算凭证场景的电子票据系统联调测试服务</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20</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cs="宋体"/>
                <w:color w:val="000000"/>
                <w:kern w:val="0"/>
                <w:sz w:val="18"/>
                <w:szCs w:val="18"/>
              </w:rPr>
            </w:pPr>
          </w:p>
        </w:tc>
        <w:tc>
          <w:tcPr>
            <w:tcW w:w="708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提供关于省医保电子结算凭证场景的HIS联调测试服务</w:t>
            </w:r>
          </w:p>
        </w:tc>
        <w:tc>
          <w:tcPr>
            <w:tcW w:w="850" w:type="dxa"/>
            <w:vMerge w:val="continue"/>
            <w:tcBorders>
              <w:left w:val="nil"/>
              <w:right w:val="single" w:color="auto" w:sz="4" w:space="0"/>
            </w:tcBorders>
          </w:tcPr>
          <w:p>
            <w:pPr>
              <w:widowControl/>
              <w:jc w:val="left"/>
              <w:rPr>
                <w:rFonts w:ascii="微软雅黑" w:hAnsi="微软雅黑" w:cs="宋体"/>
                <w:color w:val="000000"/>
                <w:kern w:val="0"/>
                <w:sz w:val="18"/>
                <w:szCs w:val="18"/>
              </w:rPr>
            </w:pPr>
          </w:p>
        </w:tc>
      </w:tr>
      <w:tr>
        <w:tblPrEx>
          <w:tblCellMar>
            <w:top w:w="0" w:type="dxa"/>
            <w:left w:w="108" w:type="dxa"/>
            <w:bottom w:w="0" w:type="dxa"/>
            <w:right w:w="108" w:type="dxa"/>
          </w:tblCellMar>
        </w:tblPrEx>
        <w:trPr>
          <w:trHeight w:val="285"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21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cs="宋体"/>
                <w:color w:val="000000"/>
                <w:kern w:val="0"/>
                <w:sz w:val="18"/>
                <w:szCs w:val="18"/>
              </w:rPr>
            </w:pPr>
            <w:r>
              <w:rPr>
                <w:rFonts w:hint="eastAsia" w:ascii="微软雅黑" w:hAnsi="微软雅黑" w:cs="宋体"/>
                <w:color w:val="000000"/>
                <w:kern w:val="0"/>
                <w:sz w:val="18"/>
                <w:szCs w:val="18"/>
              </w:rPr>
              <w:t>实施上线</w:t>
            </w:r>
          </w:p>
        </w:tc>
        <w:tc>
          <w:tcPr>
            <w:tcW w:w="708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提供关于省医保电子结算凭证接口实施上线和培训</w:t>
            </w:r>
          </w:p>
        </w:tc>
        <w:tc>
          <w:tcPr>
            <w:tcW w:w="850" w:type="dxa"/>
            <w:vMerge w:val="continue"/>
            <w:tcBorders>
              <w:left w:val="nil"/>
              <w:bottom w:val="single" w:color="auto" w:sz="4" w:space="0"/>
              <w:right w:val="single" w:color="auto" w:sz="4" w:space="0"/>
            </w:tcBorders>
          </w:tcPr>
          <w:p>
            <w:pPr>
              <w:widowControl/>
              <w:jc w:val="left"/>
              <w:rPr>
                <w:rFonts w:ascii="微软雅黑" w:hAnsi="微软雅黑" w:cs="宋体"/>
                <w:color w:val="000000"/>
                <w:kern w:val="0"/>
                <w:sz w:val="18"/>
                <w:szCs w:val="18"/>
              </w:rPr>
            </w:pPr>
          </w:p>
        </w:tc>
      </w:tr>
    </w:tbl>
    <w:p>
      <w:pPr>
        <w:spacing w:line="400" w:lineRule="exact"/>
        <w:ind w:firstLine="480"/>
        <w:rPr>
          <w:rFonts w:ascii="微软雅黑" w:hAnsi="微软雅黑"/>
          <w:szCs w:val="21"/>
        </w:rPr>
      </w:pPr>
    </w:p>
    <w:p>
      <w:pPr>
        <w:spacing w:line="400" w:lineRule="exact"/>
        <w:ind w:firstLine="482"/>
        <w:outlineLvl w:val="1"/>
        <w:rPr>
          <w:rFonts w:ascii="微软雅黑" w:hAnsi="微软雅黑"/>
          <w:b/>
          <w:bCs/>
          <w:szCs w:val="21"/>
        </w:rPr>
      </w:pPr>
      <w:r>
        <w:rPr>
          <w:rFonts w:hint="eastAsia" w:ascii="微软雅黑" w:hAnsi="微软雅黑"/>
          <w:b/>
          <w:bCs/>
          <w:szCs w:val="21"/>
        </w:rPr>
        <w:t>二、商务条款</w:t>
      </w:r>
    </w:p>
    <w:p>
      <w:pPr>
        <w:pStyle w:val="9"/>
        <w:numPr>
          <w:ilvl w:val="0"/>
          <w:numId w:val="2"/>
        </w:numPr>
        <w:spacing w:line="400" w:lineRule="exact"/>
        <w:ind w:left="1347"/>
        <w:rPr>
          <w:rFonts w:ascii="微软雅黑" w:hAnsi="微软雅黑" w:eastAsia="微软雅黑"/>
          <w:b/>
          <w:sz w:val="21"/>
          <w:szCs w:val="21"/>
        </w:rPr>
      </w:pPr>
      <w:r>
        <w:rPr>
          <w:rFonts w:hint="eastAsia" w:ascii="微软雅黑" w:hAnsi="微软雅黑" w:eastAsia="微软雅黑"/>
          <w:b/>
          <w:sz w:val="21"/>
          <w:szCs w:val="21"/>
        </w:rPr>
        <w:t>服务期限</w:t>
      </w:r>
    </w:p>
    <w:p>
      <w:pPr>
        <w:spacing w:line="400" w:lineRule="exact"/>
        <w:ind w:left="567" w:leftChars="270" w:firstLine="480"/>
        <w:rPr>
          <w:rFonts w:ascii="微软雅黑" w:hAnsi="微软雅黑"/>
          <w:szCs w:val="21"/>
        </w:rPr>
      </w:pPr>
      <w:r>
        <w:rPr>
          <w:rFonts w:hint="eastAsia" w:ascii="微软雅黑" w:hAnsi="微软雅黑"/>
          <w:szCs w:val="21"/>
        </w:rPr>
        <w:t>服务期限：合同签订之日起6个月；</w:t>
      </w:r>
    </w:p>
    <w:p>
      <w:pPr>
        <w:pStyle w:val="9"/>
        <w:numPr>
          <w:ilvl w:val="0"/>
          <w:numId w:val="2"/>
        </w:numPr>
        <w:spacing w:line="400" w:lineRule="exact"/>
        <w:ind w:left="1347"/>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付款方法和条件</w:t>
      </w:r>
    </w:p>
    <w:p>
      <w:pPr>
        <w:spacing w:line="400" w:lineRule="exact"/>
        <w:ind w:left="567" w:leftChars="270" w:firstLine="480"/>
        <w:rPr>
          <w:rFonts w:ascii="微软雅黑" w:hAnsi="微软雅黑"/>
          <w:color w:val="000000" w:themeColor="text1"/>
          <w:szCs w:val="21"/>
          <w14:textFill>
            <w14:solidFill>
              <w14:schemeClr w14:val="tx1"/>
            </w14:solidFill>
          </w14:textFill>
        </w:rPr>
      </w:pPr>
      <w:r>
        <w:rPr>
          <w:rFonts w:hint="eastAsia" w:ascii="微软雅黑" w:hAnsi="微软雅黑"/>
          <w:color w:val="000000" w:themeColor="text1"/>
          <w:szCs w:val="21"/>
          <w14:textFill>
            <w14:solidFill>
              <w14:schemeClr w14:val="tx1"/>
            </w14:solidFill>
          </w14:textFill>
        </w:rPr>
        <w:t>（</w:t>
      </w:r>
      <w:r>
        <w:rPr>
          <w:rFonts w:ascii="微软雅黑" w:hAnsi="微软雅黑"/>
          <w:color w:val="000000" w:themeColor="text1"/>
          <w:szCs w:val="21"/>
          <w14:textFill>
            <w14:solidFill>
              <w14:schemeClr w14:val="tx1"/>
            </w14:solidFill>
          </w14:textFill>
        </w:rPr>
        <w:t>1）合同签订</w:t>
      </w:r>
      <w:r>
        <w:rPr>
          <w:rFonts w:hint="eastAsia" w:ascii="微软雅黑" w:hAnsi="微软雅黑"/>
          <w:color w:val="000000" w:themeColor="text1"/>
          <w:szCs w:val="21"/>
          <w:lang w:val="en-US" w:eastAsia="zh-CN"/>
          <w14:textFill>
            <w14:solidFill>
              <w14:schemeClr w14:val="tx1"/>
            </w14:solidFill>
          </w14:textFill>
        </w:rPr>
        <w:t>且</w:t>
      </w:r>
      <w:r>
        <w:rPr>
          <w:rFonts w:ascii="微软雅黑" w:hAnsi="微软雅黑"/>
          <w:color w:val="000000" w:themeColor="text1"/>
          <w:szCs w:val="21"/>
          <w14:textFill>
            <w14:solidFill>
              <w14:schemeClr w14:val="tx1"/>
            </w14:solidFill>
          </w14:textFill>
        </w:rPr>
        <w:t>收到中标人开具等额合法有效的发票并提供齐全的请款资料后</w:t>
      </w:r>
      <w:r>
        <w:rPr>
          <w:rFonts w:hint="eastAsia" w:ascii="微软雅黑" w:hAnsi="微软雅黑"/>
          <w:color w:val="000000" w:themeColor="text1"/>
          <w:szCs w:val="21"/>
          <w:lang w:val="en-US" w:eastAsia="zh-CN"/>
          <w14:textFill>
            <w14:solidFill>
              <w14:schemeClr w14:val="tx1"/>
            </w14:solidFill>
          </w14:textFill>
        </w:rPr>
        <w:t>10个工作日内</w:t>
      </w:r>
      <w:r>
        <w:rPr>
          <w:rFonts w:ascii="微软雅黑" w:hAnsi="微软雅黑"/>
          <w:color w:val="000000" w:themeColor="text1"/>
          <w:szCs w:val="21"/>
          <w14:textFill>
            <w14:solidFill>
              <w14:schemeClr w14:val="tx1"/>
            </w14:solidFill>
          </w14:textFill>
        </w:rPr>
        <w:t>，采购人将合同总金额的60%支付给中标人；</w:t>
      </w:r>
    </w:p>
    <w:p>
      <w:pPr>
        <w:spacing w:line="400" w:lineRule="exact"/>
        <w:ind w:left="567" w:leftChars="270" w:firstLine="480"/>
        <w:rPr>
          <w:rFonts w:ascii="微软雅黑" w:hAnsi="微软雅黑"/>
          <w:color w:val="000000" w:themeColor="text1"/>
          <w:szCs w:val="21"/>
          <w14:textFill>
            <w14:solidFill>
              <w14:schemeClr w14:val="tx1"/>
            </w14:solidFill>
          </w14:textFill>
        </w:rPr>
      </w:pPr>
      <w:r>
        <w:rPr>
          <w:rFonts w:hint="eastAsia" w:ascii="微软雅黑" w:hAnsi="微软雅黑"/>
          <w:color w:val="000000" w:themeColor="text1"/>
          <w:szCs w:val="21"/>
          <w14:textFill>
            <w14:solidFill>
              <w14:schemeClr w14:val="tx1"/>
            </w14:solidFill>
          </w14:textFill>
        </w:rPr>
        <w:t>（</w:t>
      </w:r>
      <w:r>
        <w:rPr>
          <w:rFonts w:ascii="微软雅黑" w:hAnsi="微软雅黑"/>
          <w:color w:val="000000" w:themeColor="text1"/>
          <w:szCs w:val="21"/>
          <w14:textFill>
            <w14:solidFill>
              <w14:schemeClr w14:val="tx1"/>
            </w14:solidFill>
          </w14:textFill>
        </w:rPr>
        <w:t>2）中标人完成项目实施</w:t>
      </w:r>
      <w:r>
        <w:rPr>
          <w:rFonts w:hint="eastAsia" w:ascii="微软雅黑" w:hAnsi="微软雅黑"/>
          <w:color w:val="000000" w:themeColor="text1"/>
          <w:szCs w:val="21"/>
          <w:lang w:eastAsia="zh-CN"/>
          <w14:textFill>
            <w14:solidFill>
              <w14:schemeClr w14:val="tx1"/>
            </w14:solidFill>
          </w14:textFill>
        </w:rPr>
        <w:t>、</w:t>
      </w:r>
      <w:r>
        <w:rPr>
          <w:rFonts w:ascii="微软雅黑" w:hAnsi="微软雅黑"/>
          <w:color w:val="000000" w:themeColor="text1"/>
          <w:szCs w:val="21"/>
          <w14:textFill>
            <w14:solidFill>
              <w14:schemeClr w14:val="tx1"/>
            </w14:solidFill>
          </w14:textFill>
        </w:rPr>
        <w:t>经采购人书面确认验收合格完成交付</w:t>
      </w:r>
      <w:r>
        <w:rPr>
          <w:rFonts w:hint="eastAsia" w:ascii="微软雅黑" w:hAnsi="微软雅黑"/>
          <w:color w:val="000000" w:themeColor="text1"/>
          <w:szCs w:val="21"/>
          <w:lang w:val="en-US" w:eastAsia="zh-CN"/>
          <w14:textFill>
            <w14:solidFill>
              <w14:schemeClr w14:val="tx1"/>
            </w14:solidFill>
          </w14:textFill>
        </w:rPr>
        <w:t>且</w:t>
      </w:r>
      <w:r>
        <w:rPr>
          <w:rFonts w:ascii="微软雅黑" w:hAnsi="微软雅黑"/>
          <w:color w:val="000000" w:themeColor="text1"/>
          <w:szCs w:val="21"/>
          <w14:textFill>
            <w14:solidFill>
              <w14:schemeClr w14:val="tx1"/>
            </w14:solidFill>
          </w14:textFill>
        </w:rPr>
        <w:t>收到中标人开具等额合法有效的发票并提供齐全的请款资料后</w:t>
      </w:r>
      <w:r>
        <w:rPr>
          <w:rFonts w:hint="eastAsia" w:ascii="微软雅黑" w:hAnsi="微软雅黑"/>
          <w:color w:val="000000" w:themeColor="text1"/>
          <w:szCs w:val="21"/>
          <w:lang w:val="en-US" w:eastAsia="zh-CN"/>
          <w14:textFill>
            <w14:solidFill>
              <w14:schemeClr w14:val="tx1"/>
            </w14:solidFill>
          </w14:textFill>
        </w:rPr>
        <w:t>10个工作日内</w:t>
      </w:r>
      <w:r>
        <w:rPr>
          <w:rFonts w:ascii="微软雅黑" w:hAnsi="微软雅黑"/>
          <w:color w:val="000000" w:themeColor="text1"/>
          <w:szCs w:val="21"/>
          <w14:textFill>
            <w14:solidFill>
              <w14:schemeClr w14:val="tx1"/>
            </w14:solidFill>
          </w14:textFill>
        </w:rPr>
        <w:t>，采购人将合同总金额的剩余40%支付给中标人。</w:t>
      </w:r>
    </w:p>
    <w:p>
      <w:pPr>
        <w:pStyle w:val="9"/>
        <w:numPr>
          <w:ilvl w:val="0"/>
          <w:numId w:val="2"/>
        </w:numPr>
        <w:spacing w:line="400" w:lineRule="exact"/>
        <w:ind w:left="1347"/>
        <w:rPr>
          <w:rFonts w:ascii="微软雅黑" w:hAnsi="微软雅黑" w:eastAsia="微软雅黑"/>
          <w:b/>
          <w:color w:val="000000" w:themeColor="text1"/>
          <w:sz w:val="21"/>
          <w:szCs w:val="21"/>
          <w14:textFill>
            <w14:solidFill>
              <w14:schemeClr w14:val="tx1"/>
            </w14:solidFill>
          </w14:textFill>
        </w:rPr>
      </w:pPr>
      <w:r>
        <w:rPr>
          <w:rFonts w:hint="eastAsia" w:ascii="微软雅黑" w:hAnsi="微软雅黑" w:eastAsia="微软雅黑"/>
          <w:b/>
          <w:color w:val="000000" w:themeColor="text1"/>
          <w:sz w:val="21"/>
          <w:szCs w:val="21"/>
          <w14:textFill>
            <w14:solidFill>
              <w14:schemeClr w14:val="tx1"/>
            </w14:solidFill>
          </w14:textFill>
        </w:rPr>
        <w:t>其它说明</w:t>
      </w:r>
    </w:p>
    <w:p>
      <w:pPr>
        <w:pStyle w:val="9"/>
        <w:numPr>
          <w:ilvl w:val="0"/>
          <w:numId w:val="3"/>
        </w:numPr>
        <w:spacing w:line="400" w:lineRule="exact"/>
        <w:ind w:left="156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为保证服务质量，本项目不允许分包或者转包。如违约，一经查实，直接终止合同，并追偿已支付全部款项。</w:t>
      </w:r>
    </w:p>
    <w:p>
      <w:pPr>
        <w:pStyle w:val="9"/>
        <w:numPr>
          <w:ilvl w:val="0"/>
          <w:numId w:val="3"/>
        </w:numPr>
        <w:spacing w:line="400" w:lineRule="exact"/>
        <w:ind w:left="156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医院提供工作场所和必要的办公设施（如办公桌、办公椅、电脑等）。</w:t>
      </w:r>
    </w:p>
    <w:p>
      <w:pPr>
        <w:pStyle w:val="9"/>
        <w:numPr>
          <w:ilvl w:val="0"/>
          <w:numId w:val="3"/>
        </w:numPr>
        <w:spacing w:line="400" w:lineRule="exact"/>
        <w:ind w:left="156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项目质保期不低于两年。</w:t>
      </w:r>
    </w:p>
    <w:p>
      <w:pPr>
        <w:pStyle w:val="17"/>
        <w:spacing w:line="400" w:lineRule="exact"/>
        <w:ind w:firstLine="460"/>
        <w:rPr>
          <w:rFonts w:ascii="微软雅黑" w:hAnsi="微软雅黑" w:eastAsia="微软雅黑"/>
          <w:sz w:val="21"/>
          <w:szCs w:val="21"/>
        </w:rPr>
      </w:pPr>
    </w:p>
    <w:p>
      <w:pPr>
        <w:pStyle w:val="17"/>
        <w:spacing w:line="400" w:lineRule="exact"/>
        <w:ind w:firstLine="460"/>
        <w:rPr>
          <w:rFonts w:ascii="微软雅黑" w:hAnsi="微软雅黑" w:eastAsia="微软雅黑"/>
          <w:sz w:val="21"/>
          <w:szCs w:val="21"/>
        </w:rPr>
      </w:pPr>
    </w:p>
    <w:p>
      <w:pPr>
        <w:spacing w:line="400" w:lineRule="exact"/>
        <w:ind w:firstLine="482"/>
        <w:outlineLvl w:val="1"/>
        <w:rPr>
          <w:rFonts w:ascii="微软雅黑" w:hAnsi="微软雅黑"/>
          <w:b/>
          <w:bCs/>
          <w:szCs w:val="21"/>
        </w:rPr>
      </w:pPr>
      <w:r>
        <w:rPr>
          <w:rFonts w:hint="eastAsia" w:ascii="微软雅黑" w:hAnsi="微软雅黑"/>
          <w:b/>
          <w:bCs/>
          <w:szCs w:val="21"/>
        </w:rPr>
        <w:t>三、评审标准</w:t>
      </w:r>
    </w:p>
    <w:p>
      <w:pPr>
        <w:spacing w:line="400" w:lineRule="exact"/>
        <w:ind w:firstLine="480"/>
        <w:rPr>
          <w:rFonts w:ascii="微软雅黑" w:hAnsi="微软雅黑" w:cs="微软雅黑"/>
          <w:szCs w:val="21"/>
        </w:rPr>
      </w:pPr>
      <w:bookmarkStart w:id="0" w:name="OLE_LINK4"/>
      <w:bookmarkStart w:id="1" w:name="OLE_LINK3"/>
      <w:r>
        <w:rPr>
          <w:rFonts w:hint="eastAsia" w:ascii="微软雅黑" w:hAnsi="微软雅黑" w:cs="微软雅黑"/>
          <w:szCs w:val="21"/>
        </w:rPr>
        <w:t>评标方法： 综合评分法（总分100分）</w:t>
      </w:r>
    </w:p>
    <w:p>
      <w:pPr>
        <w:spacing w:line="400" w:lineRule="exact"/>
        <w:ind w:firstLine="480"/>
        <w:rPr>
          <w:rFonts w:ascii="微软雅黑" w:hAnsi="微软雅黑" w:cs="微软雅黑"/>
          <w:szCs w:val="21"/>
        </w:rPr>
      </w:pPr>
      <w:r>
        <w:rPr>
          <w:rFonts w:hint="eastAsia" w:ascii="微软雅黑" w:hAnsi="微软雅黑" w:cs="微软雅黑"/>
          <w:szCs w:val="21"/>
        </w:rPr>
        <w:t>评标方法说明：</w:t>
      </w:r>
    </w:p>
    <w:bookmarkEnd w:id="0"/>
    <w:bookmarkEnd w:id="1"/>
    <w:p>
      <w:pPr>
        <w:adjustRightInd w:val="0"/>
        <w:spacing w:line="400" w:lineRule="exact"/>
        <w:ind w:left="315" w:hanging="315" w:hangingChars="150"/>
        <w:rPr>
          <w:rFonts w:ascii="微软雅黑" w:hAnsi="微软雅黑" w:cs="微软雅黑"/>
          <w:szCs w:val="21"/>
        </w:rPr>
      </w:pPr>
      <w:r>
        <w:rPr>
          <w:rFonts w:hint="eastAsia" w:ascii="微软雅黑" w:hAnsi="微软雅黑" w:cs="微软雅黑"/>
          <w:szCs w:val="21"/>
        </w:rPr>
        <w:t>1、</w:t>
      </w:r>
      <w:r>
        <w:rPr>
          <w:rFonts w:hint="eastAsia" w:ascii="微软雅黑" w:hAnsi="微软雅黑" w:cs="微软雅黑"/>
          <w:bCs/>
          <w:szCs w:val="21"/>
        </w:rPr>
        <w:t>评标委员会将根据投标最终得分由高到低按顺序确定2名中标候选人，推荐排名第一的投标人为本项目的中标人</w:t>
      </w:r>
      <w:r>
        <w:rPr>
          <w:rFonts w:hint="eastAsia" w:ascii="微软雅黑" w:hAnsi="微软雅黑" w:cs="微软雅黑"/>
          <w:szCs w:val="21"/>
        </w:rPr>
        <w:t>。</w:t>
      </w:r>
    </w:p>
    <w:p>
      <w:pPr>
        <w:adjustRightInd w:val="0"/>
        <w:spacing w:line="400" w:lineRule="exact"/>
        <w:rPr>
          <w:rFonts w:ascii="微软雅黑" w:hAnsi="微软雅黑" w:cs="微软雅黑"/>
          <w:szCs w:val="21"/>
        </w:rPr>
      </w:pPr>
      <w:r>
        <w:rPr>
          <w:rFonts w:hint="eastAsia" w:ascii="微软雅黑" w:hAnsi="微软雅黑" w:cs="微软雅黑"/>
          <w:szCs w:val="21"/>
        </w:rPr>
        <w:t>2、以满足招标文件要求且投标价格最低的投标报价为评标基准价，其报价得分为满分。</w:t>
      </w:r>
    </w:p>
    <w:p>
      <w:pPr>
        <w:adjustRightInd w:val="0"/>
        <w:spacing w:line="400" w:lineRule="exact"/>
        <w:ind w:firstLine="210" w:firstLineChars="100"/>
        <w:rPr>
          <w:rFonts w:ascii="微软雅黑" w:hAnsi="微软雅黑" w:cs="微软雅黑"/>
          <w:szCs w:val="21"/>
        </w:rPr>
      </w:pPr>
      <w:r>
        <w:rPr>
          <w:rFonts w:hint="eastAsia" w:ascii="微软雅黑" w:hAnsi="微软雅黑" w:cs="微软雅黑"/>
          <w:szCs w:val="21"/>
        </w:rPr>
        <w:t>其他投标人的报价分统一按照下列公式计算：</w:t>
      </w:r>
    </w:p>
    <w:p>
      <w:pPr>
        <w:spacing w:line="400" w:lineRule="exact"/>
        <w:ind w:firstLine="210" w:firstLineChars="100"/>
        <w:rPr>
          <w:rFonts w:ascii="微软雅黑" w:hAnsi="微软雅黑" w:cs="微软雅黑"/>
          <w:szCs w:val="21"/>
        </w:rPr>
      </w:pPr>
      <w:r>
        <w:rPr>
          <w:rFonts w:hint="eastAsia" w:ascii="微软雅黑" w:hAnsi="微软雅黑" w:cs="微软雅黑"/>
          <w:szCs w:val="21"/>
        </w:rPr>
        <w:t>价格分＝（评标基准价／投标报价）×20，计算结果保留2位小数（第三位小数四舍五入）。</w:t>
      </w:r>
    </w:p>
    <w:p>
      <w:pPr>
        <w:spacing w:line="400" w:lineRule="exact"/>
        <w:ind w:left="210" w:hanging="210" w:hangingChars="100"/>
        <w:rPr>
          <w:rFonts w:ascii="微软雅黑" w:hAnsi="微软雅黑" w:cs="微软雅黑"/>
          <w:szCs w:val="21"/>
        </w:rPr>
      </w:pPr>
      <w:r>
        <w:rPr>
          <w:rFonts w:hint="eastAsia" w:ascii="微软雅黑" w:hAnsi="微软雅黑" w:cs="微软雅黑"/>
          <w:szCs w:val="21"/>
        </w:rPr>
        <w:t>3、经统计，得出各投标人的最终评审分,按最终评审分由高到低顺序排列。得分相同的，按投标报价由低到高顺序排列。得分且投标报价相同的，按技术指标优劣顺序排列，并形成评标意见。</w:t>
      </w:r>
    </w:p>
    <w:tbl>
      <w:tblPr>
        <w:tblStyle w:val="10"/>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95"/>
        <w:gridCol w:w="10"/>
        <w:gridCol w:w="1801"/>
        <w:gridCol w:w="800"/>
        <w:gridCol w:w="812"/>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tcPr>
          <w:p>
            <w:pPr>
              <w:spacing w:line="400" w:lineRule="exact"/>
              <w:ind w:firstLine="420"/>
              <w:rPr>
                <w:rFonts w:ascii="微软雅黑" w:hAnsi="微软雅黑" w:cs="Times New Roman"/>
                <w:szCs w:val="21"/>
              </w:rPr>
            </w:pPr>
            <w:r>
              <w:rPr>
                <w:rFonts w:hint="eastAsia" w:ascii="微软雅黑" w:hAnsi="微软雅黑"/>
                <w:szCs w:val="21"/>
              </w:rPr>
              <w:t>序号</w:t>
            </w:r>
          </w:p>
        </w:tc>
        <w:tc>
          <w:tcPr>
            <w:tcW w:w="4118" w:type="dxa"/>
            <w:gridSpan w:val="5"/>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评分项</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1</w:t>
            </w:r>
          </w:p>
        </w:tc>
        <w:tc>
          <w:tcPr>
            <w:tcW w:w="4118" w:type="dxa"/>
            <w:gridSpan w:val="5"/>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价格</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2</w:t>
            </w:r>
          </w:p>
        </w:tc>
        <w:tc>
          <w:tcPr>
            <w:tcW w:w="4118" w:type="dxa"/>
            <w:gridSpan w:val="5"/>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技术部分</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39" w:type="dxa"/>
            <w:vMerge w:val="restart"/>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p>
        </w:tc>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szCs w:val="21"/>
              </w:rPr>
            </w:pPr>
            <w:r>
              <w:rPr>
                <w:rFonts w:hint="eastAsia" w:ascii="微软雅黑" w:hAnsi="微软雅黑"/>
                <w:szCs w:val="21"/>
              </w:rPr>
              <w:t>序号</w:t>
            </w:r>
          </w:p>
        </w:tc>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szCs w:val="21"/>
              </w:rPr>
            </w:pPr>
            <w:r>
              <w:rPr>
                <w:rFonts w:hint="eastAsia" w:ascii="微软雅黑" w:hAnsi="微软雅黑"/>
                <w:szCs w:val="21"/>
              </w:rPr>
              <w:t>评分因素</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szCs w:val="21"/>
              </w:rPr>
            </w:pPr>
            <w:r>
              <w:rPr>
                <w:rFonts w:hint="eastAsia" w:ascii="微软雅黑" w:hAnsi="微软雅黑"/>
                <w:szCs w:val="21"/>
              </w:rPr>
              <w:t>权重</w:t>
            </w: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szCs w:val="21"/>
              </w:rPr>
            </w:pPr>
            <w:r>
              <w:rPr>
                <w:rFonts w:hint="eastAsia" w:ascii="微软雅黑" w:hAnsi="微软雅黑"/>
                <w:szCs w:val="21"/>
              </w:rPr>
              <w:t>评分方式</w:t>
            </w:r>
          </w:p>
        </w:tc>
        <w:tc>
          <w:tcPr>
            <w:tcW w:w="40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rPr>
                <w:rFonts w:ascii="微软雅黑" w:hAnsi="微软雅黑"/>
                <w:szCs w:val="21"/>
              </w:rPr>
            </w:pPr>
            <w:r>
              <w:rPr>
                <w:rFonts w:hint="eastAsia" w:ascii="微软雅黑" w:hAnsi="微软雅黑"/>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szCs w:val="21"/>
              </w:rPr>
            </w:pPr>
          </w:p>
        </w:tc>
        <w:tc>
          <w:tcPr>
            <w:tcW w:w="695"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1</w:t>
            </w:r>
          </w:p>
        </w:tc>
        <w:tc>
          <w:tcPr>
            <w:tcW w:w="1811"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微软雅黑" w:hAnsi="微软雅黑"/>
                <w:szCs w:val="21"/>
              </w:rPr>
            </w:pPr>
            <w:r>
              <w:rPr>
                <w:rFonts w:hint="eastAsia" w:ascii="微软雅黑" w:hAnsi="微软雅黑"/>
                <w:szCs w:val="21"/>
              </w:rPr>
              <w:t>服务技术方案</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15</w:t>
            </w:r>
          </w:p>
        </w:tc>
        <w:tc>
          <w:tcPr>
            <w:tcW w:w="812" w:type="dxa"/>
            <w:tcBorders>
              <w:top w:val="single" w:color="auto" w:sz="4" w:space="0"/>
              <w:left w:val="single" w:color="auto" w:sz="4" w:space="0"/>
              <w:bottom w:val="single" w:color="auto" w:sz="4" w:space="0"/>
              <w:right w:val="single" w:color="auto" w:sz="4" w:space="0"/>
            </w:tcBorders>
          </w:tcPr>
          <w:p>
            <w:pPr>
              <w:widowControl/>
              <w:spacing w:after="0" w:line="240" w:lineRule="auto"/>
              <w:rPr>
                <w:rFonts w:ascii="微软雅黑" w:hAnsi="微软雅黑"/>
                <w:color w:val="000000"/>
                <w:kern w:val="0"/>
              </w:rPr>
            </w:pPr>
            <w:r>
              <w:rPr>
                <w:rFonts w:hint="eastAsia" w:ascii="微软雅黑" w:hAnsi="微软雅黑"/>
                <w:color w:val="000000"/>
                <w:kern w:val="0"/>
              </w:rPr>
              <w:t>专家打分</w:t>
            </w:r>
          </w:p>
        </w:tc>
        <w:tc>
          <w:tcPr>
            <w:tcW w:w="40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微软雅黑" w:hAnsi="微软雅黑"/>
                <w:color w:val="000000"/>
                <w:kern w:val="0"/>
              </w:rPr>
            </w:pPr>
            <w:r>
              <w:rPr>
                <w:rFonts w:hint="eastAsia" w:ascii="微软雅黑" w:hAnsi="微软雅黑"/>
                <w:color w:val="000000"/>
                <w:kern w:val="0"/>
              </w:rPr>
              <w:t>（一)评分内容：</w:t>
            </w:r>
            <w:r>
              <w:rPr>
                <w:rFonts w:hint="eastAsia" w:ascii="微软雅黑" w:hAnsi="微软雅黑"/>
                <w:color w:val="000000"/>
                <w:kern w:val="0"/>
              </w:rPr>
              <w:br w:type="textWrapping"/>
            </w:r>
            <w:r>
              <w:rPr>
                <w:rFonts w:hint="eastAsia" w:ascii="微软雅黑" w:hAnsi="微软雅黑"/>
                <w:color w:val="000000"/>
                <w:kern w:val="0"/>
              </w:rPr>
              <w:t>投标人针对本项目情况，提供项目实施整体方案，包含以下三项：</w:t>
            </w:r>
            <w:r>
              <w:rPr>
                <w:rFonts w:hint="eastAsia" w:ascii="微软雅黑" w:hAnsi="微软雅黑"/>
                <w:color w:val="000000"/>
                <w:kern w:val="0"/>
              </w:rPr>
              <w:br w:type="textWrapping"/>
            </w:r>
            <w:r>
              <w:rPr>
                <w:rFonts w:hint="eastAsia" w:ascii="微软雅黑" w:hAnsi="微软雅黑"/>
                <w:color w:val="000000"/>
                <w:kern w:val="0"/>
              </w:rPr>
              <w:t>1.对本项目建设背景、建设目标的理解程度；</w:t>
            </w:r>
            <w:r>
              <w:rPr>
                <w:rFonts w:hint="eastAsia" w:ascii="微软雅黑" w:hAnsi="微软雅黑"/>
                <w:color w:val="000000"/>
                <w:kern w:val="0"/>
              </w:rPr>
              <w:br w:type="textWrapping"/>
            </w:r>
            <w:r>
              <w:rPr>
                <w:rFonts w:hint="eastAsia" w:ascii="微软雅黑" w:hAnsi="微软雅黑"/>
                <w:color w:val="000000"/>
                <w:kern w:val="0"/>
              </w:rPr>
              <w:t>2.对本项目技术要求的响应情况；</w:t>
            </w:r>
            <w:r>
              <w:rPr>
                <w:rFonts w:hint="eastAsia" w:ascii="微软雅黑" w:hAnsi="微软雅黑"/>
                <w:color w:val="000000"/>
                <w:kern w:val="0"/>
              </w:rPr>
              <w:br w:type="textWrapping"/>
            </w:r>
            <w:r>
              <w:rPr>
                <w:rFonts w:hint="eastAsia" w:ascii="微软雅黑" w:hAnsi="微软雅黑"/>
                <w:color w:val="000000"/>
                <w:kern w:val="0"/>
              </w:rPr>
              <w:t>3.针对本项目的售后服务方案。</w:t>
            </w:r>
            <w:r>
              <w:rPr>
                <w:rFonts w:hint="eastAsia" w:ascii="微软雅黑" w:hAnsi="微软雅黑"/>
                <w:color w:val="000000"/>
                <w:kern w:val="0"/>
              </w:rPr>
              <w:br w:type="textWrapping"/>
            </w:r>
            <w:r>
              <w:rPr>
                <w:rFonts w:hint="eastAsia" w:ascii="微软雅黑" w:hAnsi="微软雅黑"/>
                <w:color w:val="000000"/>
                <w:kern w:val="0"/>
              </w:rPr>
              <w:t>（二）评分依据：</w:t>
            </w:r>
            <w:r>
              <w:rPr>
                <w:rFonts w:hint="eastAsia" w:ascii="微软雅黑" w:hAnsi="微软雅黑"/>
                <w:color w:val="000000"/>
                <w:kern w:val="0"/>
              </w:rPr>
              <w:br w:type="textWrapping"/>
            </w:r>
            <w:r>
              <w:rPr>
                <w:rFonts w:hint="eastAsia" w:ascii="微软雅黑" w:hAnsi="微软雅黑"/>
                <w:color w:val="000000"/>
                <w:kern w:val="0"/>
              </w:rPr>
              <w:t>1.每提供以上一项得</w:t>
            </w:r>
            <w:r>
              <w:rPr>
                <w:rFonts w:hint="eastAsia" w:ascii="微软雅黑" w:hAnsi="微软雅黑"/>
                <w:color w:val="000000"/>
                <w:kern w:val="0"/>
                <w:lang w:val="en-US" w:eastAsia="zh-CN"/>
              </w:rPr>
              <w:t>3</w:t>
            </w:r>
            <w:r>
              <w:rPr>
                <w:rFonts w:hint="eastAsia" w:ascii="微软雅黑" w:hAnsi="微软雅黑"/>
                <w:color w:val="000000"/>
                <w:kern w:val="0"/>
              </w:rPr>
              <w:t>分，全部提供得</w:t>
            </w:r>
            <w:r>
              <w:rPr>
                <w:rFonts w:hint="eastAsia" w:ascii="微软雅黑" w:hAnsi="微软雅黑"/>
                <w:color w:val="000000"/>
                <w:kern w:val="0"/>
                <w:lang w:val="en-US" w:eastAsia="zh-CN"/>
              </w:rPr>
              <w:t>9</w:t>
            </w:r>
            <w:r>
              <w:rPr>
                <w:rFonts w:hint="eastAsia" w:ascii="微软雅黑" w:hAnsi="微软雅黑"/>
                <w:color w:val="000000"/>
                <w:kern w:val="0"/>
              </w:rPr>
              <w:t>分。</w:t>
            </w:r>
          </w:p>
          <w:p>
            <w:pPr>
              <w:spacing w:line="400" w:lineRule="exact"/>
              <w:rPr>
                <w:rFonts w:ascii="微软雅黑" w:hAnsi="微软雅黑"/>
                <w:color w:val="000000"/>
                <w:kern w:val="0"/>
              </w:rPr>
            </w:pPr>
            <w:r>
              <w:rPr>
                <w:rFonts w:hint="eastAsia" w:ascii="微软雅黑" w:hAnsi="微软雅黑"/>
                <w:color w:val="000000"/>
                <w:kern w:val="0"/>
              </w:rPr>
              <w:t>2、在此基础上，专家根据各供应商的具体响应内容进一步评审：</w:t>
            </w:r>
          </w:p>
          <w:p>
            <w:pPr>
              <w:spacing w:line="400" w:lineRule="exact"/>
              <w:rPr>
                <w:rFonts w:ascii="微软雅黑" w:hAnsi="微软雅黑"/>
                <w:color w:val="000000"/>
                <w:kern w:val="0"/>
              </w:rPr>
            </w:pPr>
            <w:r>
              <w:rPr>
                <w:rFonts w:hint="eastAsia" w:ascii="微软雅黑" w:hAnsi="微软雅黑"/>
                <w:color w:val="000000"/>
                <w:kern w:val="0"/>
              </w:rPr>
              <w:t>（1）合理、有针对性、可操作性强，评审为优的加</w:t>
            </w:r>
            <w:r>
              <w:rPr>
                <w:rFonts w:hint="eastAsia" w:ascii="微软雅黑" w:hAnsi="微软雅黑"/>
                <w:color w:val="000000"/>
                <w:kern w:val="0"/>
                <w:lang w:val="en-US" w:eastAsia="zh-CN"/>
              </w:rPr>
              <w:t>6</w:t>
            </w:r>
            <w:r>
              <w:rPr>
                <w:rFonts w:hint="eastAsia" w:ascii="微软雅黑" w:hAnsi="微软雅黑"/>
                <w:color w:val="000000"/>
                <w:kern w:val="0"/>
              </w:rPr>
              <w:t>分；</w:t>
            </w:r>
          </w:p>
          <w:p>
            <w:pPr>
              <w:spacing w:line="400" w:lineRule="exact"/>
              <w:rPr>
                <w:rFonts w:ascii="微软雅黑" w:hAnsi="微软雅黑"/>
                <w:color w:val="000000"/>
                <w:kern w:val="0"/>
              </w:rPr>
            </w:pPr>
            <w:r>
              <w:rPr>
                <w:rFonts w:hint="eastAsia" w:ascii="微软雅黑" w:hAnsi="微软雅黑"/>
                <w:color w:val="000000"/>
                <w:kern w:val="0"/>
              </w:rPr>
              <w:t>（2）较合理、有一定针对性、一定可操作性，评审为良的加4分；</w:t>
            </w:r>
          </w:p>
          <w:p>
            <w:pPr>
              <w:spacing w:line="400" w:lineRule="exact"/>
              <w:rPr>
                <w:rFonts w:ascii="微软雅黑" w:hAnsi="微软雅黑"/>
                <w:color w:val="000000"/>
                <w:kern w:val="0"/>
              </w:rPr>
            </w:pPr>
            <w:r>
              <w:rPr>
                <w:rFonts w:hint="eastAsia" w:ascii="微软雅黑" w:hAnsi="微软雅黑"/>
                <w:color w:val="000000"/>
                <w:kern w:val="0"/>
              </w:rPr>
              <w:t>（3）不尽合理、针对性一般、可操作性一般，评审为中的加2分；</w:t>
            </w:r>
          </w:p>
          <w:p>
            <w:pPr>
              <w:spacing w:line="400" w:lineRule="exact"/>
              <w:rPr>
                <w:rFonts w:ascii="微软雅黑" w:hAnsi="微软雅黑"/>
              </w:rPr>
            </w:pPr>
            <w:r>
              <w:rPr>
                <w:rFonts w:hint="eastAsia" w:ascii="微软雅黑" w:hAnsi="微软雅黑"/>
                <w:color w:val="000000"/>
                <w:kern w:val="0"/>
              </w:rPr>
              <w:t>（4）不合理、无针对性、无可操作性，评审为差的不加分。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szCs w:val="21"/>
              </w:rPr>
            </w:pPr>
          </w:p>
        </w:tc>
        <w:tc>
          <w:tcPr>
            <w:tcW w:w="695"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color w:val="0000FF"/>
                <w:szCs w:val="21"/>
              </w:rPr>
              <w:t>2</w:t>
            </w:r>
          </w:p>
        </w:tc>
        <w:tc>
          <w:tcPr>
            <w:tcW w:w="181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质量保障措施</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15</w:t>
            </w:r>
          </w:p>
        </w:tc>
        <w:tc>
          <w:tcPr>
            <w:tcW w:w="812"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专家打分</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color w:val="000000"/>
                <w:kern w:val="0"/>
              </w:rPr>
            </w:pPr>
            <w:r>
              <w:rPr>
                <w:rFonts w:hint="eastAsia" w:ascii="微软雅黑" w:hAnsi="微软雅黑"/>
                <w:color w:val="000000"/>
                <w:kern w:val="0"/>
              </w:rPr>
              <w:t>（一）评分内容：</w:t>
            </w:r>
          </w:p>
          <w:p>
            <w:pPr>
              <w:spacing w:line="400" w:lineRule="exact"/>
              <w:rPr>
                <w:rFonts w:ascii="微软雅黑" w:hAnsi="微软雅黑"/>
                <w:color w:val="000000"/>
                <w:kern w:val="0"/>
              </w:rPr>
            </w:pPr>
            <w:r>
              <w:rPr>
                <w:rFonts w:hint="eastAsia" w:ascii="微软雅黑" w:hAnsi="微软雅黑"/>
                <w:color w:val="000000"/>
                <w:kern w:val="0"/>
              </w:rPr>
              <w:t>投标人提供质量保障措施及方案，包括但不限于如下内容：</w:t>
            </w:r>
          </w:p>
          <w:p>
            <w:pPr>
              <w:spacing w:line="400" w:lineRule="exact"/>
              <w:rPr>
                <w:rFonts w:ascii="微软雅黑" w:hAnsi="微软雅黑"/>
                <w:color w:val="000000"/>
                <w:kern w:val="0"/>
              </w:rPr>
            </w:pPr>
            <w:r>
              <w:rPr>
                <w:rFonts w:ascii="微软雅黑" w:hAnsi="微软雅黑"/>
                <w:color w:val="000000"/>
                <w:kern w:val="0"/>
              </w:rPr>
              <w:t>1.项目交付进度管控；</w:t>
            </w:r>
          </w:p>
          <w:p>
            <w:pPr>
              <w:spacing w:line="400" w:lineRule="exact"/>
              <w:rPr>
                <w:rFonts w:ascii="微软雅黑" w:hAnsi="微软雅黑"/>
                <w:color w:val="000000"/>
                <w:kern w:val="0"/>
              </w:rPr>
            </w:pPr>
            <w:r>
              <w:rPr>
                <w:rFonts w:ascii="微软雅黑" w:hAnsi="微软雅黑"/>
                <w:color w:val="000000"/>
                <w:kern w:val="0"/>
              </w:rPr>
              <w:t>2.项目交付质量管控；</w:t>
            </w:r>
          </w:p>
          <w:p>
            <w:pPr>
              <w:spacing w:line="400" w:lineRule="exact"/>
              <w:rPr>
                <w:rFonts w:ascii="微软雅黑" w:hAnsi="微软雅黑"/>
                <w:color w:val="000000"/>
                <w:kern w:val="0"/>
              </w:rPr>
            </w:pPr>
            <w:r>
              <w:rPr>
                <w:rFonts w:ascii="微软雅黑" w:hAnsi="微软雅黑"/>
                <w:color w:val="000000"/>
                <w:kern w:val="0"/>
              </w:rPr>
              <w:t>3.项目过程风险管控；</w:t>
            </w:r>
          </w:p>
          <w:p>
            <w:pPr>
              <w:spacing w:line="400" w:lineRule="exact"/>
              <w:rPr>
                <w:rFonts w:ascii="微软雅黑" w:hAnsi="微软雅黑"/>
                <w:color w:val="000000"/>
                <w:kern w:val="0"/>
              </w:rPr>
            </w:pPr>
            <w:r>
              <w:rPr>
                <w:rFonts w:ascii="微软雅黑" w:hAnsi="微软雅黑"/>
                <w:color w:val="000000"/>
                <w:kern w:val="0"/>
              </w:rPr>
              <w:t>4.项目质量保障体系。</w:t>
            </w:r>
          </w:p>
          <w:p>
            <w:pPr>
              <w:spacing w:line="400" w:lineRule="exact"/>
              <w:rPr>
                <w:rFonts w:ascii="微软雅黑" w:hAnsi="微软雅黑"/>
                <w:color w:val="000000"/>
                <w:kern w:val="0"/>
              </w:rPr>
            </w:pPr>
            <w:r>
              <w:rPr>
                <w:rFonts w:hint="eastAsia" w:ascii="微软雅黑" w:hAnsi="微软雅黑"/>
                <w:color w:val="000000"/>
                <w:kern w:val="0"/>
              </w:rPr>
              <w:t>（二）评分依据：</w:t>
            </w:r>
          </w:p>
          <w:p>
            <w:pPr>
              <w:spacing w:line="400" w:lineRule="exact"/>
              <w:rPr>
                <w:rFonts w:ascii="微软雅黑" w:hAnsi="微软雅黑"/>
                <w:color w:val="000000"/>
                <w:kern w:val="0"/>
              </w:rPr>
            </w:pPr>
            <w:r>
              <w:rPr>
                <w:rFonts w:ascii="微软雅黑" w:hAnsi="微软雅黑"/>
                <w:color w:val="000000"/>
                <w:kern w:val="0"/>
              </w:rPr>
              <w:t>1.</w:t>
            </w:r>
            <w:r>
              <w:rPr>
                <w:rFonts w:hint="eastAsia" w:ascii="微软雅黑" w:hAnsi="微软雅黑"/>
                <w:color w:val="000000"/>
                <w:kern w:val="0"/>
              </w:rPr>
              <w:t>每提供以上一项得</w:t>
            </w:r>
            <w:r>
              <w:rPr>
                <w:rFonts w:hint="eastAsia" w:ascii="微软雅黑" w:hAnsi="微软雅黑"/>
                <w:color w:val="000000"/>
                <w:kern w:val="0"/>
                <w:lang w:val="en-US" w:eastAsia="zh-CN"/>
              </w:rPr>
              <w:t>2</w:t>
            </w:r>
            <w:r>
              <w:rPr>
                <w:rFonts w:hint="eastAsia" w:ascii="微软雅黑" w:hAnsi="微软雅黑"/>
                <w:color w:val="000000"/>
                <w:kern w:val="0"/>
              </w:rPr>
              <w:t>分，全部提供得</w:t>
            </w:r>
            <w:r>
              <w:rPr>
                <w:rFonts w:hint="eastAsia" w:ascii="微软雅黑" w:hAnsi="微软雅黑"/>
                <w:color w:val="000000"/>
                <w:kern w:val="0"/>
                <w:lang w:val="en-US" w:eastAsia="zh-CN"/>
              </w:rPr>
              <w:t>8</w:t>
            </w:r>
            <w:r>
              <w:rPr>
                <w:rFonts w:hint="eastAsia" w:ascii="微软雅黑" w:hAnsi="微软雅黑"/>
                <w:color w:val="000000"/>
                <w:kern w:val="0"/>
              </w:rPr>
              <w:t>分。</w:t>
            </w:r>
            <w:r>
              <w:rPr>
                <w:rFonts w:ascii="微软雅黑" w:hAnsi="微软雅黑"/>
                <w:color w:val="000000"/>
                <w:kern w:val="0"/>
              </w:rPr>
              <w:t>。</w:t>
            </w:r>
          </w:p>
          <w:p>
            <w:pPr>
              <w:spacing w:line="400" w:lineRule="exact"/>
              <w:rPr>
                <w:rFonts w:ascii="微软雅黑" w:hAnsi="微软雅黑"/>
                <w:color w:val="000000"/>
                <w:kern w:val="0"/>
              </w:rPr>
            </w:pPr>
            <w:r>
              <w:rPr>
                <w:rFonts w:ascii="微软雅黑" w:hAnsi="微软雅黑"/>
                <w:color w:val="000000"/>
                <w:kern w:val="0"/>
              </w:rPr>
              <w:t>2.在此基础上，专家根据各供应商的具体响应内容按照评审因素指标进一步评审：</w:t>
            </w:r>
          </w:p>
          <w:p>
            <w:pPr>
              <w:spacing w:line="400" w:lineRule="exact"/>
              <w:rPr>
                <w:rFonts w:ascii="微软雅黑" w:hAnsi="微软雅黑"/>
                <w:color w:val="000000"/>
                <w:kern w:val="0"/>
              </w:rPr>
            </w:pPr>
            <w:r>
              <w:rPr>
                <w:rFonts w:hint="eastAsia" w:ascii="微软雅黑" w:hAnsi="微软雅黑"/>
                <w:color w:val="000000"/>
                <w:kern w:val="0"/>
              </w:rPr>
              <w:t>（</w:t>
            </w:r>
            <w:r>
              <w:rPr>
                <w:rFonts w:ascii="微软雅黑" w:hAnsi="微软雅黑"/>
                <w:color w:val="000000"/>
                <w:kern w:val="0"/>
              </w:rPr>
              <w:t>1）合理、有针对性、可操作性强，评审为优的加</w:t>
            </w:r>
            <w:r>
              <w:rPr>
                <w:rFonts w:hint="eastAsia" w:ascii="微软雅黑" w:hAnsi="微软雅黑"/>
                <w:color w:val="000000"/>
                <w:kern w:val="0"/>
                <w:lang w:val="en-US" w:eastAsia="zh-CN"/>
              </w:rPr>
              <w:t>7</w:t>
            </w:r>
            <w:r>
              <w:rPr>
                <w:rFonts w:ascii="微软雅黑" w:hAnsi="微软雅黑"/>
                <w:color w:val="000000"/>
                <w:kern w:val="0"/>
              </w:rPr>
              <w:t>分；</w:t>
            </w:r>
          </w:p>
          <w:p>
            <w:pPr>
              <w:spacing w:line="400" w:lineRule="exact"/>
              <w:rPr>
                <w:rFonts w:ascii="微软雅黑" w:hAnsi="微软雅黑"/>
                <w:color w:val="000000"/>
                <w:kern w:val="0"/>
              </w:rPr>
            </w:pPr>
            <w:r>
              <w:rPr>
                <w:rFonts w:hint="eastAsia" w:ascii="微软雅黑" w:hAnsi="微软雅黑"/>
                <w:color w:val="000000"/>
                <w:kern w:val="0"/>
              </w:rPr>
              <w:t>（</w:t>
            </w:r>
            <w:r>
              <w:rPr>
                <w:rFonts w:ascii="微软雅黑" w:hAnsi="微软雅黑"/>
                <w:color w:val="000000"/>
                <w:kern w:val="0"/>
              </w:rPr>
              <w:t>2）较合理、有一定针对性、一定可操作性，评审为良的加</w:t>
            </w:r>
            <w:r>
              <w:rPr>
                <w:rFonts w:hint="eastAsia" w:ascii="微软雅黑" w:hAnsi="微软雅黑"/>
                <w:color w:val="000000"/>
                <w:kern w:val="0"/>
                <w:lang w:val="en-US" w:eastAsia="zh-CN"/>
              </w:rPr>
              <w:t>4</w:t>
            </w:r>
            <w:r>
              <w:rPr>
                <w:rFonts w:ascii="微软雅黑" w:hAnsi="微软雅黑"/>
                <w:color w:val="000000"/>
                <w:kern w:val="0"/>
              </w:rPr>
              <w:t>分；</w:t>
            </w:r>
          </w:p>
          <w:p>
            <w:pPr>
              <w:spacing w:line="400" w:lineRule="exact"/>
              <w:rPr>
                <w:rFonts w:ascii="微软雅黑" w:hAnsi="微软雅黑"/>
                <w:color w:val="000000"/>
                <w:kern w:val="0"/>
              </w:rPr>
            </w:pPr>
            <w:r>
              <w:rPr>
                <w:rFonts w:hint="eastAsia" w:ascii="微软雅黑" w:hAnsi="微软雅黑"/>
                <w:color w:val="000000"/>
                <w:kern w:val="0"/>
              </w:rPr>
              <w:t>（</w:t>
            </w:r>
            <w:r>
              <w:rPr>
                <w:rFonts w:ascii="微软雅黑" w:hAnsi="微软雅黑"/>
                <w:color w:val="000000"/>
                <w:kern w:val="0"/>
              </w:rPr>
              <w:t>3）不尽合理、针对性一般、可操作性一般，评审为中的加</w:t>
            </w:r>
            <w:r>
              <w:rPr>
                <w:rFonts w:hint="eastAsia" w:ascii="微软雅黑" w:hAnsi="微软雅黑"/>
                <w:color w:val="000000"/>
                <w:kern w:val="0"/>
                <w:lang w:val="en-US" w:eastAsia="zh-CN"/>
              </w:rPr>
              <w:t>2</w:t>
            </w:r>
            <w:r>
              <w:rPr>
                <w:rFonts w:ascii="微软雅黑" w:hAnsi="微软雅黑"/>
                <w:color w:val="000000"/>
                <w:kern w:val="0"/>
              </w:rPr>
              <w:t>分；</w:t>
            </w:r>
          </w:p>
          <w:p>
            <w:pPr>
              <w:spacing w:line="400" w:lineRule="exact"/>
              <w:rPr>
                <w:rFonts w:ascii="微软雅黑" w:hAnsi="微软雅黑"/>
                <w:szCs w:val="21"/>
              </w:rPr>
            </w:pPr>
            <w:r>
              <w:rPr>
                <w:rFonts w:hint="eastAsia" w:ascii="微软雅黑" w:hAnsi="微软雅黑"/>
                <w:color w:val="000000"/>
                <w:kern w:val="0"/>
              </w:rPr>
              <w:t>（</w:t>
            </w:r>
            <w:r>
              <w:rPr>
                <w:rFonts w:ascii="微软雅黑" w:hAnsi="微软雅黑"/>
                <w:color w:val="000000"/>
                <w:kern w:val="0"/>
              </w:rPr>
              <w:t>4）不合理、无针对性、无可操作性，评审为差的不加分。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szCs w:val="21"/>
              </w:rPr>
            </w:pPr>
          </w:p>
        </w:tc>
        <w:tc>
          <w:tcPr>
            <w:tcW w:w="695"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color w:val="0000FF"/>
                <w:szCs w:val="21"/>
              </w:rPr>
            </w:pPr>
            <w:r>
              <w:rPr>
                <w:rFonts w:hint="eastAsia" w:ascii="微软雅黑" w:hAnsi="微软雅黑"/>
                <w:color w:val="0000FF"/>
                <w:szCs w:val="21"/>
              </w:rPr>
              <w:t>3</w:t>
            </w:r>
          </w:p>
        </w:tc>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szCs w:val="21"/>
              </w:rPr>
            </w:pPr>
            <w:r>
              <w:rPr>
                <w:rFonts w:hint="eastAsia" w:ascii="微软雅黑" w:hAnsi="微软雅黑" w:cs="宋体"/>
                <w:color w:val="000000"/>
                <w:kern w:val="0"/>
                <w:szCs w:val="21"/>
              </w:rPr>
              <w:t>拟安排的项目负责人情况（仅1人）</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szCs w:val="21"/>
              </w:rPr>
            </w:pPr>
            <w:r>
              <w:rPr>
                <w:rFonts w:hint="eastAsia" w:ascii="微软雅黑" w:hAnsi="微软雅黑" w:cs="宋体"/>
                <w:color w:val="000000"/>
                <w:kern w:val="0"/>
                <w:szCs w:val="21"/>
              </w:rPr>
              <w:t>10</w:t>
            </w:r>
          </w:p>
        </w:tc>
        <w:tc>
          <w:tcPr>
            <w:tcW w:w="812"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专家打分</w:t>
            </w:r>
          </w:p>
        </w:tc>
        <w:tc>
          <w:tcPr>
            <w:tcW w:w="40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olor w:val="000000"/>
                <w:kern w:val="0"/>
              </w:rPr>
            </w:pPr>
            <w:r>
              <w:rPr>
                <w:rFonts w:hint="eastAsia" w:ascii="微软雅黑" w:hAnsi="微软雅黑"/>
                <w:b/>
                <w:bCs/>
                <w:color w:val="000000"/>
                <w:kern w:val="0"/>
              </w:rPr>
              <w:t>（一）评分内容：</w:t>
            </w:r>
            <w:r>
              <w:rPr>
                <w:rFonts w:hint="eastAsia" w:ascii="微软雅黑" w:hAnsi="微软雅黑"/>
                <w:color w:val="000000"/>
                <w:kern w:val="0"/>
              </w:rPr>
              <w:br w:type="textWrapping"/>
            </w:r>
            <w:r>
              <w:rPr>
                <w:rFonts w:hint="eastAsia" w:ascii="微软雅黑" w:hAnsi="微软雅黑"/>
                <w:color w:val="000000"/>
                <w:kern w:val="0"/>
              </w:rPr>
              <w:t>拟安排的项目负责人须为投标人自有员工（以社保为准），在此基础上：</w:t>
            </w:r>
            <w:r>
              <w:rPr>
                <w:rFonts w:hint="eastAsia" w:ascii="微软雅黑" w:hAnsi="微软雅黑"/>
                <w:color w:val="000000"/>
                <w:kern w:val="0"/>
              </w:rPr>
              <w:br w:type="textWrapping"/>
            </w:r>
            <w:r>
              <w:rPr>
                <w:rFonts w:ascii="微软雅黑" w:hAnsi="微软雅黑"/>
                <w:color w:val="000000"/>
                <w:kern w:val="0"/>
              </w:rPr>
              <w:t>1.具有本科（或以上）学历，得4分；</w:t>
            </w:r>
          </w:p>
          <w:p>
            <w:pPr>
              <w:spacing w:line="400" w:lineRule="exact"/>
              <w:rPr>
                <w:rFonts w:ascii="微软雅黑" w:hAnsi="微软雅黑"/>
                <w:szCs w:val="21"/>
              </w:rPr>
            </w:pPr>
            <w:r>
              <w:rPr>
                <w:rFonts w:ascii="微软雅黑" w:hAnsi="微软雅黑"/>
                <w:color w:val="000000"/>
                <w:kern w:val="0"/>
              </w:rPr>
              <w:t>2.具有信息系统项目管理师证书得6分，具有系统集成项目管理工程师证得4分，本项最高得6分；</w:t>
            </w:r>
            <w:r>
              <w:rPr>
                <w:rFonts w:hint="eastAsia" w:ascii="微软雅黑" w:hAnsi="微软雅黑"/>
                <w:color w:val="000000"/>
                <w:kern w:val="0"/>
              </w:rPr>
              <w:br w:type="textWrapping"/>
            </w:r>
            <w:r>
              <w:rPr>
                <w:rFonts w:hint="eastAsia" w:ascii="微软雅黑" w:hAnsi="微软雅黑"/>
                <w:color w:val="000000"/>
                <w:kern w:val="0"/>
              </w:rPr>
              <w:t>以上两项可累计得分，最高得10分。</w:t>
            </w:r>
            <w:r>
              <w:rPr>
                <w:rFonts w:hint="eastAsia" w:ascii="微软雅黑" w:hAnsi="微软雅黑"/>
                <w:color w:val="000000"/>
                <w:kern w:val="0"/>
              </w:rPr>
              <w:br w:type="textWrapping"/>
            </w:r>
            <w:r>
              <w:rPr>
                <w:rFonts w:hint="eastAsia" w:ascii="微软雅黑" w:hAnsi="微软雅黑"/>
                <w:b/>
                <w:bCs/>
                <w:color w:val="000000"/>
                <w:kern w:val="0"/>
              </w:rPr>
              <w:t>（二）评分依据：</w:t>
            </w:r>
            <w:r>
              <w:rPr>
                <w:rFonts w:hint="eastAsia" w:ascii="微软雅黑" w:hAnsi="微软雅黑"/>
                <w:color w:val="000000"/>
                <w:kern w:val="0"/>
              </w:rPr>
              <w:br w:type="textWrapping"/>
            </w:r>
            <w:r>
              <w:rPr>
                <w:rFonts w:hint="eastAsia" w:ascii="微软雅黑" w:hAnsi="微软雅黑"/>
                <w:color w:val="000000"/>
                <w:kern w:val="0"/>
              </w:rPr>
              <w:t>1.提供学位或毕业证书以及学信网查询记录。学信网无法查询的，可提供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www.cscse.edu.cn/）在线查询截图】也予以认可。</w:t>
            </w:r>
            <w:r>
              <w:rPr>
                <w:rFonts w:hint="eastAsia" w:ascii="微软雅黑" w:hAnsi="微软雅黑"/>
                <w:color w:val="000000"/>
                <w:kern w:val="0"/>
              </w:rPr>
              <w:br w:type="textWrapping"/>
            </w:r>
            <w:r>
              <w:rPr>
                <w:rFonts w:hint="eastAsia" w:ascii="微软雅黑" w:hAnsi="微软雅黑"/>
                <w:color w:val="000000"/>
                <w:kern w:val="0"/>
              </w:rPr>
              <w:t>2.提供相关证书的复印件。</w:t>
            </w:r>
            <w:r>
              <w:rPr>
                <w:rFonts w:hint="eastAsia" w:ascii="微软雅黑" w:hAnsi="微软雅黑"/>
                <w:color w:val="000000"/>
                <w:kern w:val="0"/>
              </w:rPr>
              <w:br w:type="textWrapping"/>
            </w:r>
            <w:r>
              <w:rPr>
                <w:rFonts w:hint="eastAsia" w:ascii="微软雅黑" w:hAnsi="微软雅黑"/>
                <w:color w:val="000000"/>
                <w:kern w:val="0"/>
              </w:rPr>
              <w:t>3.项目团队成员必须为投标人自有员工，要求提供通过投标人缴纳的近一个月（由于社保部门或税务部门原因最近一个月的社保证明无法提供的可往前顺延一个月）的社保证明作为证明依据，如投标人为新成立企业且成立时间不足一个月可提供加盖公章的情况说明或者证明材料亦视为符合。若为退休返聘人员，提供退休证明和返聘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szCs w:val="21"/>
              </w:rPr>
            </w:pPr>
          </w:p>
        </w:tc>
        <w:tc>
          <w:tcPr>
            <w:tcW w:w="695"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color w:val="0000FF"/>
                <w:szCs w:val="21"/>
              </w:rPr>
            </w:pPr>
            <w:r>
              <w:rPr>
                <w:rFonts w:hint="eastAsia" w:ascii="微软雅黑" w:hAnsi="微软雅黑"/>
                <w:color w:val="0000FF"/>
                <w:szCs w:val="21"/>
              </w:rPr>
              <w:t>4</w:t>
            </w:r>
          </w:p>
        </w:tc>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szCs w:val="21"/>
              </w:rPr>
            </w:pPr>
            <w:r>
              <w:rPr>
                <w:rFonts w:hint="eastAsia" w:ascii="微软雅黑" w:hAnsi="微软雅黑"/>
                <w:color w:val="000000"/>
                <w:kern w:val="0"/>
                <w:szCs w:val="21"/>
              </w:rPr>
              <w:t>拟安排的项目团队成员情况（项目负责人除外）</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szCs w:val="21"/>
              </w:rPr>
            </w:pPr>
            <w:r>
              <w:rPr>
                <w:rFonts w:hint="eastAsia" w:ascii="微软雅黑" w:hAnsi="微软雅黑" w:cs="宋体"/>
                <w:color w:val="000000"/>
                <w:kern w:val="0"/>
                <w:szCs w:val="21"/>
              </w:rPr>
              <w:t>10</w:t>
            </w: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szCs w:val="21"/>
              </w:rPr>
            </w:pPr>
            <w:r>
              <w:rPr>
                <w:rFonts w:hint="eastAsia" w:ascii="微软雅黑" w:hAnsi="微软雅黑"/>
                <w:szCs w:val="21"/>
              </w:rPr>
              <w:t>专家打分</w:t>
            </w:r>
          </w:p>
        </w:tc>
        <w:tc>
          <w:tcPr>
            <w:tcW w:w="402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szCs w:val="21"/>
              </w:rPr>
            </w:pPr>
            <w:r>
              <w:rPr>
                <w:rFonts w:hint="eastAsia" w:ascii="微软雅黑" w:hAnsi="微软雅黑"/>
                <w:b/>
                <w:bCs/>
                <w:color w:val="000000"/>
                <w:kern w:val="0"/>
              </w:rPr>
              <w:t>（一）评分内容：</w:t>
            </w:r>
            <w:r>
              <w:rPr>
                <w:rFonts w:hint="eastAsia" w:ascii="微软雅黑" w:hAnsi="微软雅黑"/>
                <w:color w:val="000000"/>
                <w:kern w:val="0"/>
              </w:rPr>
              <w:br w:type="textWrapping"/>
            </w:r>
            <w:r>
              <w:rPr>
                <w:rFonts w:hint="eastAsia" w:ascii="微软雅黑" w:hAnsi="微软雅黑"/>
                <w:color w:val="000000"/>
                <w:kern w:val="0"/>
              </w:rPr>
              <w:t>拟安排的团队人员须为投标人自有员工（以社保为准），在此基础上：</w:t>
            </w:r>
            <w:r>
              <w:rPr>
                <w:rFonts w:hint="eastAsia" w:ascii="微软雅黑" w:hAnsi="微软雅黑"/>
                <w:color w:val="000000"/>
                <w:kern w:val="0"/>
              </w:rPr>
              <w:br w:type="textWrapping"/>
            </w:r>
            <w:r>
              <w:rPr>
                <w:rFonts w:hint="eastAsia" w:ascii="微软雅黑" w:hAnsi="微软雅黑"/>
                <w:color w:val="000000"/>
                <w:kern w:val="0"/>
              </w:rPr>
              <w:t>1.具有本科（或以上）学历，每提供1人（项目负责人除外）得4分，此项最高得4分；</w:t>
            </w:r>
            <w:r>
              <w:rPr>
                <w:rFonts w:hint="eastAsia" w:ascii="微软雅黑" w:hAnsi="微软雅黑"/>
                <w:color w:val="000000"/>
                <w:kern w:val="0"/>
              </w:rPr>
              <w:br w:type="textWrapping"/>
            </w:r>
            <w:r>
              <w:rPr>
                <w:rFonts w:hint="eastAsia" w:ascii="微软雅黑" w:hAnsi="微软雅黑"/>
                <w:color w:val="000000"/>
                <w:kern w:val="0"/>
              </w:rPr>
              <w:t>2.每提供1名团队成员（项目负责人除外）具有信息系统集成管理</w:t>
            </w:r>
            <w:r>
              <w:rPr>
                <w:rFonts w:hint="eastAsia" w:ascii="宋体" w:hAnsi="宋体"/>
                <w:color w:val="000000"/>
                <w:kern w:val="0"/>
              </w:rPr>
              <w:t>证书</w:t>
            </w:r>
            <w:r>
              <w:rPr>
                <w:rFonts w:hint="eastAsia" w:ascii="微软雅黑" w:hAnsi="微软雅黑"/>
                <w:color w:val="000000"/>
                <w:kern w:val="0"/>
              </w:rPr>
              <w:t>或信息安全管理</w:t>
            </w:r>
            <w:r>
              <w:rPr>
                <w:rFonts w:hint="eastAsia" w:ascii="宋体" w:hAnsi="宋体"/>
                <w:color w:val="000000"/>
                <w:kern w:val="0"/>
              </w:rPr>
              <w:t>证书</w:t>
            </w:r>
            <w:r>
              <w:rPr>
                <w:rFonts w:hint="eastAsia" w:ascii="微软雅黑" w:hAnsi="微软雅黑"/>
                <w:color w:val="000000"/>
                <w:kern w:val="0"/>
              </w:rPr>
              <w:t>得分6分，此项最高得6分。</w:t>
            </w:r>
            <w:r>
              <w:rPr>
                <w:rFonts w:hint="eastAsia" w:ascii="微软雅黑" w:hAnsi="微软雅黑"/>
                <w:color w:val="000000"/>
                <w:kern w:val="0"/>
              </w:rPr>
              <w:br w:type="textWrapping"/>
            </w:r>
            <w:r>
              <w:rPr>
                <w:rFonts w:hint="eastAsia" w:ascii="微软雅黑" w:hAnsi="微软雅黑"/>
                <w:color w:val="000000"/>
                <w:kern w:val="0"/>
              </w:rPr>
              <w:t>以上两项可累计得分，最高得10分。</w:t>
            </w:r>
            <w:r>
              <w:rPr>
                <w:rFonts w:hint="eastAsia" w:ascii="微软雅黑" w:hAnsi="微软雅黑"/>
                <w:color w:val="000000"/>
                <w:kern w:val="0"/>
              </w:rPr>
              <w:br w:type="textWrapping"/>
            </w:r>
            <w:r>
              <w:rPr>
                <w:rFonts w:hint="eastAsia" w:ascii="微软雅黑" w:hAnsi="微软雅黑"/>
                <w:b/>
                <w:bCs/>
                <w:color w:val="000000"/>
                <w:kern w:val="0"/>
              </w:rPr>
              <w:t>（二）评分依据：</w:t>
            </w:r>
            <w:r>
              <w:rPr>
                <w:rFonts w:hint="eastAsia" w:ascii="微软雅黑" w:hAnsi="微软雅黑"/>
                <w:color w:val="000000"/>
                <w:kern w:val="0"/>
              </w:rPr>
              <w:br w:type="textWrapping"/>
            </w:r>
            <w:r>
              <w:rPr>
                <w:rFonts w:hint="eastAsia" w:ascii="微软雅黑" w:hAnsi="微软雅黑"/>
                <w:color w:val="000000"/>
                <w:kern w:val="0"/>
              </w:rPr>
              <w:t>1.提供学位或毕业证书以及学信网查询记录。学信网无法查询的，可提供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www.cscse.edu.cn/）在线查询截图】也予以认可。</w:t>
            </w:r>
            <w:r>
              <w:rPr>
                <w:rFonts w:hint="eastAsia" w:ascii="微软雅黑" w:hAnsi="微软雅黑"/>
                <w:color w:val="000000"/>
                <w:kern w:val="0"/>
              </w:rPr>
              <w:br w:type="textWrapping"/>
            </w:r>
            <w:r>
              <w:rPr>
                <w:rFonts w:hint="eastAsia" w:ascii="微软雅黑" w:hAnsi="微软雅黑"/>
                <w:color w:val="000000"/>
                <w:kern w:val="0"/>
              </w:rPr>
              <w:t>2.提供相关证书的复印件。</w:t>
            </w:r>
            <w:r>
              <w:rPr>
                <w:rFonts w:hint="eastAsia" w:ascii="微软雅黑" w:hAnsi="微软雅黑"/>
                <w:color w:val="000000"/>
                <w:kern w:val="0"/>
              </w:rPr>
              <w:br w:type="textWrapping"/>
            </w:r>
            <w:r>
              <w:rPr>
                <w:rFonts w:hint="eastAsia" w:ascii="微软雅黑" w:hAnsi="微软雅黑"/>
                <w:color w:val="000000"/>
                <w:kern w:val="0"/>
              </w:rPr>
              <w:t>3.要求提供通过投标人缴纳的近一个月（由于社保部门或税务部门原因最近一个月的社保证明无法提供的可往前顺延一个月）的社保证明作为证明依据，如投标人为新成立企业且成立时间不足一个月可提供加盖公章的情况说明或者证明材料亦视为符合。若为退休返聘人员，提供退休证明和返聘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3</w:t>
            </w:r>
          </w:p>
        </w:tc>
        <w:tc>
          <w:tcPr>
            <w:tcW w:w="4118" w:type="dxa"/>
            <w:gridSpan w:val="5"/>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综合实力部分</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839" w:type="dxa"/>
            <w:vMerge w:val="restart"/>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p>
        </w:tc>
        <w:tc>
          <w:tcPr>
            <w:tcW w:w="695"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序号</w:t>
            </w:r>
          </w:p>
        </w:tc>
        <w:tc>
          <w:tcPr>
            <w:tcW w:w="1811"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评分因素</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权重</w:t>
            </w:r>
          </w:p>
        </w:tc>
        <w:tc>
          <w:tcPr>
            <w:tcW w:w="812"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评分方式</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szCs w:val="21"/>
              </w:rPr>
            </w:pPr>
          </w:p>
        </w:tc>
        <w:tc>
          <w:tcPr>
            <w:tcW w:w="695" w:type="dxa"/>
            <w:tcBorders>
              <w:top w:val="single" w:color="auto" w:sz="4" w:space="0"/>
              <w:left w:val="single" w:color="auto" w:sz="4" w:space="0"/>
              <w:bottom w:val="single" w:color="auto" w:sz="4" w:space="0"/>
              <w:right w:val="single" w:color="auto" w:sz="4" w:space="0"/>
            </w:tcBorders>
          </w:tcPr>
          <w:p>
            <w:pPr>
              <w:spacing w:line="400" w:lineRule="exact"/>
              <w:ind w:firstLine="420"/>
              <w:rPr>
                <w:rFonts w:ascii="微软雅黑" w:hAnsi="微软雅黑"/>
                <w:szCs w:val="21"/>
              </w:rPr>
            </w:pPr>
            <w:r>
              <w:rPr>
                <w:rFonts w:hint="eastAsia" w:ascii="微软雅黑" w:hAnsi="微软雅黑"/>
                <w:szCs w:val="21"/>
              </w:rPr>
              <w:t>1</w:t>
            </w:r>
          </w:p>
        </w:tc>
        <w:tc>
          <w:tcPr>
            <w:tcW w:w="1811"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微软雅黑" w:hAnsi="微软雅黑"/>
                <w:szCs w:val="21"/>
              </w:rPr>
            </w:pPr>
            <w:r>
              <w:rPr>
                <w:rFonts w:hint="eastAsia" w:ascii="微软雅黑" w:hAnsi="微软雅黑"/>
                <w:szCs w:val="21"/>
              </w:rPr>
              <w:t>公司资质</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10</w:t>
            </w:r>
          </w:p>
        </w:tc>
        <w:tc>
          <w:tcPr>
            <w:tcW w:w="812"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专家打分</w:t>
            </w:r>
          </w:p>
        </w:tc>
        <w:tc>
          <w:tcPr>
            <w:tcW w:w="4028" w:type="dxa"/>
            <w:tcBorders>
              <w:top w:val="single" w:color="auto" w:sz="4" w:space="0"/>
              <w:left w:val="single" w:color="auto" w:sz="4" w:space="0"/>
              <w:bottom w:val="single" w:color="auto" w:sz="4" w:space="0"/>
              <w:right w:val="single" w:color="auto" w:sz="4" w:space="0"/>
            </w:tcBorders>
          </w:tcPr>
          <w:p>
            <w:pPr>
              <w:spacing w:after="0" w:line="400" w:lineRule="exact"/>
              <w:rPr>
                <w:rFonts w:ascii="微软雅黑" w:hAnsi="微软雅黑"/>
                <w:szCs w:val="21"/>
              </w:rPr>
            </w:pPr>
            <w:r>
              <w:rPr>
                <w:rFonts w:hint="eastAsia" w:ascii="微软雅黑" w:hAnsi="微软雅黑"/>
                <w:szCs w:val="21"/>
              </w:rPr>
              <w:t>（一）评分内容：</w:t>
            </w:r>
          </w:p>
          <w:p>
            <w:pPr>
              <w:spacing w:after="0" w:line="400" w:lineRule="exact"/>
              <w:rPr>
                <w:rFonts w:ascii="微软雅黑" w:hAnsi="微软雅黑"/>
                <w:szCs w:val="21"/>
              </w:rPr>
            </w:pPr>
            <w:r>
              <w:rPr>
                <w:rFonts w:hint="eastAsia" w:ascii="微软雅黑" w:hAnsi="微软雅黑"/>
                <w:szCs w:val="21"/>
              </w:rPr>
              <w:t>投标人需具有以下认证证书：</w:t>
            </w:r>
          </w:p>
          <w:p>
            <w:pPr>
              <w:spacing w:after="0" w:line="400" w:lineRule="exact"/>
              <w:rPr>
                <w:rFonts w:ascii="微软雅黑" w:hAnsi="微软雅黑"/>
                <w:szCs w:val="21"/>
              </w:rPr>
            </w:pPr>
            <w:r>
              <w:rPr>
                <w:rFonts w:ascii="微软雅黑" w:hAnsi="微软雅黑"/>
                <w:szCs w:val="21"/>
              </w:rPr>
              <w:t>1.售后服务体系完善程度认证证书得5分；</w:t>
            </w:r>
          </w:p>
          <w:p>
            <w:pPr>
              <w:spacing w:after="0" w:line="400" w:lineRule="exact"/>
              <w:rPr>
                <w:rFonts w:ascii="微软雅黑" w:hAnsi="微软雅黑"/>
                <w:szCs w:val="21"/>
              </w:rPr>
            </w:pPr>
            <w:r>
              <w:rPr>
                <w:rFonts w:ascii="微软雅黑" w:hAnsi="微软雅黑"/>
                <w:szCs w:val="21"/>
              </w:rPr>
              <w:t>2.信息安全管理体系认证证书得5分；</w:t>
            </w:r>
          </w:p>
          <w:p>
            <w:pPr>
              <w:spacing w:after="0" w:line="400" w:lineRule="exact"/>
              <w:rPr>
                <w:rFonts w:ascii="微软雅黑" w:hAnsi="微软雅黑"/>
                <w:szCs w:val="21"/>
              </w:rPr>
            </w:pPr>
            <w:r>
              <w:rPr>
                <w:rFonts w:hint="eastAsia" w:ascii="微软雅黑" w:hAnsi="微软雅黑"/>
                <w:szCs w:val="21"/>
              </w:rPr>
              <w:t>以上两项可累计得分，最高得</w:t>
            </w:r>
            <w:r>
              <w:rPr>
                <w:rFonts w:ascii="微软雅黑" w:hAnsi="微软雅黑"/>
                <w:szCs w:val="21"/>
              </w:rPr>
              <w:t>10分。</w:t>
            </w:r>
          </w:p>
          <w:p>
            <w:pPr>
              <w:spacing w:after="0" w:line="400" w:lineRule="exact"/>
              <w:rPr>
                <w:rFonts w:ascii="微软雅黑" w:hAnsi="微软雅黑"/>
                <w:szCs w:val="21"/>
              </w:rPr>
            </w:pPr>
            <w:r>
              <w:rPr>
                <w:rFonts w:hint="eastAsia" w:ascii="微软雅黑" w:hAnsi="微软雅黑"/>
                <w:szCs w:val="21"/>
              </w:rPr>
              <w:t>（二）评分依据：</w:t>
            </w:r>
          </w:p>
          <w:p>
            <w:pPr>
              <w:spacing w:after="0" w:line="400" w:lineRule="exact"/>
              <w:rPr>
                <w:rFonts w:ascii="微软雅黑" w:hAnsi="微软雅黑"/>
                <w:szCs w:val="21"/>
              </w:rPr>
            </w:pPr>
            <w:r>
              <w:rPr>
                <w:rFonts w:hint="eastAsia" w:ascii="微软雅黑" w:hAnsi="微软雅黑"/>
                <w:szCs w:val="21"/>
              </w:rPr>
              <w:t>投标人同时提供：</w:t>
            </w:r>
            <w:r>
              <w:rPr>
                <w:rFonts w:ascii="微软雅黑" w:hAnsi="微软雅黑"/>
                <w:szCs w:val="21"/>
              </w:rPr>
              <w:t xml:space="preserve"> </w:t>
            </w:r>
          </w:p>
          <w:p>
            <w:pPr>
              <w:spacing w:after="0" w:line="400" w:lineRule="exact"/>
              <w:rPr>
                <w:rFonts w:ascii="微软雅黑" w:hAnsi="微软雅黑"/>
                <w:szCs w:val="21"/>
              </w:rPr>
            </w:pPr>
            <w:r>
              <w:rPr>
                <w:rFonts w:ascii="微软雅黑" w:hAnsi="微软雅黑"/>
                <w:szCs w:val="21"/>
              </w:rPr>
              <w:t>1.有效的认证证书，如无法证明证书在有效期内的，不得分；</w:t>
            </w:r>
          </w:p>
          <w:p>
            <w:pPr>
              <w:spacing w:after="0" w:line="400" w:lineRule="exact"/>
              <w:rPr>
                <w:rFonts w:ascii="微软雅黑" w:hAnsi="微软雅黑"/>
                <w:szCs w:val="21"/>
              </w:rPr>
            </w:pPr>
            <w:r>
              <w:rPr>
                <w:rFonts w:ascii="微软雅黑" w:hAnsi="微软雅黑"/>
                <w:szCs w:val="21"/>
              </w:rPr>
              <w:t>2.全国认证认可信息公共服务平台（http://cx.cnca.cn）认证信息查询截图（截图需显示证书状态为有效）；未按要求提供或提供不清晰导致专家无法判断的，不得分。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szCs w:val="21"/>
              </w:rPr>
            </w:pPr>
          </w:p>
        </w:tc>
        <w:tc>
          <w:tcPr>
            <w:tcW w:w="695"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2</w:t>
            </w:r>
          </w:p>
        </w:tc>
        <w:tc>
          <w:tcPr>
            <w:tcW w:w="1811"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ascii="微软雅黑" w:hAnsi="微软雅黑"/>
                <w:szCs w:val="21"/>
              </w:rPr>
            </w:pPr>
            <w:r>
              <w:rPr>
                <w:rFonts w:hint="eastAsia" w:ascii="微软雅黑" w:hAnsi="微软雅黑"/>
                <w:szCs w:val="21"/>
              </w:rPr>
              <w:t>有效业绩</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10</w:t>
            </w:r>
          </w:p>
        </w:tc>
        <w:tc>
          <w:tcPr>
            <w:tcW w:w="812"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专家打分</w:t>
            </w:r>
          </w:p>
        </w:tc>
        <w:tc>
          <w:tcPr>
            <w:tcW w:w="4028" w:type="dxa"/>
            <w:tcBorders>
              <w:top w:val="single" w:color="auto" w:sz="4" w:space="0"/>
              <w:left w:val="single" w:color="auto" w:sz="4" w:space="0"/>
              <w:bottom w:val="single" w:color="auto" w:sz="4" w:space="0"/>
              <w:right w:val="single" w:color="auto" w:sz="4" w:space="0"/>
            </w:tcBorders>
          </w:tcPr>
          <w:p>
            <w:pPr>
              <w:spacing w:after="0" w:line="400" w:lineRule="exact"/>
              <w:rPr>
                <w:rFonts w:ascii="微软雅黑" w:hAnsi="微软雅黑"/>
                <w:color w:val="000000"/>
                <w:kern w:val="0"/>
              </w:rPr>
            </w:pPr>
            <w:r>
              <w:rPr>
                <w:rFonts w:hint="eastAsia" w:ascii="微软雅黑" w:hAnsi="微软雅黑"/>
                <w:color w:val="000000"/>
                <w:kern w:val="0"/>
              </w:rPr>
              <w:t>（一）评分内容：</w:t>
            </w:r>
          </w:p>
          <w:p>
            <w:pPr>
              <w:spacing w:after="0" w:line="400" w:lineRule="exact"/>
              <w:rPr>
                <w:rFonts w:ascii="微软雅黑" w:hAnsi="微软雅黑"/>
                <w:color w:val="000000"/>
                <w:kern w:val="0"/>
              </w:rPr>
            </w:pPr>
            <w:r>
              <w:rPr>
                <w:rFonts w:hint="eastAsia" w:ascii="微软雅黑" w:hAnsi="微软雅黑"/>
                <w:color w:val="000000"/>
                <w:kern w:val="0"/>
              </w:rPr>
              <w:t>投标人</w:t>
            </w:r>
            <w:r>
              <w:rPr>
                <w:rFonts w:ascii="微软雅黑" w:hAnsi="微软雅黑"/>
                <w:color w:val="000000"/>
                <w:kern w:val="0"/>
              </w:rPr>
              <w:t>2017年1月1日至本项目投标截止时间，以合同签订日期为准：</w:t>
            </w:r>
            <w:r>
              <w:rPr>
                <w:rFonts w:hint="eastAsia" w:ascii="宋体" w:hAnsi="宋体"/>
                <w:color w:val="000000"/>
                <w:kern w:val="0"/>
              </w:rPr>
              <w:br w:type="textWrapping"/>
            </w:r>
            <w:r>
              <w:rPr>
                <w:rFonts w:hint="eastAsia" w:ascii="宋体" w:hAnsi="宋体"/>
                <w:color w:val="000000"/>
                <w:kern w:val="0"/>
              </w:rPr>
              <w:t>1．具有医保接口开发类相关业绩，每提供一个得6分，最高得6分；</w:t>
            </w:r>
            <w:r>
              <w:rPr>
                <w:rFonts w:hint="eastAsia" w:ascii="宋体" w:hAnsi="宋体"/>
                <w:color w:val="000000"/>
                <w:kern w:val="0"/>
              </w:rPr>
              <w:br w:type="textWrapping"/>
            </w:r>
            <w:r>
              <w:rPr>
                <w:rFonts w:hint="eastAsia" w:ascii="宋体" w:hAnsi="宋体"/>
                <w:color w:val="000000"/>
                <w:kern w:val="0"/>
              </w:rPr>
              <w:t>2.具有HIS系统接口开发相关业绩，每提供一个得4分，最高得4分。</w:t>
            </w:r>
            <w:r>
              <w:rPr>
                <w:rFonts w:hint="eastAsia" w:ascii="宋体" w:hAnsi="宋体"/>
                <w:color w:val="000000"/>
                <w:kern w:val="0"/>
              </w:rPr>
              <w:br w:type="textWrapping"/>
            </w:r>
            <w:r>
              <w:rPr>
                <w:rFonts w:hint="eastAsia" w:ascii="宋体" w:hAnsi="宋体"/>
                <w:color w:val="000000"/>
                <w:kern w:val="0"/>
              </w:rPr>
              <w:t>以上二项可累计得分，同一合同不可重复计分，最高得10分。</w:t>
            </w:r>
          </w:p>
          <w:p>
            <w:pPr>
              <w:spacing w:after="0" w:line="400" w:lineRule="exact"/>
              <w:rPr>
                <w:rFonts w:ascii="微软雅黑" w:hAnsi="微软雅黑"/>
                <w:color w:val="000000"/>
                <w:kern w:val="0"/>
              </w:rPr>
            </w:pPr>
            <w:r>
              <w:rPr>
                <w:rFonts w:hint="eastAsia" w:ascii="微软雅黑" w:hAnsi="微软雅黑"/>
                <w:color w:val="000000"/>
                <w:kern w:val="0"/>
              </w:rPr>
              <w:t>（二）评分依据：</w:t>
            </w:r>
          </w:p>
          <w:p>
            <w:pPr>
              <w:spacing w:after="0" w:line="400" w:lineRule="exact"/>
              <w:rPr>
                <w:rFonts w:ascii="微软雅黑" w:hAnsi="微软雅黑"/>
                <w:color w:val="000000"/>
                <w:kern w:val="0"/>
              </w:rPr>
            </w:pPr>
            <w:r>
              <w:rPr>
                <w:rFonts w:hint="eastAsia" w:ascii="微软雅黑" w:hAnsi="微软雅黑"/>
                <w:color w:val="000000"/>
                <w:kern w:val="0"/>
              </w:rPr>
              <w:t>中标（成交）通知书或合同关键页（合同内容包含但不限于：签订合同双方的单位名称、合同项目名称、服务期限、含签订合同双方的落款盖章、签订日期的关键页）（一年一签的长期服务续签合同只计算一个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hint="eastAsia" w:ascii="微软雅黑" w:hAnsi="微软雅黑" w:eastAsia="微软雅黑"/>
                <w:szCs w:val="21"/>
                <w:lang w:eastAsia="zh-CN"/>
              </w:rPr>
            </w:pPr>
            <w:r>
              <w:rPr>
                <w:rFonts w:hint="eastAsia" w:ascii="微软雅黑" w:hAnsi="微软雅黑"/>
                <w:szCs w:val="21"/>
                <w:lang w:val="en-US" w:eastAsia="zh-CN"/>
              </w:rPr>
              <w:t>3</w:t>
            </w:r>
          </w:p>
        </w:tc>
        <w:tc>
          <w:tcPr>
            <w:tcW w:w="1801" w:type="dxa"/>
            <w:tcBorders>
              <w:top w:val="single" w:color="auto" w:sz="4" w:space="0"/>
              <w:left w:val="single" w:color="auto" w:sz="4" w:space="0"/>
              <w:bottom w:val="single" w:color="auto" w:sz="4" w:space="0"/>
              <w:right w:val="single" w:color="auto" w:sz="4" w:space="0"/>
            </w:tcBorders>
          </w:tcPr>
          <w:p>
            <w:pPr>
              <w:spacing w:after="0" w:line="400" w:lineRule="exact"/>
              <w:rPr>
                <w:rFonts w:ascii="微软雅黑" w:hAnsi="微软雅黑"/>
                <w:szCs w:val="21"/>
              </w:rPr>
            </w:pPr>
            <w:r>
              <w:rPr>
                <w:rFonts w:hint="eastAsia" w:ascii="微软雅黑" w:hAnsi="微软雅黑"/>
                <w:color w:val="000000"/>
                <w:kern w:val="0"/>
              </w:rPr>
              <w:t>服务响应时间</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5</w:t>
            </w:r>
          </w:p>
        </w:tc>
        <w:tc>
          <w:tcPr>
            <w:tcW w:w="812"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专家打分</w:t>
            </w:r>
          </w:p>
        </w:tc>
        <w:tc>
          <w:tcPr>
            <w:tcW w:w="4028" w:type="dxa"/>
            <w:tcBorders>
              <w:top w:val="single" w:color="auto" w:sz="4" w:space="0"/>
              <w:left w:val="single" w:color="auto" w:sz="4" w:space="0"/>
              <w:bottom w:val="single" w:color="auto" w:sz="4" w:space="0"/>
              <w:right w:val="single" w:color="auto" w:sz="4" w:space="0"/>
            </w:tcBorders>
          </w:tcPr>
          <w:p>
            <w:pPr>
              <w:spacing w:after="0" w:line="400" w:lineRule="exact"/>
              <w:rPr>
                <w:rFonts w:ascii="微软雅黑" w:hAnsi="微软雅黑"/>
                <w:color w:val="000000"/>
                <w:kern w:val="0"/>
              </w:rPr>
            </w:pPr>
            <w:r>
              <w:rPr>
                <w:rFonts w:hint="eastAsia" w:ascii="微软雅黑" w:hAnsi="微软雅黑"/>
                <w:color w:val="000000"/>
                <w:kern w:val="0"/>
              </w:rPr>
              <w:t>（一）评分内容：</w:t>
            </w:r>
          </w:p>
          <w:p>
            <w:pPr>
              <w:spacing w:after="0" w:line="400" w:lineRule="exact"/>
              <w:rPr>
                <w:rFonts w:hint="eastAsia" w:ascii="微软雅黑" w:hAnsi="微软雅黑"/>
                <w:color w:val="000000"/>
                <w:kern w:val="0"/>
              </w:rPr>
            </w:pPr>
            <w:r>
              <w:rPr>
                <w:rFonts w:hint="eastAsia" w:ascii="微软雅黑" w:hAnsi="微软雅黑"/>
                <w:color w:val="000000"/>
                <w:kern w:val="0"/>
              </w:rPr>
              <w:t>1.接到采购人需求，承诺在4小时（含）内响应，12小时（含）抵达现场的，得</w:t>
            </w:r>
            <w:r>
              <w:rPr>
                <w:rFonts w:hint="eastAsia" w:ascii="微软雅黑" w:hAnsi="微软雅黑"/>
                <w:color w:val="000000"/>
                <w:kern w:val="0"/>
                <w:lang w:val="en-US" w:eastAsia="zh-CN"/>
              </w:rPr>
              <w:t>5</w:t>
            </w:r>
            <w:r>
              <w:rPr>
                <w:rFonts w:hint="eastAsia" w:ascii="微软雅黑" w:hAnsi="微软雅黑"/>
                <w:color w:val="000000"/>
                <w:kern w:val="0"/>
              </w:rPr>
              <w:t>分；</w:t>
            </w:r>
          </w:p>
          <w:p>
            <w:pPr>
              <w:spacing w:after="0" w:line="400" w:lineRule="exact"/>
              <w:rPr>
                <w:rFonts w:hint="eastAsia" w:ascii="微软雅黑" w:hAnsi="微软雅黑"/>
                <w:color w:val="000000"/>
                <w:kern w:val="0"/>
              </w:rPr>
            </w:pPr>
            <w:r>
              <w:rPr>
                <w:rFonts w:hint="eastAsia" w:ascii="微软雅黑" w:hAnsi="微软雅黑"/>
                <w:color w:val="000000"/>
                <w:kern w:val="0"/>
              </w:rPr>
              <w:t>2.接到采购人需求，承诺在4小时以上，6小时（含）内响应，12小时（含）抵达现场的，得</w:t>
            </w:r>
            <w:r>
              <w:rPr>
                <w:rFonts w:hint="eastAsia" w:ascii="微软雅黑" w:hAnsi="微软雅黑"/>
                <w:color w:val="000000"/>
                <w:kern w:val="0"/>
                <w:lang w:val="en-US" w:eastAsia="zh-CN"/>
              </w:rPr>
              <w:t>3</w:t>
            </w:r>
            <w:r>
              <w:rPr>
                <w:rFonts w:hint="eastAsia" w:ascii="微软雅黑" w:hAnsi="微软雅黑"/>
                <w:color w:val="000000"/>
                <w:kern w:val="0"/>
              </w:rPr>
              <w:t>分；</w:t>
            </w:r>
          </w:p>
          <w:p>
            <w:pPr>
              <w:spacing w:after="0" w:line="400" w:lineRule="exact"/>
              <w:rPr>
                <w:rFonts w:hint="eastAsia" w:ascii="微软雅黑" w:hAnsi="微软雅黑"/>
                <w:color w:val="000000"/>
                <w:kern w:val="0"/>
              </w:rPr>
            </w:pPr>
            <w:r>
              <w:rPr>
                <w:rFonts w:hint="eastAsia" w:ascii="微软雅黑" w:hAnsi="微软雅黑"/>
                <w:color w:val="000000"/>
                <w:kern w:val="0"/>
              </w:rPr>
              <w:t>3.接到采购人需</w:t>
            </w:r>
            <w:bookmarkStart w:id="2" w:name="_GoBack"/>
            <w:bookmarkEnd w:id="2"/>
            <w:r>
              <w:rPr>
                <w:rFonts w:hint="eastAsia" w:ascii="微软雅黑" w:hAnsi="微软雅黑"/>
                <w:color w:val="000000"/>
                <w:kern w:val="0"/>
              </w:rPr>
              <w:t>求，承诺在6小时以上，8小时（含）内响应，12小时（含）抵达现场的，得</w:t>
            </w:r>
            <w:r>
              <w:rPr>
                <w:rFonts w:hint="eastAsia" w:ascii="微软雅黑" w:hAnsi="微软雅黑"/>
                <w:color w:val="000000"/>
                <w:kern w:val="0"/>
                <w:lang w:val="en-US" w:eastAsia="zh-CN"/>
              </w:rPr>
              <w:t>1</w:t>
            </w:r>
            <w:r>
              <w:rPr>
                <w:rFonts w:hint="eastAsia" w:ascii="微软雅黑" w:hAnsi="微软雅黑"/>
                <w:color w:val="000000"/>
                <w:kern w:val="0"/>
              </w:rPr>
              <w:t>分；</w:t>
            </w:r>
          </w:p>
          <w:p>
            <w:pPr>
              <w:spacing w:after="0" w:line="400" w:lineRule="exact"/>
              <w:rPr>
                <w:rFonts w:hint="eastAsia" w:ascii="微软雅黑" w:hAnsi="微软雅黑" w:eastAsia="微软雅黑"/>
                <w:color w:val="000000"/>
                <w:kern w:val="0"/>
                <w:lang w:eastAsia="zh-CN"/>
              </w:rPr>
            </w:pPr>
            <w:r>
              <w:rPr>
                <w:rFonts w:hint="eastAsia" w:ascii="微软雅黑" w:hAnsi="微软雅黑"/>
                <w:color w:val="000000"/>
                <w:kern w:val="0"/>
              </w:rPr>
              <w:t>4.接到采购人需求，承诺在12小时以上响应，12小时（含）抵达现场的，不得分。</w:t>
            </w:r>
          </w:p>
          <w:p>
            <w:pPr>
              <w:spacing w:after="0" w:line="400" w:lineRule="exact"/>
              <w:rPr>
                <w:rFonts w:ascii="微软雅黑" w:hAnsi="微软雅黑"/>
                <w:color w:val="000000"/>
                <w:kern w:val="0"/>
              </w:rPr>
            </w:pPr>
            <w:r>
              <w:rPr>
                <w:rFonts w:hint="eastAsia" w:ascii="微软雅黑" w:hAnsi="微软雅黑"/>
                <w:color w:val="000000"/>
                <w:kern w:val="0"/>
              </w:rPr>
              <w:t>（二）评分依据：</w:t>
            </w:r>
          </w:p>
          <w:p>
            <w:pPr>
              <w:pStyle w:val="6"/>
              <w:spacing w:after="0" w:line="400" w:lineRule="exact"/>
              <w:ind w:firstLine="420"/>
              <w:jc w:val="both"/>
              <w:rPr>
                <w:rFonts w:ascii="微软雅黑" w:hAnsi="微软雅黑" w:eastAsia="微软雅黑" w:cstheme="minorBidi"/>
                <w:color w:val="000000"/>
                <w:kern w:val="0"/>
                <w:sz w:val="21"/>
                <w:lang w:val="en-US"/>
              </w:rPr>
            </w:pPr>
            <w:r>
              <w:rPr>
                <w:rFonts w:hint="eastAsia" w:ascii="微软雅黑" w:hAnsi="微软雅黑" w:eastAsia="微软雅黑" w:cstheme="minorBidi"/>
                <w:color w:val="000000"/>
                <w:kern w:val="0"/>
                <w:sz w:val="21"/>
                <w:szCs w:val="22"/>
                <w:lang w:val="en-US" w:eastAsia="zh-CN" w:bidi="ar-SA"/>
              </w:rPr>
              <w:t>投标人提供承诺函（格式自拟）。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39"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hint="eastAsia" w:ascii="微软雅黑" w:hAnsi="微软雅黑" w:eastAsia="微软雅黑"/>
                <w:szCs w:val="21"/>
                <w:lang w:val="en-US" w:eastAsia="zh-CN"/>
              </w:rPr>
            </w:pPr>
            <w:r>
              <w:rPr>
                <w:rFonts w:hint="eastAsia" w:ascii="微软雅黑" w:hAnsi="微软雅黑"/>
                <w:szCs w:val="21"/>
                <w:lang w:val="en-US" w:eastAsia="zh-CN"/>
              </w:rPr>
              <w:t>4</w:t>
            </w:r>
          </w:p>
        </w:tc>
        <w:tc>
          <w:tcPr>
            <w:tcW w:w="4118" w:type="dxa"/>
            <w:gridSpan w:val="5"/>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诚信情况</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39" w:type="dxa"/>
            <w:vMerge w:val="restart"/>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序号</w:t>
            </w:r>
          </w:p>
        </w:tc>
        <w:tc>
          <w:tcPr>
            <w:tcW w:w="1801" w:type="dxa"/>
            <w:tcBorders>
              <w:top w:val="single" w:color="auto" w:sz="4" w:space="0"/>
              <w:left w:val="single" w:color="auto" w:sz="4" w:space="0"/>
              <w:bottom w:val="single" w:color="auto" w:sz="4" w:space="0"/>
              <w:right w:val="single" w:color="auto" w:sz="4" w:space="0"/>
            </w:tcBorders>
          </w:tcPr>
          <w:p>
            <w:pPr>
              <w:spacing w:line="400" w:lineRule="exact"/>
              <w:ind w:firstLine="420"/>
              <w:rPr>
                <w:rFonts w:ascii="微软雅黑" w:hAnsi="微软雅黑"/>
                <w:szCs w:val="21"/>
              </w:rPr>
            </w:pPr>
            <w:r>
              <w:rPr>
                <w:rFonts w:hint="eastAsia" w:ascii="微软雅黑" w:hAnsi="微软雅黑"/>
                <w:szCs w:val="21"/>
              </w:rPr>
              <w:t>评分因素</w:t>
            </w:r>
          </w:p>
        </w:tc>
        <w:tc>
          <w:tcPr>
            <w:tcW w:w="800"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权重</w:t>
            </w:r>
          </w:p>
        </w:tc>
        <w:tc>
          <w:tcPr>
            <w:tcW w:w="812"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评分方式</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szCs w:val="21"/>
              </w:rPr>
            </w:pPr>
          </w:p>
        </w:tc>
        <w:tc>
          <w:tcPr>
            <w:tcW w:w="70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1</w:t>
            </w:r>
          </w:p>
        </w:tc>
        <w:tc>
          <w:tcPr>
            <w:tcW w:w="1801" w:type="dxa"/>
            <w:tcBorders>
              <w:top w:val="single" w:color="auto" w:sz="4" w:space="0"/>
              <w:left w:val="single" w:color="auto" w:sz="4" w:space="0"/>
              <w:bottom w:val="single" w:color="auto" w:sz="4" w:space="0"/>
              <w:right w:val="single" w:color="auto" w:sz="4" w:space="0"/>
            </w:tcBorders>
          </w:tcPr>
          <w:p>
            <w:pPr>
              <w:spacing w:line="400" w:lineRule="exact"/>
              <w:jc w:val="left"/>
              <w:rPr>
                <w:rFonts w:ascii="微软雅黑" w:hAnsi="微软雅黑"/>
                <w:szCs w:val="21"/>
              </w:rPr>
            </w:pPr>
            <w:r>
              <w:rPr>
                <w:rFonts w:hint="eastAsia" w:ascii="微软雅黑" w:hAnsi="微软雅黑"/>
                <w:szCs w:val="21"/>
              </w:rPr>
              <w:t>诚信评价</w:t>
            </w:r>
          </w:p>
        </w:tc>
        <w:tc>
          <w:tcPr>
            <w:tcW w:w="800" w:type="dxa"/>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微软雅黑" w:hAnsi="微软雅黑"/>
                <w:szCs w:val="21"/>
              </w:rPr>
            </w:pPr>
            <w:r>
              <w:rPr>
                <w:rFonts w:hint="eastAsia" w:ascii="微软雅黑" w:hAnsi="微软雅黑"/>
                <w:szCs w:val="21"/>
              </w:rPr>
              <w:t>5</w:t>
            </w:r>
          </w:p>
        </w:tc>
        <w:tc>
          <w:tcPr>
            <w:tcW w:w="812" w:type="dxa"/>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szCs w:val="21"/>
              </w:rPr>
            </w:pPr>
            <w:r>
              <w:rPr>
                <w:rFonts w:hint="eastAsia" w:ascii="微软雅黑" w:hAnsi="微软雅黑"/>
                <w:szCs w:val="21"/>
              </w:rPr>
              <w:t>专家打分</w:t>
            </w:r>
          </w:p>
        </w:tc>
        <w:tc>
          <w:tcPr>
            <w:tcW w:w="4028"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微软雅黑" w:hAnsi="微软雅黑"/>
                <w:szCs w:val="21"/>
              </w:rPr>
            </w:pPr>
            <w:r>
              <w:rPr>
                <w:rFonts w:hint="eastAsia" w:ascii="微软雅黑" w:hAnsi="微软雅黑"/>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spacing w:line="400" w:lineRule="exact"/>
        <w:rPr>
          <w:rFonts w:ascii="微软雅黑" w:hAnsi="微软雅黑" w:cs="Times New Roman"/>
          <w:b/>
          <w:szCs w:val="21"/>
        </w:rPr>
      </w:pPr>
    </w:p>
    <w:p>
      <w:pPr>
        <w:spacing w:line="400" w:lineRule="exact"/>
        <w:ind w:firstLine="360"/>
        <w:rPr>
          <w:rFonts w:ascii="微软雅黑" w:hAnsi="微软雅黑" w:cs="微软雅黑"/>
          <w:b/>
          <w:szCs w:val="21"/>
        </w:rPr>
      </w:pPr>
      <w:r>
        <w:rPr>
          <w:rFonts w:hint="eastAsia" w:ascii="微软雅黑" w:hAnsi="微软雅黑" w:cs="微软雅黑"/>
          <w:b/>
          <w:szCs w:val="21"/>
        </w:rPr>
        <w:t>备注：</w:t>
      </w:r>
    </w:p>
    <w:p>
      <w:pPr>
        <w:spacing w:line="400" w:lineRule="exact"/>
        <w:ind w:firstLine="360"/>
        <w:rPr>
          <w:rFonts w:ascii="微软雅黑" w:hAnsi="微软雅黑" w:cs="微软雅黑"/>
          <w:b/>
          <w:szCs w:val="21"/>
        </w:rPr>
      </w:pPr>
      <w:r>
        <w:rPr>
          <w:rFonts w:hint="eastAsia" w:ascii="微软雅黑" w:hAnsi="微软雅黑" w:cs="微软雅黑"/>
          <w:b/>
          <w:szCs w:val="21"/>
        </w:rPr>
        <w:t>1)</w:t>
      </w:r>
      <w:r>
        <w:rPr>
          <w:rFonts w:hint="eastAsia" w:ascii="微软雅黑" w:hAnsi="微软雅黑" w:cs="微软雅黑"/>
          <w:b/>
          <w:szCs w:val="21"/>
        </w:rPr>
        <w:tab/>
      </w:r>
      <w:r>
        <w:rPr>
          <w:rFonts w:hint="eastAsia" w:ascii="微软雅黑" w:hAnsi="微软雅黑" w:cs="微软雅黑"/>
          <w:b/>
          <w:szCs w:val="21"/>
        </w:rPr>
        <w:t>以上各条款，不提供或不能有效证明文件的，均得0分。</w:t>
      </w:r>
    </w:p>
    <w:p>
      <w:pPr>
        <w:spacing w:line="400" w:lineRule="exact"/>
        <w:ind w:firstLine="360"/>
        <w:rPr>
          <w:rFonts w:ascii="微软雅黑" w:hAnsi="微软雅黑" w:cs="微软雅黑"/>
          <w:b/>
          <w:szCs w:val="21"/>
        </w:rPr>
      </w:pPr>
      <w:r>
        <w:rPr>
          <w:rFonts w:hint="eastAsia" w:ascii="微软雅黑" w:hAnsi="微软雅黑" w:cs="微软雅黑"/>
          <w:b/>
          <w:szCs w:val="21"/>
        </w:rPr>
        <w:t>2)</w:t>
      </w:r>
      <w:r>
        <w:rPr>
          <w:rFonts w:hint="eastAsia" w:ascii="微软雅黑" w:hAnsi="微软雅黑" w:cs="微软雅黑"/>
          <w:b/>
          <w:szCs w:val="21"/>
        </w:rPr>
        <w:tab/>
      </w:r>
      <w:r>
        <w:rPr>
          <w:rFonts w:hint="eastAsia" w:ascii="微软雅黑" w:hAnsi="微软雅黑" w:cs="微软雅黑"/>
          <w:b/>
          <w:szCs w:val="21"/>
        </w:rPr>
        <w:t>如评审过程中,评标委员会要求投标人提交原件的，其需要在规定时间内及时递交。如未提交，相关内容将无效，不作为评审依据。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E0C4B"/>
    <w:multiLevelType w:val="multilevel"/>
    <w:tmpl w:val="0CBE0C4B"/>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25B2C79"/>
    <w:multiLevelType w:val="multilevel"/>
    <w:tmpl w:val="225B2C79"/>
    <w:lvl w:ilvl="0" w:tentative="0">
      <w:start w:val="1"/>
      <w:numFmt w:val="chineseCountingThousand"/>
      <w:pStyle w:val="4"/>
      <w:lvlText w:val="(%1)"/>
      <w:lvlJc w:val="left"/>
      <w:pPr>
        <w:ind w:left="920" w:hanging="360"/>
      </w:pPr>
    </w:lvl>
    <w:lvl w:ilvl="1" w:tentative="0">
      <w:start w:val="2"/>
      <w:numFmt w:val="decimal"/>
      <w:isLgl/>
      <w:lvlText w:val="%1.%2."/>
      <w:lvlJc w:val="left"/>
      <w:pPr>
        <w:ind w:left="1540" w:hanging="980"/>
      </w:pPr>
    </w:lvl>
    <w:lvl w:ilvl="2" w:tentative="0">
      <w:start w:val="1"/>
      <w:numFmt w:val="decimal"/>
      <w:isLgl/>
      <w:lvlText w:val="%1.%2.%3."/>
      <w:lvlJc w:val="left"/>
      <w:pPr>
        <w:ind w:left="1640" w:hanging="1080"/>
      </w:pPr>
    </w:lvl>
    <w:lvl w:ilvl="3" w:tentative="0">
      <w:start w:val="1"/>
      <w:numFmt w:val="decimal"/>
      <w:isLgl/>
      <w:lvlText w:val="%1.%2.%3.%4."/>
      <w:lvlJc w:val="left"/>
      <w:pPr>
        <w:ind w:left="2000" w:hanging="1440"/>
      </w:pPr>
    </w:lvl>
    <w:lvl w:ilvl="4" w:tentative="0">
      <w:start w:val="1"/>
      <w:numFmt w:val="decimal"/>
      <w:isLgl/>
      <w:lvlText w:val="%1.%2.%3.%4.%5."/>
      <w:lvlJc w:val="left"/>
      <w:pPr>
        <w:ind w:left="2000" w:hanging="1440"/>
      </w:pPr>
    </w:lvl>
    <w:lvl w:ilvl="5" w:tentative="0">
      <w:start w:val="1"/>
      <w:numFmt w:val="decimal"/>
      <w:isLgl/>
      <w:lvlText w:val="%1.%2.%3.%4.%5.%6."/>
      <w:lvlJc w:val="left"/>
      <w:pPr>
        <w:ind w:left="2360" w:hanging="1800"/>
      </w:pPr>
    </w:lvl>
    <w:lvl w:ilvl="6" w:tentative="0">
      <w:start w:val="1"/>
      <w:numFmt w:val="decimal"/>
      <w:isLgl/>
      <w:lvlText w:val="%1.%2.%3.%4.%5.%6.%7."/>
      <w:lvlJc w:val="left"/>
      <w:pPr>
        <w:ind w:left="2720" w:hanging="2160"/>
      </w:pPr>
    </w:lvl>
    <w:lvl w:ilvl="7" w:tentative="0">
      <w:start w:val="1"/>
      <w:numFmt w:val="decimal"/>
      <w:isLgl/>
      <w:lvlText w:val="%1.%2.%3.%4.%5.%6.%7.%8."/>
      <w:lvlJc w:val="left"/>
      <w:pPr>
        <w:ind w:left="3080" w:hanging="2520"/>
      </w:pPr>
    </w:lvl>
    <w:lvl w:ilvl="8" w:tentative="0">
      <w:start w:val="1"/>
      <w:numFmt w:val="decimal"/>
      <w:isLgl/>
      <w:lvlText w:val="%1.%2.%3.%4.%5.%6.%7.%8.%9."/>
      <w:lvlJc w:val="left"/>
      <w:pPr>
        <w:ind w:left="3080" w:hanging="2520"/>
      </w:pPr>
    </w:lvl>
  </w:abstractNum>
  <w:abstractNum w:abstractNumId="2">
    <w:nsid w:val="6AB329E1"/>
    <w:multiLevelType w:val="multilevel"/>
    <w:tmpl w:val="6AB329E1"/>
    <w:lvl w:ilvl="0" w:tentative="0">
      <w:start w:val="1"/>
      <w:numFmt w:val="decimal"/>
      <w:lvlText w:val="%1."/>
      <w:lvlJc w:val="left"/>
      <w:pPr>
        <w:ind w:left="927" w:hanging="420"/>
      </w:pPr>
    </w:lvl>
    <w:lvl w:ilvl="1" w:tentative="0">
      <w:start w:val="1"/>
      <w:numFmt w:val="decimal"/>
      <w:lvlText w:val="%2."/>
      <w:lvlJc w:val="left"/>
      <w:pPr>
        <w:ind w:left="1347" w:hanging="420"/>
      </w:pPr>
    </w:lvl>
    <w:lvl w:ilvl="2" w:tentative="0">
      <w:start w:val="1"/>
      <w:numFmt w:val="lowerRoman"/>
      <w:lvlText w:val="%3."/>
      <w:lvlJc w:val="right"/>
      <w:pPr>
        <w:ind w:left="1767" w:hanging="420"/>
      </w:pPr>
    </w:lvl>
    <w:lvl w:ilvl="3" w:tentative="0">
      <w:start w:val="1"/>
      <w:numFmt w:val="decimal"/>
      <w:lvlText w:val="%4."/>
      <w:lvlJc w:val="left"/>
      <w:pPr>
        <w:ind w:left="2187" w:hanging="420"/>
      </w:pPr>
    </w:lvl>
    <w:lvl w:ilvl="4" w:tentative="0">
      <w:start w:val="1"/>
      <w:numFmt w:val="lowerLetter"/>
      <w:lvlText w:val="%5)"/>
      <w:lvlJc w:val="left"/>
      <w:pPr>
        <w:ind w:left="2607" w:hanging="420"/>
      </w:pPr>
    </w:lvl>
    <w:lvl w:ilvl="5" w:tentative="0">
      <w:start w:val="1"/>
      <w:numFmt w:val="lowerRoman"/>
      <w:lvlText w:val="%6."/>
      <w:lvlJc w:val="right"/>
      <w:pPr>
        <w:ind w:left="3027" w:hanging="420"/>
      </w:pPr>
    </w:lvl>
    <w:lvl w:ilvl="6" w:tentative="0">
      <w:start w:val="1"/>
      <w:numFmt w:val="decimal"/>
      <w:lvlText w:val="%7."/>
      <w:lvlJc w:val="left"/>
      <w:pPr>
        <w:ind w:left="3447" w:hanging="420"/>
      </w:pPr>
    </w:lvl>
    <w:lvl w:ilvl="7" w:tentative="0">
      <w:start w:val="1"/>
      <w:numFmt w:val="lowerLetter"/>
      <w:lvlText w:val="%8)"/>
      <w:lvlJc w:val="left"/>
      <w:pPr>
        <w:ind w:left="3867" w:hanging="420"/>
      </w:pPr>
    </w:lvl>
    <w:lvl w:ilvl="8" w:tentative="0">
      <w:start w:val="1"/>
      <w:numFmt w:val="lowerRoman"/>
      <w:lvlText w:val="%9."/>
      <w:lvlJc w:val="right"/>
      <w:pPr>
        <w:ind w:left="4287" w:hanging="42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Y2NiYTcwYWMwZTBmZDU1NzVmOTJiMjU3OTI0MDMifQ=="/>
  </w:docVars>
  <w:rsids>
    <w:rsidRoot w:val="00C67B9E"/>
    <w:rsid w:val="00003F80"/>
    <w:rsid w:val="00010D78"/>
    <w:rsid w:val="00016DBC"/>
    <w:rsid w:val="00045EA7"/>
    <w:rsid w:val="00060332"/>
    <w:rsid w:val="0007026B"/>
    <w:rsid w:val="00076353"/>
    <w:rsid w:val="000C63C7"/>
    <w:rsid w:val="000D71F3"/>
    <w:rsid w:val="000E37C8"/>
    <w:rsid w:val="002454D2"/>
    <w:rsid w:val="0024686B"/>
    <w:rsid w:val="00257951"/>
    <w:rsid w:val="002969B5"/>
    <w:rsid w:val="002B4BD0"/>
    <w:rsid w:val="00311BF7"/>
    <w:rsid w:val="00367130"/>
    <w:rsid w:val="003D6789"/>
    <w:rsid w:val="003F32BE"/>
    <w:rsid w:val="0041428F"/>
    <w:rsid w:val="00427951"/>
    <w:rsid w:val="0043452D"/>
    <w:rsid w:val="004642BD"/>
    <w:rsid w:val="005137C4"/>
    <w:rsid w:val="00547999"/>
    <w:rsid w:val="00561F31"/>
    <w:rsid w:val="005F73CE"/>
    <w:rsid w:val="00647271"/>
    <w:rsid w:val="00647402"/>
    <w:rsid w:val="00680A0B"/>
    <w:rsid w:val="006A5FED"/>
    <w:rsid w:val="006E2AA9"/>
    <w:rsid w:val="006F097F"/>
    <w:rsid w:val="006F692D"/>
    <w:rsid w:val="0073626D"/>
    <w:rsid w:val="00755CE1"/>
    <w:rsid w:val="00790B41"/>
    <w:rsid w:val="007D4DA6"/>
    <w:rsid w:val="007F735F"/>
    <w:rsid w:val="008A6022"/>
    <w:rsid w:val="008C0E1C"/>
    <w:rsid w:val="008C39E4"/>
    <w:rsid w:val="00905DC1"/>
    <w:rsid w:val="00926FD5"/>
    <w:rsid w:val="009369DF"/>
    <w:rsid w:val="009470AE"/>
    <w:rsid w:val="00953F00"/>
    <w:rsid w:val="00970EDE"/>
    <w:rsid w:val="00974177"/>
    <w:rsid w:val="009A257E"/>
    <w:rsid w:val="009F2A05"/>
    <w:rsid w:val="00A029C6"/>
    <w:rsid w:val="00A273EF"/>
    <w:rsid w:val="00A32141"/>
    <w:rsid w:val="00A76BAE"/>
    <w:rsid w:val="00A8369B"/>
    <w:rsid w:val="00AA4F62"/>
    <w:rsid w:val="00AB11EA"/>
    <w:rsid w:val="00AE20BB"/>
    <w:rsid w:val="00AF1D2C"/>
    <w:rsid w:val="00AF4E09"/>
    <w:rsid w:val="00B03E67"/>
    <w:rsid w:val="00B12076"/>
    <w:rsid w:val="00B1659E"/>
    <w:rsid w:val="00B66757"/>
    <w:rsid w:val="00BA378E"/>
    <w:rsid w:val="00BD368D"/>
    <w:rsid w:val="00BF25BA"/>
    <w:rsid w:val="00C5461D"/>
    <w:rsid w:val="00C67B9E"/>
    <w:rsid w:val="00C71E57"/>
    <w:rsid w:val="00C7798D"/>
    <w:rsid w:val="00C9364E"/>
    <w:rsid w:val="00CA3892"/>
    <w:rsid w:val="00CD56D1"/>
    <w:rsid w:val="00CD5C7A"/>
    <w:rsid w:val="00CE66A7"/>
    <w:rsid w:val="00CF64F4"/>
    <w:rsid w:val="00D24570"/>
    <w:rsid w:val="00D6314B"/>
    <w:rsid w:val="00DA4A02"/>
    <w:rsid w:val="00DF5367"/>
    <w:rsid w:val="00E010F0"/>
    <w:rsid w:val="00E31D1D"/>
    <w:rsid w:val="00E474FD"/>
    <w:rsid w:val="00E71035"/>
    <w:rsid w:val="00E964A9"/>
    <w:rsid w:val="00EB1EF1"/>
    <w:rsid w:val="00ED6097"/>
    <w:rsid w:val="00EE6E6F"/>
    <w:rsid w:val="00F200FF"/>
    <w:rsid w:val="00F23760"/>
    <w:rsid w:val="00F35975"/>
    <w:rsid w:val="00F735AD"/>
    <w:rsid w:val="00F872EF"/>
    <w:rsid w:val="00F96BB4"/>
    <w:rsid w:val="01B60758"/>
    <w:rsid w:val="049A7ADA"/>
    <w:rsid w:val="056725CD"/>
    <w:rsid w:val="05DC3CE8"/>
    <w:rsid w:val="05DF4A73"/>
    <w:rsid w:val="063E15E5"/>
    <w:rsid w:val="08DA0237"/>
    <w:rsid w:val="09FE0C04"/>
    <w:rsid w:val="0CA317C3"/>
    <w:rsid w:val="0E3A6663"/>
    <w:rsid w:val="0F2F09E0"/>
    <w:rsid w:val="0F552755"/>
    <w:rsid w:val="118F66DA"/>
    <w:rsid w:val="152E64B4"/>
    <w:rsid w:val="16782C09"/>
    <w:rsid w:val="1782216E"/>
    <w:rsid w:val="190204C9"/>
    <w:rsid w:val="1A184CDB"/>
    <w:rsid w:val="1AA11864"/>
    <w:rsid w:val="1CB41379"/>
    <w:rsid w:val="25967894"/>
    <w:rsid w:val="25E46AA9"/>
    <w:rsid w:val="28653295"/>
    <w:rsid w:val="29A540FB"/>
    <w:rsid w:val="2C522880"/>
    <w:rsid w:val="2FCE4B52"/>
    <w:rsid w:val="31E85F01"/>
    <w:rsid w:val="32041139"/>
    <w:rsid w:val="35B43C28"/>
    <w:rsid w:val="36390BFE"/>
    <w:rsid w:val="380E60C6"/>
    <w:rsid w:val="38A30A78"/>
    <w:rsid w:val="398F777C"/>
    <w:rsid w:val="3B6450B5"/>
    <w:rsid w:val="3BE13D5E"/>
    <w:rsid w:val="3CBD3885"/>
    <w:rsid w:val="3DB51F95"/>
    <w:rsid w:val="3E61128B"/>
    <w:rsid w:val="3EDC31B1"/>
    <w:rsid w:val="40DC035C"/>
    <w:rsid w:val="417E2ACB"/>
    <w:rsid w:val="42F01EAE"/>
    <w:rsid w:val="445B5ADD"/>
    <w:rsid w:val="47804C94"/>
    <w:rsid w:val="47C43ABD"/>
    <w:rsid w:val="48E01BEC"/>
    <w:rsid w:val="4A5F1FFB"/>
    <w:rsid w:val="4B2966FB"/>
    <w:rsid w:val="4C165FF3"/>
    <w:rsid w:val="4D445ABA"/>
    <w:rsid w:val="4DE44058"/>
    <w:rsid w:val="50F33EC0"/>
    <w:rsid w:val="54173987"/>
    <w:rsid w:val="57B64ACD"/>
    <w:rsid w:val="58913036"/>
    <w:rsid w:val="5E82054B"/>
    <w:rsid w:val="5FFF6BD8"/>
    <w:rsid w:val="62B91956"/>
    <w:rsid w:val="6393607E"/>
    <w:rsid w:val="63A17009"/>
    <w:rsid w:val="689D68CD"/>
    <w:rsid w:val="690C3805"/>
    <w:rsid w:val="69427100"/>
    <w:rsid w:val="6CDE3881"/>
    <w:rsid w:val="6EB72302"/>
    <w:rsid w:val="6F2F7038"/>
    <w:rsid w:val="6FEC03B0"/>
    <w:rsid w:val="700375BC"/>
    <w:rsid w:val="71E600ED"/>
    <w:rsid w:val="73CE09B0"/>
    <w:rsid w:val="74530EF4"/>
    <w:rsid w:val="7459215D"/>
    <w:rsid w:val="75866347"/>
    <w:rsid w:val="77E3280A"/>
    <w:rsid w:val="783B0B38"/>
    <w:rsid w:val="795A4B00"/>
    <w:rsid w:val="7C84345E"/>
    <w:rsid w:val="7D6E23B5"/>
    <w:rsid w:val="7FE2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eastAsia="微软雅黑" w:asciiTheme="minorHAnsi" w:hAnsiTheme="minorHAnsi" w:cstheme="minorBidi"/>
      <w:kern w:val="2"/>
      <w:sz w:val="21"/>
      <w:szCs w:val="22"/>
      <w:lang w:val="en-US" w:eastAsia="zh-CN" w:bidi="ar-SA"/>
    </w:rPr>
  </w:style>
  <w:style w:type="paragraph" w:styleId="4">
    <w:name w:val="heading 1"/>
    <w:basedOn w:val="1"/>
    <w:next w:val="1"/>
    <w:link w:val="18"/>
    <w:qFormat/>
    <w:uiPriority w:val="0"/>
    <w:pPr>
      <w:keepNext/>
      <w:keepLines/>
      <w:numPr>
        <w:ilvl w:val="0"/>
        <w:numId w:val="1"/>
      </w:numPr>
      <w:spacing w:before="340" w:after="330" w:line="578" w:lineRule="auto"/>
      <w:outlineLvl w:val="0"/>
    </w:pPr>
    <w:rPr>
      <w:rFonts w:ascii="Calibri" w:hAnsi="Calibri" w:eastAsia="黑体" w:cs="Times New Roman"/>
      <w:b/>
      <w:bCs/>
      <w:kern w:val="44"/>
      <w:sz w:val="36"/>
      <w:szCs w:val="44"/>
      <w:lang w:val="zh-CN"/>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Quote"/>
    <w:basedOn w:val="1"/>
    <w:next w:val="1"/>
    <w:qFormat/>
    <w:uiPriority w:val="99"/>
    <w:rPr>
      <w:rFonts w:ascii="Calibri" w:hAnsi="Calibri" w:cs="Calibri"/>
      <w:i/>
      <w:iCs/>
      <w:color w:val="000000"/>
      <w:sz w:val="22"/>
      <w:szCs w:val="22"/>
    </w:rPr>
  </w:style>
  <w:style w:type="paragraph" w:styleId="5">
    <w:name w:val="Normal Indent"/>
    <w:basedOn w:val="1"/>
    <w:next w:val="2"/>
    <w:qFormat/>
    <w:uiPriority w:val="0"/>
    <w:pPr>
      <w:spacing w:after="0" w:line="240" w:lineRule="auto"/>
      <w:ind w:firstLine="420" w:firstLineChars="200"/>
    </w:pPr>
    <w:rPr>
      <w:rFonts w:ascii="Calibri" w:hAnsi="Calibri" w:eastAsia="宋体" w:cs="Times New Roman"/>
      <w:szCs w:val="21"/>
    </w:rPr>
  </w:style>
  <w:style w:type="paragraph" w:styleId="6">
    <w:name w:val="annotation text"/>
    <w:basedOn w:val="1"/>
    <w:link w:val="19"/>
    <w:unhideWhenUsed/>
    <w:qFormat/>
    <w:uiPriority w:val="0"/>
    <w:pPr>
      <w:spacing w:line="360" w:lineRule="auto"/>
      <w:ind w:firstLine="883" w:firstLineChars="200"/>
      <w:jc w:val="left"/>
    </w:pPr>
    <w:rPr>
      <w:rFonts w:ascii="Times New Roman" w:hAnsi="Times New Roman" w:eastAsia="宋体" w:cs="Times New Roman"/>
      <w:sz w:val="24"/>
      <w:lang w:val="zh-CN"/>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styleId="14">
    <w:name w:val="List Paragraph"/>
    <w:basedOn w:val="1"/>
    <w:link w:val="21"/>
    <w:qFormat/>
    <w:uiPriority w:val="34"/>
    <w:pPr>
      <w:ind w:firstLine="420" w:firstLineChars="200"/>
    </w:pPr>
  </w:style>
  <w:style w:type="character" w:customStyle="1" w:styleId="15">
    <w:name w:val="标题 1 字符"/>
    <w:basedOn w:val="11"/>
    <w:qFormat/>
    <w:uiPriority w:val="9"/>
    <w:rPr>
      <w:rFonts w:asciiTheme="minorHAnsi" w:hAnsiTheme="minorHAnsi" w:eastAsiaTheme="minorEastAsia" w:cstheme="minorBidi"/>
      <w:b/>
      <w:bCs/>
      <w:kern w:val="44"/>
      <w:sz w:val="44"/>
      <w:szCs w:val="44"/>
    </w:rPr>
  </w:style>
  <w:style w:type="character" w:customStyle="1" w:styleId="16">
    <w:name w:val="批注文字 字符"/>
    <w:basedOn w:val="11"/>
    <w:semiHidden/>
    <w:qFormat/>
    <w:uiPriority w:val="99"/>
    <w:rPr>
      <w:rFonts w:asciiTheme="minorHAnsi" w:hAnsiTheme="minorHAnsi" w:eastAsiaTheme="minorEastAsia" w:cstheme="minorBidi"/>
      <w:kern w:val="2"/>
      <w:sz w:val="21"/>
      <w:szCs w:val="22"/>
    </w:rPr>
  </w:style>
  <w:style w:type="paragraph" w:customStyle="1" w:styleId="17">
    <w:name w:val="表格文字"/>
    <w:basedOn w:val="1"/>
    <w:qFormat/>
    <w:uiPriority w:val="0"/>
    <w:pPr>
      <w:spacing w:before="25" w:after="25"/>
      <w:ind w:firstLine="200" w:firstLineChars="200"/>
      <w:jc w:val="left"/>
    </w:pPr>
    <w:rPr>
      <w:rFonts w:ascii="Times New Roman" w:hAnsi="Times New Roman" w:eastAsia="宋体" w:cs="Times New Roman"/>
      <w:bCs/>
      <w:spacing w:val="10"/>
      <w:kern w:val="0"/>
      <w:sz w:val="24"/>
    </w:rPr>
  </w:style>
  <w:style w:type="character" w:customStyle="1" w:styleId="18">
    <w:name w:val="标题 1 字符1"/>
    <w:link w:val="4"/>
    <w:qFormat/>
    <w:locked/>
    <w:uiPriority w:val="0"/>
    <w:rPr>
      <w:rFonts w:eastAsia="黑体" w:cs="Times New Roman"/>
      <w:b/>
      <w:bCs/>
      <w:kern w:val="44"/>
      <w:sz w:val="36"/>
      <w:szCs w:val="44"/>
      <w:lang w:val="zh-CN" w:eastAsia="zh-CN"/>
    </w:rPr>
  </w:style>
  <w:style w:type="character" w:customStyle="1" w:styleId="19">
    <w:name w:val="批注文字 字符1"/>
    <w:link w:val="6"/>
    <w:qFormat/>
    <w:locked/>
    <w:uiPriority w:val="0"/>
    <w:rPr>
      <w:rFonts w:ascii="Times New Roman" w:hAnsi="Times New Roman" w:cs="Times New Roman"/>
      <w:kern w:val="2"/>
      <w:sz w:val="24"/>
      <w:szCs w:val="22"/>
      <w:lang w:val="zh-CN" w:eastAsia="zh-CN"/>
    </w:rPr>
  </w:style>
  <w:style w:type="paragraph" w:customStyle="1" w:styleId="20">
    <w:name w:val="_Style 1"/>
    <w:basedOn w:val="1"/>
    <w:next w:val="1"/>
    <w:qFormat/>
    <w:uiPriority w:val="99"/>
    <w:pPr>
      <w:ind w:firstLine="420" w:firstLineChars="200"/>
    </w:pPr>
  </w:style>
  <w:style w:type="character" w:customStyle="1" w:styleId="21">
    <w:name w:val="列表段落 字符"/>
    <w:link w:val="14"/>
    <w:qFormat/>
    <w:uiPriority w:val="34"/>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655</Words>
  <Characters>3734</Characters>
  <Lines>31</Lines>
  <Paragraphs>8</Paragraphs>
  <TotalTime>1</TotalTime>
  <ScaleCrop>false</ScaleCrop>
  <LinksUpToDate>false</LinksUpToDate>
  <CharactersWithSpaces>4381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2024-06-27T05:56:00Z</dcterms:created>
  <dc:creator>Administrator</dc:creator>
  <cp:lastModifiedBy>追梦</cp:lastModifiedBy>
  <dcterms:modified xsi:type="dcterms:W3CDTF">2024-07-11T07:59:13Z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FAB9707BEA61497796EB6B321C2515B7</vt:lpwstr>
  </property>
</Properties>
</file>