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仿宋_GB2312" w:eastAsia="仿宋_GB2312"/>
          <w:b/>
          <w:bCs/>
          <w:sz w:val="30"/>
          <w:szCs w:val="30"/>
          <w:lang w:eastAsia="zh-CN"/>
        </w:rPr>
      </w:pPr>
      <w:r>
        <w:rPr>
          <w:rFonts w:hint="eastAsia" w:ascii="仿宋_GB2312" w:eastAsia="仿宋_GB2312"/>
          <w:b/>
          <w:bCs/>
          <w:sz w:val="30"/>
          <w:szCs w:val="30"/>
        </w:rPr>
        <w:t>附件</w:t>
      </w:r>
      <w:r>
        <w:rPr>
          <w:rFonts w:hint="eastAsia" w:ascii="仿宋_GB2312" w:eastAsia="仿宋_GB2312"/>
          <w:b/>
          <w:bCs/>
          <w:sz w:val="30"/>
          <w:szCs w:val="30"/>
          <w:lang w:val="en-US" w:eastAsia="zh-CN"/>
        </w:rPr>
        <w:t>2</w:t>
      </w:r>
      <w:r>
        <w:rPr>
          <w:rFonts w:hint="eastAsia" w:ascii="仿宋_GB2312" w:eastAsia="仿宋_GB2312"/>
          <w:b/>
          <w:bCs/>
          <w:sz w:val="30"/>
          <w:szCs w:val="30"/>
        </w:rPr>
        <w:t>：</w:t>
      </w:r>
      <w:r>
        <w:rPr>
          <w:rFonts w:hint="eastAsia" w:ascii="仿宋_GB2312" w:eastAsia="仿宋_GB2312"/>
          <w:b/>
          <w:bCs/>
          <w:sz w:val="30"/>
          <w:szCs w:val="30"/>
          <w:lang w:eastAsia="zh-CN"/>
        </w:rPr>
        <w:t>综合评分表</w:t>
      </w:r>
    </w:p>
    <w:p>
      <w:pPr>
        <w:pStyle w:val="4"/>
        <w:rPr>
          <w:rFonts w:hint="eastAsia"/>
          <w:lang w:eastAsia="zh-CN"/>
        </w:rPr>
      </w:pPr>
    </w:p>
    <w:p>
      <w:pPr>
        <w:widowControl w:val="0"/>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spacing w:before="0" w:line="360" w:lineRule="auto"/>
        <w:jc w:val="center"/>
        <w:rPr>
          <w:rFonts w:hint="default" w:ascii="PingFang SC Regular" w:hAnsi="PingFang SC Regular" w:eastAsia="PingFang SC Regular" w:cs="PingFang SC Regular"/>
          <w:sz w:val="36"/>
          <w:szCs w:val="36"/>
          <w:lang w:val="en-US"/>
        </w:rPr>
      </w:pPr>
      <w:r>
        <w:rPr>
          <w:rFonts w:hint="eastAsia" w:eastAsia="PingFang SC Regular"/>
          <w:sz w:val="36"/>
          <w:szCs w:val="36"/>
          <w:lang w:val="en-US" w:eastAsia="zh-CN"/>
        </w:rPr>
        <w:t>龙岗区城投集团合规管理体系认证服务采购项目</w:t>
      </w:r>
    </w:p>
    <w:p>
      <w:pPr>
        <w:widowControl w:val="0"/>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spacing w:before="0" w:line="360" w:lineRule="auto"/>
        <w:jc w:val="center"/>
        <w:rPr>
          <w:rFonts w:hint="default" w:ascii="PingFang SC Regular" w:hAnsi="PingFang SC Regular" w:eastAsia="PingFang SC Regular" w:cs="PingFang SC Regular"/>
          <w:kern w:val="2"/>
          <w:sz w:val="36"/>
          <w:szCs w:val="36"/>
        </w:rPr>
      </w:pPr>
      <w:r>
        <w:rPr>
          <w:rFonts w:eastAsia="PingFang SC Regular"/>
          <w:kern w:val="2"/>
          <w:sz w:val="36"/>
          <w:szCs w:val="36"/>
        </w:rPr>
        <w:t>综合评分表</w:t>
      </w:r>
    </w:p>
    <w:tbl>
      <w:tblPr>
        <w:tblStyle w:val="6"/>
        <w:tblW w:w="9632" w:type="dxa"/>
        <w:tblInd w:w="-246" w:type="dxa"/>
        <w:tblLayout w:type="fixed"/>
        <w:tblCellMar>
          <w:top w:w="0" w:type="dxa"/>
          <w:left w:w="108" w:type="dxa"/>
          <w:bottom w:w="0" w:type="dxa"/>
          <w:right w:w="108" w:type="dxa"/>
        </w:tblCellMar>
      </w:tblPr>
      <w:tblGrid>
        <w:gridCol w:w="570"/>
        <w:gridCol w:w="1656"/>
        <w:gridCol w:w="709"/>
        <w:gridCol w:w="5811"/>
        <w:gridCol w:w="886"/>
      </w:tblGrid>
      <w:tr>
        <w:tblPrEx>
          <w:tblCellMar>
            <w:top w:w="0" w:type="dxa"/>
            <w:left w:w="108" w:type="dxa"/>
            <w:bottom w:w="0" w:type="dxa"/>
            <w:right w:w="108" w:type="dxa"/>
          </w:tblCellMar>
        </w:tblPrEx>
        <w:trPr>
          <w:trHeight w:val="658" w:hRule="atLeast"/>
        </w:trPr>
        <w:tc>
          <w:tcPr>
            <w:tcW w:w="57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b/>
                <w:szCs w:val="21"/>
              </w:rPr>
            </w:pPr>
            <w:r>
              <w:rPr>
                <w:rFonts w:hint="eastAsia"/>
                <w:b/>
                <w:szCs w:val="21"/>
              </w:rPr>
              <w:t>序号</w:t>
            </w:r>
          </w:p>
        </w:tc>
        <w:tc>
          <w:tcPr>
            <w:tcW w:w="165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b/>
                <w:szCs w:val="21"/>
              </w:rPr>
            </w:pPr>
            <w:r>
              <w:rPr>
                <w:rFonts w:hint="eastAsia"/>
                <w:b/>
                <w:szCs w:val="21"/>
              </w:rPr>
              <w:t>评分项</w:t>
            </w:r>
          </w:p>
        </w:tc>
        <w:tc>
          <w:tcPr>
            <w:tcW w:w="70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b/>
                <w:szCs w:val="21"/>
              </w:rPr>
            </w:pPr>
            <w:r>
              <w:rPr>
                <w:rFonts w:hint="eastAsia"/>
                <w:b/>
                <w:szCs w:val="21"/>
              </w:rPr>
              <w:t>分值</w:t>
            </w:r>
          </w:p>
        </w:tc>
        <w:tc>
          <w:tcPr>
            <w:tcW w:w="5811"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b/>
                <w:szCs w:val="21"/>
              </w:rPr>
            </w:pPr>
            <w:r>
              <w:rPr>
                <w:rFonts w:hint="eastAsia"/>
                <w:b/>
                <w:szCs w:val="21"/>
              </w:rPr>
              <w:t>评分规则</w:t>
            </w:r>
          </w:p>
        </w:tc>
        <w:tc>
          <w:tcPr>
            <w:tcW w:w="886" w:type="dxa"/>
            <w:tcBorders>
              <w:top w:val="single" w:color="auto" w:sz="4" w:space="0"/>
              <w:left w:val="nil"/>
              <w:bottom w:val="single" w:color="auto" w:sz="4" w:space="0"/>
              <w:right w:val="single" w:color="auto" w:sz="4" w:space="0"/>
            </w:tcBorders>
            <w:vAlign w:val="center"/>
          </w:tcPr>
          <w:p>
            <w:pPr>
              <w:adjustRightInd w:val="0"/>
              <w:snapToGrid w:val="0"/>
              <w:jc w:val="center"/>
              <w:rPr>
                <w:b/>
                <w:szCs w:val="21"/>
              </w:rPr>
            </w:pPr>
            <w:r>
              <w:rPr>
                <w:rFonts w:hint="eastAsia"/>
                <w:b/>
                <w:szCs w:val="21"/>
              </w:rPr>
              <w:t>备注</w:t>
            </w:r>
          </w:p>
        </w:tc>
      </w:tr>
      <w:tr>
        <w:tblPrEx>
          <w:tblCellMar>
            <w:top w:w="0" w:type="dxa"/>
            <w:left w:w="108" w:type="dxa"/>
            <w:bottom w:w="0" w:type="dxa"/>
            <w:right w:w="108" w:type="dxa"/>
          </w:tblCellMar>
        </w:tblPrEx>
        <w:trPr>
          <w:trHeight w:val="766" w:hRule="atLeast"/>
        </w:trPr>
        <w:tc>
          <w:tcPr>
            <w:tcW w:w="570" w:type="dxa"/>
            <w:tcBorders>
              <w:top w:val="nil"/>
              <w:left w:val="single" w:color="auto" w:sz="4" w:space="0"/>
              <w:bottom w:val="single" w:color="auto" w:sz="4" w:space="0"/>
              <w:right w:val="single" w:color="auto" w:sz="4" w:space="0"/>
            </w:tcBorders>
            <w:vAlign w:val="center"/>
          </w:tcPr>
          <w:p>
            <w:pPr>
              <w:adjustRightInd w:val="0"/>
              <w:snapToGrid w:val="0"/>
              <w:jc w:val="center"/>
              <w:rPr>
                <w:bCs/>
                <w:szCs w:val="21"/>
              </w:rPr>
            </w:pPr>
            <w:r>
              <w:rPr>
                <w:rFonts w:hint="eastAsia"/>
                <w:bCs/>
                <w:szCs w:val="21"/>
              </w:rPr>
              <w:t>1</w:t>
            </w:r>
          </w:p>
        </w:tc>
        <w:tc>
          <w:tcPr>
            <w:tcW w:w="1656" w:type="dxa"/>
            <w:tcBorders>
              <w:top w:val="single" w:color="auto" w:sz="4" w:space="0"/>
              <w:left w:val="single" w:color="auto" w:sz="4" w:space="0"/>
              <w:bottom w:val="single" w:color="auto" w:sz="4" w:space="0"/>
              <w:right w:val="single" w:color="auto" w:sz="4" w:space="0"/>
            </w:tcBorders>
            <w:vAlign w:val="center"/>
          </w:tcPr>
          <w:p>
            <w:pPr>
              <w:tabs>
                <w:tab w:val="left" w:pos="900"/>
              </w:tabs>
              <w:jc w:val="center"/>
              <w:rPr>
                <w:bCs/>
                <w:szCs w:val="21"/>
              </w:rPr>
            </w:pPr>
            <w:r>
              <w:rPr>
                <w:rFonts w:hint="eastAsia"/>
                <w:bCs/>
                <w:szCs w:val="21"/>
              </w:rPr>
              <w:t>报价</w:t>
            </w:r>
          </w:p>
        </w:tc>
        <w:tc>
          <w:tcPr>
            <w:tcW w:w="709" w:type="dxa"/>
            <w:tcBorders>
              <w:top w:val="single" w:color="auto" w:sz="4" w:space="0"/>
              <w:left w:val="single" w:color="auto" w:sz="4" w:space="0"/>
              <w:bottom w:val="single" w:color="auto" w:sz="4" w:space="0"/>
              <w:right w:val="single" w:color="auto" w:sz="4" w:space="0"/>
            </w:tcBorders>
            <w:vAlign w:val="center"/>
          </w:tcPr>
          <w:p>
            <w:pPr>
              <w:jc w:val="center"/>
              <w:rPr>
                <w:bCs/>
                <w:szCs w:val="21"/>
              </w:rPr>
            </w:pPr>
            <w:r>
              <w:rPr>
                <w:rFonts w:hint="eastAsia"/>
                <w:bCs/>
                <w:szCs w:val="21"/>
                <w:lang w:val="en-US" w:eastAsia="zh-CN"/>
              </w:rPr>
              <w:t>2</w:t>
            </w:r>
            <w:r>
              <w:rPr>
                <w:bCs/>
                <w:szCs w:val="21"/>
              </w:rPr>
              <w:t>0</w:t>
            </w:r>
          </w:p>
        </w:tc>
        <w:tc>
          <w:tcPr>
            <w:tcW w:w="5811" w:type="dxa"/>
            <w:tcBorders>
              <w:top w:val="single" w:color="auto" w:sz="4" w:space="0"/>
              <w:left w:val="single" w:color="auto" w:sz="4" w:space="0"/>
              <w:bottom w:val="single" w:color="auto" w:sz="4" w:space="0"/>
              <w:right w:val="single" w:color="auto" w:sz="4" w:space="0"/>
            </w:tcBorders>
            <w:vAlign w:val="center"/>
          </w:tcPr>
          <w:p>
            <w:pPr>
              <w:adjustRightInd w:val="0"/>
              <w:snapToGrid w:val="0"/>
              <w:jc w:val="left"/>
              <w:rPr>
                <w:bCs/>
                <w:szCs w:val="21"/>
              </w:rPr>
            </w:pPr>
            <w:r>
              <w:rPr>
                <w:rFonts w:hint="eastAsia"/>
                <w:bCs/>
                <w:szCs w:val="21"/>
              </w:rPr>
              <w:t>价格分计算方法：报价为平均数的为最高分即满分。</w:t>
            </w:r>
          </w:p>
          <w:p>
            <w:pPr>
              <w:adjustRightInd w:val="0"/>
              <w:snapToGrid w:val="0"/>
              <w:jc w:val="left"/>
              <w:rPr>
                <w:bCs/>
                <w:szCs w:val="21"/>
              </w:rPr>
            </w:pPr>
            <w:r>
              <w:rPr>
                <w:rFonts w:hint="eastAsia"/>
                <w:bCs/>
                <w:szCs w:val="21"/>
              </w:rPr>
              <w:t>假设供应商的报价结果分别为B1、B2、B3……Bn，                                                  则报价的平均数为C=[B1＋B2＋B3＋……＋Bn]÷n，供应商n的报价得分=</w:t>
            </w:r>
            <w:r>
              <w:rPr>
                <w:rFonts w:hint="eastAsia"/>
                <w:bCs/>
                <w:szCs w:val="21"/>
                <w:lang w:val="en-US" w:eastAsia="zh-CN"/>
              </w:rPr>
              <w:t>2</w:t>
            </w:r>
            <w:r>
              <w:rPr>
                <w:rFonts w:hint="eastAsia"/>
                <w:bCs/>
                <w:szCs w:val="21"/>
              </w:rPr>
              <w:t>0</w:t>
            </w:r>
            <w:r>
              <w:rPr>
                <w:rFonts w:ascii="Arial" w:hAnsi="Arial" w:cs="Arial"/>
                <w:bCs/>
                <w:szCs w:val="21"/>
              </w:rPr>
              <w:t>×</w:t>
            </w:r>
            <w:r>
              <w:rPr>
                <w:rFonts w:hint="eastAsia"/>
                <w:bCs/>
                <w:szCs w:val="21"/>
              </w:rPr>
              <w:t>{1-(∣Bn－C∣)÷C}</w:t>
            </w:r>
          </w:p>
        </w:tc>
        <w:tc>
          <w:tcPr>
            <w:tcW w:w="88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hAnsi="宋体" w:eastAsia="仿宋_GB2312" w:cs="宋体"/>
                <w:szCs w:val="21"/>
              </w:rPr>
            </w:pPr>
          </w:p>
        </w:tc>
      </w:tr>
      <w:tr>
        <w:tblPrEx>
          <w:tblCellMar>
            <w:top w:w="0" w:type="dxa"/>
            <w:left w:w="108" w:type="dxa"/>
            <w:bottom w:w="0" w:type="dxa"/>
            <w:right w:w="108" w:type="dxa"/>
          </w:tblCellMar>
        </w:tblPrEx>
        <w:trPr>
          <w:trHeight w:val="721" w:hRule="atLeast"/>
        </w:trPr>
        <w:tc>
          <w:tcPr>
            <w:tcW w:w="57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Theme="minorHAnsi" w:hAnsiTheme="minorHAnsi" w:eastAsiaTheme="minorEastAsia" w:cstheme="minorBidi"/>
                <w:bCs/>
                <w:szCs w:val="21"/>
                <w:lang w:eastAsia="zh-CN"/>
              </w:rPr>
            </w:pPr>
            <w:r>
              <w:rPr>
                <w:rFonts w:hint="eastAsia"/>
                <w:bCs/>
                <w:szCs w:val="21"/>
                <w:lang w:val="en-US" w:eastAsia="zh-CN"/>
              </w:rPr>
              <w:t>2</w:t>
            </w:r>
          </w:p>
        </w:tc>
        <w:tc>
          <w:tcPr>
            <w:tcW w:w="165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asciiTheme="minorHAnsi" w:hAnsiTheme="minorHAnsi" w:eastAsiaTheme="minorEastAsia" w:cstheme="minorBidi"/>
                <w:bCs/>
                <w:kern w:val="2"/>
                <w:sz w:val="21"/>
                <w:szCs w:val="21"/>
                <w:lang w:val="en-US" w:eastAsia="zh-CN" w:bidi="ar-SA"/>
              </w:rPr>
            </w:pPr>
            <w:r>
              <w:rPr>
                <w:rFonts w:hint="eastAsia" w:asciiTheme="minorHAnsi" w:hAnsiTheme="minorHAnsi" w:eastAsiaTheme="minorEastAsia" w:cstheme="minorBidi"/>
                <w:bCs/>
                <w:szCs w:val="21"/>
              </w:rPr>
              <w:t>合规</w:t>
            </w:r>
            <w:r>
              <w:rPr>
                <w:rFonts w:hint="eastAsia" w:cstheme="minorBidi"/>
                <w:bCs/>
                <w:szCs w:val="21"/>
                <w:lang w:val="en-US" w:eastAsia="zh-CN"/>
              </w:rPr>
              <w:t>管理体系认证项目</w:t>
            </w:r>
            <w:r>
              <w:rPr>
                <w:rFonts w:hint="eastAsia" w:asciiTheme="minorHAnsi" w:hAnsiTheme="minorHAnsi" w:eastAsiaTheme="minorEastAsia" w:cstheme="minorBidi"/>
                <w:bCs/>
                <w:szCs w:val="21"/>
              </w:rPr>
              <w:t>业绩</w:t>
            </w:r>
          </w:p>
        </w:tc>
        <w:tc>
          <w:tcPr>
            <w:tcW w:w="709" w:type="dxa"/>
            <w:tcBorders>
              <w:top w:val="single" w:color="auto" w:sz="4" w:space="0"/>
              <w:left w:val="single" w:color="auto" w:sz="4" w:space="0"/>
              <w:bottom w:val="single" w:color="auto" w:sz="4" w:space="0"/>
              <w:right w:val="single" w:color="auto" w:sz="4" w:space="0"/>
            </w:tcBorders>
            <w:vAlign w:val="center"/>
          </w:tcPr>
          <w:p>
            <w:pPr>
              <w:jc w:val="center"/>
              <w:rPr>
                <w:rFonts w:hint="default" w:asciiTheme="minorHAnsi" w:hAnsiTheme="minorHAnsi" w:eastAsiaTheme="minorEastAsia" w:cstheme="minorBidi"/>
                <w:bCs/>
                <w:kern w:val="2"/>
                <w:sz w:val="21"/>
                <w:szCs w:val="21"/>
                <w:lang w:val="en-US" w:eastAsia="zh-CN" w:bidi="ar-SA"/>
              </w:rPr>
            </w:pPr>
            <w:r>
              <w:rPr>
                <w:rFonts w:hint="eastAsia"/>
                <w:bCs/>
                <w:szCs w:val="21"/>
                <w:lang w:val="en-US" w:eastAsia="zh-CN"/>
              </w:rPr>
              <w:t>30</w:t>
            </w:r>
          </w:p>
        </w:tc>
        <w:tc>
          <w:tcPr>
            <w:tcW w:w="5811" w:type="dxa"/>
            <w:tcBorders>
              <w:top w:val="single" w:color="auto" w:sz="4" w:space="0"/>
              <w:left w:val="single" w:color="auto" w:sz="4" w:space="0"/>
              <w:bottom w:val="single" w:color="auto" w:sz="4" w:space="0"/>
              <w:right w:val="single" w:color="auto" w:sz="4" w:space="0"/>
            </w:tcBorders>
            <w:vAlign w:val="center"/>
          </w:tcPr>
          <w:p>
            <w:pPr>
              <w:spacing w:line="300" w:lineRule="exact"/>
              <w:jc w:val="left"/>
              <w:rPr>
                <w:rFonts w:ascii="宋体" w:hAnsi="宋体" w:cs="宋体"/>
                <w:szCs w:val="21"/>
              </w:rPr>
            </w:pPr>
            <w:r>
              <w:rPr>
                <w:rFonts w:hint="eastAsia" w:ascii="宋体" w:hAnsi="宋体" w:cs="宋体"/>
                <w:szCs w:val="21"/>
                <w:lang w:val="en-US" w:eastAsia="zh-CN"/>
              </w:rPr>
              <w:t>2021年1月1日起，供应商</w:t>
            </w:r>
            <w:r>
              <w:rPr>
                <w:rFonts w:hint="eastAsia" w:ascii="宋体" w:hAnsi="宋体" w:cs="宋体"/>
                <w:szCs w:val="21"/>
              </w:rPr>
              <w:t>具有国有企业合规</w:t>
            </w:r>
            <w:r>
              <w:rPr>
                <w:rFonts w:hint="eastAsia" w:ascii="宋体" w:hAnsi="宋体" w:cs="宋体"/>
                <w:szCs w:val="21"/>
                <w:lang w:val="en-US" w:eastAsia="zh-CN"/>
              </w:rPr>
              <w:t>管理体系认证</w:t>
            </w:r>
            <w:r>
              <w:rPr>
                <w:rFonts w:hint="eastAsia" w:ascii="宋体" w:hAnsi="宋体" w:cs="宋体"/>
                <w:szCs w:val="21"/>
              </w:rPr>
              <w:t>项目业绩的，每提供一个项目合同得</w:t>
            </w:r>
            <w:r>
              <w:rPr>
                <w:rFonts w:hint="eastAsia" w:ascii="宋体" w:hAnsi="宋体" w:cs="宋体"/>
                <w:szCs w:val="21"/>
                <w:lang w:val="en-US" w:eastAsia="zh-CN"/>
              </w:rPr>
              <w:t>3</w:t>
            </w:r>
            <w:r>
              <w:rPr>
                <w:rFonts w:hint="eastAsia" w:ascii="宋体" w:hAnsi="宋体" w:cs="宋体"/>
                <w:szCs w:val="21"/>
              </w:rPr>
              <w:t>分，</w:t>
            </w:r>
            <w:r>
              <w:rPr>
                <w:rFonts w:hint="eastAsia" w:ascii="宋体" w:hAnsi="宋体" w:cs="宋体"/>
                <w:szCs w:val="21"/>
                <w:lang w:val="en-US" w:eastAsia="zh-CN"/>
              </w:rPr>
              <w:t>最高不超过30分</w:t>
            </w:r>
            <w:r>
              <w:rPr>
                <w:rFonts w:hint="eastAsia" w:ascii="宋体" w:hAnsi="宋体" w:cs="宋体"/>
                <w:szCs w:val="21"/>
              </w:rPr>
              <w:t>。</w:t>
            </w:r>
          </w:p>
          <w:p>
            <w:pPr>
              <w:wordWrap w:val="0"/>
              <w:rPr>
                <w:rFonts w:eastAsiaTheme="minorEastAsia"/>
                <w:b/>
                <w:bCs/>
              </w:rPr>
            </w:pPr>
            <w:r>
              <w:rPr>
                <w:rFonts w:hint="eastAsia" w:eastAsiaTheme="minorEastAsia"/>
                <w:b/>
                <w:bCs/>
              </w:rPr>
              <w:t>提供证明文件:</w:t>
            </w:r>
          </w:p>
          <w:p>
            <w:pPr>
              <w:keepNext/>
              <w:adjustRightInd w:val="0"/>
              <w:snapToGrid w:val="0"/>
              <w:rPr>
                <w:rFonts w:hint="eastAsia" w:asciiTheme="minorHAnsi" w:hAnsiTheme="minorHAnsi" w:eastAsiaTheme="minorEastAsia" w:cstheme="minorBidi"/>
                <w:kern w:val="2"/>
                <w:sz w:val="21"/>
                <w:szCs w:val="21"/>
                <w:lang w:val="en-US" w:eastAsia="zh-CN" w:bidi="ar-SA"/>
              </w:rPr>
            </w:pPr>
            <w:r>
              <w:rPr>
                <w:rFonts w:hint="eastAsia" w:eastAsiaTheme="minorEastAsia"/>
              </w:rPr>
              <w:t>合同关键页</w:t>
            </w:r>
            <w:r>
              <w:rPr>
                <w:rFonts w:hint="eastAsia"/>
                <w:lang w:val="en-US" w:eastAsia="zh-CN"/>
              </w:rPr>
              <w:t>和颁发证书的</w:t>
            </w:r>
            <w:r>
              <w:rPr>
                <w:rFonts w:hint="eastAsia" w:eastAsiaTheme="minorEastAsia"/>
              </w:rPr>
              <w:t>复印件，原件备查。</w:t>
            </w:r>
          </w:p>
        </w:tc>
        <w:tc>
          <w:tcPr>
            <w:tcW w:w="886"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cs="宋体"/>
                <w:szCs w:val="21"/>
              </w:rPr>
            </w:pPr>
          </w:p>
        </w:tc>
      </w:tr>
      <w:tr>
        <w:tblPrEx>
          <w:tblCellMar>
            <w:top w:w="0" w:type="dxa"/>
            <w:left w:w="108" w:type="dxa"/>
            <w:bottom w:w="0" w:type="dxa"/>
            <w:right w:w="108" w:type="dxa"/>
          </w:tblCellMar>
        </w:tblPrEx>
        <w:trPr>
          <w:trHeight w:val="378" w:hRule="atLeast"/>
        </w:trPr>
        <w:tc>
          <w:tcPr>
            <w:tcW w:w="57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eastAsiaTheme="minorEastAsia"/>
                <w:bCs/>
                <w:szCs w:val="21"/>
                <w:lang w:eastAsia="zh-CN"/>
              </w:rPr>
            </w:pPr>
            <w:r>
              <w:rPr>
                <w:rFonts w:hint="eastAsia"/>
                <w:bCs/>
                <w:szCs w:val="21"/>
                <w:lang w:val="en-US" w:eastAsia="zh-CN"/>
              </w:rPr>
              <w:t>3</w:t>
            </w:r>
          </w:p>
        </w:tc>
        <w:tc>
          <w:tcPr>
            <w:tcW w:w="165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Theme="minorHAnsi" w:hAnsiTheme="minorHAnsi" w:eastAsiaTheme="minorEastAsia" w:cstheme="minorBidi"/>
                <w:bCs/>
                <w:kern w:val="2"/>
                <w:sz w:val="21"/>
                <w:szCs w:val="21"/>
                <w:lang w:val="en-US" w:eastAsia="zh-CN" w:bidi="ar-SA"/>
              </w:rPr>
            </w:pPr>
            <w:r>
              <w:rPr>
                <w:rFonts w:hint="eastAsia" w:asciiTheme="minorHAnsi" w:hAnsiTheme="minorHAnsi" w:eastAsiaTheme="minorEastAsia" w:cstheme="minorBidi"/>
                <w:bCs/>
                <w:kern w:val="2"/>
                <w:sz w:val="21"/>
                <w:szCs w:val="21"/>
                <w:lang w:val="en-US" w:eastAsia="zh-Hans" w:bidi="ar-SA"/>
              </w:rPr>
              <w:t>项目负责人</w:t>
            </w:r>
            <w:r>
              <w:rPr>
                <w:rFonts w:hint="eastAsia" w:cstheme="minorBidi"/>
                <w:bCs/>
                <w:kern w:val="2"/>
                <w:sz w:val="21"/>
                <w:szCs w:val="21"/>
                <w:lang w:val="en-US" w:eastAsia="zh-CN" w:bidi="ar-SA"/>
              </w:rPr>
              <w:t>经验</w:t>
            </w:r>
          </w:p>
        </w:tc>
        <w:tc>
          <w:tcPr>
            <w:tcW w:w="709" w:type="dxa"/>
            <w:tcBorders>
              <w:top w:val="single" w:color="auto" w:sz="4" w:space="0"/>
              <w:left w:val="single" w:color="auto" w:sz="4" w:space="0"/>
              <w:bottom w:val="single" w:color="auto" w:sz="4" w:space="0"/>
              <w:right w:val="single" w:color="auto" w:sz="4" w:space="0"/>
            </w:tcBorders>
            <w:vAlign w:val="center"/>
          </w:tcPr>
          <w:p>
            <w:pPr>
              <w:jc w:val="center"/>
              <w:rPr>
                <w:rFonts w:hint="default" w:asciiTheme="minorHAnsi" w:hAnsiTheme="minorHAnsi" w:eastAsiaTheme="minorEastAsia" w:cstheme="minorBidi"/>
                <w:bCs/>
                <w:kern w:val="2"/>
                <w:sz w:val="21"/>
                <w:szCs w:val="21"/>
                <w:lang w:val="en-US" w:eastAsia="zh-CN" w:bidi="ar-SA"/>
              </w:rPr>
            </w:pPr>
            <w:r>
              <w:rPr>
                <w:rFonts w:hint="eastAsia" w:cstheme="minorBidi"/>
                <w:bCs/>
                <w:kern w:val="2"/>
                <w:sz w:val="21"/>
                <w:szCs w:val="21"/>
                <w:lang w:val="en-US" w:eastAsia="zh-CN" w:bidi="ar-SA"/>
              </w:rPr>
              <w:t>10</w:t>
            </w:r>
          </w:p>
        </w:tc>
        <w:tc>
          <w:tcPr>
            <w:tcW w:w="5811"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rPr>
                <w:rFonts w:hint="default" w:cstheme="minorBidi"/>
                <w:kern w:val="2"/>
                <w:sz w:val="21"/>
                <w:szCs w:val="21"/>
                <w:lang w:val="en-US" w:eastAsia="zh-CN" w:bidi="ar-SA"/>
              </w:rPr>
            </w:pPr>
            <w:r>
              <w:rPr>
                <w:rFonts w:hint="eastAsia" w:cstheme="minorBidi"/>
                <w:kern w:val="2"/>
                <w:sz w:val="21"/>
                <w:szCs w:val="21"/>
                <w:lang w:val="en-US" w:eastAsia="zh-CN" w:bidi="ar-SA"/>
              </w:rPr>
              <w:t>由评审人员根据以下因素，对供应商进行横向比较打分</w:t>
            </w:r>
            <w:r>
              <w:rPr>
                <w:rFonts w:hint="eastAsia" w:ascii="宋体" w:hAnsi="宋体" w:cs="宋体"/>
                <w:szCs w:val="21"/>
                <w:lang w:val="en-US" w:eastAsia="zh-CN"/>
              </w:rPr>
              <w:t>，优得9～10分，良得7～8分，中得5～6分，差得3～4分</w:t>
            </w:r>
            <w:r>
              <w:rPr>
                <w:rFonts w:hint="eastAsia" w:cstheme="minorBidi"/>
                <w:kern w:val="2"/>
                <w:sz w:val="21"/>
                <w:szCs w:val="21"/>
                <w:lang w:val="en-US" w:eastAsia="zh-CN" w:bidi="ar-SA"/>
              </w:rPr>
              <w:t>：</w:t>
            </w:r>
          </w:p>
          <w:p>
            <w:pPr>
              <w:keepNext/>
              <w:numPr>
                <w:ilvl w:val="0"/>
                <w:numId w:val="0"/>
              </w:numPr>
              <w:adjustRightInd w:val="0"/>
              <w:snapToGrid w:val="0"/>
              <w:rPr>
                <w:rFonts w:hint="eastAsia" w:cstheme="minorBidi"/>
                <w:kern w:val="2"/>
                <w:sz w:val="21"/>
                <w:szCs w:val="21"/>
                <w:lang w:val="en-US" w:eastAsia="zh-CN" w:bidi="ar-SA"/>
              </w:rPr>
            </w:pPr>
            <w:r>
              <w:rPr>
                <w:rFonts w:hint="eastAsia" w:cstheme="minorBidi"/>
                <w:kern w:val="2"/>
                <w:sz w:val="21"/>
                <w:szCs w:val="21"/>
                <w:lang w:val="en-US" w:eastAsia="zh-CN" w:bidi="ar-SA"/>
              </w:rPr>
              <w:t>1.项目负责人的体系认证资质；</w:t>
            </w:r>
          </w:p>
          <w:p>
            <w:pPr>
              <w:pStyle w:val="2"/>
              <w:numPr>
                <w:ilvl w:val="0"/>
                <w:numId w:val="0"/>
              </w:numPr>
              <w:rPr>
                <w:rFonts w:hint="default"/>
                <w:lang w:val="en-US" w:eastAsia="zh-CN"/>
              </w:rPr>
            </w:pPr>
            <w:r>
              <w:rPr>
                <w:rFonts w:hint="eastAsia"/>
                <w:lang w:val="en-US" w:eastAsia="zh-CN"/>
              </w:rPr>
              <w:t>2.</w:t>
            </w:r>
            <w:r>
              <w:rPr>
                <w:rFonts w:hint="eastAsia" w:cstheme="minorBidi"/>
                <w:kern w:val="2"/>
                <w:sz w:val="21"/>
                <w:szCs w:val="21"/>
                <w:lang w:val="en-US" w:eastAsia="zh-CN" w:bidi="ar-SA"/>
              </w:rPr>
              <w:t>项目负责人从事认证工作的年限；</w:t>
            </w:r>
          </w:p>
          <w:p>
            <w:pPr>
              <w:pStyle w:val="2"/>
              <w:rPr>
                <w:rFonts w:hint="eastAsia" w:cstheme="minorBidi"/>
                <w:kern w:val="2"/>
                <w:sz w:val="21"/>
                <w:szCs w:val="21"/>
                <w:lang w:val="en-US" w:eastAsia="zh-CN" w:bidi="ar-SA"/>
              </w:rPr>
            </w:pPr>
            <w:r>
              <w:rPr>
                <w:rFonts w:hint="eastAsia"/>
                <w:lang w:val="en-US" w:eastAsia="zh-CN"/>
              </w:rPr>
              <w:t>3.</w:t>
            </w:r>
            <w:r>
              <w:rPr>
                <w:rFonts w:hint="eastAsia" w:cstheme="minorBidi"/>
                <w:kern w:val="2"/>
                <w:sz w:val="21"/>
                <w:szCs w:val="21"/>
                <w:lang w:val="en-US" w:eastAsia="zh-CN" w:bidi="ar-SA"/>
              </w:rPr>
              <w:t>项目负责人合规管理体系审核经验；</w:t>
            </w:r>
          </w:p>
          <w:p>
            <w:pPr>
              <w:rPr>
                <w:rFonts w:hint="default"/>
                <w:lang w:val="en-US" w:eastAsia="zh-CN"/>
              </w:rPr>
            </w:pPr>
            <w:r>
              <w:rPr>
                <w:rFonts w:hint="eastAsia" w:cstheme="minorBidi"/>
                <w:kern w:val="2"/>
                <w:sz w:val="21"/>
                <w:szCs w:val="21"/>
                <w:lang w:val="en-US" w:eastAsia="zh-CN" w:bidi="ar-SA"/>
              </w:rPr>
              <w:t>4.项目负责人的荣誉。</w:t>
            </w:r>
          </w:p>
        </w:tc>
        <w:tc>
          <w:tcPr>
            <w:tcW w:w="886"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cs="宋体"/>
                <w:szCs w:val="21"/>
              </w:rPr>
            </w:pPr>
          </w:p>
        </w:tc>
      </w:tr>
      <w:tr>
        <w:tblPrEx>
          <w:tblCellMar>
            <w:top w:w="0" w:type="dxa"/>
            <w:left w:w="108" w:type="dxa"/>
            <w:bottom w:w="0" w:type="dxa"/>
            <w:right w:w="108" w:type="dxa"/>
          </w:tblCellMar>
        </w:tblPrEx>
        <w:trPr>
          <w:trHeight w:val="531" w:hRule="atLeast"/>
        </w:trPr>
        <w:tc>
          <w:tcPr>
            <w:tcW w:w="57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Theme="minorHAnsi" w:hAnsiTheme="minorHAnsi" w:eastAsiaTheme="minorEastAsia" w:cstheme="minorBidi"/>
                <w:bCs/>
                <w:kern w:val="2"/>
                <w:sz w:val="21"/>
                <w:szCs w:val="21"/>
                <w:lang w:val="en-US" w:eastAsia="zh-CN" w:bidi="ar-SA"/>
              </w:rPr>
            </w:pPr>
            <w:r>
              <w:rPr>
                <w:rFonts w:hint="eastAsia"/>
                <w:bCs/>
                <w:szCs w:val="21"/>
                <w:lang w:val="en-US" w:eastAsia="zh-CN"/>
              </w:rPr>
              <w:t>4</w:t>
            </w:r>
          </w:p>
        </w:tc>
        <w:tc>
          <w:tcPr>
            <w:tcW w:w="165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Theme="minorHAnsi" w:hAnsiTheme="minorHAnsi" w:eastAsiaTheme="minorEastAsia" w:cstheme="minorBidi"/>
                <w:bCs/>
                <w:kern w:val="2"/>
                <w:sz w:val="21"/>
                <w:szCs w:val="21"/>
                <w:lang w:val="en-US" w:eastAsia="zh-Hans" w:bidi="ar-SA"/>
              </w:rPr>
            </w:pPr>
            <w:r>
              <w:rPr>
                <w:rFonts w:hint="eastAsia"/>
                <w:bCs/>
                <w:szCs w:val="21"/>
                <w:lang w:eastAsia="zh-Hans"/>
              </w:rPr>
              <w:t>本项目实施方案</w:t>
            </w:r>
          </w:p>
        </w:tc>
        <w:tc>
          <w:tcPr>
            <w:tcW w:w="709" w:type="dxa"/>
            <w:tcBorders>
              <w:top w:val="single" w:color="auto" w:sz="4" w:space="0"/>
              <w:left w:val="single" w:color="auto" w:sz="4" w:space="0"/>
              <w:bottom w:val="single" w:color="auto" w:sz="4" w:space="0"/>
              <w:right w:val="single" w:color="auto" w:sz="4" w:space="0"/>
            </w:tcBorders>
            <w:vAlign w:val="center"/>
          </w:tcPr>
          <w:p>
            <w:pPr>
              <w:jc w:val="center"/>
              <w:rPr>
                <w:rFonts w:hint="default" w:asciiTheme="minorHAnsi" w:hAnsiTheme="minorHAnsi" w:eastAsiaTheme="minorEastAsia" w:cstheme="minorBidi"/>
                <w:bCs/>
                <w:kern w:val="2"/>
                <w:sz w:val="21"/>
                <w:szCs w:val="21"/>
                <w:lang w:val="en-US" w:eastAsia="zh-CN" w:bidi="ar-SA"/>
              </w:rPr>
            </w:pPr>
            <w:r>
              <w:rPr>
                <w:rFonts w:hint="eastAsia"/>
                <w:bCs/>
                <w:szCs w:val="21"/>
                <w:lang w:val="en-US" w:eastAsia="zh-CN"/>
              </w:rPr>
              <w:t>10</w:t>
            </w:r>
          </w:p>
        </w:tc>
        <w:tc>
          <w:tcPr>
            <w:tcW w:w="5811" w:type="dxa"/>
            <w:tcBorders>
              <w:top w:val="single" w:color="auto" w:sz="4" w:space="0"/>
              <w:left w:val="single" w:color="auto" w:sz="4" w:space="0"/>
              <w:bottom w:val="single" w:color="auto" w:sz="4" w:space="0"/>
              <w:right w:val="single" w:color="auto" w:sz="4" w:space="0"/>
            </w:tcBorders>
            <w:vAlign w:val="center"/>
          </w:tcPr>
          <w:p>
            <w:pPr>
              <w:ind w:left="-78" w:leftChars="-37" w:right="-73" w:rightChars="-35"/>
              <w:jc w:val="left"/>
              <w:rPr>
                <w:rFonts w:hint="eastAsia" w:ascii="宋体" w:hAnsi="宋体" w:cs="宋体"/>
                <w:szCs w:val="21"/>
                <w:lang w:val="en-US" w:eastAsia="zh-CN"/>
              </w:rPr>
            </w:pPr>
            <w:r>
              <w:rPr>
                <w:rFonts w:hint="eastAsia" w:ascii="宋体" w:hAnsi="宋体" w:cs="宋体"/>
                <w:szCs w:val="21"/>
              </w:rPr>
              <w:t>由评审人员</w:t>
            </w:r>
            <w:r>
              <w:rPr>
                <w:rFonts w:hint="eastAsia" w:cstheme="minorBidi"/>
                <w:kern w:val="2"/>
                <w:sz w:val="21"/>
                <w:szCs w:val="21"/>
                <w:lang w:val="en-US" w:eastAsia="zh-CN" w:bidi="ar-SA"/>
              </w:rPr>
              <w:t>根据以下因素，对供应商进行横向比较打分</w:t>
            </w:r>
            <w:r>
              <w:rPr>
                <w:rFonts w:hint="eastAsia" w:ascii="宋体" w:hAnsi="宋体" w:cs="宋体"/>
                <w:szCs w:val="21"/>
                <w:lang w:eastAsia="zh-CN"/>
              </w:rPr>
              <w:t>，</w:t>
            </w:r>
            <w:r>
              <w:rPr>
                <w:rFonts w:hint="eastAsia" w:ascii="宋体" w:hAnsi="宋体" w:cs="宋体"/>
                <w:szCs w:val="21"/>
                <w:lang w:val="en-US" w:eastAsia="zh-CN"/>
              </w:rPr>
              <w:t>优得6-10分，良得3-5分，中得1-2分，差得0分：</w:t>
            </w:r>
          </w:p>
          <w:p>
            <w:pPr>
              <w:ind w:left="-78" w:leftChars="-37" w:right="-73" w:rightChars="-35"/>
              <w:jc w:val="left"/>
              <w:rPr>
                <w:rFonts w:hint="eastAsia" w:ascii="宋体" w:hAnsi="宋体" w:cs="宋体" w:eastAsiaTheme="minorEastAsia"/>
                <w:szCs w:val="21"/>
                <w:lang w:eastAsia="zh-CN"/>
              </w:rPr>
            </w:pPr>
            <w:r>
              <w:rPr>
                <w:rFonts w:hint="eastAsia" w:ascii="宋体" w:hAnsi="宋体" w:cs="宋体"/>
                <w:szCs w:val="21"/>
                <w:lang w:val="en-US" w:eastAsia="zh-CN"/>
              </w:rPr>
              <w:t>1.</w:t>
            </w:r>
            <w:r>
              <w:rPr>
                <w:rFonts w:hint="eastAsia" w:ascii="宋体" w:hAnsi="宋体" w:cs="宋体"/>
                <w:szCs w:val="21"/>
              </w:rPr>
              <w:t>服务人员配置</w:t>
            </w:r>
            <w:r>
              <w:rPr>
                <w:rFonts w:hint="eastAsia" w:ascii="宋体" w:hAnsi="宋体" w:cs="宋体"/>
                <w:szCs w:val="21"/>
                <w:lang w:eastAsia="zh-CN"/>
              </w:rPr>
              <w:t>；</w:t>
            </w:r>
          </w:p>
          <w:p>
            <w:pPr>
              <w:ind w:left="-78" w:leftChars="-37" w:right="-73" w:rightChars="-35"/>
              <w:jc w:val="left"/>
              <w:rPr>
                <w:rFonts w:hint="eastAsia" w:ascii="宋体" w:hAnsi="宋体" w:cs="宋体"/>
                <w:szCs w:val="21"/>
                <w:lang w:eastAsia="zh-CN"/>
              </w:rPr>
            </w:pPr>
            <w:r>
              <w:rPr>
                <w:rFonts w:hint="eastAsia" w:ascii="宋体" w:hAnsi="宋体" w:cs="宋体"/>
                <w:szCs w:val="21"/>
                <w:lang w:val="en-US" w:eastAsia="zh-CN"/>
              </w:rPr>
              <w:t>2.</w:t>
            </w:r>
            <w:r>
              <w:rPr>
                <w:rFonts w:hint="eastAsia" w:ascii="宋体" w:hAnsi="宋体" w:cs="宋体"/>
                <w:szCs w:val="21"/>
              </w:rPr>
              <w:t>服务方案的完整性、合理性、可执行性</w:t>
            </w:r>
            <w:r>
              <w:rPr>
                <w:rFonts w:hint="eastAsia" w:ascii="宋体" w:hAnsi="宋体" w:cs="宋体"/>
                <w:szCs w:val="21"/>
                <w:lang w:eastAsia="zh-CN"/>
              </w:rPr>
              <w:t>；</w:t>
            </w:r>
          </w:p>
          <w:p>
            <w:pPr>
              <w:ind w:left="-78" w:leftChars="-37" w:right="-73" w:rightChars="-35"/>
              <w:jc w:val="left"/>
              <w:rPr>
                <w:rFonts w:hint="eastAsia" w:asciiTheme="minorHAnsi" w:hAnsiTheme="minorHAnsi" w:eastAsiaTheme="minorEastAsia" w:cstheme="minorBidi"/>
                <w:bCs/>
                <w:kern w:val="2"/>
                <w:sz w:val="21"/>
                <w:szCs w:val="21"/>
                <w:lang w:val="en-US" w:eastAsia="zh-CN" w:bidi="ar-SA"/>
              </w:rPr>
            </w:pPr>
            <w:r>
              <w:rPr>
                <w:rFonts w:hint="eastAsia" w:ascii="宋体" w:hAnsi="宋体" w:cs="宋体"/>
                <w:szCs w:val="21"/>
                <w:lang w:val="en-US" w:eastAsia="zh-CN"/>
              </w:rPr>
              <w:t>3.</w:t>
            </w:r>
            <w:r>
              <w:rPr>
                <w:rFonts w:hint="eastAsia" w:ascii="宋体" w:hAnsi="宋体" w:cs="宋体"/>
                <w:szCs w:val="21"/>
              </w:rPr>
              <w:t>工作时间</w:t>
            </w:r>
            <w:r>
              <w:rPr>
                <w:rFonts w:hint="eastAsia" w:ascii="宋体" w:hAnsi="宋体" w:cs="宋体"/>
                <w:szCs w:val="21"/>
                <w:lang w:eastAsia="zh-CN"/>
              </w:rPr>
              <w:t>、</w:t>
            </w:r>
            <w:r>
              <w:rPr>
                <w:rFonts w:hint="eastAsia" w:ascii="宋体" w:hAnsi="宋体" w:cs="宋体"/>
                <w:szCs w:val="21"/>
                <w:lang w:val="en-US" w:eastAsia="zh-CN"/>
              </w:rPr>
              <w:t>进度</w:t>
            </w:r>
            <w:r>
              <w:rPr>
                <w:rFonts w:hint="eastAsia" w:ascii="宋体" w:hAnsi="宋体" w:cs="宋体"/>
                <w:szCs w:val="21"/>
              </w:rPr>
              <w:t>安排合理</w:t>
            </w:r>
            <w:r>
              <w:rPr>
                <w:rFonts w:hint="eastAsia" w:ascii="宋体" w:hAnsi="宋体" w:cs="宋体"/>
                <w:szCs w:val="21"/>
                <w:lang w:eastAsia="zh-CN"/>
              </w:rPr>
              <w:t>。</w:t>
            </w:r>
          </w:p>
        </w:tc>
        <w:tc>
          <w:tcPr>
            <w:tcW w:w="886" w:type="dxa"/>
            <w:vMerge w:val="restart"/>
            <w:tcBorders>
              <w:top w:val="single" w:color="auto" w:sz="4" w:space="0"/>
              <w:left w:val="single" w:color="auto" w:sz="4" w:space="0"/>
              <w:right w:val="single" w:color="auto" w:sz="4" w:space="0"/>
            </w:tcBorders>
            <w:vAlign w:val="center"/>
          </w:tcPr>
          <w:p>
            <w:pPr>
              <w:jc w:val="center"/>
              <w:rPr>
                <w:rFonts w:ascii="仿宋_GB2312" w:hAnsi="宋体" w:eastAsia="仿宋_GB2312" w:cs="宋体"/>
                <w:szCs w:val="21"/>
              </w:rPr>
            </w:pPr>
          </w:p>
        </w:tc>
      </w:tr>
      <w:tr>
        <w:tblPrEx>
          <w:tblCellMar>
            <w:top w:w="0" w:type="dxa"/>
            <w:left w:w="108" w:type="dxa"/>
            <w:bottom w:w="0" w:type="dxa"/>
            <w:right w:w="108" w:type="dxa"/>
          </w:tblCellMar>
        </w:tblPrEx>
        <w:trPr>
          <w:trHeight w:val="531" w:hRule="atLeast"/>
        </w:trPr>
        <w:tc>
          <w:tcPr>
            <w:tcW w:w="57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bCs/>
                <w:szCs w:val="21"/>
                <w:lang w:val="en-US" w:eastAsia="zh-CN"/>
              </w:rPr>
            </w:pPr>
            <w:r>
              <w:rPr>
                <w:rFonts w:hint="eastAsia"/>
                <w:bCs/>
                <w:szCs w:val="21"/>
                <w:lang w:val="en-US" w:eastAsia="zh-CN"/>
              </w:rPr>
              <w:t>5</w:t>
            </w:r>
          </w:p>
        </w:tc>
        <w:tc>
          <w:tcPr>
            <w:tcW w:w="165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bCs/>
                <w:szCs w:val="21"/>
                <w:lang w:eastAsia="zh-Hans"/>
              </w:rPr>
            </w:pPr>
            <w:r>
              <w:rPr>
                <w:rFonts w:hint="eastAsia" w:ascii="宋体" w:hAnsi="宋体" w:cs="宋体"/>
                <w:szCs w:val="21"/>
                <w:lang w:val="en-US" w:eastAsia="zh-CN"/>
              </w:rPr>
              <w:t>参与合规管理体系国际、国家标准制定的经验</w:t>
            </w:r>
          </w:p>
        </w:tc>
        <w:tc>
          <w:tcPr>
            <w:tcW w:w="709" w:type="dxa"/>
            <w:tcBorders>
              <w:top w:val="single" w:color="auto" w:sz="4" w:space="0"/>
              <w:left w:val="single" w:color="auto" w:sz="4" w:space="0"/>
              <w:bottom w:val="single" w:color="auto" w:sz="4" w:space="0"/>
              <w:right w:val="single" w:color="auto" w:sz="4" w:space="0"/>
            </w:tcBorders>
            <w:vAlign w:val="center"/>
          </w:tcPr>
          <w:p>
            <w:pPr>
              <w:jc w:val="center"/>
              <w:rPr>
                <w:rFonts w:hint="default"/>
                <w:bCs/>
                <w:szCs w:val="21"/>
                <w:lang w:val="en-US" w:eastAsia="zh-CN"/>
              </w:rPr>
            </w:pPr>
            <w:r>
              <w:rPr>
                <w:rFonts w:hint="eastAsia"/>
                <w:bCs/>
                <w:szCs w:val="21"/>
                <w:lang w:val="en-US" w:eastAsia="zh-CN"/>
              </w:rPr>
              <w:t>10</w:t>
            </w:r>
          </w:p>
        </w:tc>
        <w:tc>
          <w:tcPr>
            <w:tcW w:w="5811" w:type="dxa"/>
            <w:tcBorders>
              <w:top w:val="single" w:color="auto" w:sz="4" w:space="0"/>
              <w:left w:val="single" w:color="auto" w:sz="4" w:space="0"/>
              <w:bottom w:val="single" w:color="auto" w:sz="4" w:space="0"/>
              <w:right w:val="single" w:color="auto" w:sz="4" w:space="0"/>
            </w:tcBorders>
            <w:vAlign w:val="center"/>
          </w:tcPr>
          <w:p>
            <w:pPr>
              <w:ind w:left="-78" w:leftChars="-37" w:right="-73" w:rightChars="-35"/>
              <w:jc w:val="left"/>
              <w:rPr>
                <w:rFonts w:hint="eastAsia" w:ascii="宋体" w:hAnsi="宋体" w:cs="宋体"/>
                <w:szCs w:val="21"/>
                <w:lang w:val="en-US" w:eastAsia="zh-CN"/>
              </w:rPr>
            </w:pPr>
            <w:r>
              <w:rPr>
                <w:rFonts w:hint="eastAsia" w:ascii="宋体" w:hAnsi="宋体" w:cs="宋体"/>
                <w:szCs w:val="21"/>
                <w:lang w:val="en-US" w:eastAsia="zh-CN"/>
              </w:rPr>
              <w:t>投标人或团队成员参与ISO 37301:2021或GB/T 35770-2022编写工作的，得10分，其余不得分</w:t>
            </w:r>
            <w:bookmarkStart w:id="0" w:name="_GoBack"/>
            <w:bookmarkEnd w:id="0"/>
            <w:r>
              <w:rPr>
                <w:rFonts w:hint="eastAsia" w:ascii="宋体" w:hAnsi="宋体" w:cs="宋体"/>
                <w:szCs w:val="21"/>
                <w:lang w:val="en-US" w:eastAsia="zh-CN"/>
              </w:rPr>
              <w:t>。</w:t>
            </w:r>
          </w:p>
          <w:p>
            <w:pPr>
              <w:ind w:left="-78" w:leftChars="-37" w:right="-73" w:rightChars="-35"/>
              <w:jc w:val="left"/>
              <w:rPr>
                <w:rFonts w:hint="eastAsia" w:ascii="宋体" w:hAnsi="宋体" w:cs="宋体"/>
                <w:szCs w:val="21"/>
                <w:lang w:val="en-US" w:eastAsia="zh-CN"/>
              </w:rPr>
            </w:pPr>
            <w:r>
              <w:rPr>
                <w:rFonts w:hint="eastAsia" w:ascii="宋体" w:hAnsi="宋体" w:cs="宋体"/>
                <w:szCs w:val="21"/>
                <w:lang w:val="en-US" w:eastAsia="zh-CN"/>
              </w:rPr>
              <w:t>注：投标人需提供标准正式发布稿、主管机构发布的通告/批复、官网截图、会议记录等证明文件，通过前述材料无法判断是否得分的，须提供能证明其参与上述标准制定的其它证明资料。</w:t>
            </w:r>
          </w:p>
        </w:tc>
        <w:tc>
          <w:tcPr>
            <w:tcW w:w="886" w:type="dxa"/>
            <w:vMerge w:val="continue"/>
            <w:tcBorders>
              <w:left w:val="single" w:color="auto" w:sz="4" w:space="0"/>
              <w:right w:val="single" w:color="auto" w:sz="4" w:space="0"/>
            </w:tcBorders>
            <w:vAlign w:val="center"/>
          </w:tcPr>
          <w:p>
            <w:pPr>
              <w:jc w:val="center"/>
              <w:rPr>
                <w:rFonts w:ascii="仿宋_GB2312" w:hAnsi="宋体" w:eastAsia="仿宋_GB2312" w:cs="宋体"/>
                <w:szCs w:val="21"/>
              </w:rPr>
            </w:pPr>
          </w:p>
        </w:tc>
      </w:tr>
      <w:tr>
        <w:tblPrEx>
          <w:tblCellMar>
            <w:top w:w="0" w:type="dxa"/>
            <w:left w:w="108" w:type="dxa"/>
            <w:bottom w:w="0" w:type="dxa"/>
            <w:right w:w="108" w:type="dxa"/>
          </w:tblCellMar>
        </w:tblPrEx>
        <w:trPr>
          <w:trHeight w:val="755" w:hRule="atLeast"/>
        </w:trPr>
        <w:tc>
          <w:tcPr>
            <w:tcW w:w="57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bCs/>
                <w:szCs w:val="21"/>
                <w:lang w:val="en-US" w:eastAsia="zh-CN"/>
              </w:rPr>
            </w:pPr>
            <w:r>
              <w:rPr>
                <w:rFonts w:hint="eastAsia"/>
                <w:bCs/>
                <w:szCs w:val="21"/>
                <w:lang w:val="en-US" w:eastAsia="zh-CN"/>
              </w:rPr>
              <w:t>6</w:t>
            </w:r>
          </w:p>
        </w:tc>
        <w:tc>
          <w:tcPr>
            <w:tcW w:w="165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Theme="minorHAnsi" w:hAnsiTheme="minorHAnsi" w:eastAsiaTheme="minorEastAsia" w:cstheme="minorBidi"/>
                <w:bCs/>
                <w:kern w:val="2"/>
                <w:sz w:val="21"/>
                <w:szCs w:val="21"/>
                <w:lang w:val="en-US" w:eastAsia="zh-Hans" w:bidi="ar-SA"/>
              </w:rPr>
            </w:pPr>
            <w:r>
              <w:rPr>
                <w:rFonts w:hint="eastAsia" w:asciiTheme="minorHAnsi" w:hAnsiTheme="minorHAnsi" w:eastAsiaTheme="minorEastAsia" w:cstheme="minorBidi"/>
                <w:bCs/>
                <w:kern w:val="2"/>
                <w:sz w:val="21"/>
                <w:szCs w:val="21"/>
                <w:lang w:val="en-US" w:eastAsia="zh-Hans" w:bidi="ar-SA"/>
              </w:rPr>
              <w:t>质量保证体系及措施</w:t>
            </w:r>
          </w:p>
        </w:tc>
        <w:tc>
          <w:tcPr>
            <w:tcW w:w="709" w:type="dxa"/>
            <w:tcBorders>
              <w:top w:val="single" w:color="auto" w:sz="4" w:space="0"/>
              <w:left w:val="single" w:color="auto" w:sz="4" w:space="0"/>
              <w:bottom w:val="single" w:color="auto" w:sz="4" w:space="0"/>
              <w:right w:val="single" w:color="auto" w:sz="4" w:space="0"/>
            </w:tcBorders>
            <w:vAlign w:val="center"/>
          </w:tcPr>
          <w:p>
            <w:pPr>
              <w:jc w:val="center"/>
              <w:rPr>
                <w:rFonts w:hint="default" w:asciiTheme="minorHAnsi" w:hAnsiTheme="minorHAnsi" w:eastAsiaTheme="minorEastAsia" w:cstheme="minorBidi"/>
                <w:bCs/>
                <w:kern w:val="2"/>
                <w:sz w:val="21"/>
                <w:szCs w:val="21"/>
                <w:lang w:val="en-US" w:eastAsia="zh-CN" w:bidi="ar-SA"/>
              </w:rPr>
            </w:pPr>
            <w:r>
              <w:rPr>
                <w:rFonts w:hint="eastAsia" w:cstheme="minorBidi"/>
                <w:bCs/>
                <w:kern w:val="2"/>
                <w:sz w:val="21"/>
                <w:szCs w:val="21"/>
                <w:lang w:val="en-US" w:eastAsia="zh-CN" w:bidi="ar-SA"/>
              </w:rPr>
              <w:t>10</w:t>
            </w:r>
          </w:p>
        </w:tc>
        <w:tc>
          <w:tcPr>
            <w:tcW w:w="5811"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rPr>
                <w:rFonts w:hint="eastAsia" w:asciiTheme="minorHAnsi" w:hAnsiTheme="minorHAnsi" w:eastAsiaTheme="minorEastAsia" w:cstheme="minorBidi"/>
                <w:kern w:val="2"/>
                <w:sz w:val="21"/>
                <w:szCs w:val="21"/>
                <w:lang w:val="en-US" w:eastAsia="zh-CN" w:bidi="ar-SA"/>
              </w:rPr>
            </w:pPr>
            <w:r>
              <w:rPr>
                <w:rFonts w:hint="eastAsia" w:cstheme="minorBidi"/>
                <w:kern w:val="2"/>
                <w:sz w:val="21"/>
                <w:szCs w:val="21"/>
                <w:lang w:val="en-US" w:eastAsia="zh-CN" w:bidi="ar-SA"/>
              </w:rPr>
              <w:t>由评审人员根据以下因素，对供应商进行横向比较打分</w:t>
            </w:r>
            <w:r>
              <w:rPr>
                <w:rFonts w:hint="eastAsia" w:ascii="宋体" w:hAnsi="宋体" w:cs="宋体"/>
                <w:szCs w:val="21"/>
                <w:lang w:val="en-US" w:eastAsia="zh-CN"/>
              </w:rPr>
              <w:t>，优得9～10分，良得7～8分，中得5～6分，差得3～4分</w:t>
            </w:r>
            <w:r>
              <w:rPr>
                <w:rFonts w:hint="eastAsia" w:cstheme="minorBidi"/>
                <w:kern w:val="2"/>
                <w:sz w:val="21"/>
                <w:szCs w:val="21"/>
                <w:lang w:val="en-US" w:eastAsia="zh-CN" w:bidi="ar-SA"/>
              </w:rPr>
              <w:t>：</w:t>
            </w:r>
          </w:p>
          <w:p>
            <w:pPr>
              <w:tabs>
                <w:tab w:val="left" w:pos="4287"/>
              </w:tabs>
              <w:ind w:right="-73" w:rightChars="-35"/>
              <w:jc w:val="left"/>
              <w:rPr>
                <w:rFonts w:hint="eastAsia" w:asciiTheme="minorHAnsi" w:hAnsiTheme="minorHAnsi" w:eastAsiaTheme="minorEastAsia" w:cstheme="minorBidi"/>
                <w:kern w:val="2"/>
                <w:sz w:val="21"/>
                <w:szCs w:val="21"/>
                <w:lang w:val="en-US" w:eastAsia="zh-CN" w:bidi="ar-SA"/>
              </w:rPr>
            </w:pPr>
            <w:r>
              <w:rPr>
                <w:rFonts w:hint="eastAsia" w:asciiTheme="minorHAnsi" w:hAnsiTheme="minorHAnsi" w:eastAsiaTheme="minorEastAsia" w:cstheme="minorBidi"/>
                <w:kern w:val="2"/>
                <w:sz w:val="21"/>
                <w:szCs w:val="21"/>
                <w:lang w:val="en-US" w:eastAsia="zh-CN" w:bidi="ar-SA"/>
              </w:rPr>
              <w:t>1</w:t>
            </w:r>
            <w:r>
              <w:rPr>
                <w:rFonts w:hint="eastAsia" w:cstheme="minorBidi"/>
                <w:kern w:val="2"/>
                <w:sz w:val="21"/>
                <w:szCs w:val="21"/>
                <w:lang w:val="en-US" w:eastAsia="zh-CN" w:bidi="ar-SA"/>
              </w:rPr>
              <w:t>.</w:t>
            </w:r>
            <w:r>
              <w:rPr>
                <w:rFonts w:hint="eastAsia" w:asciiTheme="minorHAnsi" w:hAnsiTheme="minorHAnsi" w:eastAsiaTheme="minorEastAsia" w:cstheme="minorBidi"/>
                <w:kern w:val="2"/>
                <w:sz w:val="21"/>
                <w:szCs w:val="21"/>
                <w:lang w:val="en-US" w:eastAsia="zh-CN" w:bidi="ar-SA"/>
              </w:rPr>
              <w:t>公司制度完善，有畅通的服务流程，以及各项制度（如业务、财务、合规廉洁保密等）保障整体服务落实</w:t>
            </w:r>
            <w:r>
              <w:rPr>
                <w:rFonts w:hint="eastAsia" w:cstheme="minorBidi"/>
                <w:kern w:val="2"/>
                <w:sz w:val="21"/>
                <w:szCs w:val="21"/>
                <w:lang w:val="en-US" w:eastAsia="zh-CN" w:bidi="ar-SA"/>
              </w:rPr>
              <w:t>；</w:t>
            </w:r>
          </w:p>
          <w:p>
            <w:pPr>
              <w:tabs>
                <w:tab w:val="left" w:pos="4287"/>
              </w:tabs>
              <w:ind w:right="-73" w:rightChars="-35"/>
              <w:jc w:val="left"/>
              <w:rPr>
                <w:rFonts w:hint="eastAsia" w:asciiTheme="minorHAnsi" w:hAnsiTheme="minorHAnsi" w:eastAsiaTheme="minorEastAsia" w:cstheme="minorBidi"/>
                <w:kern w:val="2"/>
                <w:sz w:val="21"/>
                <w:szCs w:val="21"/>
                <w:lang w:val="en-US" w:eastAsia="zh-CN" w:bidi="ar-SA"/>
              </w:rPr>
            </w:pPr>
            <w:r>
              <w:rPr>
                <w:rFonts w:hint="eastAsia" w:asciiTheme="minorHAnsi" w:hAnsiTheme="minorHAnsi" w:eastAsiaTheme="minorEastAsia" w:cstheme="minorBidi"/>
                <w:kern w:val="2"/>
                <w:sz w:val="21"/>
                <w:szCs w:val="21"/>
                <w:lang w:val="en-US" w:eastAsia="zh-CN" w:bidi="ar-SA"/>
              </w:rPr>
              <w:t>2</w:t>
            </w:r>
            <w:r>
              <w:rPr>
                <w:rFonts w:hint="eastAsia" w:cstheme="minorBidi"/>
                <w:kern w:val="2"/>
                <w:sz w:val="21"/>
                <w:szCs w:val="21"/>
                <w:lang w:val="en-US" w:eastAsia="zh-CN" w:bidi="ar-SA"/>
              </w:rPr>
              <w:t>.</w:t>
            </w:r>
            <w:r>
              <w:rPr>
                <w:rFonts w:hint="eastAsia" w:asciiTheme="minorHAnsi" w:hAnsiTheme="minorHAnsi" w:eastAsiaTheme="minorEastAsia" w:cstheme="minorBidi"/>
                <w:kern w:val="2"/>
                <w:sz w:val="21"/>
                <w:szCs w:val="21"/>
                <w:lang w:val="en-US" w:eastAsia="zh-CN" w:bidi="ar-SA"/>
              </w:rPr>
              <w:t>团队架构合理且完备，团队设置多层级保障服务推进和质量</w:t>
            </w:r>
            <w:r>
              <w:rPr>
                <w:rFonts w:hint="eastAsia" w:cstheme="minorBidi"/>
                <w:kern w:val="2"/>
                <w:sz w:val="21"/>
                <w:szCs w:val="21"/>
                <w:lang w:val="en-US" w:eastAsia="zh-CN" w:bidi="ar-SA"/>
              </w:rPr>
              <w:t>；</w:t>
            </w:r>
          </w:p>
          <w:p>
            <w:pPr>
              <w:tabs>
                <w:tab w:val="left" w:pos="4287"/>
              </w:tabs>
              <w:ind w:right="-73" w:rightChars="-35"/>
              <w:jc w:val="left"/>
              <w:rPr>
                <w:rFonts w:hint="eastAsia" w:asciiTheme="minorHAnsi" w:hAnsiTheme="minorHAnsi" w:eastAsiaTheme="minorEastAsia" w:cstheme="minorBidi"/>
                <w:kern w:val="2"/>
                <w:sz w:val="21"/>
                <w:szCs w:val="21"/>
                <w:lang w:val="en-US" w:eastAsia="zh-CN" w:bidi="ar-SA"/>
              </w:rPr>
            </w:pPr>
            <w:r>
              <w:rPr>
                <w:rFonts w:hint="eastAsia" w:asciiTheme="minorHAnsi" w:hAnsiTheme="minorHAnsi" w:eastAsiaTheme="minorEastAsia" w:cstheme="minorBidi"/>
                <w:kern w:val="2"/>
                <w:sz w:val="21"/>
                <w:szCs w:val="21"/>
                <w:lang w:val="en-US" w:eastAsia="zh-CN" w:bidi="ar-SA"/>
              </w:rPr>
              <w:t>3</w:t>
            </w:r>
            <w:r>
              <w:rPr>
                <w:rFonts w:hint="eastAsia" w:cstheme="minorBidi"/>
                <w:kern w:val="2"/>
                <w:sz w:val="21"/>
                <w:szCs w:val="21"/>
                <w:lang w:val="en-US" w:eastAsia="zh-CN" w:bidi="ar-SA"/>
              </w:rPr>
              <w:t>.</w:t>
            </w:r>
            <w:r>
              <w:rPr>
                <w:rFonts w:hint="eastAsia" w:asciiTheme="minorHAnsi" w:hAnsiTheme="minorHAnsi" w:eastAsiaTheme="minorEastAsia" w:cstheme="minorBidi"/>
                <w:kern w:val="2"/>
                <w:sz w:val="21"/>
                <w:szCs w:val="21"/>
                <w:lang w:val="en-US" w:eastAsia="zh-CN" w:bidi="ar-SA"/>
              </w:rPr>
              <w:t>服务从事前事中事后均设置保障</w:t>
            </w:r>
            <w:r>
              <w:rPr>
                <w:rFonts w:hint="eastAsia" w:cstheme="minorBidi"/>
                <w:kern w:val="2"/>
                <w:sz w:val="21"/>
                <w:szCs w:val="21"/>
                <w:lang w:val="en-US" w:eastAsia="zh-CN" w:bidi="ar-SA"/>
              </w:rPr>
              <w:t>；</w:t>
            </w:r>
          </w:p>
          <w:p>
            <w:pPr>
              <w:tabs>
                <w:tab w:val="left" w:pos="4287"/>
              </w:tabs>
              <w:ind w:right="-73" w:rightChars="-35"/>
              <w:jc w:val="left"/>
              <w:rPr>
                <w:rFonts w:hint="eastAsia" w:asciiTheme="minorHAnsi" w:hAnsiTheme="minorHAnsi" w:eastAsiaTheme="minorEastAsia" w:cstheme="minorBidi"/>
                <w:kern w:val="2"/>
                <w:sz w:val="21"/>
                <w:szCs w:val="21"/>
                <w:lang w:val="en-US" w:eastAsia="zh-CN" w:bidi="ar-SA"/>
              </w:rPr>
            </w:pPr>
            <w:r>
              <w:rPr>
                <w:rFonts w:hint="eastAsia" w:cstheme="minorBidi"/>
                <w:kern w:val="2"/>
                <w:sz w:val="21"/>
                <w:szCs w:val="21"/>
                <w:lang w:val="en-US" w:eastAsia="zh-CN" w:bidi="ar-SA"/>
              </w:rPr>
              <w:t>4.</w:t>
            </w:r>
            <w:r>
              <w:rPr>
                <w:rFonts w:hint="eastAsia" w:asciiTheme="minorHAnsi" w:hAnsiTheme="minorHAnsi" w:eastAsiaTheme="minorEastAsia" w:cstheme="minorBidi"/>
                <w:kern w:val="2"/>
                <w:sz w:val="21"/>
                <w:szCs w:val="21"/>
                <w:lang w:val="en-US" w:eastAsia="zh-CN" w:bidi="ar-SA"/>
              </w:rPr>
              <w:t>有应急响应措施。</w:t>
            </w:r>
          </w:p>
        </w:tc>
        <w:tc>
          <w:tcPr>
            <w:tcW w:w="886" w:type="dxa"/>
            <w:vMerge w:val="continue"/>
            <w:tcBorders>
              <w:left w:val="single" w:color="auto" w:sz="4" w:space="0"/>
              <w:bottom w:val="single" w:color="auto" w:sz="4" w:space="0"/>
              <w:right w:val="single" w:color="auto" w:sz="4" w:space="0"/>
            </w:tcBorders>
            <w:vAlign w:val="center"/>
          </w:tcPr>
          <w:p>
            <w:pPr>
              <w:jc w:val="center"/>
              <w:rPr>
                <w:rFonts w:ascii="仿宋_GB2312" w:hAnsi="宋体" w:eastAsia="仿宋_GB2312" w:cs="宋体"/>
                <w:szCs w:val="21"/>
              </w:rPr>
            </w:pPr>
          </w:p>
        </w:tc>
      </w:tr>
      <w:tr>
        <w:tblPrEx>
          <w:tblCellMar>
            <w:top w:w="0" w:type="dxa"/>
            <w:left w:w="108" w:type="dxa"/>
            <w:bottom w:w="0" w:type="dxa"/>
            <w:right w:w="108" w:type="dxa"/>
          </w:tblCellMar>
        </w:tblPrEx>
        <w:trPr>
          <w:trHeight w:val="774" w:hRule="atLeast"/>
        </w:trPr>
        <w:tc>
          <w:tcPr>
            <w:tcW w:w="57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bCs/>
                <w:szCs w:val="21"/>
                <w:lang w:val="en-US" w:eastAsia="zh-CN"/>
              </w:rPr>
            </w:pPr>
            <w:r>
              <w:rPr>
                <w:rFonts w:hint="eastAsia"/>
                <w:bCs/>
                <w:szCs w:val="21"/>
                <w:lang w:val="en-US" w:eastAsia="zh-CN"/>
              </w:rPr>
              <w:t>7</w:t>
            </w:r>
          </w:p>
        </w:tc>
        <w:tc>
          <w:tcPr>
            <w:tcW w:w="165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Theme="minorHAnsi" w:hAnsiTheme="minorHAnsi" w:eastAsiaTheme="minorEastAsia" w:cstheme="minorBidi"/>
                <w:bCs/>
                <w:kern w:val="2"/>
                <w:sz w:val="21"/>
                <w:szCs w:val="21"/>
                <w:lang w:val="en-US" w:eastAsia="zh-Hans" w:bidi="ar-SA"/>
              </w:rPr>
            </w:pPr>
            <w:r>
              <w:rPr>
                <w:rFonts w:hint="eastAsia" w:cstheme="minorBidi"/>
                <w:bCs/>
                <w:szCs w:val="21"/>
                <w:lang w:val="en-US" w:eastAsia="zh-CN"/>
              </w:rPr>
              <w:t>品牌</w:t>
            </w:r>
            <w:r>
              <w:rPr>
                <w:rFonts w:hint="eastAsia" w:ascii="宋体" w:hAnsi="宋体" w:cs="宋体"/>
                <w:szCs w:val="21"/>
                <w:lang w:val="en-US" w:eastAsia="zh-CN"/>
              </w:rPr>
              <w:t>知名度、公信度</w:t>
            </w:r>
          </w:p>
        </w:tc>
        <w:tc>
          <w:tcPr>
            <w:tcW w:w="709" w:type="dxa"/>
            <w:tcBorders>
              <w:top w:val="single" w:color="auto" w:sz="4" w:space="0"/>
              <w:left w:val="single" w:color="auto" w:sz="4" w:space="0"/>
              <w:bottom w:val="single" w:color="auto" w:sz="4" w:space="0"/>
              <w:right w:val="single" w:color="auto" w:sz="4" w:space="0"/>
            </w:tcBorders>
            <w:vAlign w:val="center"/>
          </w:tcPr>
          <w:p>
            <w:pPr>
              <w:jc w:val="center"/>
              <w:rPr>
                <w:rFonts w:hint="default" w:asciiTheme="minorHAnsi" w:hAnsiTheme="minorHAnsi" w:eastAsiaTheme="minorEastAsia" w:cstheme="minorBidi"/>
                <w:bCs/>
                <w:kern w:val="2"/>
                <w:sz w:val="21"/>
                <w:szCs w:val="21"/>
                <w:lang w:val="en-US" w:eastAsia="zh-CN" w:bidi="ar-SA"/>
              </w:rPr>
            </w:pPr>
            <w:r>
              <w:rPr>
                <w:rFonts w:hint="eastAsia" w:cstheme="minorBidi"/>
                <w:bCs/>
                <w:szCs w:val="21"/>
                <w:lang w:val="en-US" w:eastAsia="zh-CN"/>
              </w:rPr>
              <w:t>10</w:t>
            </w:r>
          </w:p>
        </w:tc>
        <w:tc>
          <w:tcPr>
            <w:tcW w:w="5811" w:type="dxa"/>
            <w:tcBorders>
              <w:top w:val="single" w:color="auto" w:sz="4" w:space="0"/>
              <w:left w:val="single" w:color="auto" w:sz="4" w:space="0"/>
              <w:bottom w:val="single" w:color="auto" w:sz="4" w:space="0"/>
              <w:right w:val="single" w:color="auto" w:sz="4" w:space="0"/>
            </w:tcBorders>
            <w:vAlign w:val="center"/>
          </w:tcPr>
          <w:p>
            <w:pPr>
              <w:ind w:left="-78" w:leftChars="-37" w:right="-73" w:rightChars="-35"/>
              <w:jc w:val="left"/>
              <w:rPr>
                <w:rFonts w:hint="eastAsia" w:asciiTheme="minorHAnsi" w:hAnsiTheme="minorHAnsi" w:eastAsiaTheme="minorEastAsia" w:cstheme="minorBidi"/>
                <w:kern w:val="2"/>
                <w:sz w:val="21"/>
                <w:szCs w:val="21"/>
                <w:lang w:val="en-US" w:eastAsia="zh-CN" w:bidi="ar-SA"/>
              </w:rPr>
            </w:pPr>
            <w:r>
              <w:rPr>
                <w:rFonts w:hint="eastAsia" w:ascii="宋体" w:hAnsi="宋体" w:cs="宋体"/>
                <w:szCs w:val="21"/>
                <w:lang w:val="en-US" w:eastAsia="zh-CN"/>
              </w:rPr>
              <w:t>由评审人员对供应商的品牌知名度、公信度</w:t>
            </w:r>
            <w:r>
              <w:rPr>
                <w:rFonts w:hint="eastAsia" w:ascii="宋体" w:hAnsi="宋体" w:cs="宋体"/>
                <w:szCs w:val="21"/>
              </w:rPr>
              <w:t>进行</w:t>
            </w:r>
            <w:r>
              <w:rPr>
                <w:rFonts w:hint="eastAsia" w:ascii="宋体" w:hAnsi="宋体" w:cs="宋体"/>
                <w:szCs w:val="21"/>
                <w:lang w:val="en-US" w:eastAsia="zh-CN"/>
              </w:rPr>
              <w:t>横向比较打分，优得8-10分，良得5-7分，中得2-4分，差得0-1分</w:t>
            </w:r>
            <w:r>
              <w:rPr>
                <w:rFonts w:hint="eastAsia" w:ascii="宋体" w:hAnsi="宋体"/>
                <w:szCs w:val="21"/>
              </w:rPr>
              <w:t>。</w:t>
            </w:r>
          </w:p>
        </w:tc>
        <w:tc>
          <w:tcPr>
            <w:tcW w:w="886" w:type="dxa"/>
            <w:vMerge w:val="continue"/>
            <w:tcBorders>
              <w:left w:val="single" w:color="auto" w:sz="4" w:space="0"/>
              <w:bottom w:val="single" w:color="auto" w:sz="4" w:space="0"/>
              <w:right w:val="single" w:color="auto" w:sz="4" w:space="0"/>
            </w:tcBorders>
            <w:vAlign w:val="center"/>
          </w:tcPr>
          <w:p>
            <w:pPr>
              <w:jc w:val="center"/>
              <w:rPr>
                <w:rFonts w:ascii="仿宋_GB2312" w:hAnsi="宋体" w:eastAsia="仿宋_GB2312" w:cs="宋体"/>
                <w:szCs w:val="21"/>
              </w:rPr>
            </w:pPr>
          </w:p>
        </w:tc>
      </w:tr>
      <w:tr>
        <w:tblPrEx>
          <w:tblCellMar>
            <w:top w:w="0" w:type="dxa"/>
            <w:left w:w="108" w:type="dxa"/>
            <w:bottom w:w="0" w:type="dxa"/>
            <w:right w:w="108" w:type="dxa"/>
          </w:tblCellMar>
        </w:tblPrEx>
        <w:trPr>
          <w:trHeight w:val="674" w:hRule="atLeast"/>
        </w:trPr>
        <w:tc>
          <w:tcPr>
            <w:tcW w:w="570" w:type="dxa"/>
            <w:tcBorders>
              <w:top w:val="single" w:color="auto" w:sz="4" w:space="0"/>
              <w:left w:val="nil"/>
              <w:bottom w:val="single" w:color="auto" w:sz="4" w:space="0"/>
              <w:right w:val="single" w:color="auto" w:sz="4" w:space="0"/>
            </w:tcBorders>
            <w:vAlign w:val="center"/>
          </w:tcPr>
          <w:p>
            <w:pPr>
              <w:adjustRightInd w:val="0"/>
              <w:snapToGrid w:val="0"/>
              <w:jc w:val="center"/>
              <w:rPr>
                <w:bCs/>
                <w:szCs w:val="21"/>
              </w:rPr>
            </w:pPr>
          </w:p>
        </w:tc>
        <w:tc>
          <w:tcPr>
            <w:tcW w:w="1656" w:type="dxa"/>
            <w:tcBorders>
              <w:top w:val="nil"/>
              <w:left w:val="nil"/>
              <w:bottom w:val="single" w:color="auto" w:sz="4" w:space="0"/>
              <w:right w:val="single" w:color="auto" w:sz="4" w:space="0"/>
            </w:tcBorders>
            <w:vAlign w:val="center"/>
          </w:tcPr>
          <w:p>
            <w:pPr>
              <w:adjustRightInd w:val="0"/>
              <w:snapToGrid w:val="0"/>
              <w:jc w:val="center"/>
              <w:rPr>
                <w:rFonts w:ascii="仿宋_GB2312" w:hAnsi="宋体" w:eastAsia="仿宋_GB2312" w:cs="宋体"/>
                <w:b/>
                <w:szCs w:val="21"/>
              </w:rPr>
            </w:pPr>
            <w:r>
              <w:rPr>
                <w:rFonts w:hint="eastAsia" w:ascii="仿宋_GB2312" w:hAnsi="宋体" w:eastAsia="仿宋_GB2312" w:cs="宋体"/>
                <w:b/>
                <w:szCs w:val="21"/>
              </w:rPr>
              <w:t>合计　</w:t>
            </w:r>
          </w:p>
        </w:tc>
        <w:tc>
          <w:tcPr>
            <w:tcW w:w="709" w:type="dxa"/>
            <w:tcBorders>
              <w:top w:val="nil"/>
              <w:left w:val="single" w:color="auto" w:sz="4" w:space="0"/>
              <w:bottom w:val="single" w:color="auto" w:sz="4" w:space="0"/>
              <w:right w:val="single" w:color="auto" w:sz="4" w:space="0"/>
            </w:tcBorders>
            <w:vAlign w:val="center"/>
          </w:tcPr>
          <w:p>
            <w:pPr>
              <w:adjustRightInd w:val="0"/>
              <w:snapToGrid w:val="0"/>
              <w:jc w:val="center"/>
              <w:rPr>
                <w:rFonts w:ascii="仿宋_GB2312" w:hAnsi="宋体" w:eastAsia="仿宋_GB2312" w:cs="宋体"/>
                <w:b/>
                <w:szCs w:val="21"/>
              </w:rPr>
            </w:pPr>
            <w:r>
              <w:rPr>
                <w:rFonts w:hint="eastAsia"/>
                <w:bCs/>
                <w:szCs w:val="21"/>
              </w:rPr>
              <w:t>100</w:t>
            </w:r>
          </w:p>
        </w:tc>
        <w:tc>
          <w:tcPr>
            <w:tcW w:w="5811" w:type="dxa"/>
            <w:tcBorders>
              <w:top w:val="nil"/>
              <w:left w:val="single" w:color="auto" w:sz="4" w:space="0"/>
              <w:bottom w:val="single" w:color="auto" w:sz="4" w:space="0"/>
              <w:right w:val="single" w:color="auto" w:sz="4" w:space="0"/>
            </w:tcBorders>
            <w:vAlign w:val="center"/>
          </w:tcPr>
          <w:p>
            <w:pPr>
              <w:adjustRightInd w:val="0"/>
              <w:snapToGrid w:val="0"/>
              <w:jc w:val="center"/>
              <w:rPr>
                <w:rFonts w:ascii="仿宋_GB2312" w:hAnsi="宋体" w:eastAsia="仿宋_GB2312" w:cs="宋体"/>
                <w:b/>
                <w:szCs w:val="21"/>
              </w:rPr>
            </w:pPr>
          </w:p>
        </w:tc>
        <w:tc>
          <w:tcPr>
            <w:tcW w:w="886" w:type="dxa"/>
            <w:tcBorders>
              <w:top w:val="nil"/>
              <w:left w:val="nil"/>
              <w:bottom w:val="single" w:color="auto" w:sz="4" w:space="0"/>
              <w:right w:val="single" w:color="auto" w:sz="4" w:space="0"/>
            </w:tcBorders>
            <w:vAlign w:val="center"/>
          </w:tcPr>
          <w:p>
            <w:pPr>
              <w:adjustRightInd w:val="0"/>
              <w:snapToGrid w:val="0"/>
              <w:jc w:val="center"/>
              <w:rPr>
                <w:rFonts w:ascii="仿宋_GB2312" w:hAnsi="宋体" w:eastAsia="仿宋_GB2312" w:cs="宋体"/>
                <w:szCs w:val="21"/>
              </w:rPr>
            </w:pPr>
            <w:r>
              <w:rPr>
                <w:rFonts w:hint="eastAsia" w:ascii="仿宋_GB2312" w:hAnsi="宋体" w:eastAsia="仿宋_GB2312" w:cs="宋体"/>
                <w:szCs w:val="21"/>
              </w:rPr>
              <w:t>　</w:t>
            </w:r>
          </w:p>
        </w:tc>
      </w:tr>
    </w:tbl>
    <w:p>
      <w:pPr>
        <w:widowControl w:val="0"/>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spacing w:before="0"/>
        <w:jc w:val="center"/>
        <w:rPr>
          <w:rFonts w:hint="default" w:ascii="宋体" w:hAnsi="宋体" w:eastAsia="宋体" w:cs="宋体"/>
          <w:kern w:val="2"/>
          <w:sz w:val="36"/>
          <w:szCs w:val="36"/>
        </w:rPr>
      </w:pPr>
    </w:p>
    <w:p>
      <w:pPr>
        <w:widowControl w:val="0"/>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spacing w:before="0"/>
        <w:ind w:firstLine="420"/>
        <w:jc w:val="both"/>
        <w:rPr>
          <w:rFonts w:hint="default" w:ascii="黑体" w:hAnsi="黑体" w:eastAsia="黑体" w:cs="黑体"/>
          <w:kern w:val="2"/>
          <w:sz w:val="21"/>
          <w:szCs w:val="21"/>
        </w:rPr>
      </w:pPr>
      <w:r>
        <w:rPr>
          <w:rFonts w:ascii="黑体" w:hAnsi="黑体" w:eastAsia="黑体" w:cs="黑体"/>
          <w:kern w:val="2"/>
          <w:sz w:val="21"/>
          <w:szCs w:val="21"/>
        </w:rPr>
        <w:t>备注：</w:t>
      </w:r>
      <w:r>
        <w:rPr>
          <w:rFonts w:ascii="黑体" w:hAnsi="黑体" w:eastAsia="黑体" w:cs="黑体"/>
          <w:kern w:val="2"/>
          <w:sz w:val="21"/>
          <w:szCs w:val="21"/>
          <w:lang w:val="en-US"/>
        </w:rPr>
        <w:t>1.</w:t>
      </w:r>
      <w:r>
        <w:rPr>
          <w:rFonts w:ascii="黑体" w:hAnsi="黑体" w:eastAsia="黑体" w:cs="黑体"/>
          <w:kern w:val="2"/>
          <w:sz w:val="21"/>
          <w:szCs w:val="21"/>
        </w:rPr>
        <w:t>各项评审打分按照四舍五入，小数点后保留</w:t>
      </w:r>
      <w:r>
        <w:rPr>
          <w:rFonts w:ascii="黑体" w:hAnsi="黑体" w:eastAsia="黑体" w:cs="黑体"/>
          <w:kern w:val="2"/>
          <w:sz w:val="21"/>
          <w:szCs w:val="21"/>
          <w:lang w:val="en-US"/>
        </w:rPr>
        <w:t>2</w:t>
      </w:r>
      <w:r>
        <w:rPr>
          <w:rFonts w:ascii="黑体" w:hAnsi="黑体" w:eastAsia="黑体" w:cs="黑体"/>
          <w:kern w:val="2"/>
          <w:sz w:val="21"/>
          <w:szCs w:val="21"/>
        </w:rPr>
        <w:t>位进行计算；</w:t>
      </w:r>
    </w:p>
    <w:p>
      <w:pPr>
        <w:widowControl w:val="0"/>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spacing w:before="0"/>
        <w:ind w:left="1050" w:hanging="1050"/>
        <w:jc w:val="both"/>
      </w:pPr>
      <w:r>
        <w:rPr>
          <w:rFonts w:ascii="黑体" w:hAnsi="黑体" w:eastAsia="黑体" w:cs="黑体"/>
          <w:kern w:val="2"/>
          <w:sz w:val="21"/>
          <w:szCs w:val="21"/>
          <w:lang w:val="en-US"/>
        </w:rPr>
        <w:t xml:space="preserve">          2.</w:t>
      </w:r>
      <w:r>
        <w:rPr>
          <w:rFonts w:ascii="黑体" w:hAnsi="黑体" w:eastAsia="黑体" w:cs="黑体"/>
          <w:kern w:val="2"/>
          <w:sz w:val="21"/>
          <w:szCs w:val="21"/>
        </w:rPr>
        <w:t>若出现拟推荐成交候选供应商票数相同的情况，以未推荐上述单位的评审专家对并列第一的候选供应商既定打分排序作为最终选定依据。</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PingFang SC Regular">
    <w:altName w:val="Cambria"/>
    <w:panose1 w:val="00000000000000000000"/>
    <w:charset w:val="00"/>
    <w:family w:val="roman"/>
    <w:pitch w:val="default"/>
    <w:sig w:usb0="00000000" w:usb1="00000000" w:usb2="00000000" w:usb3="00000000" w:csb0="00040001" w:csb1="00000000"/>
  </w:font>
  <w:font w:name="Cambria">
    <w:panose1 w:val="02040503050406030204"/>
    <w:charset w:val="00"/>
    <w:family w:val="auto"/>
    <w:pitch w:val="default"/>
    <w:sig w:usb0="E00006FF" w:usb1="420024FF" w:usb2="02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gxMzVhMDlhOTk3ZTc4ZWFhYjJiOGFiYTU2ZTVjMzEifQ=="/>
  </w:docVars>
  <w:rsids>
    <w:rsidRoot w:val="5AB00F04"/>
    <w:rsid w:val="090E2A72"/>
    <w:rsid w:val="09A96234"/>
    <w:rsid w:val="26AB10A6"/>
    <w:rsid w:val="2B287ECD"/>
    <w:rsid w:val="34304A9B"/>
    <w:rsid w:val="432F1559"/>
    <w:rsid w:val="433003E9"/>
    <w:rsid w:val="5AB00F04"/>
    <w:rsid w:val="66051C6E"/>
    <w:rsid w:val="6B96396E"/>
    <w:rsid w:val="74777F18"/>
    <w:rsid w:val="7F085F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qFormat="1"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tabs>
        <w:tab w:val="left" w:pos="562"/>
        <w:tab w:val="left" w:pos="3372"/>
        <w:tab w:val="left" w:pos="3653"/>
      </w:tabs>
    </w:pPr>
    <w:rPr>
      <w:sz w:val="24"/>
    </w:rPr>
  </w:style>
  <w:style w:type="paragraph" w:styleId="3">
    <w:name w:val="index 8"/>
    <w:basedOn w:val="1"/>
    <w:next w:val="1"/>
    <w:qFormat/>
    <w:uiPriority w:val="0"/>
    <w:pPr>
      <w:ind w:left="1400" w:leftChars="1400"/>
    </w:pPr>
  </w:style>
  <w:style w:type="paragraph" w:styleId="4">
    <w:name w:val="Plain Text"/>
    <w:basedOn w:val="1"/>
    <w:next w:val="3"/>
    <w:autoRedefine/>
    <w:qFormat/>
    <w:uiPriority w:val="0"/>
    <w:rPr>
      <w:rFonts w:ascii="宋体" w:hAnsi="Courier New"/>
      <w:szCs w:val="21"/>
    </w:rPr>
  </w:style>
  <w:style w:type="paragraph" w:styleId="5">
    <w:name w:val="toc 2"/>
    <w:basedOn w:val="1"/>
    <w:next w:val="1"/>
    <w:autoRedefine/>
    <w:qFormat/>
    <w:uiPriority w:val="0"/>
    <w:pPr>
      <w:spacing w:line="600" w:lineRule="exact"/>
      <w:ind w:firstLine="880" w:firstLineChars="200"/>
    </w:pPr>
    <w:rPr>
      <w:rFonts w:eastAsia="仿宋_GB2312"/>
      <w:sz w:val="3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890</Words>
  <Characters>979</Characters>
  <Lines>0</Lines>
  <Paragraphs>0</Paragraphs>
  <TotalTime>5</TotalTime>
  <ScaleCrop>false</ScaleCrop>
  <LinksUpToDate>false</LinksUpToDate>
  <CharactersWithSpaces>1043</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2021-04-06T09:41:00Z</dcterms:created>
  <dc:creator>苏述超</dc:creator>
  <cp:lastModifiedBy>苏述超</cp:lastModifiedBy>
  <dcterms:modified xsi:type="dcterms:W3CDTF">2024-06-25T10:57:03Z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800C77DB2FB6444F81A178C03576ACFD</vt:lpwstr>
  </property>
</Properties>
</file>