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pStyle w:val="26"/>
        <w:spacing w:line="460" w:lineRule="exact"/>
        <w:rPr>
          <w:rFonts w:hint="default" w:ascii="黑体" w:hAnsi="黑体" w:eastAsia="黑体" w:cs="黑体"/>
          <w:b w:val="0"/>
          <w:bCs w:val="0"/>
          <w:sz w:val="32"/>
          <w:szCs w:val="32"/>
          <w:lang w:val="en-US" w:eastAsia="zh-CN"/>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深圳市龙岗区第七人民医院2024-2025年度消毒供应服务项目</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sz w:val="36"/>
          <w:szCs w:val="36"/>
          <w:lang w:val="en-US" w:eastAsia="zh-CN"/>
        </w:rPr>
        <w:t>深龙七医采[LGQY2024HL001]</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rPr>
        <w:t>服务类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65000元/年</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2"/>
        <w:rPr>
          <w:rFonts w:hint="default"/>
        </w:rPr>
      </w:pPr>
    </w:p>
    <w:p>
      <w:pPr>
        <w:pStyle w:val="12"/>
        <w:rPr>
          <w:rFonts w:hint="default"/>
          <w:szCs w:val="20"/>
        </w:rPr>
      </w:pPr>
    </w:p>
    <w:p>
      <w:pPr>
        <w:pStyle w:val="7"/>
      </w:pPr>
    </w:p>
    <w:p/>
    <w:p>
      <w:pPr>
        <w:pStyle w:val="5"/>
      </w:pPr>
    </w:p>
    <w:p/>
    <w:p>
      <w:pPr>
        <w:pStyle w:val="5"/>
        <w:ind w:firstLine="1920" w:firstLineChars="600"/>
        <w:rPr>
          <w:rFonts w:cs="宋体"/>
          <w:sz w:val="40"/>
          <w:szCs w:val="40"/>
        </w:rPr>
      </w:pPr>
      <w:r>
        <w:rPr>
          <w:rFonts w:ascii="仿宋_GB2312" w:hAnsi="仿宋_GB2312" w:eastAsia="仿宋_GB2312" w:cs="仿宋_GB2312"/>
          <w:sz w:val="32"/>
          <w:szCs w:val="32"/>
        </w:rPr>
        <w:t>日期：     年    月    日</w:t>
      </w:r>
    </w:p>
    <w:p>
      <w:pPr>
        <w:spacing w:line="360" w:lineRule="auto"/>
        <w:rPr>
          <w:rFonts w:ascii="宋体" w:hAnsi="宋体" w:cs="宋体"/>
          <w:b/>
          <w:bCs/>
          <w:sz w:val="40"/>
          <w:szCs w:val="40"/>
        </w:rPr>
      </w:pPr>
    </w:p>
    <w:p>
      <w:pPr>
        <w:spacing w:line="360" w:lineRule="auto"/>
        <w:jc w:val="center"/>
        <w:rPr>
          <w:rFonts w:ascii="宋体" w:hAnsi="宋体" w:cs="宋体"/>
          <w:b/>
          <w:bCs/>
          <w:sz w:val="40"/>
          <w:szCs w:val="40"/>
        </w:rPr>
      </w:pPr>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pStyle w:val="26"/>
        <w:spacing w:line="460" w:lineRule="exact"/>
        <w:jc w:val="center"/>
        <w:rPr>
          <w:rFonts w:hint="eastAsia" w:ascii="宋体" w:hAnsi="宋体"/>
          <w:sz w:val="40"/>
          <w:szCs w:val="40"/>
          <w:lang w:val="en-US" w:eastAsia="zh-CN"/>
        </w:rPr>
      </w:pPr>
      <w:r>
        <w:rPr>
          <w:rFonts w:hint="eastAsia" w:ascii="宋体" w:hAnsi="宋体"/>
          <w:sz w:val="40"/>
          <w:szCs w:val="40"/>
        </w:rPr>
        <w:t>深圳市龙岗区第七人民医院关于</w:t>
      </w:r>
      <w:r>
        <w:rPr>
          <w:rFonts w:hint="eastAsia" w:ascii="宋体" w:hAnsi="宋体"/>
          <w:sz w:val="40"/>
          <w:szCs w:val="40"/>
          <w:lang w:val="en-US" w:eastAsia="zh-CN"/>
        </w:rPr>
        <w:t>2024-2025年度</w:t>
      </w:r>
    </w:p>
    <w:p>
      <w:pPr>
        <w:pStyle w:val="26"/>
        <w:spacing w:line="460" w:lineRule="exact"/>
        <w:jc w:val="center"/>
        <w:rPr>
          <w:sz w:val="32"/>
          <w:szCs w:val="32"/>
        </w:rPr>
      </w:pPr>
      <w:r>
        <w:rPr>
          <w:rFonts w:hint="eastAsia" w:ascii="宋体" w:hAnsi="宋体"/>
          <w:sz w:val="40"/>
          <w:szCs w:val="40"/>
          <w:lang w:val="en-US" w:eastAsia="zh-CN"/>
        </w:rPr>
        <w:t>消毒供应服务</w:t>
      </w:r>
      <w:r>
        <w:rPr>
          <w:rFonts w:hint="eastAsia" w:ascii="宋体" w:hAnsi="宋体"/>
          <w:sz w:val="40"/>
          <w:szCs w:val="40"/>
        </w:rPr>
        <w:t>项目院内公开采购的公告</w:t>
      </w:r>
    </w:p>
    <w:p>
      <w:pPr>
        <w:spacing w:line="48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r>
        <w:rPr>
          <w:rFonts w:hint="eastAsia" w:ascii="仿宋_GB2312" w:hAnsi="宋体" w:eastAsia="仿宋_GB2312"/>
          <w:sz w:val="28"/>
          <w:szCs w:val="28"/>
        </w:rPr>
        <w:t>根据政府采购相关规定和《深圳市龙岗区第七人民医院采购管理办法》的有关规定，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我院拟对以下项目进行院内公开采购，欢迎符合条件具有供应能力的供应商或厂家前来报名参加。</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r>
        <w:rPr>
          <w:rFonts w:hint="eastAsia" w:ascii="仿宋_GB2312" w:eastAsia="仿宋_GB2312"/>
          <w:sz w:val="28"/>
          <w:szCs w:val="28"/>
        </w:rPr>
        <w:t>一、采购项目</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（1）项目编号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深龙七医采[LGQY2024HL001]</w:t>
      </w:r>
    </w:p>
    <w:p>
      <w:pPr>
        <w:pStyle w:val="26"/>
        <w:keepNext w:val="0"/>
        <w:keepLines w:val="0"/>
        <w:pageBreakBefore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（2）项目名</w:t>
      </w:r>
      <w:r>
        <w:rPr>
          <w:rFonts w:hint="eastAsia" w:ascii="仿宋_GB2312" w:hAnsi="仿宋_GB2312" w:eastAsia="仿宋_GB2312" w:cs="仿宋_GB2312"/>
          <w:kern w:val="2"/>
          <w:sz w:val="28"/>
          <w:szCs w:val="28"/>
          <w:lang w:val="en-US" w:eastAsia="zh-CN" w:bidi="ar-SA"/>
        </w:rPr>
        <w:t>称：2024-2025年度消毒供应服务项目</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（3）采购数量：1项</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（4）预算金额（最高支付上限）：</w:t>
      </w: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5000</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val="en-US" w:eastAsia="zh-CN"/>
        </w:rPr>
        <w:t>/年</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28"/>
          <w:szCs w:val="28"/>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基本要求</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1.具有独立法人资格或具有独立承担民事责任的能力的其他组织（提供营业执照或事业单位法人证等法人证明扫描件，原件备查）；</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2.满足《中华人民共和国政府采购法》第二十二条规定；</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3.落实政府采购政策需满足的资格要求：按照相关规定执行，详见采购需求标准。</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4.本项目不接受联合体投标，不允许分包、转包，不接受进口产品；</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5.参与本项目投标前三年内，在经营活动中没有重大违法记录；</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6.参与本项目政府采购活动时不存在被有关部门禁止参与政府采购活动且在有效期内的情况；</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7.未被列入失信被执行人、重大税收违法案件当事人名单、政府采购严重违法失信行为记录名单；</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8.与其他投标供应商不存在单位负责人为同一人或者存在直接控股、管理关系。</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条须供应商在《投标及履约承诺函》中作出声明。</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sz w:val="28"/>
          <w:szCs w:val="28"/>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特质要求</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（1）营业范围必须包含复用的医疗器械、器具及物品清洗、消毒、包装灭菌服务；</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（2）投标人须提供当地环保部门颁发的《污染物排放许可证》；</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（3）投标人应取得消毒服务相应资质的医疗机构执业许可证。</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三、采购方式：院内公开采购</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四、评标方法：综合评分法</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五、投标人报名资料要求</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（1）院内采购报名表；</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法定代表人</w:t>
      </w:r>
      <w:r>
        <w:rPr>
          <w:rFonts w:hint="eastAsia" w:ascii="仿宋_GB2312" w:hAnsi="仿宋_GB2312" w:eastAsia="仿宋_GB2312" w:cs="仿宋_GB2312"/>
          <w:sz w:val="28"/>
          <w:szCs w:val="28"/>
        </w:rPr>
        <w:t>参加的须提供法人证及个人身份证复印件；非</w:t>
      </w:r>
      <w:r>
        <w:rPr>
          <w:rFonts w:hint="eastAsia" w:ascii="仿宋_GB2312" w:hAnsi="仿宋_GB2312" w:eastAsia="仿宋_GB2312" w:cs="仿宋_GB2312"/>
          <w:sz w:val="28"/>
          <w:szCs w:val="28"/>
          <w:lang w:val="en-US" w:eastAsia="zh-CN"/>
        </w:rPr>
        <w:t>法定代表人</w:t>
      </w:r>
      <w:r>
        <w:rPr>
          <w:rFonts w:hint="eastAsia" w:ascii="仿宋_GB2312" w:hAnsi="仿宋_GB2312" w:eastAsia="仿宋_GB2312" w:cs="仿宋_GB2312"/>
          <w:sz w:val="28"/>
          <w:szCs w:val="28"/>
        </w:rPr>
        <w:t>参加的须提供法人代表身份证复印件、授权书及个人身份证复印件；</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（3）供应商须提供“三证合一”（工商营业执照、组织机构代码证和税务登记证）与生产（经营）许可证的复印件（经营许可范围一定要与所投产品注册分类目录相符，否则无效）；</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（4）通过以下3个官网的信用信息查询记录网络截图件并加盖投标人公章：①信用中国②中国政府采购网③深圳市政府采购监管网。相关信息以开标当日的查询结果为准。</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（5）投标及履约承诺函。</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Helvetica" w:hAnsi="Helvetica" w:cs="Helvetica"/>
          <w:color w:val="000000"/>
          <w:sz w:val="24"/>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r>
        <w:rPr>
          <w:rFonts w:ascii="Helvetica" w:hAnsi="Helvetica" w:eastAsia="Helvetica" w:cs="Helvetica"/>
          <w:color w:val="000000"/>
          <w:sz w:val="24"/>
        </w:rPr>
        <w:t>。</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w:t>
      </w:r>
      <w:r>
        <w:rPr>
          <w:rFonts w:hint="eastAsia" w:ascii="仿宋_GB2312" w:hAnsi="仿宋_GB2312" w:eastAsia="仿宋_GB2312" w:cs="仿宋_GB2312"/>
          <w:sz w:val="28"/>
          <w:szCs w:val="28"/>
          <w:lang w:val="en-US" w:eastAsia="zh-CN"/>
        </w:rPr>
        <w:t>报名</w:t>
      </w:r>
      <w:r>
        <w:rPr>
          <w:rFonts w:hint="eastAsia" w:ascii="仿宋_GB2312" w:hAnsi="仿宋_GB2312" w:eastAsia="仿宋_GB2312" w:cs="仿宋_GB2312"/>
          <w:sz w:val="28"/>
          <w:szCs w:val="28"/>
        </w:rPr>
        <w:t>截止时间</w:t>
      </w:r>
      <w:r>
        <w:rPr>
          <w:rFonts w:hint="eastAsia" w:ascii="仿宋_GB2312" w:hAnsi="仿宋_GB2312" w:eastAsia="仿宋_GB2312" w:cs="仿宋_GB2312"/>
          <w:sz w:val="28"/>
          <w:szCs w:val="28"/>
          <w:lang w:val="en-US" w:eastAsia="zh-CN"/>
        </w:rPr>
        <w:t>及地点</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简竹护理院行政楼三楼招采办</w:t>
      </w:r>
      <w:r>
        <w:rPr>
          <w:rFonts w:hint="eastAsia" w:ascii="仿宋_GB2312" w:hAnsi="仿宋_GB2312" w:eastAsia="仿宋_GB2312" w:cs="仿宋_GB2312"/>
          <w:sz w:val="28"/>
          <w:szCs w:val="28"/>
          <w:lang w:eastAsia="zh-CN"/>
        </w:rPr>
        <w:t>。</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、递交投标文件</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开标时间及地点：202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深圳市龙岗区南湾街道吉厦社区简竹路12号简竹护理院行政楼五楼活动室（如有变动，另行通知）</w:t>
      </w:r>
      <w:r>
        <w:rPr>
          <w:rFonts w:hint="eastAsia" w:ascii="仿宋_GB2312" w:hAnsi="仿宋_GB2312" w:eastAsia="仿宋_GB2312" w:cs="仿宋_GB2312"/>
          <w:sz w:val="28"/>
          <w:szCs w:val="28"/>
        </w:rPr>
        <w:t>。</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、联系人及联系电话：陈女士，0755-28740471</w:t>
      </w:r>
      <w:r>
        <w:rPr>
          <w:rFonts w:hint="eastAsia" w:ascii="仿宋_GB2312" w:hAnsi="仿宋_GB2312" w:eastAsia="仿宋_GB2312" w:cs="仿宋_GB2312"/>
          <w:sz w:val="28"/>
          <w:szCs w:val="28"/>
          <w:lang w:eastAsia="zh-CN"/>
        </w:rPr>
        <w:t>。</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九、公告日期：自公告发布之日起5个工作日。</w:t>
      </w:r>
    </w:p>
    <w:p>
      <w:pPr>
        <w:pStyle w:val="28"/>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8"/>
        <w:keepNext w:val="0"/>
        <w:keepLines w:val="0"/>
        <w:pageBreakBefore w:val="0"/>
        <w:kinsoku/>
        <w:wordWrap/>
        <w:overflowPunct/>
        <w:topLinePunct w:val="0"/>
        <w:autoSpaceDE/>
        <w:autoSpaceDN/>
        <w:bidi w:val="0"/>
        <w:adjustRightInd/>
        <w:snapToGrid/>
        <w:spacing w:line="40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6"/>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2.深圳市龙岗区第七人民医院2024-2025年度消毒供应服务项目招</w:t>
      </w:r>
    </w:p>
    <w:p>
      <w:pPr>
        <w:pStyle w:val="26"/>
        <w:keepNext w:val="0"/>
        <w:keepLines w:val="0"/>
        <w:pageBreakBefore w:val="0"/>
        <w:kinsoku/>
        <w:wordWrap/>
        <w:overflowPunct/>
        <w:topLinePunct w:val="0"/>
        <w:autoSpaceDE/>
        <w:autoSpaceDN/>
        <w:bidi w:val="0"/>
        <w:adjustRightInd/>
        <w:snapToGrid/>
        <w:spacing w:line="400" w:lineRule="exact"/>
        <w:ind w:firstLine="840" w:firstLineChars="300"/>
        <w:jc w:val="both"/>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标文件</w:t>
      </w:r>
    </w:p>
    <w:p>
      <w:pPr>
        <w:pStyle w:val="28"/>
        <w:keepNext w:val="0"/>
        <w:keepLines w:val="0"/>
        <w:pageBreakBefore w:val="0"/>
        <w:kinsoku/>
        <w:wordWrap/>
        <w:overflowPunct/>
        <w:topLinePunct w:val="0"/>
        <w:autoSpaceDE/>
        <w:autoSpaceDN/>
        <w:bidi w:val="0"/>
        <w:adjustRightInd/>
        <w:snapToGrid/>
        <w:spacing w:line="400" w:lineRule="exact"/>
        <w:ind w:firstLine="560"/>
        <w:jc w:val="right"/>
        <w:textAlignment w:val="auto"/>
        <w:rPr>
          <w:rFonts w:ascii="仿宋_GB2312" w:eastAsia="仿宋_GB2312"/>
          <w:sz w:val="28"/>
          <w:szCs w:val="28"/>
        </w:rPr>
      </w:pPr>
    </w:p>
    <w:p>
      <w:pPr>
        <w:pStyle w:val="28"/>
        <w:keepNext w:val="0"/>
        <w:keepLines w:val="0"/>
        <w:pageBreakBefore w:val="0"/>
        <w:kinsoku/>
        <w:wordWrap/>
        <w:overflowPunct/>
        <w:topLinePunct w:val="0"/>
        <w:autoSpaceDE/>
        <w:autoSpaceDN/>
        <w:bidi w:val="0"/>
        <w:adjustRightInd/>
        <w:snapToGrid/>
        <w:spacing w:line="400" w:lineRule="exact"/>
        <w:ind w:firstLine="560"/>
        <w:jc w:val="right"/>
        <w:textAlignment w:val="auto"/>
        <w:rPr>
          <w:rFonts w:ascii="仿宋_GB2312" w:eastAsia="仿宋_GB2312"/>
          <w:sz w:val="28"/>
          <w:szCs w:val="28"/>
        </w:rPr>
      </w:pPr>
      <w:r>
        <w:rPr>
          <w:rFonts w:hint="eastAsia" w:ascii="仿宋_GB2312" w:eastAsia="仿宋_GB2312"/>
          <w:sz w:val="28"/>
          <w:szCs w:val="28"/>
        </w:rPr>
        <w:t>深圳市龙岗区第七人民医院</w:t>
      </w:r>
    </w:p>
    <w:p>
      <w:pPr>
        <w:pStyle w:val="28"/>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仿宋_GB2312" w:hAnsi="仿宋_GB2312" w:eastAsia="仿宋_GB2312" w:cs="仿宋_GB2312"/>
          <w:sz w:val="28"/>
          <w:szCs w:val="28"/>
          <w:lang w:val="en-US" w:eastAsia="zh-CN"/>
        </w:rPr>
      </w:pPr>
      <w:r>
        <w:rPr>
          <w:rFonts w:hint="eastAsia" w:ascii="仿宋_GB2312" w:eastAsia="仿宋_GB2312"/>
          <w:sz w:val="28"/>
          <w:szCs w:val="28"/>
        </w:rPr>
        <w:t xml:space="preserve">                                        </w:t>
      </w:r>
      <w:r>
        <w:rPr>
          <w:rFonts w:hint="eastAsia" w:ascii="仿宋_GB2312" w:hAnsi="仿宋_GB2312" w:eastAsia="仿宋_GB2312" w:cs="仿宋_GB2312"/>
          <w:sz w:val="28"/>
          <w:szCs w:val="28"/>
          <w:lang w:val="en-US" w:eastAsia="zh-CN"/>
        </w:rPr>
        <w:t xml:space="preserve"> 2024年7月1日</w:t>
      </w:r>
    </w:p>
    <w:p/>
    <w:p/>
    <w:p/>
    <w:p/>
    <w:p/>
    <w:p/>
    <w:p/>
    <w:p/>
    <w:p>
      <w:pPr>
        <w:pStyle w:val="5"/>
      </w:pPr>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spacing w:before="312" w:beforeLines="100" w:after="156" w:afterLines="50" w:line="360" w:lineRule="auto"/>
        <w:ind w:firstLine="643" w:firstLineChars="200"/>
        <w:jc w:val="center"/>
      </w:pPr>
      <w:r>
        <w:rPr>
          <w:rFonts w:hint="eastAsia" w:ascii="仿宋_GB2312" w:hAnsi="仿宋_GB2312" w:eastAsia="仿宋_GB2312" w:cs="仿宋_GB2312"/>
          <w:b/>
          <w:bCs/>
          <w:sz w:val="32"/>
          <w:szCs w:val="32"/>
        </w:rPr>
        <w:t>第一部分　供应商资质及商务条件</w:t>
      </w:r>
    </w:p>
    <w:p>
      <w:pPr>
        <w:widowControl/>
        <w:spacing w:line="500" w:lineRule="exact"/>
        <w:ind w:firstLine="560" w:firstLineChars="200"/>
        <w:jc w:val="left"/>
        <w:rPr>
          <w:rFonts w:ascii="仿宋_GB2312" w:hAnsi="仿宋_GB2312" w:eastAsia="仿宋_GB2312" w:cs="仿宋_GB2312"/>
          <w:sz w:val="28"/>
          <w:szCs w:val="28"/>
        </w:rPr>
      </w:pPr>
    </w:p>
    <w:p>
      <w:pPr>
        <w:ind w:right="-82" w:rightChars="-39"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r>
        <w:rPr>
          <w:rFonts w:hint="eastAsia" w:ascii="仿宋_GB2312" w:hAnsi="仿宋_GB2312" w:eastAsia="仿宋_GB2312" w:cs="仿宋_GB2312"/>
          <w:kern w:val="0"/>
          <w:sz w:val="28"/>
          <w:szCs w:val="28"/>
          <w:lang w:val="en-US" w:eastAsia="zh-CN" w:bidi="ar-SA"/>
        </w:rPr>
        <w:t>深圳市龙岗区第七人民医院</w:t>
      </w:r>
      <w:r>
        <w:rPr>
          <w:rFonts w:hint="eastAsia" w:ascii="仿宋_GB2312" w:hAnsi="仿宋_GB2312" w:eastAsia="仿宋_GB2312" w:cs="仿宋_GB2312"/>
          <w:kern w:val="2"/>
          <w:sz w:val="28"/>
          <w:szCs w:val="28"/>
          <w:lang w:val="en-US" w:eastAsia="zh-CN" w:bidi="ar-SA"/>
        </w:rPr>
        <w:t>2024-2025年度消毒供应服务项目，</w:t>
      </w:r>
      <w:r>
        <w:rPr>
          <w:rFonts w:hint="eastAsia" w:ascii="仿宋_GB2312" w:hAnsi="仿宋_GB2312" w:eastAsia="仿宋_GB2312" w:cs="仿宋_GB2312"/>
          <w:kern w:val="0"/>
          <w:sz w:val="28"/>
          <w:szCs w:val="28"/>
          <w:lang w:val="en-US" w:eastAsia="zh-CN" w:bidi="ar-SA"/>
        </w:rPr>
        <w:t>本项目招标的范围包括采购人重复使用诊疗器械（口腔小器械除外）、器具及物品的消毒灭菌。消毒灭菌效果达到国家卫健委发布的《医院消毒供应中心第1、2、3部分规范》标准和要求。服务内容包含中标人负责接收医院使用后的器械、器具及物品，并负责清洗、消毒、干燥、包装、灭菌及送达至指定无菌物品存放点的整个过程服务。</w:t>
      </w:r>
    </w:p>
    <w:p>
      <w:pPr>
        <w:pStyle w:val="5"/>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二、预算价格：</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eastAsia="zh-CN"/>
        </w:rPr>
        <w:t>6</w:t>
      </w:r>
      <w:r>
        <w:rPr>
          <w:rFonts w:hint="eastAsia" w:ascii="仿宋_GB2312" w:hAnsi="仿宋_GB2312" w:eastAsia="仿宋_GB2312" w:cs="仿宋_GB2312"/>
          <w:kern w:val="0"/>
          <w:sz w:val="28"/>
          <w:szCs w:val="28"/>
          <w:lang w:val="en-US" w:eastAsia="zh-CN"/>
        </w:rPr>
        <w:t>5000</w:t>
      </w:r>
      <w:r>
        <w:rPr>
          <w:rFonts w:hint="eastAsia" w:ascii="仿宋_GB2312" w:hAnsi="仿宋_GB2312" w:eastAsia="仿宋_GB2312" w:cs="仿宋_GB2312"/>
          <w:kern w:val="0"/>
          <w:sz w:val="28"/>
          <w:szCs w:val="28"/>
        </w:rPr>
        <w:t>元，此</w:t>
      </w:r>
      <w:r>
        <w:rPr>
          <w:rFonts w:ascii="仿宋_GB2312" w:hAnsi="仿宋_GB2312" w:eastAsia="仿宋_GB2312" w:cs="仿宋_GB2312"/>
          <w:sz w:val="28"/>
          <w:szCs w:val="28"/>
        </w:rPr>
        <w:t>预算金额为合同期内最高支付上限。</w:t>
      </w:r>
    </w:p>
    <w:p>
      <w:pPr>
        <w:pStyle w:val="26"/>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三、采购活动时间要求：</w:t>
      </w:r>
      <w:r>
        <w:rPr>
          <w:rFonts w:hint="eastAsia" w:ascii="仿宋_GB2312" w:hAnsi="仿宋_GB2312" w:eastAsia="仿宋_GB2312" w:cs="仿宋_GB2312"/>
          <w:b/>
          <w:bCs/>
          <w:sz w:val="28"/>
          <w:szCs w:val="28"/>
          <w:lang w:val="en-US" w:eastAsia="zh-CN"/>
        </w:rPr>
        <w:t>/</w:t>
      </w:r>
    </w:p>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四、采购组织形式（</w:t>
      </w:r>
      <w:r>
        <w:rPr>
          <w:rFonts w:hint="eastAsia" w:ascii="仿宋_GB2312" w:hAnsi="仿宋_GB2312" w:eastAsia="仿宋_GB2312" w:cs="仿宋_GB2312"/>
          <w:b/>
          <w:bCs/>
          <w:color w:val="FF0000"/>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政府集中采购□、院内集中采购☑、院内委托代理采购□、集团联合采购□、其他□。</w:t>
      </w:r>
    </w:p>
    <w:p>
      <w:pPr>
        <w:spacing w:line="560" w:lineRule="exact"/>
      </w:pPr>
      <w:r>
        <w:rPr>
          <w:rFonts w:hint="eastAsia" w:ascii="仿宋_GB2312" w:hAnsi="仿宋_GB2312" w:eastAsia="仿宋_GB2312" w:cs="仿宋_GB2312"/>
          <w:b/>
          <w:bCs/>
          <w:sz w:val="28"/>
          <w:szCs w:val="28"/>
        </w:rPr>
        <w:t xml:space="preserve">    五、采购方式（</w:t>
      </w:r>
      <w:r>
        <w:rPr>
          <w:rFonts w:hint="eastAsia" w:ascii="仿宋_GB2312" w:hAnsi="仿宋_GB2312" w:eastAsia="仿宋_GB2312" w:cs="仿宋_GB2312"/>
          <w:b/>
          <w:bCs/>
          <w:color w:val="FF0000"/>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院内招标☑、院内竞价□、院内邀标□、院内询价□、竞争性磋商□、院内直接议价□、其他□。</w:t>
      </w:r>
    </w:p>
    <w:p>
      <w:pPr>
        <w:widowControl/>
        <w:spacing w:line="56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六、投标人资格要求</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1.具有独立法人资格或具有独立承担民事责任的能力的其他组织（提供营业执照或事业单位法人证等法人证明扫描件，原件备查）；</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2.满足《中华人民共和国政府采购法》第二十二条规定；</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3.落实政府采购政策需满足的资格要求：按照相关规定执行，详见采购需求标准。</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4.本项目不接受联合体投标，不允许分包、转包，不接受进口产品；</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5.参与本项目投标前三年内，在经营活动中没有重大违法记录；</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6.参与本项目政府采购活动时不存在被有关部门禁止参与政府采购活动且在有效期内的情况；</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7.未被列入失信被执行人、重大税收违法案件当事人名单、政府采购严重违法失信行为记录名单；</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8.与其他投标供应商不存在单位负责人为同一人或者存在直接控股、管理关系。</w:t>
      </w:r>
    </w:p>
    <w:p>
      <w:pPr>
        <w:pStyle w:val="28"/>
        <w:spacing w:line="36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条须供应商在《投标及履约承诺函》中作出声明。</w:t>
      </w:r>
    </w:p>
    <w:p>
      <w:pPr>
        <w:numPr>
          <w:ilvl w:val="0"/>
          <w:numId w:val="0"/>
        </w:numPr>
        <w:ind w:leftChars="0" w:firstLine="640" w:firstLineChars="200"/>
        <w:rPr>
          <w:rFonts w:hint="eastAsia" w:ascii="仿宋_GB2312" w:hAnsi="仿宋_GB2312" w:eastAsia="仿宋_GB2312" w:cs="仿宋_GB2312"/>
          <w:sz w:val="28"/>
          <w:szCs w:val="28"/>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特质要求（投标人资格要求）：</w:t>
      </w:r>
    </w:p>
    <w:p>
      <w:pPr>
        <w:pStyle w:val="28"/>
        <w:spacing w:line="420" w:lineRule="exact"/>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（1）营业范围必须包含复用的医疗器械、器具及物品清洗、消毒、包装灭菌服务；</w:t>
      </w:r>
    </w:p>
    <w:p>
      <w:pPr>
        <w:pStyle w:val="28"/>
        <w:spacing w:line="420" w:lineRule="exact"/>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（2）投标人须提供当地环保部门颁发的《污染物排放许可证》；</w:t>
      </w:r>
    </w:p>
    <w:p>
      <w:pPr>
        <w:pStyle w:val="28"/>
        <w:spacing w:line="420" w:lineRule="exact"/>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（3）投标人应取得消毒服务相应资质的医疗机构执业许可证。</w:t>
      </w:r>
    </w:p>
    <w:p>
      <w:pPr>
        <w:pStyle w:val="26"/>
        <w:spacing w:line="56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七、服务内容及要求</w:t>
      </w:r>
    </w:p>
    <w:p>
      <w:pPr>
        <w:pStyle w:val="26"/>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中标方需向我院简竹护理院、院前急救科及各社康中心提供以下消毒供应服务:</w:t>
      </w:r>
    </w:p>
    <w:p>
      <w:pPr>
        <w:pStyle w:val="26"/>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1、各种诊断、治疗、护理包及常规手术器械包(简称灭菌包)的清洗、消毒、灭菌服务；</w:t>
      </w:r>
    </w:p>
    <w:p>
      <w:pPr>
        <w:pStyle w:val="26"/>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2、手术敷料包的包装、灭菌服务。</w:t>
      </w:r>
    </w:p>
    <w:p>
      <w:pPr>
        <w:widowControl/>
        <w:numPr>
          <w:ilvl w:val="0"/>
          <w:numId w:val="0"/>
        </w:numPr>
        <w:spacing w:line="360" w:lineRule="auto"/>
        <w:ind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3、具体要求</w:t>
      </w:r>
    </w:p>
    <w:tbl>
      <w:tblPr>
        <w:tblStyle w:val="20"/>
        <w:tblW w:w="9933" w:type="dxa"/>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5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top"/>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750" w:type="dxa"/>
            <w:noWrap w:val="0"/>
            <w:vAlign w:val="top"/>
          </w:tcPr>
          <w:p>
            <w:pPr>
              <w:ind w:right="-82" w:rightChars="-39"/>
              <w:jc w:val="center"/>
              <w:rPr>
                <w:rFonts w:hint="eastAsia" w:ascii="仿宋_GB2312" w:hAnsi="仿宋_GB2312" w:eastAsia="仿宋_GB2312" w:cs="仿宋_GB2312"/>
                <w:sz w:val="28"/>
                <w:szCs w:val="28"/>
              </w:rPr>
            </w:pPr>
            <w:r>
              <w:rPr>
                <w:rFonts w:hint="eastAsia" w:ascii="宋体" w:hAnsi="宋体" w:eastAsia="宋体" w:cs="宋体"/>
                <w:b/>
                <w:sz w:val="28"/>
                <w:szCs w:val="28"/>
              </w:rPr>
              <w:t>服务要求</w:t>
            </w:r>
          </w:p>
        </w:tc>
        <w:tc>
          <w:tcPr>
            <w:tcW w:w="1417" w:type="dxa"/>
            <w:noWrap w:val="0"/>
            <w:vAlign w:val="top"/>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933" w:type="dxa"/>
            <w:gridSpan w:val="3"/>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（一）主要设备要求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75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▲必须配备（1）高温高压灭菌设备；（2）环氧乙烷灭菌设备；（3）低温等离子灭菌设备。（须提供具有现场背景的实物照片彩色扫描件作为证明材料）</w:t>
            </w:r>
          </w:p>
        </w:tc>
        <w:tc>
          <w:tcPr>
            <w:tcW w:w="1417" w:type="dxa"/>
            <w:noWrap w:val="0"/>
            <w:vAlign w:val="center"/>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75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必须配备符合国家规范要求的包装设备并选用合格的包装材料。（须提供具有现场背景的实物照片彩色扫描件作为证明材料）</w:t>
            </w:r>
          </w:p>
        </w:tc>
        <w:tc>
          <w:tcPr>
            <w:tcW w:w="1417" w:type="dxa"/>
            <w:noWrap w:val="0"/>
            <w:vAlign w:val="center"/>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75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必须配备无菌储存容器与专用洁净配送车辆。（须提供具有现场背景的实物照片彩色扫描件作为证明材料）</w:t>
            </w:r>
          </w:p>
        </w:tc>
        <w:tc>
          <w:tcPr>
            <w:tcW w:w="1417" w:type="dxa"/>
            <w:noWrap w:val="0"/>
            <w:vAlign w:val="center"/>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933" w:type="dxa"/>
            <w:gridSpan w:val="3"/>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（二）消毒灭菌技术要求（消毒供应中心管理要求）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750" w:type="dxa"/>
            <w:noWrap w:val="0"/>
            <w:vAlign w:val="top"/>
          </w:tcPr>
          <w:p>
            <w:pPr>
              <w:ind w:right="-82" w:rightChars="-3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1.1 </w:t>
            </w:r>
            <w:r>
              <w:rPr>
                <w:rFonts w:hint="eastAsia" w:ascii="仿宋_GB2312" w:hAnsi="仿宋_GB2312" w:eastAsia="仿宋_GB2312" w:cs="仿宋_GB2312"/>
                <w:sz w:val="28"/>
                <w:szCs w:val="28"/>
                <w:lang w:val="zh-CN"/>
              </w:rPr>
              <w:t>应按照</w:t>
            </w:r>
            <w:r>
              <w:rPr>
                <w:rFonts w:hint="eastAsia" w:ascii="仿宋_GB2312" w:hAnsi="仿宋_GB2312" w:eastAsia="仿宋_GB2312" w:cs="仿宋_GB2312"/>
                <w:sz w:val="28"/>
                <w:szCs w:val="28"/>
              </w:rPr>
              <w:t>（1）《医院机构消毒技术规范》；（2）《医院消毒供应中心管理规范》</w:t>
            </w:r>
            <w:r>
              <w:rPr>
                <w:rFonts w:hint="eastAsia" w:ascii="仿宋_GB2312" w:hAnsi="仿宋_GB2312" w:eastAsia="仿宋_GB2312" w:cs="仿宋_GB2312"/>
                <w:sz w:val="28"/>
                <w:szCs w:val="28"/>
                <w:lang w:val="zh-CN"/>
              </w:rPr>
              <w:t>建立医用手术器械、分类收集、清洗、干燥、、包装、消毒灭菌工作流程；建立卫生质量监测检查、无菌物品储存管理、设备安全操作、环境卫生保洁以及从业人员岗位职责、职业防护等制度。</w:t>
            </w:r>
          </w:p>
          <w:p>
            <w:pPr>
              <w:ind w:right="-82" w:rightChars="-3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.2应对工作人员进行岗前培训，使其熟练掌握清洗、消毒、干燥、包装、灭菌技能;并了解清洗、消毒、干燥、包装、灭菌等相关设备、设施及消毒隔离与感染控制基础知识、常用应急事件处理方法等。</w:t>
            </w:r>
          </w:p>
          <w:p>
            <w:pPr>
              <w:ind w:right="-82" w:rightChars="-3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.3应有质量管理负责人和专职质检员，负责开展各工作环节的自检、抽检工作。</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lang w:val="zh-CN"/>
              </w:rPr>
              <w:t>污染废物处置与管理应符合《医疗废物管理条例》、《医疗卫生机构医疗废物管理办法》的规定。</w:t>
            </w:r>
          </w:p>
        </w:tc>
        <w:tc>
          <w:tcPr>
            <w:tcW w:w="1417" w:type="dxa"/>
            <w:noWrap w:val="0"/>
            <w:vAlign w:val="top"/>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75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人员防护要求：</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应按照《医院消毒供应中心清洗消毒及灭菌技术操作规范》中相关规范、标准及要求，针对接收区、去污区、检查包装灭菌区及无菌物品储存区的工作人员进行不同的个人防护措施，个人防护用品不应交叉使用。</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▲2.2在去污区应遵循“标准预防”的原则，按照WS/T311的隔离要求，穿戴工作服（包括衣裤）、帽、口罩、手套、防水围裙和面罩，并按WS/T313要求进行手卫生。</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▲2.3检查包装灭菌区应穿洁净工作服、工作鞋，并保持手卫生。</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▲2.4在无菌物品储存区（灭菌卸载区、无菌储存区）应按照洁净室原则穿着洁净工作服或隔离服。</w:t>
            </w:r>
          </w:p>
        </w:tc>
        <w:tc>
          <w:tcPr>
            <w:tcW w:w="1417" w:type="dxa"/>
            <w:noWrap w:val="0"/>
            <w:vAlign w:val="center"/>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75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▲手术器械消毒灭菌原则、方法要求：必须严格执行《医院消毒供应中心清洗消毒及灭菌技术操作规范》中相关规范要求。</w:t>
            </w:r>
          </w:p>
        </w:tc>
        <w:tc>
          <w:tcPr>
            <w:tcW w:w="1417" w:type="dxa"/>
            <w:noWrap w:val="0"/>
            <w:vAlign w:val="center"/>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75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手术器械接收、清洗、消毒、干燥、包装、灭菌全流程要求：</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各类器械清洗要求须参照《医院消毒供应中心清洗消毒及灭菌技术操作规范》中相关要求执行，投标人必须按上述规范要求提供其自身的标准化流程图。</w:t>
            </w:r>
          </w:p>
        </w:tc>
        <w:tc>
          <w:tcPr>
            <w:tcW w:w="1417" w:type="dxa"/>
            <w:noWrap w:val="0"/>
            <w:vAlign w:val="top"/>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3" w:type="dxa"/>
            <w:gridSpan w:val="3"/>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（三）消毒供应中心布局与环境要求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75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消毒供应中心设计布局与环境要求严格按照（1）《医院机构消毒供应规范》；（2）《医院消毒供应中心管理规范》要求执行，必须</w:t>
            </w:r>
            <w:r>
              <w:rPr>
                <w:rFonts w:hint="eastAsia" w:ascii="仿宋_GB2312" w:hAnsi="仿宋_GB2312" w:eastAsia="仿宋_GB2312" w:cs="仿宋_GB2312"/>
                <w:sz w:val="28"/>
                <w:szCs w:val="28"/>
                <w:lang w:val="zh-CN"/>
              </w:rPr>
              <w:t>设有独立办公区域和消毒工作区域。（要求提供平面设计示意图及具有现</w:t>
            </w:r>
            <w:r>
              <w:rPr>
                <w:rFonts w:hint="eastAsia" w:ascii="仿宋_GB2312" w:hAnsi="仿宋_GB2312" w:eastAsia="仿宋_GB2312" w:cs="仿宋_GB2312"/>
                <w:sz w:val="28"/>
                <w:szCs w:val="28"/>
              </w:rPr>
              <w:t>场背景的实物照片彩色扫描件作为证明材料）</w:t>
            </w:r>
          </w:p>
        </w:tc>
        <w:tc>
          <w:tcPr>
            <w:tcW w:w="1417" w:type="dxa"/>
            <w:noWrap w:val="0"/>
            <w:vAlign w:val="top"/>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750" w:type="dxa"/>
            <w:noWrap w:val="0"/>
            <w:vAlign w:val="top"/>
          </w:tcPr>
          <w:p>
            <w:pPr>
              <w:ind w:right="-82" w:rightChars="-3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消毒工作区应按照不同的功能区域严格区分（1）去污区（包括接收、去污）；（2）洁净区（包括检查、包装、灭菌）；（3）无菌物品存放区（包括：灭菌卸载、无菌储存），各区域之间必须有缓冲隔离措施，并保证单向通行。</w:t>
            </w:r>
            <w:r>
              <w:rPr>
                <w:rFonts w:hint="eastAsia" w:ascii="仿宋_GB2312" w:hAnsi="仿宋_GB2312" w:eastAsia="仿宋_GB2312" w:cs="仿宋_GB2312"/>
                <w:sz w:val="28"/>
                <w:szCs w:val="28"/>
              </w:rPr>
              <w:t>（须提供具有现场背景的实物照片彩色扫描件作为证明材料）</w:t>
            </w:r>
          </w:p>
        </w:tc>
        <w:tc>
          <w:tcPr>
            <w:tcW w:w="1417" w:type="dxa"/>
            <w:noWrap w:val="0"/>
            <w:vAlign w:val="top"/>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75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各区域为独立空调净化系统，能按规范要求独立调节各区域的温度、湿度及压差；洁净度需达到100000级手术室标准。（须提供具有现场背景的实物照片彩色扫描件作为证明材料）</w:t>
            </w:r>
          </w:p>
        </w:tc>
        <w:tc>
          <w:tcPr>
            <w:tcW w:w="1417" w:type="dxa"/>
            <w:noWrap w:val="0"/>
            <w:vAlign w:val="center"/>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重要条款</w:t>
            </w:r>
          </w:p>
        </w:tc>
      </w:tr>
    </w:tbl>
    <w:p>
      <w:pPr>
        <w:pStyle w:val="26"/>
        <w:spacing w:line="560" w:lineRule="exact"/>
        <w:ind w:firstLine="562" w:firstLineChars="200"/>
        <w:rPr>
          <w:rFonts w:hint="eastAsia" w:ascii="仿宋_GB2312" w:hAnsi="仿宋_GB2312" w:eastAsia="仿宋_GB2312" w:cs="仿宋_GB2312"/>
          <w:b/>
          <w:bCs/>
          <w:sz w:val="28"/>
          <w:szCs w:val="28"/>
          <w:highlight w:val="none"/>
        </w:rPr>
      </w:pPr>
    </w:p>
    <w:tbl>
      <w:tblPr>
        <w:tblStyle w:val="20"/>
        <w:tblW w:w="935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760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top"/>
          </w:tcPr>
          <w:p>
            <w:pPr>
              <w:ind w:right="-82" w:rightChars="-39"/>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600" w:type="dxa"/>
            <w:noWrap w:val="0"/>
            <w:vAlign w:val="top"/>
          </w:tcPr>
          <w:p>
            <w:pPr>
              <w:ind w:right="-82" w:rightChars="-39"/>
              <w:jc w:val="center"/>
              <w:rPr>
                <w:rFonts w:hint="eastAsia" w:ascii="宋体" w:hAnsi="宋体" w:eastAsia="宋体" w:cs="宋体"/>
                <w:b/>
                <w:sz w:val="28"/>
                <w:szCs w:val="28"/>
              </w:rPr>
            </w:pPr>
            <w:r>
              <w:rPr>
                <w:rFonts w:hint="eastAsia" w:ascii="宋体" w:hAnsi="宋体" w:eastAsia="宋体" w:cs="宋体"/>
                <w:b/>
                <w:sz w:val="28"/>
                <w:szCs w:val="28"/>
              </w:rPr>
              <w:t>招标项目管理与服务要求（商务需求）</w:t>
            </w:r>
          </w:p>
        </w:tc>
        <w:tc>
          <w:tcPr>
            <w:tcW w:w="883" w:type="dxa"/>
            <w:noWrap w:val="0"/>
            <w:vAlign w:val="top"/>
          </w:tcPr>
          <w:p>
            <w:pPr>
              <w:ind w:right="-82" w:rightChars="-39"/>
              <w:jc w:val="center"/>
              <w:rPr>
                <w:rFonts w:hint="eastAsia" w:ascii="宋体" w:hAnsi="宋体" w:eastAsia="宋体" w:cs="宋体"/>
                <w:b/>
                <w:sz w:val="28"/>
                <w:szCs w:val="28"/>
              </w:rPr>
            </w:pPr>
            <w:r>
              <w:rPr>
                <w:rFonts w:hint="eastAsia" w:ascii="宋体" w:hAnsi="宋体" w:eastAsia="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67"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采购方在签订合同有效期内，将有需重复使用</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诊疗器械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口腔小器械除外）</w:t>
            </w:r>
            <w:r>
              <w:rPr>
                <w:rFonts w:hint="eastAsia" w:ascii="仿宋_GB2312" w:hAnsi="仿宋_GB2312" w:eastAsia="仿宋_GB2312" w:cs="仿宋_GB2312"/>
                <w:sz w:val="28"/>
                <w:szCs w:val="28"/>
              </w:rPr>
              <w:t>、器具及物品经初步冲洗和保湿处理后</w:t>
            </w:r>
            <w:r>
              <w:rPr>
                <w:rFonts w:hint="eastAsia" w:ascii="仿宋_GB2312" w:hAnsi="仿宋_GB2312" w:eastAsia="仿宋_GB2312" w:cs="仿宋_GB2312"/>
                <w:sz w:val="28"/>
                <w:szCs w:val="28"/>
                <w:lang w:val="en-US" w:eastAsia="zh-CN"/>
              </w:rPr>
              <w:t>送至</w:t>
            </w:r>
            <w:r>
              <w:rPr>
                <w:rFonts w:hint="eastAsia" w:ascii="仿宋_GB2312" w:hAnsi="仿宋_GB2312" w:eastAsia="仿宋_GB2312" w:cs="仿宋_GB2312"/>
                <w:sz w:val="28"/>
                <w:szCs w:val="28"/>
              </w:rPr>
              <w:t>中标方</w:t>
            </w:r>
            <w:r>
              <w:rPr>
                <w:rFonts w:hint="eastAsia" w:ascii="仿宋_GB2312" w:hAnsi="仿宋_GB2312" w:eastAsia="仿宋_GB2312" w:cs="仿宋_GB2312"/>
                <w:sz w:val="28"/>
                <w:szCs w:val="28"/>
                <w:lang w:val="en-US" w:eastAsia="zh-CN"/>
              </w:rPr>
              <w:t>指定接收点进行</w:t>
            </w:r>
            <w:r>
              <w:rPr>
                <w:rFonts w:hint="eastAsia" w:ascii="仿宋_GB2312" w:hAnsi="仿宋_GB2312" w:eastAsia="仿宋_GB2312" w:cs="仿宋_GB2312"/>
                <w:sz w:val="28"/>
                <w:szCs w:val="28"/>
              </w:rPr>
              <w:t>清洗消毒灭菌。</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对经（或疑似）烈性传染病人直接或间接使用后的器械必须用统一规定特殊包装封存，并清楚标明包装物内器械品种和数量，传染病的名称或类型，以防交叉传染及便于中标方作特殊强化清洗与消毒灭菌处理。</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避免因采购方需要消毒灭菌的器械材质与性能等问题，而引起在中标方清洗、干燥、消毒灭菌过程中出现损坏或导致精度降低等情况发生，采购方在购进需消毒灭菌器械前，应预先征求中标服务商的意见并将样品送中标方检验和测试。</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本合同履行期间，出现以下情形的，采购方有权解除合同：</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因中标方工作质量问题而影响采购方开展正常医疗活动；</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经双方约定的检测机构做出相关检测报告或者抽样检测的结果显示中标方所处理的器械连续2次达不到《医院消毒供应中心清洗消毒及灭菌效果监测标准》；</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中标方负责接收</w:t>
            </w:r>
            <w:r>
              <w:rPr>
                <w:rFonts w:hint="eastAsia" w:ascii="仿宋_GB2312" w:hAnsi="仿宋_GB2312" w:eastAsia="仿宋_GB2312" w:cs="仿宋_GB2312"/>
                <w:sz w:val="28"/>
                <w:szCs w:val="28"/>
                <w:lang w:val="en-US" w:eastAsia="zh-CN"/>
              </w:rPr>
              <w:t>采购方送达到指定接收点的</w:t>
            </w:r>
            <w:r>
              <w:rPr>
                <w:rFonts w:hint="eastAsia" w:ascii="仿宋_GB2312" w:hAnsi="仿宋_GB2312" w:eastAsia="仿宋_GB2312" w:cs="仿宋_GB2312"/>
                <w:sz w:val="28"/>
                <w:szCs w:val="28"/>
              </w:rPr>
              <w:t>污染物品，</w:t>
            </w:r>
            <w:r>
              <w:rPr>
                <w:rFonts w:hint="eastAsia" w:ascii="仿宋_GB2312" w:hAnsi="仿宋_GB2312" w:eastAsia="仿宋_GB2312" w:cs="仿宋_GB2312"/>
                <w:sz w:val="28"/>
                <w:szCs w:val="28"/>
                <w:lang w:val="en-US" w:eastAsia="zh-CN"/>
              </w:rPr>
              <w:t>并按要求进行消毒灭菌。</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▲中标方必须按照国家卫健委《医院消毒供应中心清洗消毒及灭菌技术操作规范》要求，采用规范化流程收集并配送采购方所需要进行消毒灭菌的诊疗器械、器具及物品。</w:t>
            </w:r>
          </w:p>
        </w:tc>
        <w:tc>
          <w:tcPr>
            <w:tcW w:w="883" w:type="dxa"/>
            <w:noWrap w:val="0"/>
            <w:vAlign w:val="center"/>
          </w:tcPr>
          <w:p>
            <w:pPr>
              <w:ind w:right="-82" w:rightChars="-39"/>
              <w:jc w:val="center"/>
              <w:rPr>
                <w:rFonts w:hint="eastAsia" w:ascii="宋体" w:hAnsi="宋体" w:eastAsia="宋体" w:cs="宋体"/>
                <w:b/>
                <w:sz w:val="28"/>
                <w:szCs w:val="28"/>
              </w:rPr>
            </w:pPr>
            <w:r>
              <w:rPr>
                <w:rFonts w:hint="eastAsia" w:ascii="宋体" w:hAnsi="宋体" w:eastAsia="宋体" w:cs="宋体"/>
                <w:b/>
                <w:sz w:val="28"/>
                <w:szCs w:val="28"/>
              </w:rPr>
              <w:t>重要条款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中标方应按照《医院感染管理办法》与《医疗机构消毒技术规范》等规范文件要求，在中转、储存场地内完成污染物品的整箱封存处理。</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中标方负责和</w:t>
            </w:r>
            <w:r>
              <w:rPr>
                <w:rFonts w:hint="eastAsia" w:ascii="仿宋_GB2312" w:hAnsi="仿宋_GB2312" w:eastAsia="仿宋_GB2312" w:cs="仿宋_GB2312"/>
                <w:sz w:val="28"/>
                <w:szCs w:val="28"/>
                <w:lang w:val="en-US" w:eastAsia="zh-CN"/>
              </w:rPr>
              <w:t>采购方</w:t>
            </w:r>
            <w:r>
              <w:rPr>
                <w:rFonts w:hint="eastAsia" w:ascii="仿宋_GB2312" w:hAnsi="仿宋_GB2312" w:eastAsia="仿宋_GB2312" w:cs="仿宋_GB2312"/>
                <w:sz w:val="28"/>
                <w:szCs w:val="28"/>
              </w:rPr>
              <w:t>指定工作人员共同完成诊疗器械、器具及物品清点、收发及配送工作，并以双方认可的方式确认。消毒灭菌后</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无菌物品</w:t>
            </w:r>
            <w:r>
              <w:rPr>
                <w:rFonts w:hint="eastAsia" w:ascii="仿宋_GB2312" w:hAnsi="仿宋_GB2312" w:eastAsia="仿宋_GB2312" w:cs="仿宋_GB2312"/>
                <w:sz w:val="28"/>
                <w:szCs w:val="28"/>
                <w:lang w:val="en-US" w:eastAsia="zh-CN"/>
              </w:rPr>
              <w:t>规范存放，方便采购方</w:t>
            </w:r>
            <w:r>
              <w:rPr>
                <w:rFonts w:hint="eastAsia" w:ascii="仿宋_GB2312" w:hAnsi="仿宋_GB2312" w:eastAsia="仿宋_GB2312" w:cs="仿宋_GB2312"/>
                <w:sz w:val="28"/>
                <w:szCs w:val="28"/>
              </w:rPr>
              <w:t>配送</w:t>
            </w:r>
            <w:r>
              <w:rPr>
                <w:rFonts w:hint="eastAsia" w:ascii="仿宋_GB2312" w:hAnsi="仿宋_GB2312" w:eastAsia="仿宋_GB2312" w:cs="仿宋_GB2312"/>
                <w:sz w:val="28"/>
                <w:szCs w:val="28"/>
                <w:lang w:val="en-US" w:eastAsia="zh-CN"/>
              </w:rPr>
              <w:t>人员及时取回</w:t>
            </w:r>
            <w:r>
              <w:rPr>
                <w:rFonts w:hint="eastAsia" w:ascii="仿宋_GB2312" w:hAnsi="仿宋_GB2312" w:eastAsia="仿宋_GB2312" w:cs="仿宋_GB2312"/>
                <w:sz w:val="28"/>
                <w:szCs w:val="28"/>
              </w:rPr>
              <w:t>。</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应严格遵守（1）《医院机构消毒技术规范》；（2）《医院消毒供应中心管理规范》；（3）《医院消毒供应中心清洗消毒及灭菌技术操作规范》中相关规范、标准及要求，参照质量追溯系统标准为采购方提供器械消毒灭菌与配送服务。</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中标方应按照《医院消毒供应中心清洗消毒及灭菌技术操作规范》中相关规范、标准及要求，对采购方的诊疗器械、器具及物品进行清洗、消毒、干燥、包装、灭菌，并提供可追溯的质量管理系统。</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采购方交付中标方器械除清洗、消毒、干燥、打包、灭菌外，还要为器械提供必要的保护装置和维护保养工作以保证器械处于正常使用状态。</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从采购方接收到损坏严重无法继续使用的器械，中标方应及时沟通并填写清单，报采购方审核，经双方确认，填写器械报废单随实物交采购方相关负责人核实作报废处理。对于中标方损坏或丢失的器械、器具应进行相应的赔偿。</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每月5号之前向医院提交上个月的消毒灭菌服务月报表，内容包括各科室当月交付消毒灭菌诊疗器械、器具及物品数量、品种，送回无菌物品数量、品种；总报废数量、品种；需补充物品数量、品种等信息，以及当月结算金额等。采购方收到月报表后进行核实确认，根据合同约定结算。</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▲中标方所消毒灭菌的器械应当符合国家《医院消毒供应中心清洗消毒及灭菌效果监测标准》要求，并向采购方提供可追溯的每批次消毒灭菌合格证明文件。</w:t>
            </w:r>
          </w:p>
        </w:tc>
        <w:tc>
          <w:tcPr>
            <w:tcW w:w="883" w:type="dxa"/>
            <w:noWrap w:val="0"/>
            <w:vAlign w:val="center"/>
          </w:tcPr>
          <w:p>
            <w:pPr>
              <w:ind w:right="-82" w:rightChars="-39"/>
              <w:jc w:val="center"/>
              <w:rPr>
                <w:rFonts w:hint="eastAsia" w:ascii="宋体" w:hAnsi="宋体" w:eastAsia="宋体" w:cs="宋体"/>
                <w:b/>
                <w:sz w:val="28"/>
                <w:szCs w:val="28"/>
              </w:rPr>
            </w:pPr>
            <w:r>
              <w:rPr>
                <w:rFonts w:hint="eastAsia" w:ascii="宋体" w:hAnsi="宋体" w:eastAsia="宋体" w:cs="宋体"/>
                <w:b/>
                <w:sz w:val="28"/>
                <w:szCs w:val="28"/>
              </w:rPr>
              <w:t>重要条款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应提供运行可靠的手术器械消毒灭菌管理系统对器械消毒灭菌收送全过程进行管理与控制，并形成可供双方相关部门进行清点确认、流程追踪及统计结算使用的单据或电子文档。以便同现有医院内务系统对接。</w:t>
            </w:r>
          </w:p>
        </w:tc>
        <w:tc>
          <w:tcPr>
            <w:tcW w:w="883"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每季度须向采购方提交区以上疾病预防控制中心出具的针对其消毒供应中心进行的检测合格报告：（1）高温高压灭菌检测报告；（2）过氧化氢等离子灭菌监测合格报告；（3）环氧乙烷灭菌监测合格报告；（4）消毒供应中心环境监测合格报告</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w:t>
            </w:r>
          </w:p>
        </w:tc>
        <w:tc>
          <w:tcPr>
            <w:tcW w:w="883" w:type="dxa"/>
            <w:noWrap w:val="0"/>
            <w:vAlign w:val="center"/>
          </w:tcPr>
          <w:p>
            <w:pPr>
              <w:ind w:right="-82" w:rightChars="-39"/>
              <w:jc w:val="center"/>
              <w:rPr>
                <w:rFonts w:hint="eastAsia" w:ascii="宋体" w:hAnsi="宋体" w:eastAsia="宋体" w:cs="宋体"/>
                <w:b/>
                <w:sz w:val="28"/>
                <w:szCs w:val="28"/>
              </w:rPr>
            </w:pPr>
            <w:r>
              <w:rPr>
                <w:rFonts w:hint="eastAsia" w:ascii="宋体" w:hAnsi="宋体" w:eastAsia="宋体" w:cs="宋体"/>
                <w:b/>
                <w:sz w:val="28"/>
                <w:szCs w:val="28"/>
              </w:rPr>
              <w:t>重要条款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7600"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中标方不得以任何理由影响采购方消毒灭菌器械的正常使用，应考虑到停水（市政行为外）、停电、停汽及设备因素影响，做好预防</w:t>
            </w:r>
            <w:r>
              <w:rPr>
                <w:rFonts w:hint="eastAsia" w:ascii="仿宋_GB2312" w:hAnsi="仿宋_GB2312" w:eastAsia="仿宋_GB2312" w:cs="仿宋_GB2312"/>
                <w:sz w:val="28"/>
                <w:szCs w:val="28"/>
                <w:lang w:val="en-US" w:eastAsia="zh-CN"/>
              </w:rPr>
              <w:t>措施及应急预案</w:t>
            </w:r>
            <w:r>
              <w:rPr>
                <w:rFonts w:hint="eastAsia" w:ascii="仿宋_GB2312" w:hAnsi="仿宋_GB2312" w:eastAsia="仿宋_GB2312" w:cs="仿宋_GB2312"/>
                <w:sz w:val="28"/>
                <w:szCs w:val="28"/>
              </w:rPr>
              <w:t>，如遇突发事件，需提前告知采购方，共同商议应急对策。</w:t>
            </w:r>
          </w:p>
        </w:tc>
        <w:tc>
          <w:tcPr>
            <w:tcW w:w="883" w:type="dxa"/>
            <w:noWrap w:val="0"/>
            <w:vAlign w:val="center"/>
          </w:tcPr>
          <w:p>
            <w:pPr>
              <w:ind w:right="-82" w:rightChars="-39"/>
              <w:jc w:val="center"/>
              <w:rPr>
                <w:rFonts w:hint="eastAsia" w:ascii="宋体" w:hAnsi="宋体" w:eastAsia="宋体" w:cs="宋体"/>
                <w:b/>
                <w:sz w:val="28"/>
                <w:szCs w:val="28"/>
              </w:rPr>
            </w:pPr>
          </w:p>
        </w:tc>
      </w:tr>
    </w:tbl>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九、验收工作</w:t>
      </w:r>
    </w:p>
    <w:p>
      <w:pPr>
        <w:pStyle w:val="26"/>
        <w:spacing w:line="4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1、验收目的：为确保医院无菌物品消毒供应环节符合医疗安全的高标准，验收旨在严格把控消毒供应质量，确保消毒灭菌工作严格遵循国家卫健委</w:t>
      </w:r>
      <w:r>
        <w:rPr>
          <w:rFonts w:hint="eastAsia" w:ascii="仿宋_GB2312" w:hAnsi="仿宋_GB2312" w:eastAsia="仿宋_GB2312" w:cs="仿宋_GB2312"/>
          <w:kern w:val="0"/>
          <w:sz w:val="28"/>
          <w:szCs w:val="28"/>
          <w:lang w:val="en-US" w:eastAsia="zh-CN" w:bidi="ar-SA"/>
        </w:rPr>
        <w:t>颁布的《医院感染管理办法》《消毒技术规范》以及医院消毒供应中心三个行业标准(WS310.1-2016、WS310.2-2016、WS310.3-2016)的规范要求。切实保障医疗安全，为患者提供更为安全、高效的医疗服务。</w:t>
      </w:r>
    </w:p>
    <w:p>
      <w:pPr>
        <w:pStyle w:val="26"/>
        <w:spacing w:line="460" w:lineRule="exact"/>
        <w:ind w:firstLine="560" w:firstLineChars="200"/>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2、验收方法</w:t>
      </w:r>
    </w:p>
    <w:p>
      <w:pPr>
        <w:pStyle w:val="26"/>
        <w:spacing w:line="4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(1)中标方严格遵循国家《医院消毒供应中心清洗消毒及灭菌技术操作规范》的相关要求，确保所送消毒灭菌的器械物品达到此规范所规定的质量标准。</w:t>
      </w:r>
    </w:p>
    <w:p>
      <w:pPr>
        <w:pStyle w:val="26"/>
        <w:spacing w:line="4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每季度向采购方提交由区级以上疾病预防控制中心出具的检测报告，具体包括以下内容：（一）高温高压灭菌检测报告，以验证灭菌效果符合标准；（二）过氧化氢等离子灭菌监测合格报告，确保灭菌过程的安全有效；（三）环氧乙烷灭菌监测合格报告，证明消毒过程符合卫生要求；（四）消毒供应中心环境监测合格报告等，以保障整个消毒供应的服务质量。</w:t>
      </w:r>
    </w:p>
    <w:p>
      <w:pPr>
        <w:pStyle w:val="26"/>
        <w:spacing w:line="4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在合约有效期内，采购方将组织具有消毒服务需求的临床科室，针对中标方所提供的服务进行严格的履约服务评价工作。评价坚守公正、公平、公开的基本原则，保证评价结果的真实性、客观性与准确性。评价内容涉及中标方的服务质量、服务价格以及工作人员的服务态度等多个维度，以实现对中标方履约能力和服务水平的全面评估。</w:t>
      </w:r>
    </w:p>
    <w:p>
      <w:pPr>
        <w:pStyle w:val="26"/>
        <w:spacing w:line="460" w:lineRule="exact"/>
        <w:ind w:firstLine="560" w:firstLineChars="200"/>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根据规定，中标方在合约期内的履约服务评价满意率必须达到或超过95%的标准。若中标方能够满足这一要求，采购方将有权提出续约服务的申请。我们期待中标方能够继续提供优质、高效的服务，满足临床科室的消毒服务需求，为医疗环境的卫生安全提供有力保障。</w:t>
      </w:r>
    </w:p>
    <w:p>
      <w:pPr>
        <w:pStyle w:val="26"/>
        <w:numPr>
          <w:ilvl w:val="0"/>
          <w:numId w:val="2"/>
        </w:numPr>
        <w:spacing w:line="4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履约评价标准(根据实院情况调整）</w:t>
      </w:r>
    </w:p>
    <w:tbl>
      <w:tblPr>
        <w:tblStyle w:val="20"/>
        <w:tblW w:w="10156" w:type="dxa"/>
        <w:tblInd w:w="-6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
        <w:gridCol w:w="1350"/>
        <w:gridCol w:w="4747"/>
        <w:gridCol w:w="814"/>
        <w:gridCol w:w="814"/>
        <w:gridCol w:w="814"/>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考评项目</w:t>
            </w:r>
          </w:p>
        </w:tc>
        <w:tc>
          <w:tcPr>
            <w:tcW w:w="4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考评内容</w:t>
            </w:r>
          </w:p>
        </w:tc>
        <w:tc>
          <w:tcPr>
            <w:tcW w:w="32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4"/>
                <w:szCs w:val="24"/>
                <w:u w:val="none"/>
              </w:rPr>
            </w:pPr>
          </w:p>
        </w:tc>
        <w:tc>
          <w:tcPr>
            <w:tcW w:w="47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很满意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基本满意</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中心消毒</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服务质量</w:t>
            </w:r>
          </w:p>
        </w:tc>
        <w:tc>
          <w:tcPr>
            <w:tcW w:w="474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严格按照国家标准规范要求对可复用器械进行清洗、消毒、灭菌处理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74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交接需要的清洁箱、污染箱等满足使用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74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对中心的器械清洗的物品洁净度是否满意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74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对中心提供的灭菌器械的功能使用是否满意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74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我院急需用到无菌包时能够及时得到中心工作人员的帮助</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74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按照规范要求定期提交给院方每月监测记录以及每季度第三方的检测报告</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消毒服务</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价格</w:t>
            </w:r>
          </w:p>
        </w:tc>
        <w:tc>
          <w:tcPr>
            <w:tcW w:w="474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对各项物品消毒服务费用设置的价格是否满意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5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工作人员</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服务态度</w:t>
            </w:r>
          </w:p>
        </w:tc>
        <w:tc>
          <w:tcPr>
            <w:tcW w:w="4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对中心工作人员服务态度是否满意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35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74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出现问题立即有客服人员对接，每月进行满意度调查，有问题及时解决</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24"/>
                <w:szCs w:val="24"/>
                <w:u w:val="none"/>
              </w:rPr>
            </w:pPr>
          </w:p>
        </w:tc>
      </w:tr>
    </w:tbl>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十、报价要求</w:t>
      </w:r>
    </w:p>
    <w:p>
      <w:pPr>
        <w:pStyle w:val="26"/>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人民币报价：消毒灭菌按单个包计算收费，每月结算一次,价格按投标中标后的消毒灭菌包分项单价执行，核定数量并收到中标方发票后，每月15日前结算。（包括设备费、运输费、装卸费、保险费、技术培训费、设备安装费、调试费、售后服务费、国家规定的各项税费等全部费用）。</w:t>
      </w:r>
    </w:p>
    <w:p>
      <w:pPr>
        <w:pStyle w:val="26"/>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本项目报折扣率，以消毒灭菌包分项报价表中的单项报价限价作为标准，在此基础上进行折扣率报价，例如，投标折扣率为80%，12.5CM无齿镊的结算单价为=13.3*80%=10.64（元/包），在开标一览表上填写折扣率80%。</w:t>
      </w:r>
    </w:p>
    <w:p>
      <w:pPr>
        <w:pStyle w:val="26"/>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（二）付款方式：预算总金额</w:t>
      </w:r>
      <w:r>
        <w:rPr>
          <w:rFonts w:hint="eastAsia" w:ascii="仿宋_GB2312" w:hAnsi="仿宋_GB2312" w:eastAsia="仿宋_GB2312" w:cs="仿宋_GB2312"/>
          <w:sz w:val="28"/>
          <w:szCs w:val="28"/>
        </w:rPr>
        <w:t>（最高支付上限）</w:t>
      </w:r>
      <w:r>
        <w:rPr>
          <w:rFonts w:hint="eastAsia" w:ascii="仿宋_GB2312" w:hAnsi="仿宋_GB2312" w:eastAsia="仿宋_GB2312" w:cs="仿宋_GB2312"/>
          <w:bCs/>
          <w:sz w:val="28"/>
          <w:szCs w:val="28"/>
          <w:lang w:val="en-US" w:eastAsia="zh-CN"/>
        </w:rPr>
        <w:t>为65000元/年，以实际采购需求为准，每月金额以实际提供消毒供应服务计算。收到中标方发票后每月15日前银行转账支付上月的服务费到对方指定的账户。</w:t>
      </w:r>
    </w:p>
    <w:p>
      <w:pPr>
        <w:pStyle w:val="26"/>
        <w:spacing w:line="460" w:lineRule="exact"/>
        <w:ind w:firstLine="562" w:firstLineChars="200"/>
        <w:rPr>
          <w:rFonts w:hint="default" w:ascii="仿宋_GB2312" w:hAnsi="仿宋_GB2312" w:eastAsia="仿宋_GB2312" w:cs="仿宋_GB2312"/>
          <w:strike w:val="0"/>
          <w:dstrike w:val="0"/>
          <w:color w:val="0000FF"/>
          <w:sz w:val="28"/>
          <w:szCs w:val="28"/>
          <w:u w:val="none"/>
          <w:lang w:val="en-US"/>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kern w:val="0"/>
          <w:sz w:val="28"/>
          <w:szCs w:val="28"/>
          <w:lang w:val="en-US" w:eastAsia="zh-CN"/>
        </w:rPr>
        <w:t>一</w:t>
      </w:r>
      <w:r>
        <w:rPr>
          <w:rFonts w:hint="eastAsia" w:ascii="仿宋_GB2312" w:hAnsi="仿宋_GB2312" w:eastAsia="仿宋_GB2312" w:cs="仿宋_GB2312"/>
          <w:b/>
          <w:bCs/>
          <w:sz w:val="28"/>
          <w:szCs w:val="28"/>
        </w:rPr>
        <w:t>、</w:t>
      </w:r>
      <w:r>
        <w:rPr>
          <w:rFonts w:hint="eastAsia" w:ascii="黑体" w:hAnsi="黑体" w:eastAsia="黑体" w:cs="黑体"/>
          <w:b w:val="0"/>
          <w:bCs w:val="0"/>
          <w:sz w:val="32"/>
          <w:szCs w:val="32"/>
          <w:lang w:val="en-US" w:eastAsia="zh-CN"/>
        </w:rPr>
        <w:t>服务期限：</w:t>
      </w:r>
      <w:r>
        <w:rPr>
          <w:rFonts w:hint="eastAsia" w:ascii="仿宋_GB2312" w:hAnsi="仿宋_GB2312" w:eastAsia="仿宋_GB2312" w:cs="仿宋_GB2312"/>
          <w:bCs/>
          <w:sz w:val="28"/>
          <w:szCs w:val="28"/>
          <w:lang w:val="en-US" w:eastAsia="zh-CN"/>
        </w:rPr>
        <w:t>自合同签订之日起一年,或消毒费用达到65000元，即达到合同期限。</w:t>
      </w:r>
    </w:p>
    <w:p>
      <w:pPr>
        <w:pStyle w:val="26"/>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、项目地点：</w:t>
      </w:r>
      <w:r>
        <w:rPr>
          <w:rFonts w:hint="eastAsia" w:ascii="仿宋_GB2312" w:hAnsi="仿宋_GB2312" w:eastAsia="仿宋_GB2312" w:cs="仿宋_GB2312"/>
          <w:sz w:val="28"/>
          <w:szCs w:val="28"/>
        </w:rPr>
        <w:t>深圳市</w:t>
      </w:r>
      <w:r>
        <w:rPr>
          <w:rFonts w:hint="eastAsia" w:ascii="仿宋_GB2312" w:hAnsi="仿宋_GB2312" w:eastAsia="仿宋_GB2312" w:cs="仿宋_GB2312"/>
          <w:kern w:val="2"/>
          <w:sz w:val="28"/>
          <w:szCs w:val="28"/>
        </w:rPr>
        <w:t>龙岗区</w:t>
      </w:r>
      <w:r>
        <w:rPr>
          <w:rFonts w:hint="eastAsia" w:ascii="仿宋_GB2312" w:hAnsi="仿宋_GB2312" w:eastAsia="仿宋_GB2312" w:cs="仿宋_GB2312"/>
          <w:sz w:val="28"/>
          <w:szCs w:val="28"/>
        </w:rPr>
        <w:t>第七人民医院指定地点。</w:t>
      </w:r>
    </w:p>
    <w:p>
      <w:pPr>
        <w:spacing w:line="56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val="en-US" w:eastAsia="zh-CN"/>
        </w:rPr>
        <w:t>三</w:t>
      </w:r>
      <w:r>
        <w:rPr>
          <w:rFonts w:hint="eastAsia" w:ascii="仿宋_GB2312" w:hAnsi="仿宋_GB2312" w:eastAsia="仿宋_GB2312" w:cs="仿宋_GB2312"/>
          <w:b/>
          <w:bCs/>
          <w:kern w:val="0"/>
          <w:sz w:val="28"/>
          <w:szCs w:val="28"/>
        </w:rPr>
        <w:t>、评标标准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评标方法：综合评分法。按照招标文件中规定的各项因素进行量化打分，以评标总得分的平均分最高的投标人为中标候选供应商；采购人根据评标委员会评审结果确定中标候选供应商为中标人。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val="0"/>
          <w:bCs/>
          <w:color w:val="auto"/>
          <w:kern w:val="0"/>
          <w:sz w:val="28"/>
          <w:szCs w:val="28"/>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bl>
      <w:tblPr>
        <w:tblStyle w:val="2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55"/>
        <w:gridCol w:w="979"/>
        <w:gridCol w:w="5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0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评分项</w:t>
            </w:r>
          </w:p>
        </w:tc>
        <w:tc>
          <w:tcPr>
            <w:tcW w:w="557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价格</w:t>
            </w:r>
          </w:p>
        </w:tc>
        <w:tc>
          <w:tcPr>
            <w:tcW w:w="557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0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技术部分</w:t>
            </w:r>
          </w:p>
        </w:tc>
        <w:tc>
          <w:tcPr>
            <w:tcW w:w="557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44"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序号</w:t>
            </w:r>
          </w:p>
        </w:tc>
        <w:tc>
          <w:tcPr>
            <w:tcW w:w="2155"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评分因素</w:t>
            </w:r>
          </w:p>
        </w:tc>
        <w:tc>
          <w:tcPr>
            <w:tcW w:w="979"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分值</w:t>
            </w:r>
          </w:p>
        </w:tc>
        <w:tc>
          <w:tcPr>
            <w:tcW w:w="557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400" w:firstLineChars="5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1</w:t>
            </w:r>
          </w:p>
        </w:tc>
        <w:tc>
          <w:tcPr>
            <w:tcW w:w="21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服务条款偏离情况</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10</w:t>
            </w:r>
          </w:p>
        </w:tc>
        <w:tc>
          <w:tcPr>
            <w:tcW w:w="557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投标人应如实填写《服务条款偏离表》，评审委员会根据服务条款响应情况进行打分，各项服务条款要求全部满足的得满分，“▲”号重要服务条款每负偏离一项扣3分，非“▲”号条款为一般服务条款，每一项负偏离扣1分，扣完为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 xml:space="preserve">注：服务条款中如有条款写明需要提供检测报告、证书、截图等相关证明材料的，须提供相关证明材料并在招标文件中注明证明材料在投标文件中的具体位置，未按要求提供或提供不清晰导致专家无法判断的视为负偏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2</w:t>
            </w:r>
          </w:p>
        </w:tc>
        <w:tc>
          <w:tcPr>
            <w:tcW w:w="21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拟投入耗材方案</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rPr>
              <w:t>1</w:t>
            </w:r>
            <w:r>
              <w:rPr>
                <w:rFonts w:hint="eastAsia" w:ascii="仿宋_GB2312" w:hAnsi="仿宋_GB2312" w:eastAsia="仿宋_GB2312" w:cs="仿宋_GB2312"/>
                <w:b w:val="0"/>
                <w:bCs/>
                <w:color w:val="auto"/>
                <w:kern w:val="0"/>
                <w:sz w:val="28"/>
                <w:szCs w:val="28"/>
                <w:lang w:val="en-US" w:eastAsia="zh-CN"/>
              </w:rPr>
              <w:t>5</w:t>
            </w:r>
          </w:p>
        </w:tc>
        <w:tc>
          <w:tcPr>
            <w:tcW w:w="557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根据投标人提供的拟投入耗材方案进行评审，包括但不限于以下内容：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1.列明拟投入的清洗消毒包装灭菌耗材；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2.具体存货、产品产地及产品介绍。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提供的拟投入耗材方案满足以上二点的得3分，满足任意一点的得1分，其他情况或不提供的不得分。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在此基础上，根据各投标人的具体响应内容按照量化的评审因素指标进一步评审: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1.内容全面、科学性、合理性、针对性、可操作性强的评价为优，得1</w:t>
            </w:r>
            <w:r>
              <w:rPr>
                <w:rFonts w:hint="eastAsia" w:ascii="仿宋_GB2312" w:hAnsi="仿宋_GB2312" w:eastAsia="仿宋_GB2312" w:cs="仿宋_GB2312"/>
                <w:b w:val="0"/>
                <w:bCs/>
                <w:color w:val="auto"/>
                <w:kern w:val="0"/>
                <w:sz w:val="28"/>
                <w:szCs w:val="28"/>
                <w:lang w:val="en-US" w:eastAsia="zh-CN"/>
              </w:rPr>
              <w:t>2</w:t>
            </w:r>
            <w:r>
              <w:rPr>
                <w:rFonts w:hint="eastAsia" w:ascii="仿宋_GB2312" w:hAnsi="仿宋_GB2312" w:eastAsia="仿宋_GB2312" w:cs="仿宋_GB2312"/>
                <w:b w:val="0"/>
                <w:bCs/>
                <w:color w:val="auto"/>
                <w:kern w:val="0"/>
                <w:sz w:val="28"/>
                <w:szCs w:val="28"/>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2.内容比较全面、科学性、合理性、针对性、可操作性比较强的评价为良，得8分；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3.内容一般、科学性、合理性、针对性、可操作性一般的评价为中，得4分；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4.内容不全、科学性、合理性、针对性、可操作性较差或未提供的评价为差不得分。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3</w:t>
            </w:r>
          </w:p>
        </w:tc>
        <w:tc>
          <w:tcPr>
            <w:tcW w:w="21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应急措施方案</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rPr>
              <w:t>1</w:t>
            </w:r>
            <w:r>
              <w:rPr>
                <w:rFonts w:hint="eastAsia" w:ascii="仿宋_GB2312" w:hAnsi="仿宋_GB2312" w:eastAsia="仿宋_GB2312" w:cs="仿宋_GB2312"/>
                <w:b w:val="0"/>
                <w:bCs/>
                <w:color w:val="auto"/>
                <w:kern w:val="0"/>
                <w:sz w:val="28"/>
                <w:szCs w:val="28"/>
                <w:lang w:val="en-US" w:eastAsia="zh-CN"/>
              </w:rPr>
              <w:t>5</w:t>
            </w:r>
          </w:p>
        </w:tc>
        <w:tc>
          <w:tcPr>
            <w:tcW w:w="557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根据投标人提供的应急措施进行评审，包括但不限于以下内容：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lang w:val="en-US" w:eastAsia="zh-CN"/>
              </w:rPr>
              <w:t>1.</w:t>
            </w:r>
            <w:r>
              <w:rPr>
                <w:rFonts w:hint="eastAsia" w:ascii="仿宋_GB2312" w:hAnsi="仿宋_GB2312" w:eastAsia="仿宋_GB2312" w:cs="仿宋_GB2312"/>
                <w:b w:val="0"/>
                <w:bCs/>
                <w:color w:val="auto"/>
                <w:kern w:val="0"/>
                <w:sz w:val="28"/>
                <w:szCs w:val="28"/>
              </w:rPr>
              <w:t>突发情况的处理及人员的安排；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eastAsia="仿宋_GB2312"/>
                <w:lang w:val="en-US" w:eastAsia="zh-CN"/>
              </w:rPr>
            </w:pPr>
            <w:r>
              <w:rPr>
                <w:rFonts w:hint="eastAsia" w:ascii="仿宋_GB2312" w:hAnsi="仿宋_GB2312" w:eastAsia="仿宋_GB2312" w:cs="仿宋_GB2312"/>
                <w:b w:val="0"/>
                <w:bCs/>
                <w:color w:val="auto"/>
                <w:kern w:val="0"/>
                <w:sz w:val="28"/>
                <w:szCs w:val="28"/>
                <w:lang w:val="en-US" w:eastAsia="zh-CN"/>
              </w:rPr>
              <w:t>2.</w:t>
            </w:r>
            <w:r>
              <w:rPr>
                <w:rFonts w:hint="eastAsia" w:ascii="仿宋_GB2312" w:hAnsi="仿宋_GB2312" w:eastAsia="仿宋_GB2312" w:cs="仿宋_GB2312"/>
                <w:b w:val="0"/>
                <w:bCs/>
                <w:color w:val="auto"/>
                <w:kern w:val="0"/>
                <w:sz w:val="28"/>
                <w:szCs w:val="28"/>
              </w:rPr>
              <w:t>设备设施、器械损坏或灭菌失败或生物监测不合格或破包或湿包或物流紧急故障或疫情封控或其他突发事件的应急预案。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提供的应急措施方案满足以上</w:t>
            </w:r>
            <w:r>
              <w:rPr>
                <w:rFonts w:hint="eastAsia" w:ascii="仿宋_GB2312" w:hAnsi="仿宋_GB2312" w:eastAsia="仿宋_GB2312" w:cs="仿宋_GB2312"/>
                <w:b w:val="0"/>
                <w:bCs/>
                <w:color w:val="auto"/>
                <w:kern w:val="0"/>
                <w:sz w:val="28"/>
                <w:szCs w:val="28"/>
                <w:lang w:val="en-US" w:eastAsia="zh-CN"/>
              </w:rPr>
              <w:t>两</w:t>
            </w:r>
            <w:r>
              <w:rPr>
                <w:rFonts w:hint="eastAsia" w:ascii="仿宋_GB2312" w:hAnsi="仿宋_GB2312" w:eastAsia="仿宋_GB2312" w:cs="仿宋_GB2312"/>
                <w:b w:val="0"/>
                <w:bCs/>
                <w:color w:val="auto"/>
                <w:kern w:val="0"/>
                <w:sz w:val="28"/>
                <w:szCs w:val="28"/>
              </w:rPr>
              <w:t>点的得</w:t>
            </w:r>
            <w:r>
              <w:rPr>
                <w:rFonts w:hint="eastAsia" w:ascii="仿宋_GB2312" w:hAnsi="仿宋_GB2312" w:eastAsia="仿宋_GB2312" w:cs="仿宋_GB2312"/>
                <w:b w:val="0"/>
                <w:bCs/>
                <w:color w:val="auto"/>
                <w:kern w:val="0"/>
                <w:sz w:val="28"/>
                <w:szCs w:val="28"/>
                <w:lang w:val="en-US" w:eastAsia="zh-CN"/>
              </w:rPr>
              <w:t>4</w:t>
            </w:r>
            <w:r>
              <w:rPr>
                <w:rFonts w:hint="eastAsia" w:ascii="仿宋_GB2312" w:hAnsi="仿宋_GB2312" w:eastAsia="仿宋_GB2312" w:cs="仿宋_GB2312"/>
                <w:b w:val="0"/>
                <w:bCs/>
                <w:color w:val="auto"/>
                <w:kern w:val="0"/>
                <w:sz w:val="28"/>
                <w:szCs w:val="28"/>
              </w:rPr>
              <w:t>分，满足任意一点的得1分，其他情况或不提供的不得分。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在此基础上，根据各投标人的具体响应内容按照量化的评审因素指标进一步评审: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1.内容全面、科学性、合理性、针对性、可操作性强的评价为优，得1</w:t>
            </w:r>
            <w:r>
              <w:rPr>
                <w:rFonts w:hint="eastAsia" w:ascii="仿宋_GB2312" w:hAnsi="仿宋_GB2312" w:eastAsia="仿宋_GB2312" w:cs="仿宋_GB2312"/>
                <w:b w:val="0"/>
                <w:bCs/>
                <w:color w:val="auto"/>
                <w:kern w:val="0"/>
                <w:sz w:val="28"/>
                <w:szCs w:val="28"/>
                <w:lang w:val="en-US" w:eastAsia="zh-CN"/>
              </w:rPr>
              <w:t>1</w:t>
            </w:r>
            <w:r>
              <w:rPr>
                <w:rFonts w:hint="eastAsia" w:ascii="仿宋_GB2312" w:hAnsi="仿宋_GB2312" w:eastAsia="仿宋_GB2312" w:cs="仿宋_GB2312"/>
                <w:b w:val="0"/>
                <w:bCs/>
                <w:color w:val="auto"/>
                <w:kern w:val="0"/>
                <w:sz w:val="28"/>
                <w:szCs w:val="28"/>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2.内容比较全面、科学性、合理性、针对性、可操作性比较强的评价为良，得</w:t>
            </w:r>
            <w:r>
              <w:rPr>
                <w:rFonts w:hint="eastAsia" w:ascii="仿宋_GB2312" w:hAnsi="仿宋_GB2312" w:eastAsia="仿宋_GB2312" w:cs="仿宋_GB2312"/>
                <w:b w:val="0"/>
                <w:bCs/>
                <w:color w:val="auto"/>
                <w:kern w:val="0"/>
                <w:sz w:val="28"/>
                <w:szCs w:val="28"/>
                <w:lang w:val="en-US" w:eastAsia="zh-CN"/>
              </w:rPr>
              <w:t>8</w:t>
            </w:r>
            <w:r>
              <w:rPr>
                <w:rFonts w:hint="eastAsia" w:ascii="仿宋_GB2312" w:hAnsi="仿宋_GB2312" w:eastAsia="仿宋_GB2312" w:cs="仿宋_GB2312"/>
                <w:b w:val="0"/>
                <w:bCs/>
                <w:color w:val="auto"/>
                <w:kern w:val="0"/>
                <w:sz w:val="28"/>
                <w:szCs w:val="28"/>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3.内容一般、科学性、合理性、针对性、可操作性一般的评价为中，得</w:t>
            </w:r>
            <w:r>
              <w:rPr>
                <w:rFonts w:hint="eastAsia" w:ascii="仿宋_GB2312" w:hAnsi="仿宋_GB2312" w:eastAsia="仿宋_GB2312" w:cs="仿宋_GB2312"/>
                <w:b w:val="0"/>
                <w:bCs/>
                <w:color w:val="auto"/>
                <w:kern w:val="0"/>
                <w:sz w:val="28"/>
                <w:szCs w:val="28"/>
                <w:lang w:val="en-US" w:eastAsia="zh-CN"/>
              </w:rPr>
              <w:t>5</w:t>
            </w:r>
            <w:r>
              <w:rPr>
                <w:rFonts w:hint="eastAsia" w:ascii="仿宋_GB2312" w:hAnsi="仿宋_GB2312" w:eastAsia="仿宋_GB2312" w:cs="仿宋_GB2312"/>
                <w:b w:val="0"/>
                <w:bCs/>
                <w:color w:val="auto"/>
                <w:kern w:val="0"/>
                <w:sz w:val="28"/>
                <w:szCs w:val="28"/>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4.内容不全、科学性、合理性、针对性、可操作性较差或未提供的评价为差不得分。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4</w:t>
            </w:r>
          </w:p>
        </w:tc>
        <w:tc>
          <w:tcPr>
            <w:tcW w:w="21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消毒灭菌质量追溯要求</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rPr>
              <w:t>1</w:t>
            </w:r>
            <w:r>
              <w:rPr>
                <w:rFonts w:hint="eastAsia" w:ascii="仿宋_GB2312" w:hAnsi="仿宋_GB2312" w:eastAsia="仿宋_GB2312" w:cs="仿宋_GB2312"/>
                <w:b w:val="0"/>
                <w:bCs/>
                <w:color w:val="auto"/>
                <w:kern w:val="0"/>
                <w:sz w:val="28"/>
                <w:szCs w:val="28"/>
                <w:lang w:val="en-US" w:eastAsia="zh-CN"/>
              </w:rPr>
              <w:t>0</w:t>
            </w:r>
          </w:p>
        </w:tc>
        <w:tc>
          <w:tcPr>
            <w:tcW w:w="557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根据投标人提供的消毒灭菌质量追溯系统流程说明进行评审，包括但不限于以下内容：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提供自身消毒供应中心实际操作每个环节中消毒灭菌质量追溯系统流程说明。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提供以上内容的得3分，否则不得分。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在此基础上，根据各投标人的具体响应内容按照量化的评审因素指标进一步评审: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1.内容全面、科学性、合理性、针对性、可操作性强的评价为优，得</w:t>
            </w:r>
            <w:r>
              <w:rPr>
                <w:rFonts w:hint="eastAsia" w:ascii="仿宋_GB2312" w:hAnsi="仿宋_GB2312" w:eastAsia="仿宋_GB2312" w:cs="仿宋_GB2312"/>
                <w:b w:val="0"/>
                <w:bCs/>
                <w:color w:val="auto"/>
                <w:kern w:val="0"/>
                <w:sz w:val="28"/>
                <w:szCs w:val="28"/>
                <w:lang w:val="en-US" w:eastAsia="zh-CN"/>
              </w:rPr>
              <w:t>7</w:t>
            </w:r>
            <w:r>
              <w:rPr>
                <w:rFonts w:hint="eastAsia" w:ascii="仿宋_GB2312" w:hAnsi="仿宋_GB2312" w:eastAsia="仿宋_GB2312" w:cs="仿宋_GB2312"/>
                <w:b w:val="0"/>
                <w:bCs/>
                <w:color w:val="auto"/>
                <w:kern w:val="0"/>
                <w:sz w:val="28"/>
                <w:szCs w:val="28"/>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2.内容比较全面、科学性、合理性、针对性、可操作性比较强的评价为良，得</w:t>
            </w:r>
            <w:r>
              <w:rPr>
                <w:rFonts w:hint="eastAsia" w:ascii="仿宋_GB2312" w:hAnsi="仿宋_GB2312" w:eastAsia="仿宋_GB2312" w:cs="仿宋_GB2312"/>
                <w:b w:val="0"/>
                <w:bCs/>
                <w:color w:val="auto"/>
                <w:kern w:val="0"/>
                <w:sz w:val="28"/>
                <w:szCs w:val="28"/>
                <w:lang w:val="en-US" w:eastAsia="zh-CN"/>
              </w:rPr>
              <w:t>5</w:t>
            </w:r>
            <w:r>
              <w:rPr>
                <w:rFonts w:hint="eastAsia" w:ascii="仿宋_GB2312" w:hAnsi="仿宋_GB2312" w:eastAsia="仿宋_GB2312" w:cs="仿宋_GB2312"/>
                <w:b w:val="0"/>
                <w:bCs/>
                <w:color w:val="auto"/>
                <w:kern w:val="0"/>
                <w:sz w:val="28"/>
                <w:szCs w:val="28"/>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3.内容一般、科学性、合理性、针对性、可操作性一般的评价为中，得</w:t>
            </w:r>
            <w:r>
              <w:rPr>
                <w:rFonts w:hint="eastAsia" w:ascii="仿宋_GB2312" w:hAnsi="仿宋_GB2312" w:eastAsia="仿宋_GB2312" w:cs="仿宋_GB2312"/>
                <w:b w:val="0"/>
                <w:bCs/>
                <w:color w:val="auto"/>
                <w:kern w:val="0"/>
                <w:sz w:val="28"/>
                <w:szCs w:val="28"/>
                <w:lang w:val="en-US" w:eastAsia="zh-CN"/>
              </w:rPr>
              <w:t>3</w:t>
            </w:r>
            <w:r>
              <w:rPr>
                <w:rFonts w:hint="eastAsia" w:ascii="仿宋_GB2312" w:hAnsi="仿宋_GB2312" w:eastAsia="仿宋_GB2312" w:cs="仿宋_GB2312"/>
                <w:b w:val="0"/>
                <w:bCs/>
                <w:color w:val="auto"/>
                <w:kern w:val="0"/>
                <w:sz w:val="28"/>
                <w:szCs w:val="28"/>
              </w:rPr>
              <w:t>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4.内容不全、科学性、合理性、针对性、可操作性较差或未提供的评价为差不得分。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0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商务部分</w:t>
            </w:r>
          </w:p>
        </w:tc>
        <w:tc>
          <w:tcPr>
            <w:tcW w:w="557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44"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序号</w:t>
            </w:r>
          </w:p>
        </w:tc>
        <w:tc>
          <w:tcPr>
            <w:tcW w:w="2155"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评分因素</w:t>
            </w:r>
          </w:p>
        </w:tc>
        <w:tc>
          <w:tcPr>
            <w:tcW w:w="979"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权重</w:t>
            </w:r>
          </w:p>
        </w:tc>
        <w:tc>
          <w:tcPr>
            <w:tcW w:w="557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1</w:t>
            </w:r>
          </w:p>
        </w:tc>
        <w:tc>
          <w:tcPr>
            <w:tcW w:w="21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279" w:leftChars="133" w:firstLine="0" w:firstLineChars="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承诺服务响应时间</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557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投标人承诺</w:t>
            </w:r>
            <w:r>
              <w:rPr>
                <w:rFonts w:hint="eastAsia" w:ascii="仿宋_GB2312" w:hAnsi="仿宋_GB2312" w:eastAsia="仿宋_GB2312" w:cs="仿宋_GB2312"/>
                <w:b w:val="0"/>
                <w:bCs/>
                <w:color w:val="auto"/>
                <w:kern w:val="0"/>
                <w:sz w:val="28"/>
                <w:szCs w:val="28"/>
                <w:lang w:val="en-US" w:eastAsia="zh-CN"/>
              </w:rPr>
              <w:t>接到服务需求后，消毒</w:t>
            </w:r>
            <w:r>
              <w:rPr>
                <w:rFonts w:hint="eastAsia" w:ascii="仿宋_GB2312" w:hAnsi="仿宋_GB2312" w:eastAsia="仿宋_GB2312" w:cs="仿宋_GB2312"/>
                <w:b w:val="0"/>
                <w:bCs/>
                <w:color w:val="auto"/>
                <w:kern w:val="0"/>
                <w:sz w:val="28"/>
                <w:szCs w:val="28"/>
              </w:rPr>
              <w:t xml:space="preserve">服务响应时间1 小时（含）内得 </w:t>
            </w:r>
            <w:r>
              <w:rPr>
                <w:rFonts w:hint="eastAsia" w:ascii="仿宋_GB2312" w:hAnsi="仿宋_GB2312" w:eastAsia="仿宋_GB2312" w:cs="仿宋_GB2312"/>
                <w:b w:val="0"/>
                <w:bCs/>
                <w:color w:val="auto"/>
                <w:kern w:val="0"/>
                <w:sz w:val="28"/>
                <w:szCs w:val="28"/>
                <w:lang w:val="en-US" w:eastAsia="zh-CN"/>
              </w:rPr>
              <w:t>6</w:t>
            </w:r>
            <w:r>
              <w:rPr>
                <w:rFonts w:hint="eastAsia" w:ascii="仿宋_GB2312" w:hAnsi="仿宋_GB2312" w:eastAsia="仿宋_GB2312" w:cs="仿宋_GB2312"/>
                <w:b w:val="0"/>
                <w:bCs/>
                <w:color w:val="auto"/>
                <w:kern w:val="0"/>
                <w:sz w:val="28"/>
                <w:szCs w:val="28"/>
              </w:rPr>
              <w:t>分；1-2 小时（含）内得</w:t>
            </w:r>
            <w:r>
              <w:rPr>
                <w:rFonts w:hint="eastAsia" w:ascii="仿宋_GB2312" w:hAnsi="仿宋_GB2312" w:eastAsia="仿宋_GB2312" w:cs="仿宋_GB2312"/>
                <w:b w:val="0"/>
                <w:bCs/>
                <w:color w:val="auto"/>
                <w:kern w:val="0"/>
                <w:sz w:val="28"/>
                <w:szCs w:val="28"/>
                <w:lang w:val="en-US" w:eastAsia="zh-CN"/>
              </w:rPr>
              <w:t>3</w:t>
            </w:r>
            <w:r>
              <w:rPr>
                <w:rFonts w:hint="eastAsia" w:ascii="仿宋_GB2312" w:hAnsi="仿宋_GB2312" w:eastAsia="仿宋_GB2312" w:cs="仿宋_GB2312"/>
                <w:b w:val="0"/>
                <w:bCs/>
                <w:color w:val="auto"/>
                <w:kern w:val="0"/>
                <w:sz w:val="28"/>
                <w:szCs w:val="28"/>
              </w:rPr>
              <w:t>分，其他情况不得分。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rPr>
              <w:t>评分标准：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要求提供承诺函（格式自拟）作为得分依据，未按采购文件要求提供的不得分。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2</w:t>
            </w:r>
          </w:p>
        </w:tc>
        <w:tc>
          <w:tcPr>
            <w:tcW w:w="21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同类业绩</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10</w:t>
            </w:r>
          </w:p>
        </w:tc>
        <w:tc>
          <w:tcPr>
            <w:tcW w:w="557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投标人2022年至今具有医疗系统消毒供应服务同类业绩，每提供1份得2分，最高得10分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3</w:t>
            </w:r>
          </w:p>
        </w:tc>
        <w:tc>
          <w:tcPr>
            <w:tcW w:w="21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检测报告</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12</w:t>
            </w:r>
          </w:p>
        </w:tc>
        <w:tc>
          <w:tcPr>
            <w:tcW w:w="557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提供近三年具有第三方检测机构出具的有CMA或CNAS标识检测合格的环境卫生学检测报告，每季度提供1份得0.5分，最高得6分。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lang w:val="en-US" w:eastAsia="zh-CN"/>
              </w:rPr>
              <w:t>提供近三年具有第三方检测机构出具的有CMA或CNAS标识检测合格的无菌包无菌性检测报告，每年提供1份得2分，最高得6分，未按要求提供不得分。</w:t>
            </w:r>
          </w:p>
        </w:tc>
      </w:tr>
    </w:tbl>
    <w:p>
      <w:pPr>
        <w:pStyle w:val="5"/>
        <w:numPr>
          <w:ilvl w:val="0"/>
          <w:numId w:val="0"/>
        </w:numPr>
        <w:adjustRightInd/>
        <w:ind w:left="420" w:leftChars="0"/>
        <w:textAlignment w:val="auto"/>
        <w:rPr>
          <w:rFonts w:hint="eastAsia" w:ascii="黑体" w:hAnsi="黑体" w:eastAsia="黑体" w:cs="黑体"/>
          <w:sz w:val="32"/>
          <w:szCs w:val="32"/>
        </w:rPr>
      </w:pPr>
      <w:r>
        <w:rPr>
          <w:rFonts w:hint="eastAsia" w:ascii="黑体" w:hAnsi="黑体" w:eastAsia="黑体" w:cs="黑体"/>
          <w:b/>
          <w:bCs/>
          <w:kern w:val="0"/>
          <w:sz w:val="32"/>
          <w:szCs w:val="32"/>
          <w:lang w:val="en-US" w:eastAsia="zh-CN" w:bidi="ar-SA"/>
        </w:rPr>
        <w:t>十六、</w:t>
      </w:r>
      <w:r>
        <w:rPr>
          <w:rFonts w:hint="eastAsia" w:ascii="黑体" w:hAnsi="黑体" w:eastAsia="黑体" w:cs="黑体"/>
          <w:sz w:val="32"/>
          <w:szCs w:val="32"/>
        </w:rPr>
        <w:t>政策导向</w:t>
      </w:r>
    </w:p>
    <w:p>
      <w:pPr>
        <w:spacing w:line="360" w:lineRule="auto"/>
        <w:ind w:firstLine="440" w:firstLineChars="200"/>
        <w:rPr>
          <w:rFonts w:ascii="宋体" w:hAnsi="宋体" w:cs="宋体"/>
          <w:sz w:val="22"/>
        </w:rPr>
      </w:pPr>
      <w:r>
        <w:rPr>
          <w:rFonts w:hint="eastAsia" w:ascii="宋体" w:hAnsi="宋体" w:cs="宋体"/>
          <w:sz w:val="22"/>
        </w:rPr>
        <w:t>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宋体" w:hAnsi="宋体" w:cs="宋体"/>
          <w:b/>
          <w:bCs/>
          <w:sz w:val="22"/>
          <w:u w:val="single"/>
          <w:lang w:eastAsia="zh-CN"/>
        </w:rPr>
        <w:t>其他未列明行业</w:t>
      </w:r>
      <w:r>
        <w:rPr>
          <w:rFonts w:hint="eastAsia" w:ascii="宋体" w:hAnsi="宋体" w:cs="宋体"/>
          <w:sz w:val="22"/>
        </w:rPr>
        <w:t>。</w:t>
      </w:r>
    </w:p>
    <w:p>
      <w:pPr>
        <w:pStyle w:val="9"/>
        <w:spacing w:line="360" w:lineRule="auto"/>
        <w:ind w:firstLine="562" w:firstLineChars="200"/>
        <w:rPr>
          <w:rFonts w:hint="eastAsia" w:ascii="仿宋_GB2312" w:hAnsi="仿宋_GB2312" w:eastAsia="仿宋_GB2312" w:cs="仿宋_GB2312"/>
          <w:b/>
          <w:bCs/>
          <w:kern w:val="0"/>
          <w:sz w:val="28"/>
          <w:szCs w:val="28"/>
          <w:lang w:val="en-US" w:eastAsia="zh-CN" w:bidi="ar-SA"/>
        </w:rPr>
      </w:pPr>
    </w:p>
    <w:p/>
    <w:p/>
    <w:p/>
    <w:p/>
    <w:p/>
    <w:p/>
    <w:p/>
    <w:p/>
    <w:p/>
    <w:p/>
    <w:p>
      <w:pPr>
        <w:pStyle w:val="2"/>
      </w:pPr>
    </w:p>
    <w:p/>
    <w:p/>
    <w:p/>
    <w:p/>
    <w:p/>
    <w:p>
      <w:pPr>
        <w:numPr>
          <w:ilvl w:val="0"/>
          <w:numId w:val="3"/>
        </w:num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jc w:val="center"/>
        <w:rPr>
          <w:rFonts w:ascii="仿宋" w:hAnsi="仿宋" w:eastAsia="仿宋" w:cs="仿宋"/>
          <w:sz w:val="22"/>
          <w:szCs w:val="28"/>
        </w:rPr>
      </w:pPr>
      <w:r>
        <w:rPr>
          <w:rFonts w:hint="eastAsia" w:ascii="仿宋" w:hAnsi="仿宋" w:eastAsia="仿宋" w:cs="仿宋"/>
          <w:b/>
          <w:sz w:val="22"/>
          <w:szCs w:val="28"/>
        </w:rPr>
        <w:t>（凡有下列情形之一的，投标文件无效，投标作废标处理）</w:t>
      </w:r>
    </w:p>
    <w:tbl>
      <w:tblPr>
        <w:tblStyle w:val="20"/>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92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624" w:type="dxa"/>
            <w:gridSpan w:val="2"/>
            <w:noWrap/>
          </w:tcPr>
          <w:p>
            <w:pPr>
              <w:jc w:val="center"/>
              <w:rPr>
                <w:rFonts w:ascii="宋体" w:hAnsi="宋体" w:cs="宋体"/>
                <w:sz w:val="20"/>
                <w:szCs w:val="20"/>
              </w:rPr>
            </w:pPr>
            <w:r>
              <w:rPr>
                <w:rFonts w:hint="eastAsia" w:ascii="宋体" w:hAnsi="宋体" w:cs="宋体"/>
                <w:b/>
                <w:bCs/>
                <w:szCs w:val="21"/>
              </w:rPr>
              <w:t>资格性检查表</w:t>
            </w:r>
          </w:p>
        </w:tc>
        <w:tc>
          <w:tcPr>
            <w:tcW w:w="1200" w:type="dxa"/>
            <w:noWrap/>
          </w:tcPr>
          <w:p>
            <w:pPr>
              <w:jc w:val="center"/>
              <w:rPr>
                <w:rFonts w:ascii="宋体" w:hAnsi="宋体" w:cs="宋体"/>
                <w:b/>
                <w:bCs/>
                <w:szCs w:val="21"/>
              </w:rPr>
            </w:pPr>
            <w:r>
              <w:rPr>
                <w:rFonts w:hint="eastAsia" w:ascii="宋体" w:hAnsi="宋体" w:cs="宋体"/>
                <w:b/>
                <w:bCs/>
                <w:szCs w:val="21"/>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w:t>
            </w:r>
          </w:p>
        </w:tc>
        <w:tc>
          <w:tcPr>
            <w:tcW w:w="7929" w:type="dxa"/>
            <w:noWrap/>
            <w:vAlign w:val="center"/>
          </w:tcPr>
          <w:p>
            <w:pPr>
              <w:rPr>
                <w:rFonts w:ascii="宋体" w:hAnsi="宋体" w:cs="宋体"/>
                <w:bCs/>
                <w:color w:val="FF0000"/>
                <w:sz w:val="22"/>
                <w:szCs w:val="22"/>
              </w:rPr>
            </w:pPr>
            <w:r>
              <w:rPr>
                <w:rFonts w:hint="eastAsia" w:ascii="宋体" w:hAnsi="宋体" w:cs="宋体"/>
                <w:bCs/>
                <w:sz w:val="22"/>
                <w:szCs w:val="22"/>
              </w:rPr>
              <w:t>投标人不具备招标文件所列的资格要求，或未提交相应的资格证明资料（“参与公开采购供应商资质要求”，其中未列示的资格要求不得导致废标）</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624" w:type="dxa"/>
            <w:gridSpan w:val="2"/>
            <w:noWrap/>
            <w:vAlign w:val="center"/>
          </w:tcPr>
          <w:p>
            <w:pPr>
              <w:jc w:val="center"/>
              <w:rPr>
                <w:rFonts w:ascii="宋体" w:hAnsi="宋体" w:cs="宋体"/>
                <w:bCs/>
                <w:sz w:val="22"/>
                <w:szCs w:val="22"/>
              </w:rPr>
            </w:pPr>
            <w:r>
              <w:rPr>
                <w:rFonts w:hint="eastAsia" w:ascii="宋体" w:hAnsi="宋体" w:cs="宋体"/>
                <w:b/>
                <w:sz w:val="22"/>
                <w:szCs w:val="22"/>
              </w:rPr>
              <w:t>符合性检查表</w:t>
            </w:r>
          </w:p>
        </w:tc>
        <w:tc>
          <w:tcPr>
            <w:tcW w:w="1200" w:type="dxa"/>
            <w:noWrap/>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w:t>
            </w:r>
          </w:p>
        </w:tc>
        <w:tc>
          <w:tcPr>
            <w:tcW w:w="7929" w:type="dxa"/>
            <w:noWrap/>
            <w:vAlign w:val="center"/>
          </w:tcPr>
          <w:p>
            <w:pPr>
              <w:rPr>
                <w:rFonts w:ascii="宋体" w:hAnsi="宋体" w:cs="宋体"/>
                <w:bCs/>
                <w:sz w:val="22"/>
                <w:szCs w:val="22"/>
              </w:rPr>
            </w:pPr>
            <w:r>
              <w:rPr>
                <w:rFonts w:hint="eastAsia" w:ascii="宋体" w:hAnsi="宋体" w:cs="宋体"/>
                <w:bCs/>
                <w:sz w:val="22"/>
                <w:szCs w:val="22"/>
              </w:rPr>
              <w:t>将一个包中的内容拆开投标</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2</w:t>
            </w:r>
          </w:p>
        </w:tc>
        <w:tc>
          <w:tcPr>
            <w:tcW w:w="7929"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招标文件未规定允许有替代方案时，对同一货物投标时，同时提供两套或两套以上的投标方案</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3</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投标总价或分项报价高于项目预算限额的</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4</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人的报价明显低于其他通过符合性审查投标人的报价，有可能影响产品质量或者不能诚信履约的，评委会有权要求投标供应商在规定时间内提供书面说明以及必要的证明材料，投标供应商不能证明其报价合理性的，评标委员会应当将其作为无效投标处理；</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5</w:t>
            </w:r>
          </w:p>
        </w:tc>
        <w:tc>
          <w:tcPr>
            <w:tcW w:w="7929" w:type="dxa"/>
            <w:noWrap/>
            <w:vAlign w:val="center"/>
          </w:tcPr>
          <w:p>
            <w:pPr>
              <w:rPr>
                <w:rFonts w:ascii="宋体" w:hAnsi="宋体" w:cs="宋体"/>
                <w:bCs/>
                <w:sz w:val="22"/>
                <w:szCs w:val="22"/>
              </w:rPr>
            </w:pPr>
            <w:r>
              <w:rPr>
                <w:rFonts w:hint="eastAsia" w:ascii="宋体" w:hAnsi="宋体" w:cs="宋体"/>
                <w:bCs/>
                <w:sz w:val="22"/>
                <w:szCs w:val="22"/>
              </w:rPr>
              <w:t>同一项目出现两个或以上报价、单价汇总与总价不符的，需进行价格修正</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6</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投标报价有缺漏项目或对采购文件规定的服务清单项目及数量进行修改；</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7</w:t>
            </w:r>
          </w:p>
        </w:tc>
        <w:tc>
          <w:tcPr>
            <w:tcW w:w="7929"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没有实质性满足采购文件要求，本项目实质性条款以标注“★”条款为准（是否实质性满足招标文件要求，由评审委员会根据《实质性条款响应情况表》做出评判）；</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8</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函》、《采购投标承诺函》未按采购文件规定的格式和内容响应；未按采购文件对投标文件组成的要求提供投标文件的（投标文件组成不完整）；未按照招标文件要求提供单独密封的开标一览表；投标文件的数量、密封、签字盖章不符合采购文件要求或未提供投标文件电子文档；未按照采购文件规定的样式及要求填写 “法定代表人（负责人）资格证明书”或“投标文件签署授权委托书”或“分项报价清单”；</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9</w:t>
            </w:r>
          </w:p>
        </w:tc>
        <w:tc>
          <w:tcPr>
            <w:tcW w:w="7929"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与其他投标供应商的投标文件存在异常雷同现象的；</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10</w:t>
            </w:r>
          </w:p>
        </w:tc>
        <w:tc>
          <w:tcPr>
            <w:tcW w:w="7929" w:type="dxa"/>
            <w:noWrap/>
            <w:vAlign w:val="center"/>
          </w:tcPr>
          <w:p>
            <w:pPr>
              <w:rPr>
                <w:rFonts w:ascii="宋体" w:hAnsi="宋体" w:cs="宋体"/>
                <w:bCs/>
                <w:sz w:val="22"/>
                <w:szCs w:val="22"/>
              </w:rPr>
            </w:pPr>
            <w:r>
              <w:rPr>
                <w:rFonts w:hint="eastAsia" w:ascii="宋体" w:hAnsi="宋体" w:cs="宋体"/>
                <w:bCs/>
                <w:sz w:val="22"/>
                <w:szCs w:val="22"/>
              </w:rPr>
              <w:t>招标文件规定的其他投标无效情形；</w:t>
            </w:r>
          </w:p>
        </w:tc>
        <w:tc>
          <w:tcPr>
            <w:tcW w:w="1200" w:type="dxa"/>
            <w:noWrap/>
            <w:vAlign w:val="center"/>
          </w:tcPr>
          <w:p>
            <w:pPr>
              <w:jc w:val="left"/>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11</w:t>
            </w:r>
          </w:p>
        </w:tc>
        <w:tc>
          <w:tcPr>
            <w:tcW w:w="7929"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200" w:type="dxa"/>
            <w:noWrap/>
            <w:vAlign w:val="center"/>
          </w:tcPr>
          <w:p>
            <w:pPr>
              <w:jc w:val="left"/>
              <w:rPr>
                <w:rFonts w:ascii="宋体" w:hAnsi="宋体" w:cs="宋体"/>
                <w:bCs/>
                <w:sz w:val="22"/>
                <w:szCs w:val="22"/>
              </w:rPr>
            </w:pPr>
          </w:p>
        </w:tc>
      </w:tr>
    </w:tbl>
    <w:p>
      <w:pPr>
        <w:rPr>
          <w:rFonts w:ascii="仿宋" w:hAnsi="仿宋" w:eastAsia="仿宋" w:cs="仿宋"/>
          <w:b/>
          <w:bCs/>
          <w:sz w:val="36"/>
          <w:szCs w:val="36"/>
        </w:rPr>
      </w:pPr>
    </w:p>
    <w:p>
      <w:pPr>
        <w:pStyle w:val="5"/>
      </w:pPr>
    </w:p>
    <w:p/>
    <w:p>
      <w:pPr>
        <w:pStyle w:val="6"/>
      </w:pPr>
    </w:p>
    <w:p>
      <w:pPr>
        <w:pStyle w:val="25"/>
        <w:ind w:firstLine="0" w:firstLineChars="0"/>
      </w:pPr>
    </w:p>
    <w:p>
      <w:pPr>
        <w:numPr>
          <w:ilvl w:val="0"/>
          <w:numId w:val="3"/>
        </w:num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投标须知</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1.本项目的潜在供应商应在递交投标文件截止日之前到医院招采办报名投标。</w:t>
      </w:r>
    </w:p>
    <w:p>
      <w:pPr>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2.符合条件的供应商严格按照采购单位提供的招标文件，认真填写投标资料，并在规定时间将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送达指定地点。投标单位法定代表人或授权代表在规定的时间内未递交投标资料的，视为自动放弃。</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3.院内公开招标有效投标的供应商不足三家，不得开标。</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4.存在下列情形的，应予废标：</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snapToGrid w:val="0"/>
        <w:spacing w:line="500" w:lineRule="exact"/>
        <w:ind w:firstLine="638" w:firstLineChars="228"/>
        <w:rPr>
          <w:rFonts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5.投标文件有效期</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0"/>
          <w:numId w:val="4"/>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所有资料要有封面、目录、页码、装订成册。</w:t>
      </w:r>
    </w:p>
    <w:p>
      <w:pPr>
        <w:numPr>
          <w:ilvl w:val="0"/>
          <w:numId w:val="4"/>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0"/>
          <w:numId w:val="4"/>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snapToGrid w:val="0"/>
        <w:spacing w:line="50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（六）投标人的产品质量及服务承诺书不能严重低于招标文件中的服务要求标准做出响应，允许出现负偏差，但不得出现严重负偏差。</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bCs/>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未前来签合同的，我院有权宣布本次采购结果作废，重新确定供应商。</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1、采购人可以对已发出的招标文件进行必要的澄清或者修改。澄清或者修改应当在原公告发布媒体上发布澄清（更正/变更）公告。</w:t>
      </w:r>
    </w:p>
    <w:p>
      <w:pPr>
        <w:pStyle w:val="5"/>
        <w:spacing w:line="460" w:lineRule="exact"/>
        <w:ind w:firstLine="560" w:firstLineChars="200"/>
        <w:rPr>
          <w:rFonts w:ascii="仿宋" w:hAnsi="仿宋" w:eastAsia="仿宋" w:cs="仿宋"/>
          <w:sz w:val="28"/>
          <w:szCs w:val="28"/>
        </w:rPr>
      </w:pPr>
      <w:r>
        <w:rPr>
          <w:rFonts w:ascii="仿宋" w:hAnsi="仿宋" w:eastAsia="仿宋" w:cs="仿宋"/>
          <w:sz w:val="28"/>
          <w:szCs w:val="28"/>
        </w:rPr>
        <w:t>2、采购人对招标文件的补充和修正，将以电子文件等方式发给所有获得招标文件的供应商，补充通知作为招标文件的组成部分，对同意参与招标单位起约束作用。</w:t>
      </w:r>
    </w:p>
    <w:p>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五、投标文件有效期</w:t>
      </w:r>
    </w:p>
    <w:p>
      <w:pPr>
        <w:numPr>
          <w:ilvl w:val="0"/>
          <w:numId w:val="5"/>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在递交投标文件截止日期之后的60天内有效。</w:t>
      </w:r>
    </w:p>
    <w:p>
      <w:pPr>
        <w:numPr>
          <w:ilvl w:val="0"/>
          <w:numId w:val="5"/>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在原定投标文件有效期满之前，如果出现特殊情况，招采办可以书面形式向投标人提出延长投标文件有效期的要求。</w:t>
      </w:r>
    </w:p>
    <w:p>
      <w:pPr>
        <w:numPr>
          <w:ilvl w:val="0"/>
          <w:numId w:val="5"/>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numPr>
          <w:ilvl w:val="0"/>
          <w:numId w:val="5"/>
        </w:numPr>
        <w:snapToGrid w:val="0"/>
        <w:spacing w:line="500" w:lineRule="exact"/>
        <w:ind w:firstLine="560" w:firstLineChars="200"/>
        <w:sectPr>
          <w:footerReference r:id="rId3" w:type="default"/>
          <w:pgSz w:w="11906" w:h="16838"/>
          <w:pgMar w:top="1440" w:right="1576" w:bottom="1440" w:left="1576" w:header="851" w:footer="992" w:gutter="0"/>
          <w:cols w:space="425" w:num="1"/>
          <w:docGrid w:type="lines" w:linePitch="312" w:charSpace="0"/>
        </w:sectPr>
      </w:pPr>
      <w:r>
        <w:rPr>
          <w:rFonts w:hint="eastAsia" w:ascii="仿宋" w:hAnsi="仿宋" w:eastAsia="仿宋" w:cs="仿宋"/>
          <w:sz w:val="28"/>
          <w:szCs w:val="28"/>
        </w:rPr>
        <w:t>招采办将做出澄清和解答，逾期未提交质疑文件的视同无问题。</w:t>
      </w:r>
    </w:p>
    <w:p>
      <w:pPr>
        <w:spacing w:line="560" w:lineRule="exact"/>
        <w:ind w:left="2882"/>
      </w:pPr>
      <w:r>
        <w:rPr>
          <w:rFonts w:hint="eastAsia" w:ascii="仿宋" w:hAnsi="仿宋" w:eastAsia="仿宋" w:cs="仿宋"/>
          <w:sz w:val="44"/>
          <w:szCs w:val="44"/>
        </w:rPr>
        <w:t>第五章 供应商标书</w:t>
      </w:r>
    </w:p>
    <w:tbl>
      <w:tblPr>
        <w:tblStyle w:val="20"/>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snapToGrid w:val="0"/>
              <w:spacing w:line="360" w:lineRule="auto"/>
              <w:ind w:left="2200" w:hanging="2200" w:hangingChars="500"/>
              <w:rPr>
                <w:rFonts w:ascii="仿宋_GB2312" w:hAnsi="仿宋_GB2312" w:eastAsia="仿宋_GB2312" w:cs="仿宋_GB2312"/>
                <w:sz w:val="44"/>
                <w:szCs w:val="44"/>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val="en-US" w:eastAsia="zh-CN"/>
              </w:rPr>
              <w:t>2024-2025年度消毒供应服务项目</w:t>
            </w:r>
          </w:p>
          <w:p>
            <w:pPr>
              <w:pStyle w:val="27"/>
              <w:spacing w:line="480" w:lineRule="exact"/>
              <w:ind w:firstLine="0" w:firstLine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w:t>
            </w:r>
            <w:r>
              <w:rPr>
                <w:rFonts w:hint="eastAsia" w:ascii="仿宋_GB2312" w:hAnsi="仿宋_GB2312" w:eastAsia="仿宋_GB2312" w:cs="仿宋_GB2312"/>
                <w:sz w:val="36"/>
                <w:szCs w:val="36"/>
                <w:lang w:val="en-US" w:eastAsia="zh-CN"/>
              </w:rPr>
              <w:t>深龙七医采[LGQY2024HL001]</w:t>
            </w:r>
            <w:r>
              <w:rPr>
                <w:rFonts w:hint="eastAsia" w:ascii="仿宋_GB2312" w:hAnsi="仿宋_GB2312" w:eastAsia="仿宋_GB2312" w:cs="仿宋_GB2312"/>
                <w:sz w:val="44"/>
                <w:szCs w:val="44"/>
              </w:rPr>
              <w:t>）</w:t>
            </w:r>
          </w:p>
          <w:p>
            <w:pPr>
              <w:pStyle w:val="27"/>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2024年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jc w:val="center"/>
        <w:rPr>
          <w:rFonts w:hint="eastAsia"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目录</w:t>
      </w:r>
    </w:p>
    <w:p>
      <w:pPr>
        <w:spacing w:line="500" w:lineRule="exact"/>
        <w:jc w:val="left"/>
        <w:rPr>
          <w:rFonts w:ascii="仿宋_GB2312" w:hAnsi="仿宋_GB2312" w:eastAsia="仿宋_GB2312" w:cs="仿宋_GB2312"/>
          <w:sz w:val="28"/>
          <w:szCs w:val="28"/>
        </w:rPr>
      </w:pP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3.投标文件初审表</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4.投标函</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5.开标一览表</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分项报价表</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7.服务条款偏离表</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.投标及履约承诺函</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.法人身份证复印件</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.法人授权委托人身份证复印件</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.法定代表人资格证明书</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.法人授权委托证明书</w:t>
      </w:r>
    </w:p>
    <w:p>
      <w:pPr>
        <w:tabs>
          <w:tab w:val="left" w:pos="630"/>
          <w:tab w:val="left" w:pos="840"/>
        </w:tabs>
        <w:spacing w:line="500" w:lineRule="exact"/>
        <w:ind w:left="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13.供应商“三证合一”（工商营业执照、组织机构代码证和税务登记证）复印件与消毒服务相应资质的医疗机构执业许可证复印件；</w:t>
      </w:r>
    </w:p>
    <w:p>
      <w:pPr>
        <w:tabs>
          <w:tab w:val="left" w:pos="630"/>
          <w:tab w:val="left" w:pos="840"/>
        </w:tabs>
        <w:spacing w:line="500" w:lineRule="exact"/>
        <w:ind w:left="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14.环保部门颁发的《污染物排放许可证》；</w:t>
      </w:r>
    </w:p>
    <w:p>
      <w:pPr>
        <w:tabs>
          <w:tab w:val="left" w:pos="630"/>
          <w:tab w:val="left" w:pos="840"/>
        </w:tabs>
        <w:spacing w:line="500" w:lineRule="exact"/>
        <w:ind w:left="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w:t>
      </w:r>
      <w:r>
        <w:rPr>
          <w:rFonts w:hint="eastAsia" w:ascii="仿宋_GB2312" w:hAnsi="仿宋_GB2312" w:eastAsia="仿宋_GB2312" w:cs="仿宋_GB2312"/>
          <w:b w:val="0"/>
          <w:bCs/>
          <w:color w:val="auto"/>
          <w:kern w:val="0"/>
          <w:sz w:val="28"/>
          <w:szCs w:val="28"/>
        </w:rPr>
        <w:t>拟投入耗材方案</w:t>
      </w:r>
    </w:p>
    <w:p>
      <w:pPr>
        <w:tabs>
          <w:tab w:val="left" w:pos="630"/>
          <w:tab w:val="left" w:pos="840"/>
        </w:tabs>
        <w:spacing w:line="500" w:lineRule="exact"/>
        <w:ind w:left="420"/>
        <w:rPr>
          <w:rFonts w:hint="default" w:eastAsia="仿宋_GB2312"/>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b w:val="0"/>
          <w:bCs/>
          <w:color w:val="auto"/>
          <w:kern w:val="0"/>
          <w:sz w:val="28"/>
          <w:szCs w:val="28"/>
        </w:rPr>
        <w:t>应急措施方案</w:t>
      </w:r>
    </w:p>
    <w:p>
      <w:pPr>
        <w:tabs>
          <w:tab w:val="left" w:pos="630"/>
          <w:tab w:val="left" w:pos="840"/>
        </w:tabs>
        <w:spacing w:line="500" w:lineRule="exact"/>
        <w:ind w:left="420"/>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b w:val="0"/>
          <w:bCs/>
          <w:color w:val="auto"/>
          <w:kern w:val="0"/>
          <w:sz w:val="28"/>
          <w:szCs w:val="28"/>
        </w:rPr>
        <w:t>消毒灭菌质量追溯</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b w:val="0"/>
          <w:bCs/>
          <w:color w:val="auto"/>
          <w:kern w:val="0"/>
          <w:sz w:val="28"/>
          <w:szCs w:val="28"/>
        </w:rPr>
        <w:t>承诺服务响应时间</w:t>
      </w:r>
    </w:p>
    <w:p>
      <w:pPr>
        <w:tabs>
          <w:tab w:val="left" w:pos="630"/>
          <w:tab w:val="left" w:pos="840"/>
        </w:tabs>
        <w:spacing w:line="500" w:lineRule="exact"/>
        <w:ind w:left="420"/>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b w:val="0"/>
          <w:bCs/>
          <w:color w:val="auto"/>
          <w:kern w:val="0"/>
          <w:sz w:val="28"/>
          <w:szCs w:val="28"/>
          <w:lang w:val="en-US" w:eastAsia="zh-CN"/>
        </w:rPr>
        <w:t>同类业绩</w:t>
      </w:r>
    </w:p>
    <w:p>
      <w:pPr>
        <w:tabs>
          <w:tab w:val="left" w:pos="630"/>
          <w:tab w:val="left" w:pos="840"/>
        </w:tabs>
        <w:spacing w:line="500" w:lineRule="exact"/>
        <w:ind w:left="420"/>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20.检测报告</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.中小企业声明函</w:t>
      </w:r>
    </w:p>
    <w:p>
      <w:pPr>
        <w:tabs>
          <w:tab w:val="left" w:pos="630"/>
          <w:tab w:val="left" w:pos="840"/>
        </w:tabs>
        <w:spacing w:line="500" w:lineRule="exact"/>
        <w:ind w:left="420"/>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.其他证明材料</w:t>
      </w:r>
    </w:p>
    <w:p>
      <w:pPr>
        <w:jc w:val="center"/>
        <w:rPr>
          <w:rFonts w:hint="eastAsia"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投 标 函</w:t>
      </w:r>
    </w:p>
    <w:p>
      <w:pPr>
        <w:spacing w:line="560" w:lineRule="exact"/>
        <w:jc w:val="center"/>
        <w:rPr>
          <w:rFonts w:ascii="仿宋" w:hAnsi="仿宋" w:eastAsia="仿宋" w:cs="仿宋"/>
          <w:b/>
          <w:bCs/>
          <w:sz w:val="36"/>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我司已经认真仔细阅读了贵单位关于</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项目的招标文件，完全同意招标文件中的所有条款，愿意按招标文件要求，决定以</w:t>
      </w:r>
      <w:r>
        <w:rPr>
          <w:rFonts w:hint="eastAsia" w:ascii="仿宋_GB2312" w:hAnsi="仿宋_GB2312" w:eastAsia="仿宋_GB2312" w:cs="仿宋_GB2312"/>
          <w:sz w:val="32"/>
          <w:szCs w:val="32"/>
          <w:lang w:val="en-US" w:eastAsia="zh-CN"/>
        </w:rPr>
        <w:t>折扣率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的投标报价提供与招标文件中描述相一致的产品与服务，并许以如下承诺：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1.我方愿意向招标人提供与本次招标的相关资料，并对其真实性、合法性、有效性负责。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2.我方将严格履行本投标文件中的全部承诺和责任，并遵守招标文件中对投标人的所有规定。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3.我方完全理解招标人有保留在授标之前，任何时候根据评标委员会的意见接受或拒绝任何投标的权利，并完全理解招标人对此无解释的义务。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4.我方完全理解招标人不保证投标价最低的投标人中标。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5.我方承诺在此次招标过程中涉及的一切应当保密的事项，不向任何第三方泄露，否则承担一切法律责任。  </w:t>
      </w:r>
    </w:p>
    <w:p>
      <w:pPr>
        <w:pStyle w:val="2"/>
      </w:pPr>
    </w:p>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法定代表人或其委托人（签字）：</w:t>
      </w:r>
    </w:p>
    <w:p>
      <w:pPr>
        <w:rPr>
          <w:rFonts w:ascii="宋体" w:hAnsi="宋体" w:cs="宋体"/>
          <w:b/>
          <w:bCs/>
          <w:sz w:val="44"/>
          <w:szCs w:val="44"/>
        </w:rPr>
      </w:pPr>
      <w:r>
        <w:rPr>
          <w:rFonts w:hint="eastAsia" w:ascii="仿宋_GB2312" w:hAnsi="仿宋_GB2312" w:eastAsia="仿宋_GB2312" w:cs="仿宋_GB2312"/>
          <w:sz w:val="32"/>
          <w:szCs w:val="32"/>
        </w:rPr>
        <w:t xml:space="preserve">                     投标单位全称（加盖公章）：</w:t>
      </w:r>
    </w:p>
    <w:p>
      <w:pPr>
        <w:spacing w:line="460" w:lineRule="exact"/>
        <w:jc w:val="center"/>
        <w:rPr>
          <w:rFonts w:ascii="宋体" w:hAnsi="宋体" w:cs="宋体"/>
          <w:b/>
          <w:bCs/>
          <w:sz w:val="44"/>
          <w:szCs w:val="44"/>
        </w:rPr>
      </w:pPr>
    </w:p>
    <w:p>
      <w:pPr>
        <w:spacing w:line="460" w:lineRule="exact"/>
        <w:jc w:val="center"/>
        <w:rPr>
          <w:rFonts w:ascii="宋体" w:hAnsi="宋体" w:cs="宋体"/>
          <w:b/>
          <w:bCs/>
          <w:sz w:val="44"/>
          <w:szCs w:val="44"/>
        </w:rPr>
      </w:pPr>
    </w:p>
    <w:p>
      <w:pPr>
        <w:spacing w:line="460" w:lineRule="exact"/>
        <w:jc w:val="center"/>
        <w:rPr>
          <w:rFonts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ascii="宋体" w:hAnsi="宋体" w:cs="宋体"/>
          <w:b/>
          <w:bCs/>
          <w:sz w:val="44"/>
          <w:szCs w:val="44"/>
        </w:rPr>
      </w:pPr>
      <w:r>
        <w:rPr>
          <w:rFonts w:hint="eastAsia" w:ascii="宋体" w:hAnsi="宋体" w:cs="宋体"/>
          <w:b/>
          <w:bCs/>
          <w:sz w:val="44"/>
          <w:szCs w:val="44"/>
        </w:rPr>
        <w:t>投标及履约承诺函</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1.我公司对本招标项目所提供的货物或服务未侵犯知识产权。</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2.我公司保证采购人拥有所投产品完整的所有权，不以保护知识产权或技术保密的名义对所有权和使用权进行任何限制。</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3.我公司保证，具备《中华人民共和国政府采购法》第二十二条第一款的条件以及不违反《中华人民共和国政府采购法实施条例》第十八条的规定。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公司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我公司在参加本次政府采购活动前3年内在经营活动中没有重大违法记录。</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5.我公司保证，未被列入失信被执行人、重大税收违法案件当事人名单、政府采购严重违法失信行为记录名单。</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6.与其他投标供应商不存在单位负责人为同一人或者存在直接控股、管理关系。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7.我公司在参与本项目投标过程中，严格遵守政府采购相关法律，不弄虚作假，不隐瞒真实情况，不围标串标，不恶意质疑投诉。我公司已清楚，如违反上述要求，贵方有权废除我公司的投标资格。</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8.我公司如果中标，做到守信，不偷工减料，依照本项目招标文件需求内容、签署的采购合同及本公司在投标中所作的一切承诺履约。</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一旦我公司中标，我公司承诺在收到中标通知书后,积极联系采购单位，在10个工作日内与采购单位签订服务合同，除非因采购单位原因造成时间延误，否则，贵方有权废除我公司的中标资格，我公司对此无任何异议，并承担相关责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我公司已认真核实了投标文件的全部内容，所有资料均为真实资料。我公司对投标文件中全部投标资料的真实性负责，如被证实我单位的投标文件中存在虚假资料的，则视为我单位隐瞒真实情况、提供虚假资料，我单位愿意接受主管部门作出的行政处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12.我公司保证不转包、不违法分包。</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以上承诺，如有违反，愿依照国家相关法律处理，并承担由此给采购人带来的损失。</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财务负责人/企业负责人/授权委托人的联系方式（可选填）：</w:t>
      </w:r>
    </w:p>
    <w:p>
      <w:pPr>
        <w:spacing w:line="440" w:lineRule="exact"/>
        <w:ind w:firstLine="640" w:firstLineChars="200"/>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p>
    <w:p>
      <w:pPr>
        <w:spacing w:line="44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投标人：（加盖公章）</w:t>
      </w:r>
    </w:p>
    <w:p>
      <w:pPr>
        <w:spacing w:line="44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jc w:val="center"/>
        <w:rPr>
          <w:rFonts w:ascii="宋体" w:hAnsi="宋体" w:cs="宋体"/>
          <w:b/>
          <w:bCs/>
          <w:sz w:val="44"/>
          <w:szCs w:val="44"/>
        </w:rPr>
      </w:pPr>
    </w:p>
    <w:p>
      <w:pPr>
        <w:pStyle w:val="6"/>
      </w:pPr>
    </w:p>
    <w:p>
      <w:pPr>
        <w:jc w:val="center"/>
        <w:rPr>
          <w:rFonts w:ascii="仿宋" w:hAnsi="仿宋" w:eastAsia="仿宋" w:cs="仿宋"/>
          <w:b/>
          <w:bCs/>
          <w:sz w:val="28"/>
          <w:szCs w:val="36"/>
        </w:rPr>
      </w:pPr>
      <w:r>
        <w:rPr>
          <w:rFonts w:hint="eastAsia" w:ascii="宋体" w:hAnsi="宋体" w:cs="宋体"/>
          <w:b/>
          <w:bCs/>
          <w:sz w:val="44"/>
          <w:szCs w:val="44"/>
        </w:rPr>
        <w:t>政府采购优惠政策（根据实际情况提供）</w:t>
      </w:r>
    </w:p>
    <w:p>
      <w:pPr>
        <w:pStyle w:val="4"/>
        <w:spacing w:beforeAutospacing="0" w:afterAutospacing="0" w:line="500" w:lineRule="exact"/>
        <w:jc w:val="center"/>
        <w:rPr>
          <w:rFonts w:hint="default" w:ascii="黑体"/>
          <w:sz w:val="32"/>
          <w:szCs w:val="32"/>
        </w:rPr>
      </w:pPr>
    </w:p>
    <w:p>
      <w:pPr>
        <w:pStyle w:val="4"/>
        <w:spacing w:beforeAutospacing="0" w:afterAutospacing="0" w:line="500" w:lineRule="exact"/>
        <w:ind w:firstLine="640" w:firstLineChars="200"/>
        <w:jc w:val="both"/>
        <w:rPr>
          <w:rFonts w:hint="default" w:ascii="黑体" w:hAnsi="黑体" w:eastAsia="黑体" w:cs="黑体"/>
          <w:bCs/>
          <w:sz w:val="32"/>
          <w:szCs w:val="32"/>
        </w:rPr>
      </w:pPr>
      <w:r>
        <w:rPr>
          <w:rFonts w:ascii="黑体" w:hAnsi="黑体" w:eastAsia="黑体" w:cs="黑体"/>
          <w:sz w:val="32"/>
          <w:szCs w:val="32"/>
        </w:rPr>
        <w:t>一、投标人情况及资格证明文件</w:t>
      </w:r>
      <w:bookmarkStart w:id="0" w:name="_Hlk72257590"/>
    </w:p>
    <w:p>
      <w:pPr>
        <w:spacing w:line="500" w:lineRule="exact"/>
        <w:ind w:firstLine="640" w:firstLineChars="200"/>
        <w:jc w:val="left"/>
        <w:outlineLvl w:val="3"/>
        <w:rPr>
          <w:rFonts w:ascii="楷体" w:hAnsi="楷体" w:eastAsia="楷体" w:cs="楷体"/>
          <w:bCs/>
          <w:sz w:val="32"/>
          <w:szCs w:val="32"/>
        </w:rPr>
      </w:pPr>
      <w:r>
        <w:rPr>
          <w:rFonts w:hint="eastAsia" w:ascii="楷体" w:hAnsi="楷体" w:eastAsia="楷体" w:cs="楷体"/>
          <w:bCs/>
          <w:sz w:val="32"/>
          <w:szCs w:val="32"/>
        </w:rPr>
        <w:t>（一）投标人资格证明文件</w:t>
      </w:r>
    </w:p>
    <w:p>
      <w:pPr>
        <w:spacing w:line="500" w:lineRule="exact"/>
        <w:ind w:firstLine="640" w:firstLineChars="200"/>
        <w:rPr>
          <w:b/>
          <w:bCs/>
          <w:sz w:val="32"/>
          <w:szCs w:val="32"/>
        </w:rPr>
      </w:pPr>
      <w:r>
        <w:rPr>
          <w:rFonts w:hint="eastAsia" w:ascii="仿宋_GB2312" w:hAnsi="仿宋_GB2312" w:eastAsia="仿宋_GB2312" w:cs="仿宋_GB2312"/>
          <w:sz w:val="32"/>
          <w:szCs w:val="32"/>
        </w:rPr>
        <w:t>（特别提示：投标人须按本招标文件第一册第一章招标公告“申请人的资格要求”（即投标人资格要求）提供相关的资格证明资料，未提供或提供不完整、不符合要求的，将作投标无效处理。）</w:t>
      </w:r>
    </w:p>
    <w:p>
      <w:pPr>
        <w:spacing w:line="500" w:lineRule="exact"/>
        <w:ind w:firstLine="640" w:firstLineChars="200"/>
        <w:jc w:val="left"/>
        <w:outlineLvl w:val="3"/>
        <w:rPr>
          <w:rFonts w:ascii="楷体" w:hAnsi="楷体" w:eastAsia="楷体" w:cs="楷体"/>
          <w:bCs/>
          <w:sz w:val="32"/>
          <w:szCs w:val="32"/>
        </w:rPr>
      </w:pPr>
      <w:r>
        <w:rPr>
          <w:rFonts w:hint="eastAsia" w:ascii="楷体" w:hAnsi="楷体" w:eastAsia="楷体" w:cs="楷体"/>
          <w:bCs/>
          <w:sz w:val="32"/>
          <w:szCs w:val="32"/>
        </w:rPr>
        <w:t>（二）中小企业声明函、残疾人福利性单位声明函及监狱企业声明函</w:t>
      </w:r>
      <w:bookmarkEnd w:id="0"/>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填写指引：</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2.该部分内容填写需要参考的相关文件：</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(1)财政部《政府采购促进中小企业发展管理办法》（财库〔2020〕46号）；</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1" w:name="_Hlk71925120"/>
      <w:r>
        <w:rPr>
          <w:rFonts w:hint="eastAsia" w:ascii="仿宋_GB2312" w:hAnsi="仿宋_GB2312" w:eastAsia="仿宋_GB2312" w:cs="仿宋_GB2312"/>
          <w:sz w:val="32"/>
          <w:szCs w:val="32"/>
        </w:rPr>
        <w:t>《工业和信息化部、国家统计局、国家发展和改革委员会、财政部关于印发中小企业划型标准规定的通知》（工信部联企业〔2011〕300号</w:t>
      </w:r>
      <w:bookmarkEnd w:id="1"/>
      <w:r>
        <w:rPr>
          <w:rFonts w:hint="eastAsia" w:ascii="仿宋_GB2312" w:hAnsi="仿宋_GB2312" w:eastAsia="仿宋_GB2312" w:cs="仿宋_GB2312"/>
          <w:sz w:val="32"/>
          <w:szCs w:val="32"/>
        </w:rPr>
        <w:t>，以下简称300号文）；</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(3)《政府采购促进中小企业发展管理办法》（财库〔2020〕46号）；</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(4)《关于印发中小企业划型标准规定的通知》（工信部联企业〔2011〕300号）；</w:t>
      </w:r>
    </w:p>
    <w:p>
      <w:pPr>
        <w:spacing w:line="500" w:lineRule="exact"/>
        <w:ind w:firstLine="640" w:firstLineChars="200"/>
        <w:jc w:val="left"/>
      </w:pPr>
      <w:r>
        <w:rPr>
          <w:rFonts w:hint="eastAsia" w:ascii="仿宋_GB2312" w:hAnsi="仿宋_GB2312" w:eastAsia="仿宋_GB2312" w:cs="仿宋_GB2312"/>
          <w:sz w:val="32"/>
          <w:szCs w:val="32"/>
        </w:rPr>
        <w:t>(5)《统计上大中小微型企业划分办法(2017)》（国统字〔2017〕213号）；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(6)《关于促进残疾人就业政府采购政策的通知》（财库〔2017〕141号）；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(7)《关于政府采购支持监狱企业发展有关问题的通知》（财库〔2014〕68号）。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3、请依照提供的格式和内容填写声明函，不要随意变更格式；声明函不需要盖章或签字；满足多项优惠政策的投标人，不重复享受多项价格扣除政策。</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4、声明函具体填写要求：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（1）声明是中小企业须填写《中小企业声明函》的以下内容：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第一处，在“单位名称”下划线处如实填写采购人名称（深圳公共资源交易中心不是本项目的采购人，而是组织实施机构）；</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第二处，在“项目名称”下划线处如实填写采购项目名称；</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第三处，在“标的名称”下划线处填写所采购货物（标的）的具体名称；如果涉及多项货物（标的）为同一企业制造，“标的名称”下划线处可以如实填写多项货物；</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第四处，在“招标文件中明确的所属行业”下划线处填写采购标的对应的中小企业划分标准所属行业；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（2）声明是残疾人福利性单位须填写《残疾人福利性单位声明函》的相关内容，具体参照以上《中小企业声明函》填写要求执行。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（3）声明是监狱企业须填写《监狱企业声明函》的三项内容（填写位置的字体已加粗），具体参照以上《中小企业声明函》填写要求执行。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5、声明函的有效性最终由评审委员会判定；如评审委员会判定声明函无效，相关供应商不享受价格扣除（但不作投标无效处理）。</w:t>
      </w:r>
    </w:p>
    <w:p>
      <w:pPr>
        <w:pStyle w:val="4"/>
        <w:spacing w:beforeAutospacing="0" w:afterAutospacing="0" w:line="500" w:lineRule="exact"/>
        <w:ind w:firstLine="640" w:firstLineChars="200"/>
        <w:jc w:val="both"/>
        <w:rPr>
          <w:rFonts w:hint="default"/>
          <w:b/>
          <w:sz w:val="36"/>
          <w:szCs w:val="36"/>
        </w:rPr>
      </w:pPr>
      <w:r>
        <w:rPr>
          <w:rFonts w:ascii="黑体" w:hAnsi="黑体" w:eastAsia="黑体" w:cs="黑体"/>
          <w:sz w:val="32"/>
          <w:szCs w:val="32"/>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2"/>
        <w:rPr>
          <w:b/>
          <w:sz w:val="36"/>
          <w:szCs w:val="36"/>
        </w:rPr>
      </w:pPr>
    </w:p>
    <w:p>
      <w:pPr>
        <w:rPr>
          <w:b/>
          <w:sz w:val="36"/>
          <w:szCs w:val="36"/>
        </w:rPr>
      </w:pPr>
    </w:p>
    <w:p>
      <w:pPr>
        <w:pStyle w:val="2"/>
        <w:rPr>
          <w:b/>
          <w:sz w:val="36"/>
          <w:szCs w:val="36"/>
        </w:rPr>
      </w:pPr>
    </w:p>
    <w:p>
      <w:pPr>
        <w:rPr>
          <w:b/>
          <w:sz w:val="36"/>
          <w:szCs w:val="36"/>
        </w:rPr>
      </w:pPr>
    </w:p>
    <w:p>
      <w:pPr>
        <w:pStyle w:val="25"/>
        <w:ind w:firstLine="723"/>
        <w:rPr>
          <w:b/>
          <w:sz w:val="36"/>
          <w:szCs w:val="36"/>
        </w:rPr>
      </w:pPr>
    </w:p>
    <w:p>
      <w:pPr>
        <w:rPr>
          <w:b/>
          <w:sz w:val="36"/>
          <w:szCs w:val="36"/>
        </w:rPr>
      </w:pPr>
    </w:p>
    <w:p>
      <w:pPr>
        <w:pStyle w:val="2"/>
      </w:pPr>
    </w:p>
    <w:p/>
    <w:p>
      <w:pPr>
        <w:spacing w:line="500" w:lineRule="exact"/>
        <w:rPr>
          <w:b/>
          <w:sz w:val="36"/>
          <w:szCs w:val="36"/>
        </w:rPr>
      </w:pPr>
    </w:p>
    <w:p>
      <w:pPr>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ascii="仿宋_GB2312" w:hAnsi="仿宋_GB2312" w:eastAsia="仿宋_GB2312" w:cs="仿宋_GB2312"/>
          <w:sz w:val="32"/>
          <w:szCs w:val="32"/>
        </w:rPr>
      </w:pP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响应责任。</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本公司（联合体）郑重声明，根据《政府采购促进中小企业发展管理办法》（财库〔2020〕46号）的规定，本公司（联合体）参加</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rPr>
        <w:t>采购活动，提供的货物全部由符合政策要求的中小企业制造。相关企业（含联合体中的中小企业、签订分包意向协议的中小企业）的具体情况如下：</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（标的名称）</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u w:val="single"/>
        </w:rPr>
        <w:t>（采购文件中明确的所属行业）</w:t>
      </w:r>
      <w:r>
        <w:rPr>
          <w:rFonts w:hint="eastAsia" w:ascii="仿宋_GB2312" w:hAnsi="仿宋_GB2312" w:eastAsia="仿宋_GB2312" w:cs="仿宋_GB2312"/>
          <w:sz w:val="32"/>
          <w:szCs w:val="32"/>
        </w:rPr>
        <w:t>行业；制造商为</w:t>
      </w:r>
      <w:r>
        <w:rPr>
          <w:rFonts w:hint="eastAsia" w:ascii="仿宋_GB2312" w:hAnsi="仿宋_GB2312" w:eastAsia="仿宋_GB2312" w:cs="仿宋_GB2312"/>
          <w:sz w:val="32"/>
          <w:szCs w:val="32"/>
          <w:u w:val="single"/>
        </w:rPr>
        <w:t>（企业名称）</w:t>
      </w:r>
      <w:r>
        <w:rPr>
          <w:rFonts w:hint="eastAsia" w:ascii="仿宋_GB2312" w:hAnsi="仿宋_GB2312" w:eastAsia="仿宋_GB2312" w:cs="仿宋_GB2312"/>
          <w:sz w:val="32"/>
          <w:szCs w:val="32"/>
        </w:rPr>
        <w:t>，从业人员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人，营业收入为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万元，资产总额为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万元，属于</w:t>
      </w:r>
      <w:r>
        <w:rPr>
          <w:rFonts w:hint="eastAsia" w:ascii="仿宋_GB2312" w:hAnsi="仿宋_GB2312" w:eastAsia="仿宋_GB2312" w:cs="仿宋_GB2312"/>
          <w:sz w:val="32"/>
          <w:szCs w:val="32"/>
          <w:u w:val="single"/>
        </w:rPr>
        <w:t>（中型企业、小型企业、微型企业）</w:t>
      </w: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以上企业，不属于大企业的分支机构，不存在控股股东为大企业的情形，也不存在与大企业的负责人为同一人的情形。</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本企业对上述声明内容的真实性负责。如有虚假，将依法承担相应责任。</w:t>
      </w:r>
    </w:p>
    <w:p>
      <w:pPr>
        <w:pStyle w:val="2"/>
      </w:pPr>
    </w:p>
    <w:p>
      <w:pPr>
        <w:spacing w:line="440" w:lineRule="exact"/>
        <w:ind w:firstLine="420" w:firstLineChars="200"/>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企业名称（盖章）：</w:t>
      </w:r>
    </w:p>
    <w:p>
      <w:pPr>
        <w:spacing w:line="440" w:lineRule="exact"/>
        <w:ind w:firstLine="640" w:firstLineChars="200"/>
        <w:rPr>
          <w:b/>
          <w:sz w:val="36"/>
          <w:szCs w:val="36"/>
        </w:rPr>
      </w:pPr>
      <w:r>
        <w:rPr>
          <w:rFonts w:hint="eastAsia" w:ascii="仿宋_GB2312" w:hAnsi="仿宋_GB2312" w:eastAsia="仿宋_GB2312" w:cs="仿宋_GB2312"/>
          <w:sz w:val="32"/>
          <w:szCs w:val="32"/>
        </w:rPr>
        <w:t xml:space="preserve">                       日期： </w:t>
      </w:r>
    </w:p>
    <w:p>
      <w:pPr>
        <w:spacing w:line="500" w:lineRule="exact"/>
        <w:jc w:val="center"/>
        <w:rPr>
          <w:b/>
          <w:sz w:val="36"/>
          <w:szCs w:val="36"/>
        </w:rPr>
      </w:pPr>
    </w:p>
    <w:p>
      <w:pPr>
        <w:spacing w:line="500" w:lineRule="exact"/>
        <w:jc w:val="center"/>
        <w:rPr>
          <w:b/>
          <w:sz w:val="36"/>
          <w:szCs w:val="36"/>
        </w:rPr>
      </w:pPr>
    </w:p>
    <w:p>
      <w:pPr>
        <w:pStyle w:val="2"/>
        <w:rPr>
          <w:b/>
          <w:sz w:val="36"/>
          <w:szCs w:val="36"/>
        </w:rPr>
      </w:pPr>
    </w:p>
    <w:p>
      <w:pPr>
        <w:rPr>
          <w:b/>
          <w:sz w:val="36"/>
          <w:szCs w:val="36"/>
        </w:rPr>
      </w:pPr>
    </w:p>
    <w:p>
      <w:pPr>
        <w:pStyle w:val="2"/>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本单位知悉《促进残疾人就业政府采购政策的通知》（财库〔2017〕141号）的规定，承诺提供的声明函内容是真实的，如提供声明函内容不实，则依法追究相关法律责任。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pStyle w:val="2"/>
        <w:tabs>
          <w:tab w:val="left" w:pos="562"/>
          <w:tab w:val="left" w:pos="3372"/>
          <w:tab w:val="left" w:pos="3653"/>
        </w:tabs>
        <w:spacing w:line="560" w:lineRule="exact"/>
        <w:rPr>
          <w:rFonts w:ascii="仿宋_GB2312" w:hAnsi="仿宋_GB2312" w:eastAsia="仿宋_GB2312" w:cs="仿宋_GB2312"/>
        </w:rPr>
      </w:pPr>
    </w:p>
    <w:p>
      <w:pPr>
        <w:spacing w:line="560" w:lineRule="exact"/>
      </w:pPr>
    </w:p>
    <w:p>
      <w:pPr>
        <w:spacing w:line="560" w:lineRule="exact"/>
        <w:ind w:firstLine="4480" w:firstLineChars="1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60" w:lineRule="exact"/>
        <w:ind w:firstLine="4480" w:firstLineChars="1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pStyle w:val="2"/>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sz w:val="32"/>
          <w:szCs w:val="32"/>
        </w:rPr>
      </w:pPr>
    </w:p>
    <w:p>
      <w:pPr>
        <w:pStyle w:val="25"/>
      </w:pPr>
    </w:p>
    <w:p/>
    <w:p/>
    <w:p/>
    <w:p>
      <w:pPr>
        <w:numPr>
          <w:ilvl w:val="0"/>
          <w:numId w:val="6"/>
        </w:numPr>
        <w:spacing w:line="500" w:lineRule="exact"/>
        <w:jc w:val="center"/>
        <w:rPr>
          <w:b/>
          <w:sz w:val="36"/>
          <w:szCs w:val="36"/>
        </w:rPr>
      </w:pPr>
      <w:r>
        <w:rPr>
          <w:rFonts w:hint="eastAsia"/>
          <w:b/>
          <w:sz w:val="36"/>
          <w:szCs w:val="36"/>
        </w:rPr>
        <w:t>监狱企业声明函</w:t>
      </w:r>
    </w:p>
    <w:p>
      <w:pPr>
        <w:pStyle w:val="2"/>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附：省级以上监狱管理局、戒毒管理局（含新疆生产建设兵团）出具的监狱企业证明文件。</w:t>
      </w:r>
    </w:p>
    <w:p>
      <w:pPr>
        <w:spacing w:line="560" w:lineRule="exact"/>
        <w:ind w:firstLine="640" w:firstLineChars="200"/>
        <w:jc w:val="left"/>
        <w:rPr>
          <w:rFonts w:ascii="仿宋_GB2312" w:hAnsi="仿宋_GB2312" w:eastAsia="仿宋_GB2312" w:cs="仿宋_GB2312"/>
          <w:sz w:val="32"/>
          <w:szCs w:val="32"/>
        </w:rPr>
      </w:pPr>
    </w:p>
    <w:p>
      <w:pPr>
        <w:pStyle w:val="2"/>
      </w:pPr>
    </w:p>
    <w:p>
      <w:pPr>
        <w:spacing w:line="560" w:lineRule="exact"/>
        <w:ind w:firstLine="5120" w:firstLineChars="1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60" w:lineRule="exact"/>
        <w:ind w:firstLine="5120" w:firstLineChars="1600"/>
        <w:jc w:val="left"/>
        <w:rPr>
          <w:b/>
          <w:sz w:val="32"/>
          <w:szCs w:val="32"/>
        </w:rPr>
      </w:pPr>
      <w:r>
        <w:rPr>
          <w:rFonts w:hint="eastAsia" w:ascii="仿宋_GB2312" w:hAnsi="仿宋_GB2312" w:eastAsia="仿宋_GB2312" w:cs="仿宋_GB2312"/>
          <w:sz w:val="32"/>
          <w:szCs w:val="32"/>
        </w:rPr>
        <w:t>日  期：</w:t>
      </w:r>
    </w:p>
    <w:p>
      <w:pPr>
        <w:pStyle w:val="4"/>
        <w:spacing w:beforeAutospacing="0" w:afterAutospacing="0" w:line="500" w:lineRule="exact"/>
        <w:ind w:firstLine="643" w:firstLineChars="200"/>
        <w:jc w:val="both"/>
        <w:rPr>
          <w:rFonts w:hint="default" w:ascii="Calibri" w:hAnsi="Calibri" w:cs="黑体"/>
          <w:b/>
          <w:kern w:val="2"/>
          <w:sz w:val="32"/>
          <w:szCs w:val="32"/>
        </w:rPr>
      </w:pPr>
    </w:p>
    <w:p>
      <w:pPr>
        <w:pStyle w:val="4"/>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NumType w:fmt="numberInDash"/>
          <w:cols w:space="720" w:num="1"/>
          <w:docGrid w:type="lines" w:linePitch="312" w:charSpace="0"/>
        </w:sectPr>
      </w:pPr>
    </w:p>
    <w:tbl>
      <w:tblPr>
        <w:tblStyle w:val="20"/>
        <w:tblW w:w="13061" w:type="dxa"/>
        <w:tblInd w:w="0" w:type="dxa"/>
        <w:tblLayout w:type="fixed"/>
        <w:tblCellMar>
          <w:top w:w="15" w:type="dxa"/>
          <w:left w:w="15" w:type="dxa"/>
          <w:bottom w:w="15" w:type="dxa"/>
          <w:right w:w="15" w:type="dxa"/>
        </w:tblCellMar>
      </w:tblPr>
      <w:tblGrid>
        <w:gridCol w:w="3319"/>
        <w:gridCol w:w="3262"/>
        <w:gridCol w:w="2490"/>
        <w:gridCol w:w="2459"/>
        <w:gridCol w:w="1531"/>
      </w:tblGrid>
      <w:tr>
        <w:tblPrEx>
          <w:tblCellMar>
            <w:top w:w="15" w:type="dxa"/>
            <w:left w:w="15" w:type="dxa"/>
            <w:bottom w:w="15" w:type="dxa"/>
            <w:right w:w="15" w:type="dxa"/>
          </w:tblCellMar>
        </w:tblPrEx>
        <w:trPr>
          <w:trHeight w:val="705" w:hRule="atLeast"/>
        </w:trPr>
        <w:tc>
          <w:tcPr>
            <w:tcW w:w="13061" w:type="dxa"/>
            <w:gridSpan w:val="5"/>
            <w:noWrap/>
            <w:vAlign w:val="center"/>
          </w:tcPr>
          <w:p>
            <w:pPr>
              <w:widowControl/>
              <w:jc w:val="center"/>
              <w:textAlignment w:val="center"/>
              <w:rPr>
                <w:rFonts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85" w:hRule="atLeast"/>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w:t>
            </w:r>
          </w:p>
        </w:tc>
        <w:tc>
          <w:tcPr>
            <w:tcW w:w="39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280" w:firstLineChars="100"/>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kern w:val="0"/>
                <w:sz w:val="28"/>
                <w:szCs w:val="28"/>
              </w:rPr>
              <w:t>采购项目编号:LGQY2024</w:t>
            </w:r>
            <w:r>
              <w:rPr>
                <w:rFonts w:hint="eastAsia" w:ascii="仿宋" w:hAnsi="仿宋" w:eastAsia="仿宋" w:cs="仿宋"/>
                <w:color w:val="000000"/>
                <w:kern w:val="0"/>
                <w:sz w:val="28"/>
                <w:szCs w:val="28"/>
                <w:lang w:val="en-US" w:eastAsia="zh-CN"/>
              </w:rPr>
              <w:t>HL</w:t>
            </w:r>
            <w:r>
              <w:rPr>
                <w:rFonts w:hint="eastAsia" w:ascii="仿宋" w:hAnsi="仿宋" w:eastAsia="仿宋" w:cs="仿宋"/>
                <w:color w:val="000000"/>
                <w:kern w:val="0"/>
                <w:sz w:val="28"/>
                <w:szCs w:val="28"/>
              </w:rPr>
              <w:t>00</w:t>
            </w:r>
            <w:r>
              <w:rPr>
                <w:rFonts w:hint="eastAsia" w:ascii="仿宋" w:hAnsi="仿宋" w:eastAsia="仿宋" w:cs="仿宋"/>
                <w:color w:val="000000"/>
                <w:kern w:val="0"/>
                <w:sz w:val="28"/>
                <w:szCs w:val="28"/>
                <w:lang w:val="en-US" w:eastAsia="zh-CN"/>
              </w:rPr>
              <w:t>1</w:t>
            </w:r>
          </w:p>
        </w:tc>
      </w:tr>
      <w:tr>
        <w:tblPrEx>
          <w:tblCellMar>
            <w:top w:w="15" w:type="dxa"/>
            <w:left w:w="15" w:type="dxa"/>
            <w:bottom w:w="15" w:type="dxa"/>
            <w:right w:w="15" w:type="dxa"/>
          </w:tblCellMar>
        </w:tblPrEx>
        <w:trPr>
          <w:trHeight w:val="759" w:hRule="atLeast"/>
        </w:trPr>
        <w:tc>
          <w:tcPr>
            <w:tcW w:w="33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32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投标报价（折扣率%）</w:t>
            </w:r>
          </w:p>
        </w:tc>
        <w:tc>
          <w:tcPr>
            <w:tcW w:w="2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交货期</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CellMar>
            <w:top w:w="15" w:type="dxa"/>
            <w:left w:w="15" w:type="dxa"/>
            <w:bottom w:w="15" w:type="dxa"/>
            <w:right w:w="15" w:type="dxa"/>
          </w:tblCellMar>
        </w:tblPrEx>
        <w:trPr>
          <w:trHeight w:val="655" w:hRule="atLeast"/>
        </w:trPr>
        <w:tc>
          <w:tcPr>
            <w:tcW w:w="331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32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p>
            <w:pPr>
              <w:pStyle w:val="15"/>
              <w:rPr>
                <w:rFonts w:ascii="仿宋" w:hAnsi="仿宋" w:eastAsia="仿宋" w:cs="仿宋"/>
                <w:color w:val="000000"/>
                <w:sz w:val="22"/>
                <w:szCs w:val="22"/>
              </w:rPr>
            </w:pPr>
          </w:p>
          <w:p/>
        </w:tc>
        <w:tc>
          <w:tcPr>
            <w:tcW w:w="2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245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r>
    </w:tbl>
    <w:p>
      <w:pPr>
        <w:numPr>
          <w:ilvl w:val="0"/>
          <w:numId w:val="7"/>
        </w:numPr>
        <w:spacing w:line="500" w:lineRule="exact"/>
        <w:jc w:val="left"/>
        <w:rPr>
          <w:rFonts w:ascii="仿宋" w:hAnsi="仿宋" w:eastAsia="仿宋" w:cs="仿宋"/>
          <w:sz w:val="28"/>
          <w:szCs w:val="28"/>
        </w:rPr>
      </w:pPr>
      <w:r>
        <w:rPr>
          <w:rFonts w:hint="eastAsia" w:ascii="仿宋" w:hAnsi="仿宋" w:eastAsia="仿宋" w:cs="仿宋"/>
          <w:sz w:val="28"/>
          <w:szCs w:val="28"/>
        </w:rPr>
        <w:t>开标一览表格式不得自行改动。</w:t>
      </w:r>
    </w:p>
    <w:p>
      <w:pPr>
        <w:numPr>
          <w:ilvl w:val="0"/>
          <w:numId w:val="7"/>
        </w:numPr>
        <w:spacing w:line="500" w:lineRule="exact"/>
        <w:jc w:val="left"/>
        <w:rPr>
          <w:rFonts w:ascii="仿宋" w:hAnsi="仿宋" w:eastAsia="仿宋" w:cs="仿宋"/>
          <w:sz w:val="28"/>
          <w:szCs w:val="28"/>
        </w:rPr>
      </w:pPr>
      <w:r>
        <w:rPr>
          <w:rFonts w:hint="eastAsia" w:ascii="仿宋" w:hAnsi="仿宋" w:eastAsia="仿宋" w:cs="仿宋"/>
          <w:sz w:val="28"/>
          <w:szCs w:val="28"/>
        </w:rPr>
        <w:t>价格条件为能否满足标书要求的投标报价。</w:t>
      </w:r>
    </w:p>
    <w:p>
      <w:pPr>
        <w:numPr>
          <w:ilvl w:val="0"/>
          <w:numId w:val="7"/>
        </w:numPr>
        <w:spacing w:line="500" w:lineRule="exact"/>
        <w:jc w:val="left"/>
        <w:rPr>
          <w:rFonts w:ascii="仿宋" w:hAnsi="仿宋" w:eastAsia="仿宋" w:cs="仿宋"/>
          <w:sz w:val="28"/>
          <w:szCs w:val="36"/>
        </w:rPr>
      </w:pPr>
      <w:r>
        <w:rPr>
          <w:rFonts w:hint="eastAsia" w:ascii="仿宋" w:hAnsi="仿宋" w:eastAsia="仿宋" w:cs="仿宋"/>
          <w:sz w:val="28"/>
          <w:szCs w:val="28"/>
        </w:rPr>
        <w:t>无内容空格填“-”。</w:t>
      </w:r>
    </w:p>
    <w:p>
      <w:pPr>
        <w:ind w:firstLine="280" w:firstLineChars="100"/>
        <w:rPr>
          <w:rFonts w:ascii="仿宋" w:hAnsi="仿宋" w:eastAsia="仿宋" w:cs="仿宋"/>
          <w:sz w:val="28"/>
          <w:szCs w:val="28"/>
        </w:rPr>
      </w:pPr>
    </w:p>
    <w:p>
      <w:pPr>
        <w:ind w:firstLine="280" w:firstLineChars="100"/>
        <w:rPr>
          <w:rFonts w:ascii="仿宋" w:hAnsi="仿宋" w:eastAsia="仿宋" w:cs="仿宋"/>
          <w:sz w:val="28"/>
          <w:szCs w:val="28"/>
        </w:rPr>
      </w:pPr>
    </w:p>
    <w:p>
      <w:pPr>
        <w:ind w:firstLine="280" w:firstLineChars="100"/>
        <w:rPr>
          <w:rFonts w:ascii="仿宋" w:hAnsi="仿宋" w:eastAsia="仿宋" w:cs="仿宋"/>
          <w:sz w:val="28"/>
          <w:szCs w:val="28"/>
        </w:rPr>
      </w:pPr>
      <w:r>
        <w:rPr>
          <w:rFonts w:hint="eastAsia" w:ascii="仿宋" w:hAnsi="仿宋" w:eastAsia="仿宋" w:cs="仿宋"/>
          <w:sz w:val="28"/>
          <w:szCs w:val="28"/>
        </w:rPr>
        <w:t>法定代表人或其委托人（签字）：</w:t>
      </w:r>
    </w:p>
    <w:p>
      <w:pPr>
        <w:rPr>
          <w:rFonts w:hint="eastAsia" w:ascii="仿宋" w:hAnsi="仿宋" w:eastAsia="仿宋" w:cs="仿宋"/>
          <w:sz w:val="28"/>
          <w:szCs w:val="28"/>
          <w:lang w:eastAsia="zh-CN"/>
        </w:rPr>
      </w:pPr>
      <w:r>
        <w:rPr>
          <w:rFonts w:hint="eastAsia" w:ascii="仿宋" w:hAnsi="仿宋" w:eastAsia="仿宋" w:cs="仿宋"/>
          <w:sz w:val="28"/>
          <w:szCs w:val="28"/>
        </w:rPr>
        <w:t xml:space="preserve">  投标单位全称（加盖公章）</w:t>
      </w:r>
      <w:r>
        <w:rPr>
          <w:rFonts w:hint="eastAsia" w:ascii="仿宋" w:hAnsi="仿宋" w:eastAsia="仿宋" w:cs="仿宋"/>
          <w:sz w:val="28"/>
          <w:szCs w:val="28"/>
          <w:lang w:eastAsia="zh-CN"/>
        </w:rPr>
        <w:t>：</w:t>
      </w:r>
    </w:p>
    <w:p>
      <w:pPr>
        <w:pStyle w:val="2"/>
        <w:rPr>
          <w:rFonts w:hint="eastAsia"/>
          <w:lang w:eastAsia="zh-CN"/>
        </w:rPr>
      </w:pPr>
    </w:p>
    <w:p>
      <w:pPr>
        <w:rPr>
          <w:rFonts w:hint="eastAsia"/>
          <w:lang w:eastAsia="zh-CN"/>
        </w:rPr>
      </w:pPr>
    </w:p>
    <w:p>
      <w:pPr>
        <w:rPr>
          <w:rFonts w:hint="eastAsia"/>
          <w:lang w:eastAsia="zh-CN"/>
        </w:rPr>
        <w:sectPr>
          <w:pgSz w:w="16838" w:h="11906" w:orient="landscape"/>
          <w:pgMar w:top="1304" w:right="2098" w:bottom="1474" w:left="1984" w:header="851" w:footer="1417" w:gutter="0"/>
          <w:pgNumType w:fmt="numberInDash"/>
          <w:cols w:space="0" w:num="1"/>
          <w:docGrid w:type="lines" w:linePitch="327" w:charSpace="0"/>
        </w:sectPr>
      </w:pPr>
    </w:p>
    <w:p>
      <w:pPr>
        <w:rPr>
          <w:rFonts w:hint="eastAsia"/>
          <w:lang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926"/>
        <w:gridCol w:w="2525"/>
        <w:gridCol w:w="4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消毒灭菌包分项报价表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物品名称</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rPr>
            </w:pPr>
            <w:r>
              <w:rPr>
                <w:rFonts w:hint="eastAsia" w:ascii="宋体" w:hAnsi="宋体" w:cs="宋体"/>
                <w:b w:val="0"/>
                <w:bCs w:val="0"/>
                <w:i w:val="0"/>
                <w:iCs w:val="0"/>
                <w:color w:val="000000"/>
                <w:kern w:val="0"/>
                <w:sz w:val="18"/>
                <w:szCs w:val="18"/>
                <w:u w:val="none"/>
                <w:lang w:val="en-US" w:eastAsia="zh-CN" w:bidi="ar"/>
              </w:rPr>
              <w:t>单项报价限价</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单项报价</w:t>
            </w:r>
            <w:r>
              <w:rPr>
                <w:rFonts w:hint="eastAsia" w:ascii="宋体" w:hAnsi="宋体" w:cs="宋体"/>
                <w:b w:val="0"/>
                <w:bCs w:val="0"/>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12.5CM无齿镊</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14cm拆线剪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14cm直止血钳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16cm拆线剪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16cm弯止血钳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16cm直钳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18cm弯钳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18cm直钳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18CM直止血钳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20cm弯钳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气管管芯2件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种植盒②34件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气管套装4件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种植盒52件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￥135.83</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Ankylos种植包36件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阿斯特拉器械盒53件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￥135.83</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阿斯特拉器械盒55件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￥135.83</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拆线包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超声骨刀9个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成人喉镜手柄+喉镜/3</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成人气管插管包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成人气管切开包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持针器+组织剪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持针器16cm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抽气罐</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大火罐</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刀柄4#</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德国系统工具盒34件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德国系统工具盒35件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锋钩针</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妇检包①</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妇检包②</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宫颈活检包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宫颈活检包4件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宫颈活检钳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宫颈钳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刮匙</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管芯</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环甲膜穿刺针</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环甲膜穿刺针2件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￥19.68</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环角膜穿刺包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￥19.68</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换药包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火罐</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火针</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绝缘窥阴器</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开口器+舌钳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开口器3件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开口器包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开口器包2件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开口器包3件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柯克钳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可视窥器</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口腔器械盒35件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口腔器械盒55件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￥135.83</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口腔手术器械包15件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口腔手术器械包16件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口腔种植包36件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窥器</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内提升器械盒5件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￥39.16</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鸟嘴剪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纽百特工具盒46件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䥽针</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气管插管包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气管插管芯</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气管套管</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气管套管3件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气管套管芯</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器械包10件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器械包13件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清创包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人流包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三棱针</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上下环包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烧伤包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舌钳＋压舌板</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湿化瓶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湿化瓶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手机</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弯尖眼科剪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弯盘</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弯无齿卵圆钳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弯眼科剪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弯有齿卵圆钳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弯圆组织剪12.5cm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弯圆组织剪16cm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弯止血钳14CM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弯止血钳16CM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弯止血钳18cm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弯止血钳20cm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弯止血钳22cm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弯止血钳23CM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吸痰包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吸引器无芯</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小火罐</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压舌板</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牙镊</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咽喉镜</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有齿镊12.5cm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圆利针</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诊刮包</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直尖剪12.5CM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直尖组织剪16cm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直角拉钩</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直无齿卵圆钳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直眼科剪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直眼科剪8cm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直有齿卵圆钳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直圆剪14CM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直圆剪16CM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直圆组织剪12.5cm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直圆组织剪14cm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直圆组织剪16CM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直圆组织剪22cm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直止血钳+眼科剪</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直止血钳16cm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直止血钳18cm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直止血钳20CM</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中弯盘</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种植盒36件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种植器械包12件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种植器械盒46件</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￥135.83</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子宫敷料钳</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spacing w:line="360" w:lineRule="auto"/>
        <w:jc w:val="center"/>
        <w:rPr>
          <w:rFonts w:hint="eastAsia" w:ascii="宋体" w:hAnsi="宋体" w:cs="宋体"/>
          <w:b/>
          <w:bCs w:val="0"/>
          <w:sz w:val="40"/>
          <w:szCs w:val="40"/>
        </w:rPr>
      </w:pPr>
      <w:r>
        <w:rPr>
          <w:rFonts w:hint="eastAsia" w:ascii="仿宋_GB2312" w:hAnsi="仿宋_GB2312" w:eastAsia="仿宋_GB2312" w:cs="仿宋_GB2312"/>
          <w:b/>
          <w:bCs w:val="0"/>
          <w:color w:val="auto"/>
          <w:kern w:val="0"/>
          <w:sz w:val="36"/>
          <w:szCs w:val="36"/>
        </w:rPr>
        <w:t>服务条款偏离表</w:t>
      </w:r>
    </w:p>
    <w:tbl>
      <w:tblPr>
        <w:tblStyle w:val="20"/>
        <w:tblW w:w="9933" w:type="dxa"/>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188"/>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188" w:type="dxa"/>
            <w:noWrap w:val="0"/>
            <w:vAlign w:val="center"/>
          </w:tcPr>
          <w:p>
            <w:pPr>
              <w:ind w:right="-82" w:rightChars="-39"/>
              <w:jc w:val="center"/>
              <w:rPr>
                <w:rFonts w:hint="eastAsia" w:ascii="仿宋_GB2312" w:hAnsi="仿宋_GB2312" w:eastAsia="仿宋_GB2312" w:cs="仿宋_GB2312"/>
                <w:sz w:val="28"/>
                <w:szCs w:val="28"/>
              </w:rPr>
            </w:pPr>
            <w:r>
              <w:rPr>
                <w:rFonts w:hint="eastAsia" w:ascii="宋体" w:hAnsi="宋体" w:eastAsia="宋体" w:cs="宋体"/>
                <w:b/>
                <w:sz w:val="28"/>
                <w:szCs w:val="28"/>
              </w:rPr>
              <w:t>服务要求</w:t>
            </w:r>
          </w:p>
        </w:tc>
        <w:tc>
          <w:tcPr>
            <w:tcW w:w="1979" w:type="dxa"/>
            <w:noWrap w:val="0"/>
            <w:vAlign w:val="top"/>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响应情况</w:t>
            </w:r>
          </w:p>
          <w:p>
            <w:pPr>
              <w:ind w:right="-82" w:rightChars="-39"/>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933" w:type="dxa"/>
            <w:gridSpan w:val="3"/>
            <w:noWrap w:val="0"/>
            <w:vAlign w:val="top"/>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（一）主要设备要求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▲必须配备（1）高温高压灭菌设备；（2）环氧乙烷灭菌设备；（3）低温等离子灭菌设备。（须提供具有现场背景的实物照片彩色扫描件作为证明材料）</w:t>
            </w:r>
          </w:p>
        </w:tc>
        <w:tc>
          <w:tcPr>
            <w:tcW w:w="1979" w:type="dxa"/>
            <w:noWrap w:val="0"/>
            <w:vAlign w:val="center"/>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必须配备符合国家规范要求的包装设备并选用合格的包装材料。（须提供具有现场背景的实物照片彩色扫描件作为证明材料）</w:t>
            </w:r>
          </w:p>
        </w:tc>
        <w:tc>
          <w:tcPr>
            <w:tcW w:w="1979" w:type="dxa"/>
            <w:noWrap w:val="0"/>
            <w:vAlign w:val="center"/>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必须配备无菌储存容器与专用洁净配送车辆。（须提供具有现场背景的实物照片彩色扫描件作为证明材料）</w:t>
            </w:r>
          </w:p>
        </w:tc>
        <w:tc>
          <w:tcPr>
            <w:tcW w:w="1979" w:type="dxa"/>
            <w:noWrap w:val="0"/>
            <w:vAlign w:val="center"/>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933" w:type="dxa"/>
            <w:gridSpan w:val="3"/>
            <w:noWrap w:val="0"/>
            <w:vAlign w:val="top"/>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（二）消毒灭菌技术要求（消毒供应中心管理要求）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88" w:type="dxa"/>
            <w:noWrap w:val="0"/>
            <w:vAlign w:val="top"/>
          </w:tcPr>
          <w:p>
            <w:pPr>
              <w:ind w:right="-82" w:rightChars="-3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1.1 </w:t>
            </w:r>
            <w:r>
              <w:rPr>
                <w:rFonts w:hint="eastAsia" w:ascii="仿宋_GB2312" w:hAnsi="仿宋_GB2312" w:eastAsia="仿宋_GB2312" w:cs="仿宋_GB2312"/>
                <w:sz w:val="28"/>
                <w:szCs w:val="28"/>
                <w:lang w:val="zh-CN"/>
              </w:rPr>
              <w:t>应按照</w:t>
            </w:r>
            <w:r>
              <w:rPr>
                <w:rFonts w:hint="eastAsia" w:ascii="仿宋_GB2312" w:hAnsi="仿宋_GB2312" w:eastAsia="仿宋_GB2312" w:cs="仿宋_GB2312"/>
                <w:sz w:val="28"/>
                <w:szCs w:val="28"/>
              </w:rPr>
              <w:t>（1）《医院机构消毒技术规范》；（2）《医院消毒供应中心管理规范》</w:t>
            </w:r>
            <w:r>
              <w:rPr>
                <w:rFonts w:hint="eastAsia" w:ascii="仿宋_GB2312" w:hAnsi="仿宋_GB2312" w:eastAsia="仿宋_GB2312" w:cs="仿宋_GB2312"/>
                <w:sz w:val="28"/>
                <w:szCs w:val="28"/>
                <w:lang w:val="zh-CN"/>
              </w:rPr>
              <w:t>建立医用手术器械、分类收集、清洗、干燥、包装、消毒灭菌工作流程；建立卫生质量监测检查、无菌物品储存管理、设备安全操作、环境卫生保洁以及从业人员岗位职责、职业防护等制度。</w:t>
            </w:r>
          </w:p>
          <w:p>
            <w:pPr>
              <w:ind w:right="-82" w:rightChars="-3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.2应对工作人员进行岗前培训，使其熟练掌握清洗、消毒、干燥、包装、灭菌技能;并了解清洗、消毒、干燥、包装、灭菌等相关设备、设施及消毒隔离与感染控制基础知识、常用应急事件处理方法等。</w:t>
            </w:r>
          </w:p>
          <w:p>
            <w:pPr>
              <w:ind w:right="-82" w:rightChars="-3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.3应有质量管理负责人和专职质检员，负责开展各工作环节的自检、抽检工作。</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lang w:val="zh-CN"/>
              </w:rPr>
              <w:t>污染废物处置与管理应符合《医疗废物管理条例》、《医疗卫生机构医疗废物管理办法》的规定。</w:t>
            </w:r>
          </w:p>
        </w:tc>
        <w:tc>
          <w:tcPr>
            <w:tcW w:w="1979" w:type="dxa"/>
            <w:noWrap w:val="0"/>
            <w:vAlign w:val="top"/>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人员防护要求：</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应按照《医院消毒供应中心清洗消毒及灭菌技术操作规范》中相关规范、标准及要求，针对接收区、去污区、检查包装灭菌区及无菌物品储存区的工作人员进行不同的个人防护措施，个人防护用品不应交叉使用。</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▲2.2在去污区应遵循“标准预防”的原则，按照WS/T311的隔离要求，穿戴工作服（包括衣裤）、帽、口罩、手套、防水围裙和面罩，并按WS/T313要求进行手卫生。</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▲2.3检查包装灭菌区应穿洁净工作服、工作鞋，并保持手卫生。</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▲2.4在无菌物品储存区（灭菌卸载区、无菌储存区）应按照洁净室原则穿着洁净工作服或隔离服。</w:t>
            </w:r>
          </w:p>
        </w:tc>
        <w:tc>
          <w:tcPr>
            <w:tcW w:w="1979" w:type="dxa"/>
            <w:noWrap w:val="0"/>
            <w:vAlign w:val="center"/>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▲手术器械消毒灭菌原则、方法要求：必须严格执行《医院消毒供应中心清洗消毒及灭菌技术操作规范》中相关规范要求。</w:t>
            </w:r>
          </w:p>
        </w:tc>
        <w:tc>
          <w:tcPr>
            <w:tcW w:w="1979" w:type="dxa"/>
            <w:noWrap w:val="0"/>
            <w:vAlign w:val="center"/>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手术器械接收、清洗、消毒、干燥、包装、灭菌全流程要求：</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各类器械清洗要求须参照《医院消毒供应中心清洗消毒及灭菌技术操作规范》中相关要求执行，投标人必须按上述规范要求提供其自身的标准化流程图。</w:t>
            </w:r>
          </w:p>
        </w:tc>
        <w:tc>
          <w:tcPr>
            <w:tcW w:w="1979" w:type="dxa"/>
            <w:noWrap w:val="0"/>
            <w:vAlign w:val="top"/>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3" w:type="dxa"/>
            <w:gridSpan w:val="3"/>
            <w:noWrap w:val="0"/>
            <w:vAlign w:val="top"/>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（三）消毒供应中心布局与环境要求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消毒供应中心设计布局与环境要求严格按照（1）《医院机构消毒供应规范》；（2）《医院消毒供应中心管理规范》要求执行，必须</w:t>
            </w:r>
            <w:r>
              <w:rPr>
                <w:rFonts w:hint="eastAsia" w:ascii="仿宋_GB2312" w:hAnsi="仿宋_GB2312" w:eastAsia="仿宋_GB2312" w:cs="仿宋_GB2312"/>
                <w:sz w:val="28"/>
                <w:szCs w:val="28"/>
                <w:lang w:val="zh-CN"/>
              </w:rPr>
              <w:t>设有独立办公区域和消毒工作区域。（要求提供平面设计示意图及具有现</w:t>
            </w:r>
            <w:r>
              <w:rPr>
                <w:rFonts w:hint="eastAsia" w:ascii="仿宋_GB2312" w:hAnsi="仿宋_GB2312" w:eastAsia="仿宋_GB2312" w:cs="仿宋_GB2312"/>
                <w:sz w:val="28"/>
                <w:szCs w:val="28"/>
              </w:rPr>
              <w:t>场背景的实物照片彩色扫描件作为证明材料）</w:t>
            </w:r>
          </w:p>
        </w:tc>
        <w:tc>
          <w:tcPr>
            <w:tcW w:w="1979" w:type="dxa"/>
            <w:noWrap w:val="0"/>
            <w:vAlign w:val="top"/>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188" w:type="dxa"/>
            <w:noWrap w:val="0"/>
            <w:vAlign w:val="top"/>
          </w:tcPr>
          <w:p>
            <w:pPr>
              <w:ind w:right="-82" w:rightChars="-3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消毒工作区应按照不同的功能区域严格区分（1）去污区（包括接收、去污）；（2）洁净区（包括检查、包装、灭菌）；（3）无菌物品存放区（包括：灭菌卸载、无菌储存），各区域之间必须有缓冲隔离措施，并保证单向通行。</w:t>
            </w:r>
            <w:r>
              <w:rPr>
                <w:rFonts w:hint="eastAsia" w:ascii="仿宋_GB2312" w:hAnsi="仿宋_GB2312" w:eastAsia="仿宋_GB2312" w:cs="仿宋_GB2312"/>
                <w:sz w:val="28"/>
                <w:szCs w:val="28"/>
              </w:rPr>
              <w:t>（须提供具有现场背景的实物照片彩色扫描件作为证明材料）</w:t>
            </w:r>
          </w:p>
        </w:tc>
        <w:tc>
          <w:tcPr>
            <w:tcW w:w="1979" w:type="dxa"/>
            <w:noWrap w:val="0"/>
            <w:vAlign w:val="top"/>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各区域为独立空调净化系统，能按规范要求独立调节各区域的温度、湿度及压差；洁净度需达到100000级手术室标准。（须提供具有现场背景的实物照片彩色扫描件作为证明材料）</w:t>
            </w:r>
          </w:p>
        </w:tc>
        <w:tc>
          <w:tcPr>
            <w:tcW w:w="1979" w:type="dxa"/>
            <w:noWrap w:val="0"/>
            <w:vAlign w:val="center"/>
          </w:tcPr>
          <w:p>
            <w:pPr>
              <w:ind w:right="-82" w:rightChars="-3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3"/>
            <w:noWrap w:val="0"/>
            <w:vAlign w:val="top"/>
          </w:tcPr>
          <w:p>
            <w:pPr>
              <w:ind w:right="-82" w:rightChars="-39"/>
              <w:jc w:val="center"/>
              <w:rPr>
                <w:rFonts w:hint="eastAsia" w:ascii="宋体" w:hAnsi="宋体" w:eastAsia="宋体" w:cs="宋体"/>
                <w:b/>
                <w:sz w:val="28"/>
                <w:szCs w:val="28"/>
              </w:rPr>
            </w:pPr>
            <w:r>
              <w:rPr>
                <w:rFonts w:hint="eastAsia" w:ascii="宋体" w:hAnsi="宋体" w:eastAsia="宋体" w:cs="宋体"/>
                <w:b/>
                <w:sz w:val="28"/>
                <w:szCs w:val="28"/>
              </w:rPr>
              <w:t>招标项目管理与服务要求（商务需求）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66" w:type="dxa"/>
            <w:noWrap w:val="0"/>
            <w:vAlign w:val="center"/>
          </w:tcPr>
          <w:p>
            <w:pPr>
              <w:ind w:right="-82" w:rightChars="-3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采购方在签订合同有效期内，将有需重复使用</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诊疗器械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口腔小器械除外）</w:t>
            </w:r>
            <w:r>
              <w:rPr>
                <w:rFonts w:hint="eastAsia" w:ascii="仿宋_GB2312" w:hAnsi="仿宋_GB2312" w:eastAsia="仿宋_GB2312" w:cs="仿宋_GB2312"/>
                <w:sz w:val="28"/>
                <w:szCs w:val="28"/>
              </w:rPr>
              <w:t>、器具及物品经初步冲洗和保湿处理后</w:t>
            </w:r>
            <w:r>
              <w:rPr>
                <w:rFonts w:hint="eastAsia" w:ascii="仿宋_GB2312" w:hAnsi="仿宋_GB2312" w:eastAsia="仿宋_GB2312" w:cs="仿宋_GB2312"/>
                <w:sz w:val="28"/>
                <w:szCs w:val="28"/>
                <w:lang w:val="en-US" w:eastAsia="zh-CN"/>
              </w:rPr>
              <w:t>送至</w:t>
            </w:r>
            <w:r>
              <w:rPr>
                <w:rFonts w:hint="eastAsia" w:ascii="仿宋_GB2312" w:hAnsi="仿宋_GB2312" w:eastAsia="仿宋_GB2312" w:cs="仿宋_GB2312"/>
                <w:sz w:val="28"/>
                <w:szCs w:val="28"/>
              </w:rPr>
              <w:t>中标方</w:t>
            </w:r>
            <w:r>
              <w:rPr>
                <w:rFonts w:hint="eastAsia" w:ascii="仿宋_GB2312" w:hAnsi="仿宋_GB2312" w:eastAsia="仿宋_GB2312" w:cs="仿宋_GB2312"/>
                <w:sz w:val="28"/>
                <w:szCs w:val="28"/>
                <w:lang w:val="en-US" w:eastAsia="zh-CN"/>
              </w:rPr>
              <w:t>指定接收点进行</w:t>
            </w:r>
            <w:r>
              <w:rPr>
                <w:rFonts w:hint="eastAsia" w:ascii="仿宋_GB2312" w:hAnsi="仿宋_GB2312" w:eastAsia="仿宋_GB2312" w:cs="仿宋_GB2312"/>
                <w:sz w:val="28"/>
                <w:szCs w:val="28"/>
              </w:rPr>
              <w:t>清洗消毒灭菌。</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对经（或疑似）烈性传染病人直接或间接使用后的器械必须用统一规定特殊包装封存，并清楚标明包装物内器械品种和数量，传染病的名称或类型，以防交叉传染及便于中标方作特殊强化清洗与消毒灭菌处理。</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避免因采购方需要消毒灭菌的器械材质与性能等问题，而引起在中标方清洗、干燥、消毒灭菌过程中出现损坏或导致精度降低等情况发生，采购方在购进需消毒灭菌器械前，应预先征求中标服务商的意见并将样品送中标方检验和测试。</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本合同履行期间，出现以下情形的，采购方有权解除合同：</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因中标方工作质量问题而影响采购方开展正常医疗活动；</w:t>
            </w:r>
          </w:p>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经双方约定的检测机构做出相关检测报告或者抽样检测的结果显示中标方所处理的器械连续2次达不到《医院消毒供应中心清洗消毒及灭菌效果监测标准》；</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中标方负责接收</w:t>
            </w:r>
            <w:r>
              <w:rPr>
                <w:rFonts w:hint="eastAsia" w:ascii="仿宋_GB2312" w:hAnsi="仿宋_GB2312" w:eastAsia="仿宋_GB2312" w:cs="仿宋_GB2312"/>
                <w:sz w:val="28"/>
                <w:szCs w:val="28"/>
                <w:lang w:val="en-US" w:eastAsia="zh-CN"/>
              </w:rPr>
              <w:t>采购方送达到指定接收点的</w:t>
            </w:r>
            <w:r>
              <w:rPr>
                <w:rFonts w:hint="eastAsia" w:ascii="仿宋_GB2312" w:hAnsi="仿宋_GB2312" w:eastAsia="仿宋_GB2312" w:cs="仿宋_GB2312"/>
                <w:sz w:val="28"/>
                <w:szCs w:val="28"/>
              </w:rPr>
              <w:t>污染物品，</w:t>
            </w:r>
            <w:r>
              <w:rPr>
                <w:rFonts w:hint="eastAsia" w:ascii="仿宋_GB2312" w:hAnsi="仿宋_GB2312" w:eastAsia="仿宋_GB2312" w:cs="仿宋_GB2312"/>
                <w:sz w:val="28"/>
                <w:szCs w:val="28"/>
                <w:lang w:val="en-US" w:eastAsia="zh-CN"/>
              </w:rPr>
              <w:t>并按要求进行消毒灭菌。</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▲中标方必须按照</w:t>
            </w:r>
            <w:r>
              <w:rPr>
                <w:rFonts w:hint="eastAsia" w:ascii="仿宋_GB2312" w:hAnsi="仿宋_GB2312" w:eastAsia="仿宋_GB2312" w:cs="仿宋_GB2312"/>
                <w:kern w:val="0"/>
                <w:sz w:val="28"/>
                <w:szCs w:val="28"/>
                <w:lang w:val="en-US" w:eastAsia="zh-CN" w:bidi="ar-SA"/>
              </w:rPr>
              <w:t>国家卫健委</w:t>
            </w:r>
            <w:bookmarkStart w:id="2" w:name="_GoBack"/>
            <w:bookmarkEnd w:id="2"/>
            <w:r>
              <w:rPr>
                <w:rFonts w:hint="eastAsia" w:ascii="仿宋_GB2312" w:hAnsi="仿宋_GB2312" w:eastAsia="仿宋_GB2312" w:cs="仿宋_GB2312"/>
                <w:sz w:val="28"/>
                <w:szCs w:val="28"/>
              </w:rPr>
              <w:t>《医院消毒供应中心清洗消毒及灭菌技术操作规范》要求，采用规范化流程收集并配送采购方所需要进行消毒灭菌的诊疗器械、器具及物品。</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中标方应按照《医院感染管理办法》与《医疗机构消毒技术规范》等规范文件要求，在中转、储存场地内完成污染物品的整箱封存处理。</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中标方负责和</w:t>
            </w:r>
            <w:r>
              <w:rPr>
                <w:rFonts w:hint="eastAsia" w:ascii="仿宋_GB2312" w:hAnsi="仿宋_GB2312" w:eastAsia="仿宋_GB2312" w:cs="仿宋_GB2312"/>
                <w:sz w:val="28"/>
                <w:szCs w:val="28"/>
                <w:lang w:val="en-US" w:eastAsia="zh-CN"/>
              </w:rPr>
              <w:t>采购方</w:t>
            </w:r>
            <w:r>
              <w:rPr>
                <w:rFonts w:hint="eastAsia" w:ascii="仿宋_GB2312" w:hAnsi="仿宋_GB2312" w:eastAsia="仿宋_GB2312" w:cs="仿宋_GB2312"/>
                <w:sz w:val="28"/>
                <w:szCs w:val="28"/>
              </w:rPr>
              <w:t>指定工作人员共同完成诊疗器械、器具及物品清点、收发及配送工作，并以双方认可的方式确认。消毒灭菌后</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无菌物品</w:t>
            </w:r>
            <w:r>
              <w:rPr>
                <w:rFonts w:hint="eastAsia" w:ascii="仿宋_GB2312" w:hAnsi="仿宋_GB2312" w:eastAsia="仿宋_GB2312" w:cs="仿宋_GB2312"/>
                <w:sz w:val="28"/>
                <w:szCs w:val="28"/>
                <w:lang w:val="en-US" w:eastAsia="zh-CN"/>
              </w:rPr>
              <w:t>规范存放，方便采购方</w:t>
            </w:r>
            <w:r>
              <w:rPr>
                <w:rFonts w:hint="eastAsia" w:ascii="仿宋_GB2312" w:hAnsi="仿宋_GB2312" w:eastAsia="仿宋_GB2312" w:cs="仿宋_GB2312"/>
                <w:sz w:val="28"/>
                <w:szCs w:val="28"/>
              </w:rPr>
              <w:t>配送</w:t>
            </w:r>
            <w:r>
              <w:rPr>
                <w:rFonts w:hint="eastAsia" w:ascii="仿宋_GB2312" w:hAnsi="仿宋_GB2312" w:eastAsia="仿宋_GB2312" w:cs="仿宋_GB2312"/>
                <w:sz w:val="28"/>
                <w:szCs w:val="28"/>
                <w:lang w:val="en-US" w:eastAsia="zh-CN"/>
              </w:rPr>
              <w:t>人员及时取回</w:t>
            </w:r>
            <w:r>
              <w:rPr>
                <w:rFonts w:hint="eastAsia" w:ascii="仿宋_GB2312" w:hAnsi="仿宋_GB2312" w:eastAsia="仿宋_GB2312" w:cs="仿宋_GB2312"/>
                <w:sz w:val="28"/>
                <w:szCs w:val="28"/>
              </w:rPr>
              <w:t>。</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应严格遵守（1）《医院机构消毒技术规范》；（2）《医院消毒供应中心管理规范》；（3）《医院消毒供应中心清洗消毒及灭菌技术操作规范》中相关规范、标准及要求，参照质量追溯系统标准为采购方提供器械消毒灭菌与配送服务。</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中标方应按照《医院消毒供应中心清洗消毒及灭菌技术操作规范》中相关规范、标准及要求，对采购方的诊疗器械、器具及物品进行清洗、消毒、干燥、包装、灭菌，并提供可追溯的质量管理系统。</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采购方交付中标方器械除清洗、消毒、干燥、打包、灭菌外，还要为器械提供必要的保护装置和维护保养工作以保证器械处于正常使用状态。</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从采购方接收到损坏严重无法继续使用的器械，中标方应及时沟通并填写清单，报采购方审核，经双方确认，填写器械报废单随实物交采购方相关负责人核实作报废处理。对于中标方损坏或丢失的器械、器具应进行相应的赔偿。</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每月5号之前向医院提交上个月的消毒灭菌服务月报表，内容包括各科室当月交付消毒灭菌诊疗器械、器具及物品数量、品种，送回无菌物品数量、品种；总报废数量、品种；需补充物品数量、品种等信息，以及当月结算金额等。采购方收到月报表后进行核实确认，根据合同约定结算。</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▲中标方所消毒灭菌的器械应当符合国家《医院消毒供应中心清洗消毒及灭菌效果监测标准》要求，并向采购方提供可追溯的每批次消毒灭菌合格证明文件。</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应提供运行可靠的手术器械消毒灭菌管理系统对器械消毒灭菌收送全过程进行管理与控制，并形成可供双方相关部门进行清点确认、流程追踪及统计结算使用的单据或电子文档。以便同现有医院内务系统对接。</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每季度须向采购方提交区以上疾病预防控制中心出具的针对其消毒供应中心进行的检测合格报告：（1）高温高压灭菌检测报告；（2）过氧化氢等离子灭菌监测合格报告；（3）环氧乙烷灭菌监测合格报告；（4）消毒供应中心环境监测合格报告</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w:t>
            </w:r>
          </w:p>
        </w:tc>
        <w:tc>
          <w:tcPr>
            <w:tcW w:w="1979" w:type="dxa"/>
            <w:noWrap w:val="0"/>
            <w:vAlign w:val="center"/>
          </w:tcPr>
          <w:p>
            <w:pPr>
              <w:ind w:right="-82" w:rightChars="-39"/>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ind w:right="-82" w:rightChars="-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7188" w:type="dxa"/>
            <w:noWrap w:val="0"/>
            <w:vAlign w:val="top"/>
          </w:tcPr>
          <w:p>
            <w:pPr>
              <w:ind w:right="-82" w:rightChars="-3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中标方不得以任何理由影响采购方消毒灭菌器械的正常使用，应考虑到停水（市政行为外）、停电、停汽及设备因素影响，做好预防</w:t>
            </w:r>
            <w:r>
              <w:rPr>
                <w:rFonts w:hint="eastAsia" w:ascii="仿宋_GB2312" w:hAnsi="仿宋_GB2312" w:eastAsia="仿宋_GB2312" w:cs="仿宋_GB2312"/>
                <w:sz w:val="28"/>
                <w:szCs w:val="28"/>
                <w:lang w:val="en-US" w:eastAsia="zh-CN"/>
              </w:rPr>
              <w:t>措施及应急预案</w:t>
            </w:r>
            <w:r>
              <w:rPr>
                <w:rFonts w:hint="eastAsia" w:ascii="仿宋_GB2312" w:hAnsi="仿宋_GB2312" w:eastAsia="仿宋_GB2312" w:cs="仿宋_GB2312"/>
                <w:sz w:val="28"/>
                <w:szCs w:val="28"/>
              </w:rPr>
              <w:t>，如遇突发事件，需提前告知采购方，共同商议应急对策。</w:t>
            </w:r>
          </w:p>
        </w:tc>
        <w:tc>
          <w:tcPr>
            <w:tcW w:w="1979" w:type="dxa"/>
            <w:noWrap w:val="0"/>
            <w:vAlign w:val="center"/>
          </w:tcPr>
          <w:p>
            <w:pPr>
              <w:ind w:right="-82" w:rightChars="-39"/>
              <w:jc w:val="center"/>
              <w:rPr>
                <w:rFonts w:hint="eastAsia" w:ascii="宋体" w:hAnsi="宋体" w:eastAsia="宋体" w:cs="宋体"/>
                <w:b/>
                <w:sz w:val="28"/>
                <w:szCs w:val="28"/>
              </w:rPr>
            </w:pPr>
          </w:p>
        </w:tc>
      </w:tr>
    </w:tbl>
    <w:p>
      <w:pPr>
        <w:spacing w:line="360" w:lineRule="auto"/>
        <w:rPr>
          <w:rFonts w:hint="eastAsia"/>
          <w:lang w:val="en-US" w:eastAsia="zh-CN"/>
        </w:rPr>
        <w:sectPr>
          <w:pgSz w:w="11906" w:h="16838"/>
          <w:pgMar w:top="2098" w:right="1474" w:bottom="1984" w:left="1304" w:header="851" w:footer="1417" w:gutter="0"/>
          <w:pgNumType w:fmt="numberInDash"/>
          <w:cols w:space="0" w:num="1"/>
          <w:rtlGutter w:val="0"/>
          <w:docGrid w:type="lines" w:linePitch="327" w:charSpace="0"/>
        </w:sectPr>
      </w:pPr>
    </w:p>
    <w:p>
      <w:pPr>
        <w:pStyle w:val="2"/>
      </w:pPr>
    </w:p>
    <w:p>
      <w:pPr>
        <w:widowControl/>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ascii="仿宋" w:hAnsi="仿宋" w:eastAsia="仿宋" w:cs="仿宋"/>
          <w:color w:val="000000"/>
          <w:sz w:val="28"/>
          <w:szCs w:val="28"/>
        </w:rPr>
      </w:pP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先生/小姐，现任我单位职务，为法定代表人，特此证明。</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有效日期：               签发日期：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                   （盖章）</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代表人性别：        年龄：       身份证号码：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营业执照号码：                   经济性质：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兼营（产）：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进口物品经营许可证号码：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兼营（产）：</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pPr>
          </w:p>
          <w:p>
            <w:pPr>
              <w:ind w:firstLine="2100" w:firstLineChars="1000"/>
            </w:pPr>
            <w:r>
              <w:rPr>
                <w:rFonts w:hint="eastAsia"/>
              </w:rPr>
              <w:t>正反面</w:t>
            </w:r>
          </w:p>
        </w:tc>
      </w:tr>
    </w:tbl>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本授权书于</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日签字生效，有效期至特此声明。</w:t>
      </w:r>
    </w:p>
    <w:p>
      <w:pPr>
        <w:spacing w:line="440" w:lineRule="exact"/>
        <w:ind w:firstLine="480" w:firstLineChars="200"/>
        <w:rPr>
          <w:rFonts w:ascii="仿宋" w:hAnsi="仿宋" w:eastAsia="仿宋" w:cs="仿宋"/>
          <w:color w:val="000000"/>
          <w:sz w:val="24"/>
          <w:szCs w:val="32"/>
        </w:rPr>
      </w:pP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法定代表人签字： </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被授权人签字：　</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单位盖章：　</w:t>
      </w:r>
    </w:p>
    <w:p>
      <w:pPr>
        <w:spacing w:line="440" w:lineRule="exact"/>
        <w:rPr>
          <w:rFonts w:ascii="仿宋" w:hAnsi="仿宋" w:eastAsia="仿宋" w:cs="仿宋"/>
          <w:color w:val="000000"/>
          <w:sz w:val="24"/>
          <w:szCs w:val="32"/>
        </w:rPr>
      </w:pP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附：</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被授权人姓名：                       身份证号：</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职务：</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详细通信地址：</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邮政编码：</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联系电话：</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移动电话：</w:t>
      </w:r>
    </w:p>
    <w:p>
      <w:pPr>
        <w:spacing w:line="440" w:lineRule="exact"/>
        <w:rPr>
          <w:rFonts w:ascii="仿宋" w:hAnsi="仿宋" w:eastAsia="仿宋" w:cs="仿宋"/>
          <w:color w:val="000000"/>
          <w:sz w:val="24"/>
          <w:szCs w:val="32"/>
        </w:rPr>
      </w:pPr>
      <w:r>
        <w:rPr>
          <w:rFonts w:hint="eastAsia" w:ascii="仿宋" w:hAnsi="仿宋" w:eastAsia="仿宋" w:cs="仿宋"/>
          <w:color w:val="000000"/>
          <w:sz w:val="32"/>
          <w:szCs w:val="32"/>
        </w:rPr>
        <w:t>传真：</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color w:val="000000"/>
          <w:kern w:val="0"/>
          <w:sz w:val="28"/>
          <w:szCs w:val="28"/>
        </w:rPr>
        <w:t>(合同模板仅供参考，中标人根据招投标文件拟定)</w:t>
      </w:r>
    </w:p>
    <w:p>
      <w:pPr>
        <w:spacing w:line="440" w:lineRule="exact"/>
      </w:pPr>
    </w:p>
    <w:p>
      <w:pPr>
        <w:widowControl/>
        <w:spacing w:line="440" w:lineRule="exact"/>
        <w:jc w:val="center"/>
        <w:textAlignment w:val="center"/>
      </w:pPr>
      <w:r>
        <w:rPr>
          <w:rFonts w:hint="eastAsia" w:ascii="宋体" w:hAnsi="宋体" w:cs="宋体"/>
          <w:color w:val="000000"/>
          <w:kern w:val="0"/>
          <w:sz w:val="44"/>
          <w:szCs w:val="44"/>
          <w:lang w:bidi="ar"/>
        </w:rPr>
        <w:t>《龙岗区第七人民医院采购合同》</w:t>
      </w:r>
    </w:p>
    <w:p>
      <w:pPr>
        <w:spacing w:line="440" w:lineRule="exact"/>
        <w:ind w:firstLine="560" w:firstLineChars="200"/>
        <w:rPr>
          <w:rFonts w:ascii="仿宋" w:hAnsi="仿宋" w:eastAsia="仿宋" w:cs="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widowControl/>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widowControl/>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6"/>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6"/>
        <w:widowControl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spacing w:line="44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spacing w:line="44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spacing w:line="44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spacing w:line="44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spacing w:line="44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widowControl/>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spacing w:line="440" w:lineRule="exact"/>
        <w:ind w:firstLine="560" w:firstLineChars="200"/>
      </w:pPr>
      <w:r>
        <w:rPr>
          <w:rFonts w:hint="eastAsia" w:ascii="仿宋" w:hAnsi="仿宋" w:eastAsia="仿宋" w:cs="仿宋"/>
          <w:sz w:val="28"/>
          <w:szCs w:val="28"/>
        </w:rPr>
        <w:t>附件4：售后服务承诺（加盖公章）。</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地址：深圳市龙岗区南湾街道吉厦社区早禾坑工业区2号</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纳税人识别号:12440307G34813567P</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kern w:val="0"/>
                <w:sz w:val="24"/>
              </w:rPr>
              <w:t>开户银行：</w:t>
            </w:r>
            <w:r>
              <w:rPr>
                <w:rFonts w:hint="eastAsia" w:ascii="仿宋" w:hAnsi="仿宋" w:eastAsia="仿宋" w:cs="仿宋"/>
                <w:b/>
                <w:bCs/>
                <w:color w:val="000000"/>
                <w:sz w:val="24"/>
              </w:rPr>
              <w:t>深圳农村商业银行南湾支行</w:t>
            </w:r>
          </w:p>
        </w:tc>
        <w:tc>
          <w:tcPr>
            <w:tcW w:w="4314" w:type="dxa"/>
            <w:noWra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账    号：000071202940</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电话：0755-28746468</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8"/>
              <w:ind w:firstLine="0"/>
            </w:pPr>
          </w:p>
          <w:p>
            <w:pPr>
              <w:spacing w:line="360" w:lineRule="auto"/>
            </w:pPr>
            <w:r>
              <w:rPr>
                <w:rFonts w:hint="eastAsia" w:ascii="仿宋" w:hAnsi="仿宋" w:eastAsia="仿宋" w:cs="仿宋"/>
                <w:b/>
                <w:bCs/>
                <w:kern w:val="0"/>
                <w:sz w:val="24"/>
              </w:rPr>
              <w:t>授权人</w:t>
            </w:r>
          </w:p>
        </w:tc>
        <w:tc>
          <w:tcPr>
            <w:tcW w:w="4314" w:type="dxa"/>
            <w:noWrap/>
          </w:tcPr>
          <w:p>
            <w:pPr>
              <w:spacing w:line="360" w:lineRule="auto"/>
            </w:pPr>
            <w:r>
              <w:rPr>
                <w:rFonts w:hint="eastAsia" w:ascii="仿宋" w:hAnsi="仿宋" w:eastAsia="仿宋" w:cs="仿宋"/>
                <w:b/>
                <w:bCs/>
                <w:kern w:val="0"/>
                <w:sz w:val="24"/>
              </w:rPr>
              <w:t>乙方法定代表人（签字）：</w:t>
            </w:r>
          </w:p>
          <w:p>
            <w:pPr>
              <w:pStyle w:val="8"/>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授权人（签字）：</w:t>
            </w:r>
          </w:p>
          <w:p>
            <w:pPr>
              <w:pStyle w:val="8"/>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spacing w:line="360" w:lineRule="auto"/>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tabs>
          <w:tab w:val="left" w:pos="0"/>
        </w:tabs>
        <w:snapToGrid w:val="0"/>
        <w:spacing w:line="480" w:lineRule="exact"/>
        <w:rPr>
          <w:rFonts w:ascii="仿宋" w:hAnsi="仿宋" w:eastAsia="仿宋" w:cs="仿宋"/>
          <w:b/>
          <w:bCs/>
          <w:sz w:val="32"/>
          <w:szCs w:val="32"/>
        </w:rPr>
        <w:sectPr>
          <w:pgSz w:w="11906" w:h="16838"/>
          <w:pgMar w:top="2098" w:right="1474" w:bottom="1984" w:left="1304" w:header="851" w:footer="1417" w:gutter="0"/>
          <w:pgNumType w:fmt="numberInDash"/>
          <w:cols w:space="0" w:num="1"/>
          <w:rtlGutter w:val="0"/>
          <w:docGrid w:type="lines" w:linePitch="327"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 xml:space="preserve">项目名称：            </w:t>
      </w:r>
    </w:p>
    <w:p>
      <w:pPr>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为进一步加强医疗卫生行风建设，规范购销行为，有效防范商业贿赂，营造公平交易、诚实守信的购销环境，经甲、乙双方协商，同意签订本合同，并共同遵守：</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一、甲乙双方按照《中华人民共和国民法典》及产品</w:t>
      </w:r>
      <w:r>
        <w:rPr>
          <w:rFonts w:hint="eastAsia" w:ascii="仿宋_GB2312" w:eastAsia="仿宋_GB2312"/>
          <w:sz w:val="32"/>
          <w:szCs w:val="32"/>
        </w:rPr>
        <w:t>购销合同</w:t>
      </w:r>
      <w:r>
        <w:rPr>
          <w:rFonts w:hint="eastAsia" w:ascii="仿宋_GB2312" w:hAnsi="ˎ̥" w:eastAsia="仿宋_GB2312"/>
          <w:sz w:val="32"/>
          <w:szCs w:val="32"/>
        </w:rPr>
        <w:t>约定实施购销行为。</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二、甲方应当严格执行验收、入库制度，对采购产品及发票进行查验，不得违反有关规定进行合同外采购、违价采购或从非规定渠道采购。</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32"/>
          <w:szCs w:val="32"/>
        </w:rPr>
        <w:t>不得以任何形式向乙方索要现金、有价证券、支付凭证和贵重礼品等</w:t>
      </w:r>
      <w:r>
        <w:rPr>
          <w:rFonts w:hint="eastAsia" w:ascii="仿宋_GB2312" w:hAnsi="ˎ̥" w:eastAsia="仿宋_GB2312"/>
          <w:sz w:val="32"/>
          <w:szCs w:val="32"/>
        </w:rPr>
        <w:t>。被迫接受乙方给予的钱物，应予退还，无法退还的，有责任如实向纪检监察部门反映情况。</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四、严禁甲方工作人员利用任何途径和方式，非法为乙方统计医师个人及临床科室有关医药产品用量信息，或为乙方统方提供便利。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ˎ̥" w:eastAsia="仿宋_GB2312"/>
          <w:sz w:val="32"/>
          <w:szCs w:val="32"/>
        </w:rPr>
        <w:t>乙方不得以回扣、</w:t>
      </w:r>
      <w:r>
        <w:rPr>
          <w:rFonts w:hint="eastAsia" w:ascii="仿宋_GB2312" w:eastAsia="仿宋_GB2312"/>
          <w:sz w:val="32"/>
          <w:szCs w:val="32"/>
        </w:rPr>
        <w:t>宴请等方式影响甲方工作人员采购或使用医药产品的选择权，不得在学术活动中提供旅游、超标准支付食宿费用，以及其他任何形式的利益输送。</w:t>
      </w:r>
    </w:p>
    <w:p>
      <w:pPr>
        <w:spacing w:line="560" w:lineRule="exact"/>
        <w:ind w:firstLine="640" w:firstLineChars="200"/>
        <w:rPr>
          <w:rFonts w:ascii="仿宋_GB2312" w:hAnsi="ˎ̥" w:eastAsia="仿宋_GB2312"/>
          <w:sz w:val="32"/>
          <w:szCs w:val="32"/>
        </w:rPr>
      </w:pPr>
      <w:r>
        <w:rPr>
          <w:rFonts w:hint="eastAsia" w:ascii="仿宋_GB2312" w:eastAsia="仿宋_GB2312"/>
          <w:sz w:val="32"/>
          <w:szCs w:val="32"/>
        </w:rPr>
        <w:t>六、乙方指定</w:t>
      </w:r>
      <w:r>
        <w:rPr>
          <w:rFonts w:hint="eastAsia" w:ascii="仿宋_GB2312" w:eastAsia="仿宋_GB2312"/>
          <w:sz w:val="32"/>
          <w:szCs w:val="32"/>
          <w:u w:val="single"/>
        </w:rPr>
        <w:t xml:space="preserve">        </w:t>
      </w:r>
      <w:r>
        <w:rPr>
          <w:rFonts w:hint="eastAsia" w:ascii="仿宋_GB2312" w:eastAsia="仿宋_GB2312"/>
          <w:sz w:val="32"/>
          <w:szCs w:val="32"/>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32"/>
          <w:szCs w:val="32"/>
        </w:rPr>
        <w:t>负责人及相关工作人员家中访谈并提供任何好处费。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hAnsi="ˎ̥" w:eastAsia="仿宋_GB2312"/>
          <w:sz w:val="32"/>
          <w:szCs w:val="32"/>
        </w:rPr>
        <w:t>乙方如违反本合同，一经发现，</w:t>
      </w:r>
      <w:r>
        <w:rPr>
          <w:rFonts w:hint="eastAsia" w:ascii="仿宋_GB2312" w:eastAsia="仿宋_GB2312"/>
          <w:sz w:val="32"/>
          <w:szCs w:val="32"/>
        </w:rPr>
        <w:t>甲方有权终止产品购销合同，并向有关部门报告。如乙方被列入商业贿赂不良记录，则严格按照《国家</w:t>
      </w:r>
      <w:r>
        <w:rPr>
          <w:rFonts w:ascii="仿宋_GB2312" w:eastAsia="仿宋_GB2312"/>
          <w:sz w:val="32"/>
          <w:szCs w:val="32"/>
        </w:rPr>
        <w:t>卫生计生委关于建立医药购销领域商业贿赂不良记录的规定</w:t>
      </w:r>
      <w:r>
        <w:rPr>
          <w:rFonts w:hint="eastAsia" w:ascii="仿宋_GB2312" w:eastAsia="仿宋_GB2312"/>
          <w:sz w:val="32"/>
          <w:szCs w:val="32"/>
        </w:rPr>
        <w:t>》</w:t>
      </w:r>
      <w:r>
        <w:rPr>
          <w:rFonts w:eastAsia="仿宋_GB2312"/>
          <w:color w:val="000000"/>
          <w:sz w:val="32"/>
          <w:szCs w:val="32"/>
          <w:shd w:val="clear" w:color="auto" w:fill="FFFFFF"/>
        </w:rPr>
        <w:t>（国卫法制发〔2013〕50号）</w:t>
      </w:r>
      <w:r>
        <w:rPr>
          <w:rFonts w:hint="eastAsia" w:ascii="仿宋_GB2312" w:eastAsia="仿宋_GB2312"/>
          <w:sz w:val="32"/>
          <w:szCs w:val="32"/>
        </w:rPr>
        <w:t>相关规定处理。</w:t>
      </w:r>
    </w:p>
    <w:p>
      <w:pPr>
        <w:spacing w:line="560" w:lineRule="exact"/>
        <w:ind w:firstLine="640" w:firstLineChars="200"/>
        <w:rPr>
          <w:rFonts w:ascii="仿宋_GB2312" w:eastAsia="仿宋_GB2312"/>
          <w:sz w:val="32"/>
          <w:szCs w:val="32"/>
        </w:rPr>
      </w:pPr>
      <w:r>
        <w:rPr>
          <w:rFonts w:hint="eastAsia" w:ascii="仿宋_GB2312" w:hAnsi="ˎ̥" w:eastAsia="仿宋_GB2312"/>
          <w:sz w:val="32"/>
          <w:szCs w:val="32"/>
        </w:rPr>
        <w:t>八、</w:t>
      </w:r>
      <w:r>
        <w:rPr>
          <w:rFonts w:hint="eastAsia" w:ascii="仿宋_GB2312" w:eastAsia="仿宋_GB2312"/>
          <w:sz w:val="32"/>
          <w:szCs w:val="32"/>
        </w:rPr>
        <w:t>本合同作为产品购销合同的组成部分，与购销合同一并执行，具有同等的法律效力。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九、本合同一式叁份，甲方贰份（一份随购销主合同存档，一份交医院纪检监察部门），乙方壹份，从签订之日起生效。</w:t>
      </w:r>
    </w:p>
    <w:p>
      <w:pPr>
        <w:spacing w:line="560" w:lineRule="exact"/>
        <w:rPr>
          <w:rFonts w:ascii="仿宋_GB2312" w:eastAsia="仿宋_GB2312"/>
          <w:sz w:val="32"/>
          <w:szCs w:val="32"/>
        </w:rPr>
      </w:pPr>
    </w:p>
    <w:p>
      <w:pPr>
        <w:spacing w:line="560" w:lineRule="exact"/>
        <w:rPr>
          <w:rFonts w:ascii="楷体_GB2312" w:eastAsia="楷体_GB2312"/>
          <w:b/>
          <w:sz w:val="32"/>
          <w:szCs w:val="32"/>
        </w:rPr>
      </w:pPr>
      <w:r>
        <w:rPr>
          <w:rFonts w:hint="eastAsia" w:ascii="楷体_GB2312" w:eastAsia="楷体_GB2312"/>
          <w:b/>
          <w:sz w:val="32"/>
          <w:szCs w:val="32"/>
        </w:rPr>
        <w:t>甲方（盖章）：                  乙方（盖章）：</w:t>
      </w:r>
    </w:p>
    <w:p>
      <w:pPr>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spacing w:line="560" w:lineRule="exact"/>
      </w:pPr>
      <w:r>
        <w:rPr>
          <w:rFonts w:hint="eastAsia" w:ascii="楷体_GB2312" w:eastAsia="楷体_GB2312"/>
          <w:b/>
          <w:sz w:val="32"/>
          <w:szCs w:val="32"/>
        </w:rPr>
        <w:t>委托代理人签名：               经办人签名：</w:t>
      </w:r>
    </w:p>
    <w:p>
      <w:pPr>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一、不得向公职人员赠送礼品、礼金、消费卡等财物。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二、不得违规向公职人员提供宴请、旅游、娱乐等安排。</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三、不得通过打麻将等形式向公职人员输送利益。</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四、不得为公职人员报销应由其个人支付的费用。</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五、不得违规向公职人员及其亲友借贷款。</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六、不得违规将车辆、住房等借给公职人员使用。</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七、不得在招投标中与公职人员搞暗箱操作、围标串标。</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八、不得为利益相关人和公职人员牵线搭桥或者代为传递信息、传递财物。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九、不得让公职人员在企业违规兼职取酬。</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十、不得为公职人员亲友违规承揽业务提供便利。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上述“十个不得”，请您严格遵守。同时，在政商交往中， 如有发现我区公职人员存在违反“十个不准”的问题，请及时通过网络举报平台或者12388举报电话等方式，向纪检监察机关反映举报，我们将一律严格保密、一律优先处置、一律严肃查处。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本人已知晓上述告知内容，并愿意遵照执行（签名）：</w:t>
      </w:r>
    </w:p>
    <w:p>
      <w:pPr>
        <w:spacing w:line="440" w:lineRule="exact"/>
        <w:ind w:firstLine="5760" w:firstLineChars="1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line="440" w:lineRule="exact"/>
        <w:ind w:firstLine="4480" w:firstLineChars="1400"/>
        <w:rPr>
          <w:rFonts w:ascii="仿宋_GB2312" w:hAnsi="仿宋_GB2312" w:eastAsia="仿宋_GB2312" w:cs="仿宋_GB2312"/>
          <w:sz w:val="32"/>
          <w:szCs w:val="32"/>
        </w:rPr>
      </w:pPr>
    </w:p>
    <w:p>
      <w:pPr>
        <w:pStyle w:val="12"/>
        <w:spacing w:line="440" w:lineRule="exact"/>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单位名称（盖章）：</w:t>
      </w:r>
    </w:p>
    <w:p>
      <w:pPr>
        <w:pStyle w:val="12"/>
        <w:spacing w:line="440" w:lineRule="exact"/>
        <w:jc w:val="center"/>
        <w:rPr>
          <w:rFonts w:hint="default" w:ascii="仿宋" w:hAnsi="仿宋" w:eastAsia="仿宋" w:cs="仿宋"/>
          <w:sz w:val="28"/>
          <w:szCs w:val="28"/>
        </w:rPr>
      </w:pPr>
      <w:r>
        <w:rPr>
          <w:rFonts w:ascii="仿宋_GB2312" w:hAnsi="仿宋_GB2312" w:eastAsia="仿宋_GB2312" w:cs="仿宋_GB2312"/>
          <w:sz w:val="32"/>
          <w:szCs w:val="32"/>
        </w:rPr>
        <w:t xml:space="preserve">                   年  月  日</w:t>
      </w:r>
    </w:p>
    <w:p/>
    <w:sectPr>
      <w:headerReference r:id="rId6" w:type="default"/>
      <w:footerReference r:id="rId7" w:type="default"/>
      <w:pgSz w:w="11906" w:h="16838"/>
      <w:pgMar w:top="2098" w:right="1474" w:bottom="1984" w:left="1304" w:header="851" w:footer="1417"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97E05"/>
    <w:multiLevelType w:val="singleLevel"/>
    <w:tmpl w:val="80D97E05"/>
    <w:lvl w:ilvl="0" w:tentative="0">
      <w:start w:val="3"/>
      <w:numFmt w:val="decimal"/>
      <w:suff w:val="nothing"/>
      <w:lvlText w:val="%1、"/>
      <w:lvlJc w:val="left"/>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874376B"/>
    <w:multiLevelType w:val="singleLevel"/>
    <w:tmpl w:val="5874376B"/>
    <w:lvl w:ilvl="0" w:tentative="0">
      <w:start w:val="1"/>
      <w:numFmt w:val="decimal"/>
      <w:lvlText w:val="%1."/>
      <w:lvlJc w:val="left"/>
      <w:pPr>
        <w:ind w:left="425" w:hanging="425"/>
      </w:pPr>
      <w:rPr>
        <w:rFonts w:hint="default"/>
      </w:rPr>
    </w:lvl>
  </w:abstractNum>
  <w:abstractNum w:abstractNumId="4">
    <w:nsid w:val="58C64E55"/>
    <w:multiLevelType w:val="singleLevel"/>
    <w:tmpl w:val="58C64E55"/>
    <w:lvl w:ilvl="0" w:tentative="0">
      <w:start w:val="1"/>
      <w:numFmt w:val="decimal"/>
      <w:lvlText w:val="%1."/>
      <w:lvlJc w:val="left"/>
      <w:pPr>
        <w:ind w:left="425" w:hanging="425"/>
      </w:pPr>
      <w:rPr>
        <w:rFonts w:hint="default"/>
      </w:rPr>
    </w:lvl>
  </w:abstractNum>
  <w:abstractNum w:abstractNumId="5">
    <w:nsid w:val="597FE803"/>
    <w:multiLevelType w:val="singleLevel"/>
    <w:tmpl w:val="597FE803"/>
    <w:lvl w:ilvl="0" w:tentative="0">
      <w:start w:val="3"/>
      <w:numFmt w:val="chineseCounting"/>
      <w:suff w:val="space"/>
      <w:lvlText w:val="第%1章"/>
      <w:lvlJc w:val="left"/>
    </w:lvl>
  </w:abstractNum>
  <w:abstractNum w:abstractNumId="6">
    <w:nsid w:val="5983D421"/>
    <w:multiLevelType w:val="singleLevel"/>
    <w:tmpl w:val="5983D421"/>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35550C3B"/>
    <w:rsid w:val="00223D3F"/>
    <w:rsid w:val="0023656C"/>
    <w:rsid w:val="002947F5"/>
    <w:rsid w:val="00295392"/>
    <w:rsid w:val="0036050E"/>
    <w:rsid w:val="00392E7C"/>
    <w:rsid w:val="004353BC"/>
    <w:rsid w:val="00454137"/>
    <w:rsid w:val="004B1BC0"/>
    <w:rsid w:val="00543DA4"/>
    <w:rsid w:val="00592B27"/>
    <w:rsid w:val="005C617A"/>
    <w:rsid w:val="006E7FE0"/>
    <w:rsid w:val="007441B8"/>
    <w:rsid w:val="0075337F"/>
    <w:rsid w:val="007A42BA"/>
    <w:rsid w:val="008305E1"/>
    <w:rsid w:val="008B6AD1"/>
    <w:rsid w:val="008C5A23"/>
    <w:rsid w:val="008F14C3"/>
    <w:rsid w:val="009225E7"/>
    <w:rsid w:val="0097473A"/>
    <w:rsid w:val="00997A00"/>
    <w:rsid w:val="009C35DC"/>
    <w:rsid w:val="00A30121"/>
    <w:rsid w:val="00B72B85"/>
    <w:rsid w:val="00B925D1"/>
    <w:rsid w:val="00BC3C6E"/>
    <w:rsid w:val="00D743B5"/>
    <w:rsid w:val="00DE5384"/>
    <w:rsid w:val="00E35822"/>
    <w:rsid w:val="00E64BFF"/>
    <w:rsid w:val="00F32166"/>
    <w:rsid w:val="00FB1A0F"/>
    <w:rsid w:val="018127EE"/>
    <w:rsid w:val="01A4698D"/>
    <w:rsid w:val="01AA1AC9"/>
    <w:rsid w:val="01F80A87"/>
    <w:rsid w:val="021A09FD"/>
    <w:rsid w:val="02652F99"/>
    <w:rsid w:val="02FF17CC"/>
    <w:rsid w:val="0374413D"/>
    <w:rsid w:val="03D16D75"/>
    <w:rsid w:val="049241B7"/>
    <w:rsid w:val="04AE18D1"/>
    <w:rsid w:val="04AE60AB"/>
    <w:rsid w:val="04B942F4"/>
    <w:rsid w:val="04BF2C00"/>
    <w:rsid w:val="057E12A3"/>
    <w:rsid w:val="058C7E64"/>
    <w:rsid w:val="06301F59"/>
    <w:rsid w:val="06640499"/>
    <w:rsid w:val="07126147"/>
    <w:rsid w:val="071E2D3E"/>
    <w:rsid w:val="073F0F06"/>
    <w:rsid w:val="075157E3"/>
    <w:rsid w:val="07BC60B3"/>
    <w:rsid w:val="07BD64DF"/>
    <w:rsid w:val="07CF5DE6"/>
    <w:rsid w:val="08C54B35"/>
    <w:rsid w:val="08FE0A13"/>
    <w:rsid w:val="092F7FCE"/>
    <w:rsid w:val="09433D1A"/>
    <w:rsid w:val="097924AD"/>
    <w:rsid w:val="097C7EC3"/>
    <w:rsid w:val="09B35A64"/>
    <w:rsid w:val="09B55410"/>
    <w:rsid w:val="0A2A37A7"/>
    <w:rsid w:val="0B4A355A"/>
    <w:rsid w:val="0B582596"/>
    <w:rsid w:val="0B6158EF"/>
    <w:rsid w:val="0BC35C62"/>
    <w:rsid w:val="0C217FB9"/>
    <w:rsid w:val="0CFE2CC9"/>
    <w:rsid w:val="0D0429D6"/>
    <w:rsid w:val="0D091D9A"/>
    <w:rsid w:val="0D397A5A"/>
    <w:rsid w:val="0D556D8D"/>
    <w:rsid w:val="0E320E7D"/>
    <w:rsid w:val="0E4B1F3E"/>
    <w:rsid w:val="0EE859DF"/>
    <w:rsid w:val="0F503CB0"/>
    <w:rsid w:val="0F9A771C"/>
    <w:rsid w:val="0FA20284"/>
    <w:rsid w:val="0FD85A54"/>
    <w:rsid w:val="10341E1C"/>
    <w:rsid w:val="10533B3A"/>
    <w:rsid w:val="10AA5642"/>
    <w:rsid w:val="10C7659F"/>
    <w:rsid w:val="111A61E1"/>
    <w:rsid w:val="113A4C18"/>
    <w:rsid w:val="114D677E"/>
    <w:rsid w:val="116D3474"/>
    <w:rsid w:val="12113088"/>
    <w:rsid w:val="12301B77"/>
    <w:rsid w:val="12A045C5"/>
    <w:rsid w:val="12B80982"/>
    <w:rsid w:val="12D55CE4"/>
    <w:rsid w:val="13EB54F9"/>
    <w:rsid w:val="13EC7D20"/>
    <w:rsid w:val="144E2788"/>
    <w:rsid w:val="144E4536"/>
    <w:rsid w:val="14D56A06"/>
    <w:rsid w:val="154C6CC8"/>
    <w:rsid w:val="15530355"/>
    <w:rsid w:val="159E5049"/>
    <w:rsid w:val="15F07F9B"/>
    <w:rsid w:val="15F86E50"/>
    <w:rsid w:val="1604435F"/>
    <w:rsid w:val="16157A01"/>
    <w:rsid w:val="16412C4F"/>
    <w:rsid w:val="173E7811"/>
    <w:rsid w:val="17953E93"/>
    <w:rsid w:val="17E727FA"/>
    <w:rsid w:val="18C451BC"/>
    <w:rsid w:val="18FA3739"/>
    <w:rsid w:val="19B64970"/>
    <w:rsid w:val="19D811F5"/>
    <w:rsid w:val="19D84FCE"/>
    <w:rsid w:val="19FB0CBC"/>
    <w:rsid w:val="1A172604"/>
    <w:rsid w:val="1A7B1DFD"/>
    <w:rsid w:val="1AED4883"/>
    <w:rsid w:val="1AF2200F"/>
    <w:rsid w:val="1B3F4FA9"/>
    <w:rsid w:val="1BDB6FF7"/>
    <w:rsid w:val="1C4E1577"/>
    <w:rsid w:val="1CD84004"/>
    <w:rsid w:val="1D4961E3"/>
    <w:rsid w:val="1D752B34"/>
    <w:rsid w:val="1D862F93"/>
    <w:rsid w:val="1D8B67FB"/>
    <w:rsid w:val="1DFD108C"/>
    <w:rsid w:val="1EC24C8C"/>
    <w:rsid w:val="1EDD3086"/>
    <w:rsid w:val="1EEC5078"/>
    <w:rsid w:val="1F6F0182"/>
    <w:rsid w:val="1FBF614E"/>
    <w:rsid w:val="1FF22B62"/>
    <w:rsid w:val="20465A95"/>
    <w:rsid w:val="20EA55E7"/>
    <w:rsid w:val="21AC5E36"/>
    <w:rsid w:val="21D267A7"/>
    <w:rsid w:val="224B10B0"/>
    <w:rsid w:val="22520A20"/>
    <w:rsid w:val="233D2346"/>
    <w:rsid w:val="23562E58"/>
    <w:rsid w:val="23582CDC"/>
    <w:rsid w:val="24AF4B7D"/>
    <w:rsid w:val="24F9229C"/>
    <w:rsid w:val="250255F5"/>
    <w:rsid w:val="256242E5"/>
    <w:rsid w:val="259124D5"/>
    <w:rsid w:val="25C91C6F"/>
    <w:rsid w:val="25D23219"/>
    <w:rsid w:val="25E1520A"/>
    <w:rsid w:val="25E665E2"/>
    <w:rsid w:val="262A4E03"/>
    <w:rsid w:val="262B18C3"/>
    <w:rsid w:val="265C0D35"/>
    <w:rsid w:val="26D905D7"/>
    <w:rsid w:val="272555CB"/>
    <w:rsid w:val="276F4634"/>
    <w:rsid w:val="28D0778C"/>
    <w:rsid w:val="28ED5768"/>
    <w:rsid w:val="28F60FCD"/>
    <w:rsid w:val="292E22DB"/>
    <w:rsid w:val="294C017B"/>
    <w:rsid w:val="29507635"/>
    <w:rsid w:val="2959155B"/>
    <w:rsid w:val="29CB461F"/>
    <w:rsid w:val="2A8645D2"/>
    <w:rsid w:val="2A8B3997"/>
    <w:rsid w:val="2AB23619"/>
    <w:rsid w:val="2AE232B1"/>
    <w:rsid w:val="2B585F6F"/>
    <w:rsid w:val="2B726905"/>
    <w:rsid w:val="2BED3949"/>
    <w:rsid w:val="2C052EDC"/>
    <w:rsid w:val="2D033C32"/>
    <w:rsid w:val="2D9A3018"/>
    <w:rsid w:val="2DF21B43"/>
    <w:rsid w:val="2E1168A9"/>
    <w:rsid w:val="2E33112D"/>
    <w:rsid w:val="2E8C7518"/>
    <w:rsid w:val="2F5126FB"/>
    <w:rsid w:val="2F661D69"/>
    <w:rsid w:val="2F7E1D1C"/>
    <w:rsid w:val="2F860BD0"/>
    <w:rsid w:val="2FF975F4"/>
    <w:rsid w:val="302503E9"/>
    <w:rsid w:val="30416508"/>
    <w:rsid w:val="30711881"/>
    <w:rsid w:val="307F5D4C"/>
    <w:rsid w:val="3082583C"/>
    <w:rsid w:val="30C9346B"/>
    <w:rsid w:val="30D065A7"/>
    <w:rsid w:val="311E2BD7"/>
    <w:rsid w:val="313755DD"/>
    <w:rsid w:val="317F0E37"/>
    <w:rsid w:val="31975317"/>
    <w:rsid w:val="31B23A0E"/>
    <w:rsid w:val="31C003CA"/>
    <w:rsid w:val="31C12394"/>
    <w:rsid w:val="32A36DF8"/>
    <w:rsid w:val="32CF78F1"/>
    <w:rsid w:val="33477044"/>
    <w:rsid w:val="33552D94"/>
    <w:rsid w:val="337C2A16"/>
    <w:rsid w:val="33CB12A8"/>
    <w:rsid w:val="341E7629"/>
    <w:rsid w:val="34D50F94"/>
    <w:rsid w:val="35063ED8"/>
    <w:rsid w:val="35550C3B"/>
    <w:rsid w:val="35656D09"/>
    <w:rsid w:val="359A3628"/>
    <w:rsid w:val="35A31149"/>
    <w:rsid w:val="36737BCD"/>
    <w:rsid w:val="36AA64F4"/>
    <w:rsid w:val="36CD25AD"/>
    <w:rsid w:val="36D30B9F"/>
    <w:rsid w:val="36E65199"/>
    <w:rsid w:val="3717474B"/>
    <w:rsid w:val="37A75B88"/>
    <w:rsid w:val="37D56B99"/>
    <w:rsid w:val="385B628E"/>
    <w:rsid w:val="38887767"/>
    <w:rsid w:val="388F0AF6"/>
    <w:rsid w:val="38EC7CF6"/>
    <w:rsid w:val="38F46ED0"/>
    <w:rsid w:val="393B1F83"/>
    <w:rsid w:val="397D3044"/>
    <w:rsid w:val="399F07E5"/>
    <w:rsid w:val="39C96289"/>
    <w:rsid w:val="39EE5CF0"/>
    <w:rsid w:val="3A654204"/>
    <w:rsid w:val="3A6A35C8"/>
    <w:rsid w:val="3ADD50BB"/>
    <w:rsid w:val="3ADF24A2"/>
    <w:rsid w:val="3B3667C9"/>
    <w:rsid w:val="3BDF5CF7"/>
    <w:rsid w:val="3BEE0229"/>
    <w:rsid w:val="3C2809C3"/>
    <w:rsid w:val="3C300842"/>
    <w:rsid w:val="3C616C4D"/>
    <w:rsid w:val="3C7D7AB1"/>
    <w:rsid w:val="3CC316B6"/>
    <w:rsid w:val="3CCA057D"/>
    <w:rsid w:val="3CDD1AFD"/>
    <w:rsid w:val="3D333AD7"/>
    <w:rsid w:val="3D5E4F3B"/>
    <w:rsid w:val="3DA212CB"/>
    <w:rsid w:val="3DD5344F"/>
    <w:rsid w:val="3DED3697"/>
    <w:rsid w:val="3E3068D7"/>
    <w:rsid w:val="3E3208A1"/>
    <w:rsid w:val="3E3A575D"/>
    <w:rsid w:val="3EB968CD"/>
    <w:rsid w:val="3EC040FF"/>
    <w:rsid w:val="3F0E1732"/>
    <w:rsid w:val="3F713F31"/>
    <w:rsid w:val="3FE756BB"/>
    <w:rsid w:val="3FEC4A80"/>
    <w:rsid w:val="40792FA3"/>
    <w:rsid w:val="415D64DE"/>
    <w:rsid w:val="41847666"/>
    <w:rsid w:val="41923405"/>
    <w:rsid w:val="41982325"/>
    <w:rsid w:val="41C5246F"/>
    <w:rsid w:val="42A7780B"/>
    <w:rsid w:val="42B639E7"/>
    <w:rsid w:val="42CE5496"/>
    <w:rsid w:val="430D7078"/>
    <w:rsid w:val="439E0787"/>
    <w:rsid w:val="43AF32DF"/>
    <w:rsid w:val="43B27D8E"/>
    <w:rsid w:val="4450382F"/>
    <w:rsid w:val="4517259F"/>
    <w:rsid w:val="453273D9"/>
    <w:rsid w:val="453F180C"/>
    <w:rsid w:val="45905269"/>
    <w:rsid w:val="45F94D3F"/>
    <w:rsid w:val="46192347"/>
    <w:rsid w:val="4648427E"/>
    <w:rsid w:val="46690BD8"/>
    <w:rsid w:val="46C87FF5"/>
    <w:rsid w:val="47160F4D"/>
    <w:rsid w:val="48A00AFD"/>
    <w:rsid w:val="495D2015"/>
    <w:rsid w:val="496F6A33"/>
    <w:rsid w:val="49991D28"/>
    <w:rsid w:val="49AF724A"/>
    <w:rsid w:val="49F16705"/>
    <w:rsid w:val="4ABA5EC7"/>
    <w:rsid w:val="4B426083"/>
    <w:rsid w:val="4C0F5D7E"/>
    <w:rsid w:val="4C7402D7"/>
    <w:rsid w:val="4C9149E5"/>
    <w:rsid w:val="4D6640C3"/>
    <w:rsid w:val="4DE568B7"/>
    <w:rsid w:val="4E2D698F"/>
    <w:rsid w:val="4E940EAA"/>
    <w:rsid w:val="4E942433"/>
    <w:rsid w:val="4F1C2E7C"/>
    <w:rsid w:val="4F563CC4"/>
    <w:rsid w:val="4FBC446F"/>
    <w:rsid w:val="4FDA1FB0"/>
    <w:rsid w:val="50680152"/>
    <w:rsid w:val="50760AC1"/>
    <w:rsid w:val="50C8790C"/>
    <w:rsid w:val="51273B6A"/>
    <w:rsid w:val="51D11D27"/>
    <w:rsid w:val="51E00B37"/>
    <w:rsid w:val="520B5935"/>
    <w:rsid w:val="52102850"/>
    <w:rsid w:val="528154FB"/>
    <w:rsid w:val="52880638"/>
    <w:rsid w:val="52C35B14"/>
    <w:rsid w:val="53486019"/>
    <w:rsid w:val="534C5B09"/>
    <w:rsid w:val="541A1362"/>
    <w:rsid w:val="54A95743"/>
    <w:rsid w:val="54EF492F"/>
    <w:rsid w:val="55275FF4"/>
    <w:rsid w:val="557E5D22"/>
    <w:rsid w:val="55E62245"/>
    <w:rsid w:val="55E83420"/>
    <w:rsid w:val="560E5F06"/>
    <w:rsid w:val="56265BD3"/>
    <w:rsid w:val="569C2904"/>
    <w:rsid w:val="569D234C"/>
    <w:rsid w:val="56D71A69"/>
    <w:rsid w:val="56FE711B"/>
    <w:rsid w:val="573610DF"/>
    <w:rsid w:val="57914433"/>
    <w:rsid w:val="57CF2FF1"/>
    <w:rsid w:val="57FF75EE"/>
    <w:rsid w:val="58BD150F"/>
    <w:rsid w:val="59457283"/>
    <w:rsid w:val="59541256"/>
    <w:rsid w:val="598D5E93"/>
    <w:rsid w:val="599B6EA3"/>
    <w:rsid w:val="59B12B6A"/>
    <w:rsid w:val="59CB1616"/>
    <w:rsid w:val="5AF96577"/>
    <w:rsid w:val="5B376423"/>
    <w:rsid w:val="5B5C08B4"/>
    <w:rsid w:val="5BA02E96"/>
    <w:rsid w:val="5BE34B31"/>
    <w:rsid w:val="5C4F0418"/>
    <w:rsid w:val="5C5D3D53"/>
    <w:rsid w:val="5C6B1F9F"/>
    <w:rsid w:val="5C8C0F8F"/>
    <w:rsid w:val="5CA34C23"/>
    <w:rsid w:val="5CEE2462"/>
    <w:rsid w:val="5D1963D4"/>
    <w:rsid w:val="5D6132D5"/>
    <w:rsid w:val="5D9205BD"/>
    <w:rsid w:val="5DC566D1"/>
    <w:rsid w:val="5E157EEA"/>
    <w:rsid w:val="5E3E6996"/>
    <w:rsid w:val="5E816429"/>
    <w:rsid w:val="5EE44E48"/>
    <w:rsid w:val="5EEC63F2"/>
    <w:rsid w:val="5F6D12E1"/>
    <w:rsid w:val="5F6E2A90"/>
    <w:rsid w:val="5FBE7D8F"/>
    <w:rsid w:val="5FF91718"/>
    <w:rsid w:val="602120CC"/>
    <w:rsid w:val="60363DC9"/>
    <w:rsid w:val="604638E0"/>
    <w:rsid w:val="60940AF0"/>
    <w:rsid w:val="60966616"/>
    <w:rsid w:val="609D5BF6"/>
    <w:rsid w:val="60A01243"/>
    <w:rsid w:val="61475B62"/>
    <w:rsid w:val="617E2342"/>
    <w:rsid w:val="61A261EF"/>
    <w:rsid w:val="61A51E1D"/>
    <w:rsid w:val="6283185C"/>
    <w:rsid w:val="634265E1"/>
    <w:rsid w:val="63E61662"/>
    <w:rsid w:val="64874BF3"/>
    <w:rsid w:val="65293EFC"/>
    <w:rsid w:val="65515201"/>
    <w:rsid w:val="65962C14"/>
    <w:rsid w:val="661E50E3"/>
    <w:rsid w:val="662C1D3F"/>
    <w:rsid w:val="671E1113"/>
    <w:rsid w:val="67811660"/>
    <w:rsid w:val="67CE7AFB"/>
    <w:rsid w:val="682C2166"/>
    <w:rsid w:val="684702DD"/>
    <w:rsid w:val="68B735CD"/>
    <w:rsid w:val="68BA0AFA"/>
    <w:rsid w:val="68E1798E"/>
    <w:rsid w:val="68E51EE8"/>
    <w:rsid w:val="694035C3"/>
    <w:rsid w:val="697A703D"/>
    <w:rsid w:val="69BF430A"/>
    <w:rsid w:val="6A152CA1"/>
    <w:rsid w:val="6A301889"/>
    <w:rsid w:val="6A4946F9"/>
    <w:rsid w:val="6ABC5F37"/>
    <w:rsid w:val="6AE85CC0"/>
    <w:rsid w:val="6B1116BB"/>
    <w:rsid w:val="6BB8314C"/>
    <w:rsid w:val="6BD44496"/>
    <w:rsid w:val="6C4B6506"/>
    <w:rsid w:val="6C7E27ED"/>
    <w:rsid w:val="6C937EAD"/>
    <w:rsid w:val="6D2A6A64"/>
    <w:rsid w:val="6D486EEA"/>
    <w:rsid w:val="6D526EEE"/>
    <w:rsid w:val="6D7D3037"/>
    <w:rsid w:val="6DA2484C"/>
    <w:rsid w:val="6DA560EA"/>
    <w:rsid w:val="6DB66549"/>
    <w:rsid w:val="6E0E3C8F"/>
    <w:rsid w:val="6E4E094B"/>
    <w:rsid w:val="6EB26D11"/>
    <w:rsid w:val="6F6376FF"/>
    <w:rsid w:val="6F7B35A7"/>
    <w:rsid w:val="6FA46CEA"/>
    <w:rsid w:val="702E0619"/>
    <w:rsid w:val="7056191E"/>
    <w:rsid w:val="705F6A24"/>
    <w:rsid w:val="72126D4C"/>
    <w:rsid w:val="725D51E5"/>
    <w:rsid w:val="72DB72A3"/>
    <w:rsid w:val="73102258"/>
    <w:rsid w:val="73816170"/>
    <w:rsid w:val="73A11102"/>
    <w:rsid w:val="73AF03FD"/>
    <w:rsid w:val="73DE5EB2"/>
    <w:rsid w:val="741C4C2C"/>
    <w:rsid w:val="74E219D2"/>
    <w:rsid w:val="752B5127"/>
    <w:rsid w:val="75530B22"/>
    <w:rsid w:val="75954C96"/>
    <w:rsid w:val="766905FD"/>
    <w:rsid w:val="76E060E7"/>
    <w:rsid w:val="77383B2B"/>
    <w:rsid w:val="77495D38"/>
    <w:rsid w:val="78144598"/>
    <w:rsid w:val="788039DC"/>
    <w:rsid w:val="78D42106"/>
    <w:rsid w:val="78F80D78"/>
    <w:rsid w:val="7BBF55AB"/>
    <w:rsid w:val="7C584880"/>
    <w:rsid w:val="7C662EE9"/>
    <w:rsid w:val="7CE63A60"/>
    <w:rsid w:val="7D171B39"/>
    <w:rsid w:val="7D5B39DC"/>
    <w:rsid w:val="7D7D673C"/>
    <w:rsid w:val="7E5D6B27"/>
    <w:rsid w:val="7E855D33"/>
    <w:rsid w:val="7EAF0B77"/>
    <w:rsid w:val="7EF03305"/>
    <w:rsid w:val="7F015C77"/>
    <w:rsid w:val="7F1E3F4E"/>
    <w:rsid w:val="7F945FBF"/>
    <w:rsid w:val="7F963AE5"/>
    <w:rsid w:val="7FC76F08"/>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4"/>
    <w:next w:val="1"/>
    <w:autoRedefine/>
    <w:qFormat/>
    <w:uiPriority w:val="0"/>
    <w:pPr>
      <w:widowControl/>
      <w:spacing w:before="480" w:line="276" w:lineRule="auto"/>
      <w:outlineLvl w:val="0"/>
    </w:pPr>
    <w:rPr>
      <w:color w:val="365F91"/>
      <w:sz w:val="28"/>
      <w:szCs w:val="28"/>
    </w:rPr>
  </w:style>
  <w:style w:type="paragraph" w:styleId="5">
    <w:name w:val="heading 2"/>
    <w:basedOn w:val="1"/>
    <w:next w:val="1"/>
    <w:autoRedefine/>
    <w:semiHidden/>
    <w:unhideWhenUsed/>
    <w:qFormat/>
    <w:uiPriority w:val="0"/>
    <w:pPr>
      <w:outlineLvl w:val="1"/>
    </w:pPr>
    <w:rPr>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autoSpaceDE w:val="0"/>
      <w:autoSpaceDN w:val="0"/>
      <w:jc w:val="left"/>
    </w:pPr>
    <w:rPr>
      <w:rFonts w:ascii="宋体" w:hAnsi="宋体"/>
      <w:kern w:val="0"/>
      <w:sz w:val="32"/>
      <w:szCs w:val="32"/>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style>
  <w:style w:type="paragraph" w:styleId="9">
    <w:name w:val="annotation text"/>
    <w:basedOn w:val="1"/>
    <w:autoRedefine/>
    <w:qFormat/>
    <w:uiPriority w:val="99"/>
    <w:pPr>
      <w:jc w:val="left"/>
    </w:pPr>
  </w:style>
  <w:style w:type="paragraph" w:styleId="10">
    <w:name w:val="Body Text Indent"/>
    <w:basedOn w:val="1"/>
    <w:next w:val="11"/>
    <w:autoRedefine/>
    <w:qFormat/>
    <w:uiPriority w:val="0"/>
    <w:pPr>
      <w:tabs>
        <w:tab w:val="left" w:pos="72"/>
      </w:tabs>
      <w:ind w:firstLine="480" w:firstLineChars="200"/>
      <w:jc w:val="center"/>
    </w:pPr>
    <w:rPr>
      <w:sz w:val="24"/>
    </w:rPr>
  </w:style>
  <w:style w:type="paragraph" w:styleId="11">
    <w:name w:val="envelope return"/>
    <w:basedOn w:val="1"/>
    <w:autoRedefine/>
    <w:qFormat/>
    <w:uiPriority w:val="0"/>
    <w:pPr>
      <w:widowControl/>
    </w:pPr>
    <w:rPr>
      <w:rFonts w:ascii="Arial" w:hAnsi="Arial" w:eastAsia="Arial"/>
      <w:sz w:val="20"/>
    </w:rPr>
  </w:style>
  <w:style w:type="paragraph" w:styleId="12">
    <w:name w:val="Plain Text"/>
    <w:basedOn w:val="1"/>
    <w:next w:val="7"/>
    <w:autoRedefine/>
    <w:qFormat/>
    <w:uiPriority w:val="0"/>
    <w:rPr>
      <w:rFonts w:hint="eastAsia" w:ascii="宋体" w:hAnsi="Courier New"/>
      <w:kern w:val="0"/>
      <w:sz w:val="20"/>
      <w:szCs w:val="21"/>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footnote text"/>
    <w:basedOn w:val="1"/>
    <w:autoRedefine/>
    <w:qFormat/>
    <w:uiPriority w:val="0"/>
    <w:pPr>
      <w:snapToGrid w:val="0"/>
      <w:jc w:val="left"/>
    </w:pPr>
    <w:rPr>
      <w:sz w:val="18"/>
      <w:szCs w:val="18"/>
    </w:rPr>
  </w:style>
  <w:style w:type="paragraph" w:styleId="17">
    <w:name w:val="Body Text 2"/>
    <w:basedOn w:val="1"/>
    <w:next w:val="2"/>
    <w:autoRedefine/>
    <w:qFormat/>
    <w:uiPriority w:val="0"/>
    <w:pPr>
      <w:spacing w:line="360" w:lineRule="auto"/>
    </w:pPr>
    <w:rPr>
      <w:rFonts w:ascii="Times New Roman" w:hAnsi="Times New Roman"/>
      <w:kern w:val="0"/>
      <w:sz w:val="24"/>
    </w:rPr>
  </w:style>
  <w:style w:type="paragraph" w:styleId="18">
    <w:name w:val="Normal (Web)"/>
    <w:basedOn w:val="1"/>
    <w:autoRedefine/>
    <w:qFormat/>
    <w:uiPriority w:val="0"/>
    <w:pPr>
      <w:spacing w:beforeAutospacing="1" w:afterAutospacing="1"/>
      <w:jc w:val="left"/>
    </w:pPr>
    <w:rPr>
      <w:rFonts w:cs="Times New Roman"/>
      <w:kern w:val="0"/>
      <w:sz w:val="24"/>
    </w:rPr>
  </w:style>
  <w:style w:type="paragraph" w:styleId="19">
    <w:name w:val="Body Text First Indent 2"/>
    <w:basedOn w:val="10"/>
    <w:autoRedefine/>
    <w:qFormat/>
    <w:uiPriority w:val="0"/>
    <w:pPr>
      <w:spacing w:after="120"/>
      <w:ind w:left="420" w:leftChars="200"/>
    </w:pPr>
    <w:rPr>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qFormat/>
    <w:uiPriority w:val="0"/>
    <w:rPr>
      <w:color w:val="0000FF"/>
      <w:u w:val="single"/>
    </w:rPr>
  </w:style>
  <w:style w:type="character" w:styleId="24">
    <w:name w:val="footnote reference"/>
    <w:autoRedefine/>
    <w:qFormat/>
    <w:uiPriority w:val="0"/>
    <w:rPr>
      <w:vertAlign w:val="superscript"/>
    </w:rPr>
  </w:style>
  <w:style w:type="paragraph" w:customStyle="1" w:styleId="25">
    <w:name w:val="_Style 1"/>
    <w:basedOn w:val="1"/>
    <w:next w:val="1"/>
    <w:autoRedefine/>
    <w:qFormat/>
    <w:uiPriority w:val="99"/>
    <w:pPr>
      <w:ind w:firstLine="420" w:firstLineChars="200"/>
    </w:pPr>
  </w:style>
  <w:style w:type="paragraph" w:customStyle="1" w:styleId="26">
    <w:name w:val="p0"/>
    <w:basedOn w:val="1"/>
    <w:autoRedefine/>
    <w:qFormat/>
    <w:uiPriority w:val="0"/>
    <w:pPr>
      <w:widowControl/>
    </w:pPr>
    <w:rPr>
      <w:kern w:val="0"/>
      <w:szCs w:val="21"/>
    </w:rPr>
  </w:style>
  <w:style w:type="paragraph" w:customStyle="1" w:styleId="27">
    <w:name w:val="列出段落1"/>
    <w:basedOn w:val="1"/>
    <w:autoRedefine/>
    <w:qFormat/>
    <w:uiPriority w:val="34"/>
    <w:pPr>
      <w:ind w:firstLine="420" w:firstLineChars="200"/>
    </w:pPr>
  </w:style>
  <w:style w:type="paragraph" w:customStyle="1" w:styleId="28">
    <w:name w:val="列出段落111"/>
    <w:basedOn w:val="1"/>
    <w:autoRedefine/>
    <w:qFormat/>
    <w:uiPriority w:val="0"/>
    <w:pPr>
      <w:ind w:firstLine="420" w:firstLineChars="200"/>
    </w:pPr>
  </w:style>
  <w:style w:type="character" w:customStyle="1" w:styleId="29">
    <w:name w:val="font31"/>
    <w:basedOn w:val="22"/>
    <w:autoRedefine/>
    <w:qFormat/>
    <w:uiPriority w:val="0"/>
    <w:rPr>
      <w:rFonts w:hint="eastAsia" w:ascii="宋体" w:hAnsi="宋体" w:eastAsia="宋体" w:cs="宋体"/>
      <w:color w:val="000000"/>
      <w:sz w:val="24"/>
      <w:szCs w:val="24"/>
      <w:u w:val="none"/>
    </w:rPr>
  </w:style>
  <w:style w:type="character" w:customStyle="1" w:styleId="30">
    <w:name w:val="font51"/>
    <w:basedOn w:val="22"/>
    <w:autoRedefine/>
    <w:qFormat/>
    <w:uiPriority w:val="0"/>
    <w:rPr>
      <w:rFonts w:hint="eastAsia" w:ascii="宋体" w:hAnsi="宋体" w:eastAsia="宋体" w:cs="宋体"/>
      <w:b/>
      <w:bCs/>
      <w:color w:val="FF0000"/>
      <w:sz w:val="24"/>
      <w:szCs w:val="24"/>
      <w:u w:val="none"/>
    </w:rPr>
  </w:style>
  <w:style w:type="paragraph" w:customStyle="1" w:styleId="31">
    <w:name w:val="表格文字"/>
    <w:basedOn w:val="1"/>
    <w:autoRedefine/>
    <w:qFormat/>
    <w:uiPriority w:val="0"/>
    <w:pPr>
      <w:spacing w:before="25" w:after="25"/>
      <w:jc w:val="left"/>
    </w:pPr>
    <w:rPr>
      <w:bCs/>
      <w:spacing w:val="10"/>
      <w:kern w:val="0"/>
      <w:sz w:val="24"/>
    </w:rPr>
  </w:style>
  <w:style w:type="paragraph" w:customStyle="1" w:styleId="32">
    <w:name w:val="纯文本1"/>
    <w:basedOn w:val="1"/>
    <w:autoRedefine/>
    <w:qFormat/>
    <w:uiPriority w:val="0"/>
    <w:pPr>
      <w:widowControl/>
      <w:adjustRightInd w:val="0"/>
      <w:snapToGrid w:val="0"/>
      <w:spacing w:after="200"/>
      <w:jc w:val="left"/>
    </w:pPr>
    <w:rPr>
      <w:rFonts w:ascii="宋体" w:hAnsi="Courier New" w:eastAsia="微软雅黑"/>
      <w:kern w:val="0"/>
      <w:sz w:val="22"/>
      <w:szCs w:val="20"/>
    </w:rPr>
  </w:style>
  <w:style w:type="paragraph" w:customStyle="1" w:styleId="33">
    <w:name w:val="列出段落11"/>
    <w:basedOn w:val="1"/>
    <w:autoRedefine/>
    <w:qFormat/>
    <w:uiPriority w:val="0"/>
    <w:pPr>
      <w:ind w:firstLine="420"/>
    </w:pPr>
  </w:style>
  <w:style w:type="paragraph" w:customStyle="1" w:styleId="34">
    <w:name w:val="样式2"/>
    <w:basedOn w:val="1"/>
    <w:autoRedefine/>
    <w:qFormat/>
    <w:uiPriority w:val="0"/>
    <w:rPr>
      <w:rFonts w:ascii="楷体_GB2312" w:eastAsia="楷体_GB2312"/>
      <w:color w:val="000000"/>
      <w:sz w:val="24"/>
    </w:rPr>
  </w:style>
  <w:style w:type="paragraph" w:customStyle="1" w:styleId="35">
    <w:name w:val="0级"/>
    <w:basedOn w:val="1"/>
    <w:autoRedefine/>
    <w:qFormat/>
    <w:uiPriority w:val="0"/>
    <w:pPr>
      <w:ind w:left="420" w:hanging="420"/>
    </w:pPr>
    <w:rPr>
      <w:rFonts w:ascii="宋体" w:hAnsi="宋体" w:cs="Times New Roman"/>
      <w:color w:val="000000"/>
      <w:szCs w:val="21"/>
    </w:rPr>
  </w:style>
  <w:style w:type="paragraph" w:styleId="3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23519</Words>
  <Characters>24913</Characters>
  <Lines>20</Lines>
  <Paragraphs>39</Paragraphs>
  <TotalTime>1</TotalTime>
  <ScaleCrop>false</ScaleCrop>
  <LinksUpToDate>false</LinksUpToDate>
  <CharactersWithSpaces>25563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2024-02-19T04:27:00Z</dcterms:created>
  <dc:creator>Z-</dc:creator>
  <cp:lastModifiedBy>HyoQi</cp:lastModifiedBy>
  <cp:lastPrinted>2024-07-01T07:57:00Z</cp:lastPrinted>
  <dcterms:modified xsi:type="dcterms:W3CDTF">2024-07-01T09:27:49Z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2213EBC0EAF344768C79C37D8CF01724_13</vt:lpwstr>
  </property>
</Properties>
</file>