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>
      <w:pPr>
        <w:pStyle w:val="2"/>
        <w:spacing w:line="460" w:lineRule="exact"/>
      </w:pP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亲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”“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>
      <w:pPr>
        <w:pStyle w:val="2"/>
        <w:spacing w:line="460" w:lineRule="exact"/>
        <w:ind w:firstLine="640" w:firstLineChars="200"/>
      </w:pPr>
    </w:p>
    <w:p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  <w:bookmarkStart w:id="0" w:name="_GoBack"/>
      <w:bookmarkEnd w:id="0"/>
    </w:p>
    <w:p>
      <w:pPr>
        <w:spacing w:line="360" w:lineRule="auto"/>
        <w:rPr>
          <w:rFonts w:ascii="宋体" w:hAnsi="宋体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p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p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jY2OTJhZWM2YjlmYjNkYmZhM2NjYzc5ZjYzY2MifQ=="/>
  </w:docVars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  <w:rsid w:val="301E4A6F"/>
    <w:rsid w:val="39B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12</TotalTime>
  <ScaleCrop>false</ScaleCrop>
  <LinksUpToDate>false</LinksUpToDate>
  <CharactersWithSpaces>601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2022-12-12T00:24:00Z</dcterms:created>
  <dc:creator>Lenovo</dc:creator>
  <cp:lastModifiedBy>╄→﹏ˊ尐成丶</cp:lastModifiedBy>
  <dcterms:modified xsi:type="dcterms:W3CDTF">2024-01-29T07:15:17Z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B583FCA3B9E948539D47880EBDB558F7_12</vt:lpwstr>
  </property>
</Properties>
</file>