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default" w:ascii="宋体" w:hAnsi="宋体" w:eastAsia="宋体"/>
          <w:b/>
          <w:bCs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color w:val="auto"/>
          <w:sz w:val="24"/>
          <w:highlight w:val="none"/>
          <w:lang w:val="en-US" w:eastAsia="zh-CN"/>
        </w:rPr>
        <w:t>技术参数和要求</w:t>
      </w:r>
    </w:p>
    <w:tbl>
      <w:tblPr>
        <w:tblStyle w:val="4"/>
        <w:tblW w:w="8585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223"/>
        <w:gridCol w:w="6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bidi w:val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1223" w:type="dxa"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货物名称</w:t>
            </w:r>
          </w:p>
        </w:tc>
        <w:tc>
          <w:tcPr>
            <w:tcW w:w="6600" w:type="dxa"/>
            <w:noWrap/>
          </w:tcPr>
          <w:p>
            <w:pPr>
              <w:spacing w:line="480" w:lineRule="auto"/>
              <w:jc w:val="center"/>
              <w:rPr>
                <w:rFonts w:ascii="宋体" w:hAnsi="宋体"/>
                <w:b/>
                <w:bCs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auto"/>
                <w:sz w:val="21"/>
                <w:szCs w:val="21"/>
                <w:highlight w:val="none"/>
              </w:rPr>
              <w:t>招标技术要求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62" w:type="dxa"/>
            <w:vMerge w:val="restar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  <w:t>1</w:t>
            </w:r>
          </w:p>
        </w:tc>
        <w:tc>
          <w:tcPr>
            <w:tcW w:w="1223" w:type="dxa"/>
            <w:vMerge w:val="restart"/>
            <w:tcBorders>
              <w:bottom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eastAsia="zh-CN"/>
              </w:rPr>
              <w:t>室内全彩屏</w:t>
            </w:r>
          </w:p>
        </w:tc>
        <w:tc>
          <w:tcPr>
            <w:tcW w:w="6600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（一）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尺寸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要求</w:t>
            </w:r>
          </w:p>
          <w:p>
            <w:pPr>
              <w:widowControl/>
              <w:numPr>
                <w:ilvl w:val="-1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十九楼院史馆要求全彩屏面积≥10㎡，参考院史馆效果图。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2" w:hRule="atLeast"/>
        </w:trPr>
        <w:tc>
          <w:tcPr>
            <w:tcW w:w="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2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6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/>
                <w:color w:val="auto"/>
                <w:sz w:val="21"/>
                <w:szCs w:val="21"/>
                <w:highlight w:val="none"/>
                <w:lang w:eastAsia="zh-CN"/>
              </w:rPr>
              <w:t>（二）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全彩屏通用参数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.▲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SMD贴片形式灯珠，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表贴三合一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灯珠为市场主流品牌（如国星、国产日亚、惠州CREE）；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▲像素间距：≤1.875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mm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3.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▲对比度≥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000:1；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.▲亮度（nit）：≥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500，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亮度均匀性≥97%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.白平衡亮度：≥600cd/m2；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.色度均匀性：在±0.003Cx，Cy之内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.亮度调节：具有手动、自动、客户端软件等亮度调节方式；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8.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换帧频率≥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50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HZ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.可视角度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：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水平≥160°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垂直≥1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0°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widowControl/>
              <w:jc w:val="left"/>
              <w:textAlignment w:val="center"/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.峰值功耗：≤560W/㎡，平均功耗：≤180W/㎡；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11.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灰度等级：≥1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bit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jc w:val="both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12.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刷新率≥3840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HZ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；</w:t>
            </w:r>
          </w:p>
          <w:p>
            <w:pPr>
              <w:pStyle w:val="2"/>
              <w:jc w:val="both"/>
              <w:rPr>
                <w:rFonts w:hint="eastAsia" w:eastAsia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13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.防护等级:≥IP50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  <w:lang w:eastAsia="zh-CN"/>
              </w:rPr>
              <w:t>；</w:t>
            </w:r>
          </w:p>
          <w:p>
            <w:pPr>
              <w:pStyle w:val="2"/>
              <w:jc w:val="both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14.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 xml:space="preserve"> LED灯珠使用寿命：≥100000小时；</w:t>
            </w:r>
          </w:p>
          <w:p>
            <w:pPr>
              <w:pStyle w:val="2"/>
              <w:jc w:val="both"/>
              <w:rPr>
                <w:rFonts w:hint="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.箱体平整度：≤0.1mm，模组/箱体间隙：≤0.1mm；</w:t>
            </w:r>
          </w:p>
          <w:p>
            <w:pPr>
              <w:pStyle w:val="2"/>
              <w:jc w:val="both"/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highlight w:val="none"/>
                <w:lang w:val="en-US" w:eastAsia="zh-CN"/>
              </w:rPr>
              <w:t>16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.屏幕温升（运行状态）：最大亮度白色连续工作2小时，表面温升＜20℃，符合GB4943.1-2011要求；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视频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处理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控制器</w:t>
            </w:r>
          </w:p>
        </w:tc>
        <w:tc>
          <w:tcPr>
            <w:tcW w:w="6600" w:type="dxa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支持单屏及拼接屏的1、4、9、16、32分割显示；支持视频切换流畅无黑屏现象；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5路输入接口： DVI*1、HDMI1.3*1、VGA*1、USB*1、CVBS*1；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具备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4路千兆网口输出：带载390万；                                                                     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支持创建6个用户场景作为模板保存，可直接调用，方便使用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eastAsia="zh-CN" w:bidi="ar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钢结构</w:t>
            </w:r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前后可维护定制LED钢结构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控制主机</w:t>
            </w:r>
            <w:bookmarkEnd w:id="0"/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CPU I5，内存 16G 固态 512G， 显卡支持 4K 输出。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天花音响</w:t>
            </w:r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1.频响范围：90Hz-20kHz；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2.扩散角度：160°扩散；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3.灵敏度：88db；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4.喇叭口径</w:t>
            </w:r>
            <w:r>
              <w:rPr>
                <w:rFonts w:hint="eastAsia"/>
                <w:color w:val="auto"/>
                <w:sz w:val="21"/>
                <w:szCs w:val="21"/>
                <w:highlight w:val="none"/>
              </w:rPr>
              <w:t>≤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6.5"X1 2"X1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无线会议主机</w:t>
            </w:r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1.通信方式：UHF无线方式（单向）；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2.信道数：5路（1路主席单元通路，4路代表单元通路）；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3.频率范围：（频率段在400MHz--650MHz范围内可供选择）；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4.解调方式：FM；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5.接受灵敏度：-100dbm；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功放</w:t>
            </w:r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1.主声道输出功率2*130w/8Ω、2*180w/4Ω；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2.信噪比：80db；</w:t>
            </w:r>
          </w:p>
          <w:p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3.总谐波失真率＜0.5%；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配电箱</w:t>
            </w:r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专用定时开关控制器；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辅助材料</w:t>
            </w:r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HDMI高清数据线、电源线、网线、水晶头、转换头等。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62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安装调试</w:t>
            </w:r>
          </w:p>
        </w:tc>
        <w:tc>
          <w:tcPr>
            <w:tcW w:w="660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val="en-US" w:eastAsia="zh-CN"/>
              </w:rPr>
              <w:t>确保安装调试稳定、可靠。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yNjNjZTk3ZDg5NjMyNDdhOWJjMzQwZTc4ZThmMTcifQ=="/>
  </w:docVars>
  <w:rsids>
    <w:rsidRoot w:val="6B4A2B3B"/>
    <w:rsid w:val="00847DE1"/>
    <w:rsid w:val="0B737155"/>
    <w:rsid w:val="0BE300B2"/>
    <w:rsid w:val="10A0173D"/>
    <w:rsid w:val="130B2AAC"/>
    <w:rsid w:val="3A72247D"/>
    <w:rsid w:val="3B8C41F5"/>
    <w:rsid w:val="3D3954D4"/>
    <w:rsid w:val="3EE85C12"/>
    <w:rsid w:val="42F97BDF"/>
    <w:rsid w:val="44586B88"/>
    <w:rsid w:val="48426FEF"/>
    <w:rsid w:val="59816AD4"/>
    <w:rsid w:val="669274EE"/>
    <w:rsid w:val="6B4A2B3B"/>
    <w:rsid w:val="6CC354FC"/>
    <w:rsid w:val="6E67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2024-05-16T06:29:00Z</dcterms:created>
  <dc:creator>吢侞芷氺</dc:creator>
  <cp:lastModifiedBy>leo chan</cp:lastModifiedBy>
  <dcterms:modified xsi:type="dcterms:W3CDTF">2024-05-20T03:37:02Z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38B9A05016D24683837A27A801033F93_13</vt:lpwstr>
  </property>
</Properties>
</file>