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sz w:val="36"/>
          <w:szCs w:val="36"/>
          <w:lang w:val="en-US" w:eastAsia="zh-CN"/>
        </w:rPr>
        <w:t>沙湾社康</w:t>
      </w:r>
      <w:r>
        <w:rPr>
          <w:rFonts w:hint="eastAsia" w:ascii="仿宋_GB2312" w:hAnsi="仿宋_GB2312" w:eastAsia="仿宋_GB2312" w:cs="仿宋_GB2312"/>
          <w:sz w:val="36"/>
          <w:szCs w:val="36"/>
        </w:rPr>
        <w:t>和</w:t>
      </w:r>
      <w:r>
        <w:rPr>
          <w:rFonts w:hint="eastAsia" w:ascii="仿宋_GB2312" w:hAnsi="仿宋_GB2312" w:eastAsia="仿宋_GB2312" w:cs="仿宋_GB2312"/>
          <w:sz w:val="36"/>
          <w:szCs w:val="36"/>
          <w:lang w:val="en-US" w:eastAsia="zh-CN"/>
        </w:rPr>
        <w:t>简竹</w:t>
      </w:r>
      <w:r>
        <w:rPr>
          <w:rFonts w:hint="eastAsia" w:ascii="仿宋_GB2312" w:hAnsi="仿宋_GB2312" w:eastAsia="仿宋_GB2312" w:cs="仿宋_GB2312"/>
          <w:sz w:val="36"/>
          <w:szCs w:val="36"/>
        </w:rPr>
        <w:t>社康中医文化氛围提升服务项目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lang w:val="en-US" w:eastAsia="zh-CN"/>
        </w:rPr>
        <w:t>深龙七医采[LGQY2024ZW007]</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b/>
          <w:bCs/>
          <w:color w:val="auto"/>
          <w:sz w:val="32"/>
          <w:szCs w:val="32"/>
          <w:lang w:val="en-US" w:eastAsia="zh-CN"/>
        </w:rPr>
        <w:t>62257</w:t>
      </w:r>
      <w:r>
        <w:rPr>
          <w:rFonts w:hint="eastAsia" w:ascii="仿宋_GB2312" w:hAnsi="仿宋_GB2312" w:eastAsia="仿宋_GB2312" w:cs="仿宋_GB2312"/>
          <w:sz w:val="36"/>
          <w:szCs w:val="36"/>
        </w:rPr>
        <w:t>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2"/>
        <w:rPr>
          <w:rFonts w:hint="default"/>
        </w:rPr>
      </w:pPr>
    </w:p>
    <w:p>
      <w:pPr>
        <w:pStyle w:val="12"/>
        <w:rPr>
          <w:rFonts w:hint="default"/>
          <w:szCs w:val="20"/>
        </w:rPr>
      </w:pPr>
    </w:p>
    <w:p>
      <w:pPr>
        <w:pStyle w:val="7"/>
      </w:pPr>
    </w:p>
    <w:p/>
    <w:p>
      <w:pPr>
        <w:pStyle w:val="5"/>
      </w:pPr>
    </w:p>
    <w:p/>
    <w:p>
      <w:pPr>
        <w:pStyle w:val="5"/>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snapToGrid w:val="0"/>
        <w:spacing w:line="360" w:lineRule="auto"/>
        <w:jc w:val="center"/>
        <w:rPr>
          <w:rFonts w:hint="eastAsia" w:ascii="宋体" w:hAnsi="宋体" w:eastAsia="宋体"/>
          <w:sz w:val="40"/>
          <w:szCs w:val="40"/>
          <w:lang w:eastAsia="zh-CN"/>
        </w:rPr>
      </w:pPr>
      <w:r>
        <w:rPr>
          <w:rFonts w:hint="eastAsia" w:ascii="宋体" w:hAnsi="宋体"/>
          <w:sz w:val="40"/>
          <w:szCs w:val="40"/>
        </w:rPr>
        <w:t>深圳市龙岗区第七人民医院关于</w:t>
      </w:r>
      <w:r>
        <w:rPr>
          <w:rFonts w:hint="eastAsia" w:ascii="宋体" w:hAnsi="宋体"/>
          <w:sz w:val="40"/>
          <w:szCs w:val="40"/>
          <w:lang w:eastAsia="zh-CN"/>
        </w:rPr>
        <w:t>沙湾社康</w:t>
      </w:r>
    </w:p>
    <w:p>
      <w:pPr>
        <w:snapToGrid w:val="0"/>
        <w:spacing w:line="360" w:lineRule="auto"/>
        <w:jc w:val="center"/>
        <w:rPr>
          <w:rFonts w:ascii="宋体" w:hAnsi="宋体"/>
          <w:sz w:val="40"/>
          <w:szCs w:val="40"/>
        </w:rPr>
      </w:pPr>
      <w:r>
        <w:rPr>
          <w:rFonts w:hint="eastAsia" w:ascii="宋体" w:hAnsi="宋体"/>
          <w:sz w:val="40"/>
          <w:szCs w:val="40"/>
        </w:rPr>
        <w:t>和</w:t>
      </w:r>
      <w:r>
        <w:rPr>
          <w:rFonts w:hint="eastAsia" w:ascii="宋体" w:hAnsi="宋体"/>
          <w:sz w:val="40"/>
          <w:szCs w:val="40"/>
          <w:lang w:eastAsia="zh-CN"/>
        </w:rPr>
        <w:t>简竹社康</w:t>
      </w:r>
      <w:r>
        <w:rPr>
          <w:rFonts w:hint="eastAsia" w:ascii="宋体" w:hAnsi="宋体"/>
          <w:sz w:val="40"/>
          <w:szCs w:val="40"/>
        </w:rPr>
        <w:t>中医文化氛围提升服务项目</w:t>
      </w:r>
    </w:p>
    <w:p>
      <w:pPr>
        <w:snapToGrid w:val="0"/>
        <w:spacing w:line="360" w:lineRule="auto"/>
        <w:jc w:val="center"/>
        <w:rPr>
          <w:sz w:val="32"/>
          <w:szCs w:val="32"/>
        </w:rPr>
      </w:pPr>
      <w:r>
        <w:rPr>
          <w:rFonts w:hint="eastAsia" w:ascii="宋体" w:hAnsi="宋体"/>
          <w:sz w:val="40"/>
          <w:szCs w:val="40"/>
        </w:rPr>
        <w:t>院内公开采购的公告</w:t>
      </w:r>
    </w:p>
    <w:p>
      <w:pPr>
        <w:spacing w:line="480" w:lineRule="exact"/>
        <w:ind w:firstLine="560" w:firstLineChars="200"/>
        <w:rPr>
          <w:rFonts w:ascii="仿宋_GB2312" w:hAnsi="宋体"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hAnsi="宋体" w:eastAsia="仿宋_GB2312"/>
          <w:sz w:val="28"/>
          <w:szCs w:val="28"/>
        </w:rPr>
        <w:t>根据政府采购相关规定和《深圳市龙岗区第七人民医院采购管理办法》的有关规定，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一、采购项目</w:t>
      </w:r>
    </w:p>
    <w:p>
      <w:pPr>
        <w:pStyle w:val="28"/>
        <w:spacing w:line="48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（1）项目编号：深龙七医采[LGQY2024ZW007]</w:t>
      </w:r>
    </w:p>
    <w:p>
      <w:pPr>
        <w:pStyle w:val="28"/>
        <w:spacing w:line="48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（2）项目名称：</w:t>
      </w:r>
      <w:r>
        <w:rPr>
          <w:rFonts w:hint="eastAsia" w:ascii="仿宋_GB2312" w:hAnsi="仿宋_GB2312" w:eastAsia="仿宋_GB2312" w:cs="仿宋_GB2312"/>
          <w:sz w:val="28"/>
          <w:szCs w:val="28"/>
          <w:lang w:eastAsia="zh-CN"/>
        </w:rPr>
        <w:t>沙湾社康和简竹社康</w:t>
      </w:r>
      <w:r>
        <w:rPr>
          <w:rFonts w:hint="eastAsia" w:ascii="仿宋_GB2312" w:hAnsi="仿宋_GB2312" w:eastAsia="仿宋_GB2312" w:cs="仿宋_GB2312"/>
          <w:sz w:val="28"/>
          <w:szCs w:val="28"/>
        </w:rPr>
        <w:t>中医文化氛围提升服务</w:t>
      </w:r>
    </w:p>
    <w:p>
      <w:pPr>
        <w:pStyle w:val="28"/>
        <w:spacing w:line="48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（3）采购数量：1项</w:t>
      </w:r>
    </w:p>
    <w:p>
      <w:pPr>
        <w:pStyle w:val="28"/>
        <w:spacing w:line="48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（4）预算金额（最高支付上限）：</w:t>
      </w:r>
      <w:r>
        <w:rPr>
          <w:rFonts w:hint="eastAsia" w:ascii="仿宋_GB2312" w:hAnsi="仿宋_GB2312" w:eastAsia="仿宋_GB2312" w:cs="仿宋_GB2312"/>
          <w:sz w:val="28"/>
          <w:szCs w:val="28"/>
          <w:lang w:eastAsia="zh-CN"/>
        </w:rPr>
        <w:t>62257</w:t>
      </w:r>
      <w:r>
        <w:rPr>
          <w:rFonts w:hint="eastAsia" w:ascii="仿宋_GB2312" w:hAnsi="仿宋_GB2312" w:eastAsia="仿宋_GB2312" w:cs="仿宋_GB2312"/>
          <w:sz w:val="28"/>
          <w:szCs w:val="28"/>
        </w:rPr>
        <w:t>元</w:t>
      </w:r>
    </w:p>
    <w:p>
      <w:pPr>
        <w:pStyle w:val="28"/>
        <w:spacing w:line="48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以上（2）至（8）条须供应商在《投标及履约承诺函》中作出声明。</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三、采购方式：院内公开采购</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四、评标方法：综合评分法</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五、投标人报名资料要求</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（1）院内采购报名表；</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（2）法人参加的须提供法人证及个人身份证复印件；非法人参加的须提供法人代表身份证复印件、授权书及个人身份证复印件；</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（3）供应商须提供“三证合一”（工商营业执照、组织机构代码证和税务登记证）与生产（经营）许可证的复印件（经营许可范围一定要与所投产品注册分类目录相符，否则无效）；</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（4）通过以下3个官网的信用信息查询记录网络截图件并加盖投标人公章：①信用中国②中国政府采购网③深圳市政府采购监管网。相关信息以开标当日的查询结果为准。</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（5）投标及履约承诺函。</w:t>
      </w:r>
    </w:p>
    <w:p>
      <w:pPr>
        <w:widowControl/>
        <w:spacing w:line="500" w:lineRule="exact"/>
        <w:ind w:firstLine="560" w:firstLineChars="200"/>
        <w:jc w:val="left"/>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六、递交投标文件截止时间：2024年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日下午5点。</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七、递交投标文件地点：简竹护理院行政楼三楼招采办。</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八、开标时间及地点：另行通知，开标由医院组织专家根据报名材料评审，供应商不需要参加。</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九、联系人及联系电话：陈女士，0755-28740471。</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2.深圳市龙岗区第七人民医院</w:t>
      </w:r>
      <w:r>
        <w:rPr>
          <w:rFonts w:hint="eastAsia" w:ascii="仿宋_GB2312" w:hAnsi="仿宋_GB2312" w:eastAsia="仿宋_GB2312" w:cs="仿宋_GB2312"/>
          <w:sz w:val="28"/>
          <w:szCs w:val="28"/>
          <w:lang w:eastAsia="zh-CN"/>
        </w:rPr>
        <w:t>沙湾社康和简竹社康</w:t>
      </w:r>
      <w:r>
        <w:rPr>
          <w:rFonts w:hint="eastAsia" w:ascii="仿宋_GB2312" w:hAnsi="仿宋_GB2312" w:eastAsia="仿宋_GB2312" w:cs="仿宋_GB2312"/>
          <w:sz w:val="28"/>
          <w:szCs w:val="28"/>
        </w:rPr>
        <w:t>中医文化氛围提升服务项目招标文件</w:t>
      </w:r>
    </w:p>
    <w:p>
      <w:pPr>
        <w:pStyle w:val="28"/>
        <w:spacing w:line="36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沙湾社康中医文化氛围提升服务项目清单</w:t>
      </w:r>
    </w:p>
    <w:p>
      <w:pPr>
        <w:pStyle w:val="28"/>
        <w:spacing w:line="36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4.简竹社康中医文化氛围服务项目清单</w:t>
      </w:r>
    </w:p>
    <w:p>
      <w:pPr>
        <w:pStyle w:val="28"/>
        <w:spacing w:line="36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简竹社康、沙湾社康现场图片</w:t>
      </w:r>
    </w:p>
    <w:p>
      <w:pPr>
        <w:pStyle w:val="28"/>
        <w:spacing w:line="480" w:lineRule="exact"/>
        <w:ind w:firstLine="560"/>
        <w:jc w:val="right"/>
        <w:rPr>
          <w:rFonts w:ascii="仿宋_GB2312" w:eastAsia="仿宋_GB2312"/>
          <w:sz w:val="28"/>
          <w:szCs w:val="28"/>
        </w:rPr>
      </w:pPr>
      <w:bookmarkStart w:id="2" w:name="_GoBack"/>
      <w:bookmarkEnd w:id="2"/>
    </w:p>
    <w:p>
      <w:pPr>
        <w:pStyle w:val="28"/>
        <w:spacing w:line="480" w:lineRule="exact"/>
        <w:ind w:firstLine="560"/>
        <w:jc w:val="right"/>
        <w:rPr>
          <w:rFonts w:ascii="仿宋_GB2312" w:eastAsia="仿宋_GB2312"/>
          <w:sz w:val="28"/>
          <w:szCs w:val="28"/>
        </w:rPr>
      </w:pPr>
      <w:r>
        <w:rPr>
          <w:rFonts w:hint="eastAsia" w:ascii="仿宋_GB2312" w:eastAsia="仿宋_GB2312"/>
          <w:sz w:val="28"/>
          <w:szCs w:val="28"/>
        </w:rPr>
        <w:t>深圳市龙岗区第七人民医院</w:t>
      </w:r>
    </w:p>
    <w:p>
      <w:pPr>
        <w:pStyle w:val="28"/>
        <w:spacing w:line="480" w:lineRule="exact"/>
        <w:ind w:firstLine="560"/>
        <w:jc w:val="center"/>
        <w:rPr>
          <w:rFonts w:hint="eastAsia" w:ascii="仿宋_GB2312" w:hAnsi="仿宋_GB2312" w:eastAsia="仿宋_GB2312" w:cs="仿宋_GB2312"/>
          <w:sz w:val="28"/>
          <w:szCs w:val="28"/>
          <w:lang w:val="en-US" w:eastAsia="zh-CN"/>
        </w:rPr>
      </w:pPr>
      <w:r>
        <w:rPr>
          <w:rFonts w:hint="eastAsia" w:ascii="仿宋_GB2312" w:eastAsia="仿宋_GB2312"/>
          <w:sz w:val="28"/>
          <w:szCs w:val="28"/>
        </w:rPr>
        <w:t xml:space="preserve">                                        </w:t>
      </w:r>
      <w:r>
        <w:rPr>
          <w:rFonts w:hint="eastAsia" w:ascii="仿宋_GB2312" w:hAnsi="仿宋_GB2312" w:eastAsia="仿宋_GB2312" w:cs="仿宋_GB2312"/>
          <w:sz w:val="28"/>
          <w:szCs w:val="28"/>
          <w:lang w:val="en-US" w:eastAsia="zh-CN"/>
        </w:rPr>
        <w:t xml:space="preserve"> 2024年5月17日</w:t>
      </w:r>
    </w:p>
    <w:p/>
    <w:p>
      <w:pPr>
        <w:pStyle w:val="5"/>
      </w:pPr>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spacing w:before="312" w:beforeLines="100" w:after="156" w:afterLines="50" w:line="360" w:lineRule="auto"/>
        <w:ind w:firstLine="643" w:firstLineChars="200"/>
        <w:jc w:val="center"/>
      </w:pPr>
      <w:r>
        <w:rPr>
          <w:rFonts w:hint="eastAsia" w:ascii="仿宋_GB2312" w:hAnsi="仿宋_GB2312" w:eastAsia="仿宋_GB2312" w:cs="仿宋_GB2312"/>
          <w:b/>
          <w:bCs/>
          <w:sz w:val="32"/>
          <w:szCs w:val="32"/>
        </w:rPr>
        <w:t>第一部分　供应商资质及商务条件</w:t>
      </w:r>
    </w:p>
    <w:p>
      <w:pPr>
        <w:widowControl/>
        <w:spacing w:line="500" w:lineRule="exact"/>
        <w:ind w:firstLine="560" w:firstLineChars="200"/>
        <w:jc w:val="left"/>
        <w:rPr>
          <w:rFonts w:ascii="仿宋_GB2312" w:hAnsi="仿宋_GB2312" w:eastAsia="仿宋_GB2312" w:cs="仿宋_GB2312"/>
          <w:sz w:val="28"/>
          <w:szCs w:val="28"/>
        </w:rPr>
      </w:pPr>
    </w:p>
    <w:p>
      <w:pPr>
        <w:pStyle w:val="26"/>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r>
        <w:rPr>
          <w:rFonts w:hint="eastAsia" w:ascii="仿宋_GB2312" w:hAnsi="仿宋_GB2312" w:eastAsia="仿宋_GB2312" w:cs="仿宋_GB2312"/>
          <w:sz w:val="28"/>
          <w:szCs w:val="28"/>
          <w:lang w:eastAsia="zh-CN"/>
        </w:rPr>
        <w:t>沙湾社康和简竹社康</w:t>
      </w:r>
      <w:r>
        <w:rPr>
          <w:rFonts w:hint="eastAsia" w:ascii="仿宋_GB2312" w:hAnsi="仿宋_GB2312" w:eastAsia="仿宋_GB2312" w:cs="仿宋_GB2312"/>
          <w:sz w:val="28"/>
          <w:szCs w:val="28"/>
        </w:rPr>
        <w:t>中医文化氛围提升服务</w:t>
      </w:r>
    </w:p>
    <w:p>
      <w:pPr>
        <w:pStyle w:val="5"/>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w:t>
      </w:r>
      <w:r>
        <w:rPr>
          <w:rFonts w:hint="eastAsia" w:ascii="仿宋_GB2312" w:hAnsi="仿宋_GB2312" w:eastAsia="仿宋_GB2312" w:cs="仿宋_GB2312"/>
          <w:kern w:val="0"/>
          <w:sz w:val="28"/>
          <w:szCs w:val="28"/>
          <w:lang w:eastAsia="zh-CN"/>
        </w:rPr>
        <w:t>62257</w:t>
      </w:r>
      <w:r>
        <w:rPr>
          <w:rFonts w:hint="eastAsia" w:ascii="仿宋_GB2312" w:hAnsi="仿宋_GB2312" w:eastAsia="仿宋_GB2312" w:cs="仿宋_GB2312"/>
          <w:kern w:val="0"/>
          <w:sz w:val="28"/>
          <w:szCs w:val="28"/>
        </w:rPr>
        <w:t>元，此</w:t>
      </w:r>
      <w:r>
        <w:rPr>
          <w:rFonts w:ascii="仿宋_GB2312" w:hAnsi="仿宋_GB2312" w:eastAsia="仿宋_GB2312" w:cs="仿宋_GB2312"/>
          <w:sz w:val="28"/>
          <w:szCs w:val="28"/>
        </w:rPr>
        <w:t>预算金额为合同期内最高支付上限。</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三、采购活动时间要求：</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spacing w:line="560" w:lineRule="exact"/>
      </w:pPr>
      <w:r>
        <w:rPr>
          <w:rFonts w:hint="eastAsia" w:ascii="仿宋_GB2312" w:hAnsi="仿宋_GB2312" w:eastAsia="仿宋_GB2312" w:cs="仿宋_GB2312"/>
          <w:b/>
          <w:bCs/>
          <w:sz w:val="28"/>
          <w:szCs w:val="28"/>
        </w:rPr>
        <w:t xml:space="preserve">    五、采购方式（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8"/>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以上（2）至（8）条须供应商在《投标及履约承诺函》中作出声明。</w:t>
      </w:r>
    </w:p>
    <w:p>
      <w:pPr>
        <w:pStyle w:val="26"/>
        <w:spacing w:line="5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七、服务内容及要求</w:t>
      </w:r>
    </w:p>
    <w:p>
      <w:pPr>
        <w:pStyle w:val="26"/>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沙湾社康和简竹社康中医文化氛围提升服务项目，具体内容以项目清单、现场图片及有关要求为准，要求完成全部服务内容，营造出浓厚的中医氛围。</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1．投标人必须确保项目在规定的时间内，严格按照甲方的要求和标准执行。对于任何可能影响项目进度或质量的因素，投标人必须及时通知甲方，并提出相应的解决方案。</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2.方案文本：投标人需提交包括但不限于平面布局规划图、各点位效果图、材质工艺说明、设计理念说明等详细方案文本。所有提交的设计方案必须清晰、准确，并符合项目的审美和功能需求。</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计知识产权：投标人承诺所有为甲方设计的方案和作品均为原创，或投标人对其享有完全的知识产权。甲方提供的所有广告素材、广告方案和作品的知识产权归甲方所有，未经允许，投标人不得擅自使用或复制。</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设计确认：投标人在设计过程中必须严格遵守甲方的需求，确保设计的美观性和可行性。所有设计内容需经过甲方的确认（线上或书面均可），如有临时调整，需经双方协商后确定。最终设计确认后，投标人才可开始执行制作和安装工作。</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5.执行要求：在执行过程中，投标人必须遵循场地管理方的要求，确保制作和安装工作顺利进行。制作和安装的物品必须与确认的设计方案完全一致，且必须在规定的时间内完成。</w:t>
      </w:r>
    </w:p>
    <w:p>
      <w:pPr>
        <w:pStyle w:val="28"/>
        <w:spacing w:line="42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6.保密相关：投标人必须严格遵守保密协议，对于从甲方获得的任何保密信息，未经甲方书面同意，不得向任何第三方披露或使用。投标人应采取一切必要措施，确保其员工和关联方也遵守本保密协议。</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八、工作要求</w:t>
      </w:r>
    </w:p>
    <w:p>
      <w:pPr>
        <w:pStyle w:val="26"/>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1.严格遵守业主单位内部管理规定；</w:t>
      </w:r>
    </w:p>
    <w:p>
      <w:pPr>
        <w:pStyle w:val="26"/>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2.投标人在执行设计期间应遵循项目目标进行设计，甲方对设计提出的意见应即时修改调整，直至甲方确认为准。</w:t>
      </w:r>
    </w:p>
    <w:p>
      <w:pPr>
        <w:pStyle w:val="26"/>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3．投标人在执行设过程中，应遵循甲方的场地管理要求，按时完成项目的落地执行。</w:t>
      </w:r>
    </w:p>
    <w:p>
      <w:pPr>
        <w:pStyle w:val="26"/>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4.在工作进行中，投标人要注意保护场内的各种设施。若有任何损坏，须立即通知有关部门和采购人，并由损坏单位承担损失和修复费用。</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九、验收工作</w:t>
      </w:r>
    </w:p>
    <w:p>
      <w:pPr>
        <w:pStyle w:val="26"/>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验收标准按设计方案执行，</w:t>
      </w:r>
      <w:r>
        <w:rPr>
          <w:rFonts w:hint="eastAsia" w:ascii="仿宋_GB2312" w:hAnsi="仿宋_GB2312" w:eastAsia="仿宋_GB2312" w:cs="仿宋_GB2312"/>
          <w:sz w:val="28"/>
          <w:szCs w:val="28"/>
          <w:lang w:val="en-US" w:eastAsia="zh-CN"/>
        </w:rPr>
        <w:t>同时通过使用科室的验收合格且达到合同约定质量标准，</w:t>
      </w:r>
      <w:r>
        <w:rPr>
          <w:rFonts w:hint="eastAsia" w:ascii="仿宋_GB2312" w:hAnsi="仿宋_GB2312" w:eastAsia="仿宋_GB2312" w:cs="仿宋_GB2312"/>
          <w:bCs/>
          <w:sz w:val="28"/>
          <w:szCs w:val="28"/>
        </w:rPr>
        <w:t>采购人和投标人双方在验收报告签字确认</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sz w:val="28"/>
          <w:szCs w:val="28"/>
          <w:lang w:val="en-US" w:eastAsia="zh-CN"/>
        </w:rPr>
        <w:t>并移交使用。</w:t>
      </w:r>
    </w:p>
    <w:p>
      <w:pPr>
        <w:pStyle w:val="26"/>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Cs/>
          <w:sz w:val="28"/>
          <w:szCs w:val="28"/>
        </w:rPr>
        <w:t>设计执行实施过程中，出现下列情形，经采购人确认，工期予以顺延：因台风、地震等不可抗力因素的；由于重大设计变更，致使工程量增加的；采购人要求调整施工计划的。</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十、报价要求</w:t>
      </w:r>
    </w:p>
    <w:p>
      <w:pPr>
        <w:pStyle w:val="5"/>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报价人总价包干。</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w:t>
      </w:r>
      <w:r>
        <w:rPr>
          <w:rFonts w:hint="eastAsia" w:ascii="仿宋_GB2312" w:hAnsi="仿宋_GB2312" w:eastAsia="仿宋_GB2312" w:cs="仿宋_GB2312"/>
          <w:kern w:val="0"/>
          <w:sz w:val="28"/>
          <w:szCs w:val="28"/>
          <w:lang w:eastAsia="zh-CN"/>
        </w:rPr>
        <w:t>62257</w:t>
      </w:r>
      <w:r>
        <w:rPr>
          <w:rFonts w:hint="eastAsia" w:ascii="仿宋_GB2312" w:hAnsi="仿宋_GB2312" w:eastAsia="仿宋_GB2312" w:cs="仿宋_GB2312"/>
          <w:kern w:val="0"/>
          <w:sz w:val="28"/>
          <w:szCs w:val="28"/>
        </w:rPr>
        <w:t>元，此</w:t>
      </w:r>
      <w:r>
        <w:rPr>
          <w:rFonts w:ascii="仿宋_GB2312" w:hAnsi="仿宋_GB2312" w:eastAsia="仿宋_GB2312" w:cs="仿宋_GB2312"/>
          <w:sz w:val="28"/>
          <w:szCs w:val="28"/>
        </w:rPr>
        <w:t>预算金额为合同期内最高支付上限</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报价高于标的，本次投标视为无效投标</w:t>
      </w:r>
      <w:r>
        <w:rPr>
          <w:rFonts w:hint="eastAsia" w:ascii="仿宋_GB2312" w:hAnsi="仿宋_GB2312" w:eastAsia="仿宋_GB2312" w:cs="仿宋_GB2312"/>
          <w:sz w:val="28"/>
          <w:szCs w:val="28"/>
        </w:rPr>
        <w:t>。</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十一、服务款支付</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预付款</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（1）本项目的预付款比例为签约合同价的30%。</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（2）采购人向中标方支付预付款的时间：合同签订之日起中标方提供等额发票，20个工作日采购人支付本合同项下的预付款。</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（3）采购人支付预付款之前，还应具备的条件：每次付款前，中标方需要提供等额有效的增值税发票，采购人收到中标方提供的发票后申请付款。</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期中结算</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服务项目验收合格后，支付剩余的70%款项。</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十二、服务（售后）条款</w:t>
      </w:r>
    </w:p>
    <w:p>
      <w:pPr>
        <w:adjustRightInd w:val="0"/>
        <w:ind w:firstLine="560" w:firstLineChars="200"/>
        <w:rPr>
          <w:rFonts w:ascii="仿宋_GB2312" w:hAnsi="仿宋_GB2312" w:eastAsia="仿宋_GB2312" w:cs="仿宋_GB2312"/>
          <w:bCs/>
          <w:color w:val="FF0000"/>
          <w:kern w:val="0"/>
          <w:sz w:val="28"/>
          <w:szCs w:val="28"/>
        </w:rPr>
      </w:pPr>
      <w:r>
        <w:rPr>
          <w:rFonts w:hint="eastAsia" w:ascii="仿宋_GB2312" w:hAnsi="仿宋_GB2312" w:eastAsia="仿宋_GB2312" w:cs="仿宋_GB2312"/>
          <w:bCs/>
          <w:kern w:val="0"/>
          <w:sz w:val="28"/>
          <w:szCs w:val="28"/>
        </w:rPr>
        <w:t>1.质保期：验收合格后满1年。非人为因素及不可抗力因素损坏提供一年质保，必要时可有偿维修保养升级。</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2.投标人必须有可靠的售后服务保障在项目所在地有固定的维修服务点、能提供正常的技术、备品备件服务。</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3.投标人应设有保修服务电话，保证在接到故障通知电话后正常工作日8小时内；非正常工作日24小时内及时上门服务并解决问题。</w:t>
      </w:r>
    </w:p>
    <w:p>
      <w:pPr>
        <w:adjustRightInd w:val="0"/>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4.质保期内非人为原因损坏、失效或已达到报废标准的零部件除无偿更换外，对更换上的零部件还应享有继续一年的质保期。</w:t>
      </w:r>
    </w:p>
    <w:p>
      <w:pPr>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kern w:val="0"/>
          <w:sz w:val="28"/>
          <w:szCs w:val="28"/>
        </w:rPr>
        <w:t>三</w:t>
      </w:r>
      <w:r>
        <w:rPr>
          <w:rFonts w:hint="eastAsia" w:ascii="仿宋_GB2312" w:hAnsi="仿宋_GB2312" w:eastAsia="仿宋_GB2312" w:cs="仿宋_GB2312"/>
          <w:b/>
          <w:bCs/>
          <w:sz w:val="28"/>
          <w:szCs w:val="28"/>
        </w:rPr>
        <w:t>、交货时间：</w:t>
      </w:r>
      <w:r>
        <w:rPr>
          <w:rFonts w:hint="eastAsia" w:ascii="仿宋_GB2312" w:hAnsi="仿宋_GB2312" w:eastAsia="仿宋_GB2312" w:cs="仿宋_GB2312"/>
          <w:bCs/>
          <w:kern w:val="0"/>
          <w:sz w:val="28"/>
          <w:szCs w:val="28"/>
        </w:rPr>
        <w:t>双方合同签订后15个工作日，供应商完成项目工作交付采购人使用。</w:t>
      </w:r>
    </w:p>
    <w:p>
      <w:pPr>
        <w:pStyle w:val="26"/>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十四、项目地点：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spacing w:line="560" w:lineRule="exact"/>
        <w:ind w:firstLine="562" w:firstLineChars="200"/>
        <w:rPr>
          <w:rFonts w:ascii="仿宋_GB2312" w:hAnsi="仿宋_GB2312" w:eastAsia="仿宋_GB2312" w:cs="仿宋_GB2312"/>
          <w:kern w:val="0"/>
        </w:rPr>
      </w:pPr>
      <w:r>
        <w:rPr>
          <w:rFonts w:hint="eastAsia" w:ascii="仿宋_GB2312" w:hAnsi="仿宋_GB2312" w:eastAsia="仿宋_GB2312" w:cs="仿宋_GB2312"/>
          <w:b/>
          <w:bCs/>
          <w:kern w:val="0"/>
          <w:sz w:val="28"/>
          <w:szCs w:val="28"/>
        </w:rPr>
        <w:t>十五、评标标准</w:t>
      </w:r>
    </w:p>
    <w:tbl>
      <w:tblPr>
        <w:tblStyle w:val="20"/>
        <w:tblpPr w:leftFromText="180" w:rightFromText="180" w:vertAnchor="text" w:horzAnchor="margin" w:tblpX="1" w:tblpY="76"/>
        <w:tblOverlap w:val="never"/>
        <w:tblW w:w="9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535"/>
        <w:gridCol w:w="1005"/>
        <w:gridCol w:w="54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 w:val="24"/>
              </w:rPr>
            </w:pPr>
            <w:r>
              <w:rPr>
                <w:b/>
                <w:bCs/>
              </w:rPr>
              <w:t>序号</w:t>
            </w:r>
          </w:p>
        </w:tc>
        <w:tc>
          <w:tcPr>
            <w:tcW w:w="3220"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 w:val="24"/>
              </w:rPr>
            </w:pPr>
            <w:r>
              <w:rPr>
                <w:b/>
                <w:bCs/>
              </w:rPr>
              <w:t>评分项</w:t>
            </w:r>
          </w:p>
        </w:tc>
        <w:tc>
          <w:tcPr>
            <w:tcW w:w="5422"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1</w:t>
            </w:r>
          </w:p>
        </w:tc>
        <w:tc>
          <w:tcPr>
            <w:tcW w:w="3220"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价格</w:t>
            </w:r>
          </w:p>
        </w:tc>
        <w:tc>
          <w:tcPr>
            <w:tcW w:w="5422" w:type="dxa"/>
            <w:tcBorders>
              <w:top w:val="single" w:color="000000" w:sz="8" w:space="0"/>
              <w:left w:val="single" w:color="000000" w:sz="8" w:space="0"/>
              <w:bottom w:val="single" w:color="000000" w:sz="8" w:space="0"/>
              <w:right w:val="single" w:color="000000" w:sz="8" w:space="0"/>
            </w:tcBorders>
          </w:tcPr>
          <w:p>
            <w:pPr>
              <w:jc w:val="center"/>
              <w:rPr>
                <w:rFonts w:ascii="Times New Roman" w:hAnsi="Times New Roman" w:cs="Times New Roman"/>
                <w:b/>
                <w:bCs/>
                <w:sz w:val="24"/>
              </w:rPr>
            </w:pPr>
            <w:r>
              <w:rPr>
                <w:rFonts w:hint="eastAsia" w:ascii="Times New Roman" w:hAnsi="Times New Roman" w:cs="Times New Roman"/>
                <w:b/>
                <w:bCs/>
                <w:sz w:val="24"/>
                <w:lang w:val="en-US" w:eastAsia="zh-CN"/>
              </w:rPr>
              <w:t>3</w:t>
            </w:r>
            <w:r>
              <w:rPr>
                <w:rFonts w:hint="eastAsia" w:ascii="Times New Roman" w:hAnsi="Times New Roman" w:cs="Times New Roman"/>
                <w:b/>
                <w:bCs/>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37" w:hRule="atLeast"/>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pStyle w:val="18"/>
              <w:spacing w:beforeAutospacing="0" w:afterAutospacing="0" w:line="324" w:lineRule="auto"/>
              <w:ind w:firstLine="420"/>
              <w:jc w:val="both"/>
              <w:rPr>
                <w:rFonts w:ascii="Times New Roman" w:hAnsi="Times New Roman"/>
                <w:kern w:val="2"/>
                <w:sz w:val="21"/>
                <w:szCs w:val="21"/>
              </w:rPr>
            </w:pPr>
          </w:p>
        </w:tc>
        <w:tc>
          <w:tcPr>
            <w:tcW w:w="8642" w:type="dxa"/>
            <w:gridSpan w:val="4"/>
            <w:tcBorders>
              <w:top w:val="single" w:color="000000" w:sz="8" w:space="0"/>
              <w:left w:val="single" w:color="000000" w:sz="8" w:space="0"/>
              <w:bottom w:val="single" w:color="000000" w:sz="8" w:space="0"/>
              <w:right w:val="single" w:color="000000" w:sz="8" w:space="0"/>
            </w:tcBorders>
            <w:vAlign w:val="center"/>
          </w:tcPr>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一、价格分采用低价优先法计算，即满足招标文件要求且投标价格最低的投标报价为评标基准价，其价格分为满分。其他投标人的价格分统一按照下列公式计算：</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投标报价得分=(评标基准价／投标报价)×100</w:t>
            </w:r>
            <w:r>
              <w:rPr>
                <w:rFonts w:ascii="Times New Roman" w:hAnsi="Times New Roman" w:cs="Times New Roman"/>
                <w:kern w:val="2"/>
                <w:sz w:val="21"/>
                <w:szCs w:val="21"/>
              </w:rPr>
              <w:tab/>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评标总得分＝F1×A1＋F2×A2＋……＋Fn×An</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F1、F2……Fn分别为各项评审因素的得分；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A1、A2、……An 分别为各项评审因素所占的权重(A1＋A2＋……＋An＝1)。</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评标过程中，不得去掉报价中的最高报价和最低报价。</w:t>
            </w:r>
          </w:p>
          <w:p>
            <w:pPr>
              <w:pStyle w:val="18"/>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cs="Times New Roman"/>
                <w:kern w:val="2"/>
                <w:sz w:val="21"/>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tcPr>
          <w:p>
            <w:pPr>
              <w:ind w:firstLine="211" w:firstLineChars="100"/>
              <w:rPr>
                <w:rFonts w:ascii="宋体" w:hAnsi="宋体" w:cs="宋体"/>
                <w:b/>
                <w:bCs/>
                <w:sz w:val="24"/>
              </w:rPr>
            </w:pPr>
            <w:r>
              <w:rPr>
                <w:b/>
                <w:bCs/>
              </w:rPr>
              <w:t>2</w:t>
            </w:r>
          </w:p>
        </w:tc>
        <w:tc>
          <w:tcPr>
            <w:tcW w:w="3220"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商务部分</w:t>
            </w:r>
          </w:p>
        </w:tc>
        <w:tc>
          <w:tcPr>
            <w:tcW w:w="5422"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b/>
                <w:bCs/>
                <w:sz w:val="24"/>
                <w:lang w:eastAsia="zh-CN"/>
              </w:rPr>
            </w:pPr>
            <w:r>
              <w:rPr>
                <w:rFonts w:hint="eastAsia" w:ascii="宋体" w:hAnsi="宋体" w:cs="宋体"/>
                <w:b/>
                <w:bCs/>
                <w:sz w:val="24"/>
              </w:rPr>
              <w:t>3</w:t>
            </w:r>
            <w:r>
              <w:rPr>
                <w:rFonts w:hint="eastAsia" w:ascii="宋体" w:hAnsi="宋体" w:cs="宋体"/>
                <w:b/>
                <w:bCs/>
                <w:sz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7" w:hRule="atLeast"/>
        </w:trPr>
        <w:tc>
          <w:tcPr>
            <w:tcW w:w="680" w:type="dxa"/>
            <w:vMerge w:val="continue"/>
            <w:tcBorders>
              <w:left w:val="single" w:color="000000" w:sz="8" w:space="0"/>
              <w:right w:val="single" w:color="000000" w:sz="8" w:space="0"/>
            </w:tcBorders>
          </w:tcPr>
          <w:p>
            <w:pPr>
              <w:jc w:val="center"/>
              <w:rPr>
                <w:b/>
                <w:bCs/>
              </w:rPr>
            </w:pPr>
          </w:p>
        </w:tc>
        <w:tc>
          <w:tcPr>
            <w:tcW w:w="8642" w:type="dxa"/>
            <w:gridSpan w:val="4"/>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15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100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54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szCs w:val="21"/>
              </w:rPr>
              <w:t>1</w:t>
            </w:r>
          </w:p>
        </w:tc>
        <w:tc>
          <w:tcPr>
            <w:tcW w:w="15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同类项目业绩</w:t>
            </w:r>
          </w:p>
          <w:p>
            <w:pPr>
              <w:jc w:val="center"/>
              <w:rPr>
                <w:rFonts w:ascii="宋体" w:hAnsi="宋体" w:cs="宋体"/>
                <w:szCs w:val="21"/>
              </w:rPr>
            </w:pPr>
          </w:p>
        </w:tc>
        <w:tc>
          <w:tcPr>
            <w:tcW w:w="10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szCs w:val="21"/>
              </w:rPr>
              <w:t>10</w:t>
            </w:r>
          </w:p>
        </w:tc>
        <w:tc>
          <w:tcPr>
            <w:tcW w:w="5422" w:type="dxa"/>
            <w:tcBorders>
              <w:top w:val="single" w:color="000000" w:sz="8" w:space="0"/>
              <w:left w:val="single" w:color="000000" w:sz="8" w:space="0"/>
              <w:bottom w:val="single" w:color="000000" w:sz="8" w:space="0"/>
              <w:right w:val="single" w:color="000000" w:sz="8" w:space="0"/>
            </w:tcBorders>
          </w:tcPr>
          <w:p>
            <w:pPr>
              <w:numPr>
                <w:ilvl w:val="0"/>
                <w:numId w:val="2"/>
              </w:numPr>
              <w:ind w:left="0" w:hanging="318"/>
              <w:jc w:val="left"/>
              <w:rPr>
                <w:rFonts w:ascii="宋体" w:hAnsi="宋体"/>
                <w:b/>
                <w:szCs w:val="21"/>
              </w:rPr>
            </w:pPr>
            <w:r>
              <w:rPr>
                <w:rFonts w:hint="eastAsia" w:ascii="宋体" w:hAnsi="宋体"/>
                <w:b/>
                <w:szCs w:val="21"/>
              </w:rPr>
              <w:t>1、评审标准：</w:t>
            </w:r>
          </w:p>
          <w:p>
            <w:pPr>
              <w:numPr>
                <w:ilvl w:val="0"/>
                <w:numId w:val="2"/>
              </w:numPr>
              <w:ind w:left="0" w:hanging="318"/>
              <w:jc w:val="left"/>
              <w:rPr>
                <w:rFonts w:ascii="宋体" w:hAnsi="宋体"/>
                <w:b/>
                <w:szCs w:val="21"/>
              </w:rPr>
            </w:pPr>
            <w:r>
              <w:rPr>
                <w:rFonts w:hint="eastAsia" w:ascii="宋体" w:hAnsi="宋体"/>
                <w:szCs w:val="21"/>
              </w:rPr>
              <w:t>投标人自</w:t>
            </w:r>
            <w:r>
              <w:rPr>
                <w:rFonts w:hint="eastAsia" w:ascii="宋体" w:hAnsi="宋体"/>
                <w:szCs w:val="21"/>
                <w:u w:val="single"/>
              </w:rPr>
              <w:t>2021年1月1日</w:t>
            </w:r>
            <w:r>
              <w:rPr>
                <w:rFonts w:hint="eastAsia" w:ascii="宋体" w:hAnsi="宋体"/>
                <w:szCs w:val="21"/>
              </w:rPr>
              <w:t>至投标截止时间前完成的同类项目业绩(以合同签订时间为准)，每项业绩得</w:t>
            </w:r>
            <w:r>
              <w:rPr>
                <w:rFonts w:hint="eastAsia" w:ascii="宋体" w:hAnsi="宋体" w:cs="宋体"/>
                <w:kern w:val="0"/>
                <w:szCs w:val="21"/>
                <w:u w:val="single"/>
              </w:rPr>
              <w:t>2</w:t>
            </w:r>
            <w:r>
              <w:rPr>
                <w:rFonts w:hint="eastAsia" w:ascii="宋体" w:hAnsi="宋体" w:cs="宋体"/>
                <w:kern w:val="0"/>
                <w:szCs w:val="21"/>
              </w:rPr>
              <w:t>分，</w:t>
            </w:r>
            <w:r>
              <w:rPr>
                <w:rFonts w:hint="eastAsia" w:ascii="宋体" w:hAnsi="宋体" w:cs="宋体"/>
                <w:bCs/>
                <w:kern w:val="0"/>
                <w:sz w:val="24"/>
              </w:rPr>
              <w:t>最高得10分。</w:t>
            </w:r>
          </w:p>
          <w:p>
            <w:pPr>
              <w:numPr>
                <w:ilvl w:val="0"/>
                <w:numId w:val="2"/>
              </w:numPr>
              <w:ind w:left="0" w:hanging="318"/>
              <w:jc w:val="left"/>
              <w:rPr>
                <w:rFonts w:ascii="宋体" w:hAnsi="宋体"/>
                <w:b/>
                <w:szCs w:val="21"/>
              </w:rPr>
            </w:pPr>
            <w:r>
              <w:rPr>
                <w:rFonts w:hint="eastAsia" w:ascii="宋体" w:hAnsi="宋体"/>
                <w:b/>
                <w:szCs w:val="21"/>
              </w:rPr>
              <w:t>2、证明文件：</w:t>
            </w:r>
          </w:p>
          <w:p>
            <w:pPr>
              <w:jc w:val="left"/>
              <w:rPr>
                <w:rFonts w:ascii="宋体" w:hAnsi="宋体" w:cs="宋体"/>
                <w:szCs w:val="21"/>
              </w:rPr>
            </w:pPr>
            <w:r>
              <w:rPr>
                <w:rFonts w:hint="eastAsia" w:ascii="宋体" w:hAnsi="宋体"/>
                <w:szCs w:val="21"/>
              </w:rPr>
              <w:t>投标人须提供项目合同关键页和中标通知书原件扫描件，原件备查。</w:t>
            </w:r>
            <w:r>
              <w:rPr>
                <w:rFonts w:hint="eastAsia"/>
                <w:szCs w:val="21"/>
              </w:rPr>
              <w:t>未提供或提供不清晰导致无法判断的，不得分</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1" w:hRule="atLeast"/>
        </w:trPr>
        <w:tc>
          <w:tcPr>
            <w:tcW w:w="680" w:type="dxa"/>
            <w:vMerge w:val="continue"/>
            <w:tcBorders>
              <w:left w:val="single" w:color="000000" w:sz="8" w:space="0"/>
              <w:right w:val="single" w:color="000000" w:sz="8" w:space="0"/>
            </w:tcBorders>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szCs w:val="21"/>
              </w:rPr>
              <w:t>2</w:t>
            </w:r>
          </w:p>
        </w:tc>
        <w:tc>
          <w:tcPr>
            <w:tcW w:w="15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履约评价</w:t>
            </w:r>
          </w:p>
          <w:p>
            <w:pPr>
              <w:jc w:val="center"/>
              <w:rPr>
                <w:rFonts w:ascii="宋体" w:hAnsi="宋体" w:cs="宋体"/>
                <w:szCs w:val="21"/>
              </w:rPr>
            </w:pPr>
          </w:p>
        </w:tc>
        <w:tc>
          <w:tcPr>
            <w:tcW w:w="10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10</w:t>
            </w:r>
          </w:p>
        </w:tc>
        <w:tc>
          <w:tcPr>
            <w:tcW w:w="5422" w:type="dxa"/>
            <w:tcBorders>
              <w:top w:val="single" w:color="000000" w:sz="8" w:space="0"/>
              <w:left w:val="single" w:color="000000" w:sz="8" w:space="0"/>
              <w:bottom w:val="single" w:color="000000" w:sz="8" w:space="0"/>
              <w:right w:val="single" w:color="000000" w:sz="8" w:space="0"/>
            </w:tcBorders>
          </w:tcPr>
          <w:p>
            <w:pPr>
              <w:numPr>
                <w:ilvl w:val="0"/>
                <w:numId w:val="3"/>
              </w:numPr>
              <w:ind w:left="0" w:hanging="318"/>
              <w:rPr>
                <w:rFonts w:ascii="宋体" w:hAnsi="宋体"/>
                <w:b/>
                <w:szCs w:val="21"/>
              </w:rPr>
            </w:pPr>
            <w:r>
              <w:rPr>
                <w:rFonts w:hint="eastAsia" w:ascii="宋体" w:hAnsi="宋体"/>
                <w:b/>
                <w:szCs w:val="21"/>
              </w:rPr>
              <w:t>1、评审标准：</w:t>
            </w:r>
          </w:p>
          <w:p>
            <w:pPr>
              <w:numPr>
                <w:ilvl w:val="0"/>
                <w:numId w:val="2"/>
              </w:numPr>
              <w:ind w:left="0" w:hanging="318"/>
              <w:jc w:val="left"/>
              <w:rPr>
                <w:rFonts w:ascii="宋体" w:hAnsi="宋体"/>
                <w:szCs w:val="21"/>
              </w:rPr>
            </w:pPr>
            <w:r>
              <w:rPr>
                <w:rFonts w:hint="eastAsia" w:ascii="宋体" w:hAnsi="宋体"/>
                <w:szCs w:val="21"/>
              </w:rPr>
              <w:t>投标人在上述“同类项目业绩”评审项中参加评审的业绩，能够提供用户出具的履约评价，且评价为优的，每份得2分，评价为合格（或满意）的，每份得1分，其他情况不得分。</w:t>
            </w:r>
            <w:r>
              <w:rPr>
                <w:rFonts w:hint="eastAsia" w:ascii="宋体" w:hAnsi="宋体" w:cs="宋体"/>
                <w:bCs/>
                <w:kern w:val="0"/>
                <w:sz w:val="24"/>
              </w:rPr>
              <w:t>最高得10分。</w:t>
            </w:r>
          </w:p>
          <w:p>
            <w:pPr>
              <w:numPr>
                <w:ilvl w:val="0"/>
                <w:numId w:val="3"/>
              </w:numPr>
              <w:ind w:left="0" w:hanging="318"/>
              <w:rPr>
                <w:rFonts w:ascii="宋体" w:hAnsi="宋体"/>
                <w:b/>
                <w:szCs w:val="21"/>
              </w:rPr>
            </w:pPr>
            <w:r>
              <w:rPr>
                <w:rFonts w:hint="eastAsia" w:ascii="宋体" w:hAnsi="宋体"/>
                <w:b/>
                <w:szCs w:val="21"/>
              </w:rPr>
              <w:t>2、证明文件：</w:t>
            </w:r>
          </w:p>
          <w:p>
            <w:pPr>
              <w:rPr>
                <w:rFonts w:ascii="宋体" w:hAnsi="宋体" w:cs="宋体"/>
                <w:szCs w:val="21"/>
              </w:rPr>
            </w:pPr>
            <w:r>
              <w:rPr>
                <w:rFonts w:hint="eastAsia" w:ascii="宋体" w:hAnsi="宋体"/>
                <w:szCs w:val="21"/>
              </w:rPr>
              <w:t>投标人提供用户出具的履约评价（</w:t>
            </w:r>
            <w:r>
              <w:rPr>
                <w:rFonts w:hint="eastAsia"/>
              </w:rPr>
              <w:t>加盖用户单位公章）</w:t>
            </w:r>
            <w:r>
              <w:rPr>
                <w:rFonts w:hint="eastAsia" w:ascii="宋体" w:hAnsi="宋体"/>
                <w:szCs w:val="21"/>
              </w:rPr>
              <w:t>原件扫描件，原件备查，</w:t>
            </w:r>
            <w:r>
              <w:rPr>
                <w:rFonts w:hint="eastAsia"/>
                <w:szCs w:val="21"/>
              </w:rPr>
              <w:t>未提供或提供不清晰导致无法判断的，不得分</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1" w:hRule="atLeast"/>
        </w:trPr>
        <w:tc>
          <w:tcPr>
            <w:tcW w:w="680" w:type="dxa"/>
            <w:vMerge w:val="continue"/>
            <w:tcBorders>
              <w:left w:val="single" w:color="000000" w:sz="8" w:space="0"/>
              <w:bottom w:val="single" w:color="000000" w:sz="8" w:space="0"/>
              <w:right w:val="single" w:color="000000" w:sz="8" w:space="0"/>
            </w:tcBorders>
            <w:vAlign w:val="center"/>
          </w:tcPr>
          <w:p>
            <w:pPr>
              <w:rPr>
                <w:rFonts w:ascii="宋体" w:hAnsi="宋体" w:cs="宋体"/>
                <w:b/>
                <w:bCs/>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3</w:t>
            </w:r>
          </w:p>
        </w:tc>
        <w:tc>
          <w:tcPr>
            <w:tcW w:w="1535"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p>
          <w:p>
            <w:pPr>
              <w:jc w:val="center"/>
              <w:rPr>
                <w:szCs w:val="21"/>
              </w:rPr>
            </w:pPr>
          </w:p>
          <w:p>
            <w:pPr>
              <w:jc w:val="center"/>
              <w:rPr>
                <w:szCs w:val="21"/>
              </w:rPr>
            </w:pPr>
          </w:p>
          <w:p>
            <w:pPr>
              <w:jc w:val="center"/>
              <w:rPr>
                <w:szCs w:val="21"/>
              </w:rPr>
            </w:pPr>
            <w:r>
              <w:rPr>
                <w:rFonts w:hint="eastAsia"/>
                <w:szCs w:val="21"/>
              </w:rPr>
              <w:t>服务质量保障方案</w:t>
            </w:r>
          </w:p>
          <w:p>
            <w:pPr>
              <w:jc w:val="center"/>
              <w:rPr>
                <w:rFonts w:ascii="宋体" w:hAnsi="宋体" w:cs="宋体"/>
                <w:kern w:val="0"/>
                <w:szCs w:val="21"/>
              </w:rPr>
            </w:pPr>
          </w:p>
        </w:tc>
        <w:tc>
          <w:tcPr>
            <w:tcW w:w="1005"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rFonts w:hint="default" w:ascii="宋体" w:hAnsi="宋体" w:eastAsia="宋体" w:cs="宋体"/>
                <w:kern w:val="0"/>
                <w:szCs w:val="21"/>
                <w:lang w:val="en-US" w:eastAsia="zh-CN"/>
              </w:rPr>
            </w:pPr>
            <w:r>
              <w:rPr>
                <w:rFonts w:hint="eastAsia"/>
                <w:szCs w:val="21"/>
                <w:lang w:val="en-US" w:eastAsia="zh-CN"/>
              </w:rPr>
              <w:t>10</w:t>
            </w:r>
          </w:p>
        </w:tc>
        <w:tc>
          <w:tcPr>
            <w:tcW w:w="5422" w:type="dxa"/>
            <w:tcBorders>
              <w:top w:val="single" w:color="000000" w:sz="8" w:space="0"/>
              <w:left w:val="single" w:color="000000" w:sz="8" w:space="0"/>
              <w:bottom w:val="single" w:color="000000" w:sz="8" w:space="0"/>
              <w:right w:val="single" w:color="000000" w:sz="8" w:space="0"/>
            </w:tcBorders>
          </w:tcPr>
          <w:p>
            <w:pPr>
              <w:rPr>
                <w:rFonts w:ascii="宋体" w:hAnsi="宋体"/>
                <w:b/>
                <w:szCs w:val="21"/>
              </w:rPr>
            </w:pPr>
            <w:r>
              <w:rPr>
                <w:rFonts w:hint="eastAsia" w:ascii="宋体" w:hAnsi="宋体"/>
                <w:b/>
                <w:szCs w:val="21"/>
              </w:rPr>
              <w:t>1、评审标准：</w:t>
            </w:r>
          </w:p>
          <w:p>
            <w:r>
              <w:rPr>
                <w:rFonts w:hint="eastAsia"/>
              </w:rPr>
              <w:t>1.服务响应时间保障；</w:t>
            </w:r>
          </w:p>
          <w:p>
            <w:pPr>
              <w:jc w:val="left"/>
            </w:pPr>
            <w:r>
              <w:rPr>
                <w:rFonts w:hint="eastAsia"/>
              </w:rPr>
              <w:t>2.产品质量保障；</w:t>
            </w:r>
          </w:p>
          <w:p>
            <w:pPr>
              <w:jc w:val="left"/>
            </w:pPr>
            <w:r>
              <w:rPr>
                <w:rFonts w:hint="eastAsia"/>
              </w:rPr>
              <w:t>3.售后服务保障。</w:t>
            </w:r>
          </w:p>
          <w:p>
            <w:pPr>
              <w:jc w:val="left"/>
            </w:pPr>
            <w:r>
              <w:rPr>
                <w:rFonts w:hint="eastAsia"/>
              </w:rPr>
              <w:t>满足上述一项得</w:t>
            </w:r>
            <w:r>
              <w:rPr>
                <w:rFonts w:hint="eastAsia"/>
                <w:lang w:val="en-US" w:eastAsia="zh-CN"/>
              </w:rPr>
              <w:t>1</w:t>
            </w:r>
            <w:r>
              <w:rPr>
                <w:rFonts w:hint="eastAsia"/>
              </w:rPr>
              <w:t>分，最高可得</w:t>
            </w:r>
            <w:r>
              <w:rPr>
                <w:rFonts w:hint="eastAsia"/>
                <w:lang w:val="en-US" w:eastAsia="zh-CN"/>
              </w:rPr>
              <w:t>3</w:t>
            </w:r>
            <w:r>
              <w:rPr>
                <w:rFonts w:hint="eastAsia"/>
              </w:rPr>
              <w:t>分，未满足不得分。</w:t>
            </w:r>
          </w:p>
          <w:p>
            <w:pPr>
              <w:jc w:val="left"/>
            </w:pPr>
            <w:r>
              <w:rPr>
                <w:rFonts w:hint="eastAsia"/>
              </w:rPr>
              <w:t>在此基础上：</w:t>
            </w:r>
          </w:p>
          <w:p>
            <w:pPr>
              <w:jc w:val="left"/>
            </w:pPr>
            <w:r>
              <w:rPr>
                <w:rFonts w:hint="eastAsia"/>
              </w:rPr>
              <w:t>（1）评审为优（服务</w:t>
            </w:r>
            <w:r>
              <w:rPr>
                <w:rFonts w:hint="eastAsia"/>
                <w:szCs w:val="21"/>
              </w:rPr>
              <w:t>质量保障</w:t>
            </w:r>
            <w:r>
              <w:rPr>
                <w:rFonts w:hint="eastAsia"/>
              </w:rPr>
              <w:t>方案具体全面，工作内容和安排考虑周到合理，针对性、操作性强）的，加</w:t>
            </w:r>
            <w:r>
              <w:rPr>
                <w:rFonts w:hint="eastAsia"/>
                <w:lang w:val="en-US" w:eastAsia="zh-CN"/>
              </w:rPr>
              <w:t>7</w:t>
            </w:r>
            <w:r>
              <w:rPr>
                <w:rFonts w:hint="eastAsia"/>
              </w:rPr>
              <w:t>分；</w:t>
            </w:r>
          </w:p>
          <w:p>
            <w:pPr>
              <w:jc w:val="left"/>
            </w:pPr>
            <w:r>
              <w:rPr>
                <w:rFonts w:hint="eastAsia"/>
              </w:rPr>
              <w:t>（2）评审为良（服务</w:t>
            </w:r>
            <w:r>
              <w:rPr>
                <w:rFonts w:hint="eastAsia"/>
                <w:szCs w:val="21"/>
              </w:rPr>
              <w:t>质量保障</w:t>
            </w:r>
            <w:r>
              <w:rPr>
                <w:rFonts w:hint="eastAsia"/>
              </w:rPr>
              <w:t>方案较具体全面，工作内容和安排考虑较周到合理，针对性、操作性较强）的，加</w:t>
            </w:r>
            <w:r>
              <w:rPr>
                <w:rFonts w:hint="eastAsia"/>
                <w:lang w:val="en-US" w:eastAsia="zh-CN"/>
              </w:rPr>
              <w:t>5</w:t>
            </w:r>
            <w:r>
              <w:rPr>
                <w:rFonts w:hint="eastAsia"/>
              </w:rPr>
              <w:t>分；</w:t>
            </w:r>
          </w:p>
          <w:p>
            <w:pPr>
              <w:jc w:val="left"/>
            </w:pPr>
            <w:r>
              <w:rPr>
                <w:rFonts w:hint="eastAsia"/>
              </w:rPr>
              <w:t>（3）评审为中（服务</w:t>
            </w:r>
            <w:r>
              <w:rPr>
                <w:rFonts w:hint="eastAsia"/>
                <w:szCs w:val="21"/>
              </w:rPr>
              <w:t>质量保障</w:t>
            </w:r>
            <w:r>
              <w:rPr>
                <w:rFonts w:hint="eastAsia"/>
              </w:rPr>
              <w:t>方案具体全面性一般，工作内容和安排考虑周到合理性一般，针对性、操作性一般）的，加</w:t>
            </w:r>
            <w:r>
              <w:rPr>
                <w:rFonts w:hint="eastAsia"/>
                <w:lang w:val="en-US" w:eastAsia="zh-CN"/>
              </w:rPr>
              <w:t>3</w:t>
            </w:r>
            <w:r>
              <w:rPr>
                <w:rFonts w:hint="eastAsia"/>
              </w:rPr>
              <w:t>分；</w:t>
            </w:r>
          </w:p>
          <w:p>
            <w:pPr>
              <w:jc w:val="left"/>
            </w:pPr>
            <w:r>
              <w:rPr>
                <w:rFonts w:hint="eastAsia"/>
              </w:rPr>
              <w:t>（4）评审为差（服务</w:t>
            </w:r>
            <w:r>
              <w:rPr>
                <w:rFonts w:hint="eastAsia"/>
                <w:szCs w:val="21"/>
              </w:rPr>
              <w:t>质量保障</w:t>
            </w:r>
            <w:r>
              <w:rPr>
                <w:rFonts w:hint="eastAsia"/>
              </w:rPr>
              <w:t>方案不具体全面，工作内容和安排考虑不周到合理，针对性、操作性不强）的，不加分。</w:t>
            </w:r>
          </w:p>
          <w:p>
            <w:pPr>
              <w:rPr>
                <w:rFonts w:ascii="Times New Roman" w:hAnsi="Times New Roman" w:cs="Times New Roman"/>
              </w:rPr>
            </w:pPr>
            <w:r>
              <w:rPr>
                <w:rFonts w:hint="eastAsia"/>
              </w:rPr>
              <w:t>提供</w:t>
            </w:r>
            <w:r>
              <w:rPr>
                <w:rFonts w:hint="eastAsia"/>
                <w:szCs w:val="21"/>
              </w:rPr>
              <w:t>服务质量保障方案</w:t>
            </w:r>
            <w:r>
              <w:rPr>
                <w:rFonts w:hint="eastAsia"/>
              </w:rPr>
              <w:t>，并承诺中标后提供一致的保障服务。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nil"/>
              <w:right w:val="single" w:color="000000" w:sz="8" w:space="0"/>
            </w:tcBorders>
          </w:tcPr>
          <w:p>
            <w:pPr>
              <w:jc w:val="center"/>
              <w:rPr>
                <w:rFonts w:ascii="宋体" w:hAnsi="宋体" w:cs="宋体"/>
                <w:b/>
                <w:bCs/>
                <w:sz w:val="24"/>
              </w:rPr>
            </w:pPr>
            <w:r>
              <w:rPr>
                <w:b/>
                <w:bCs/>
              </w:rPr>
              <w:t>3</w:t>
            </w:r>
          </w:p>
        </w:tc>
        <w:tc>
          <w:tcPr>
            <w:tcW w:w="3220"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b/>
                <w:bCs/>
              </w:rPr>
              <w:t>技术部分</w:t>
            </w:r>
          </w:p>
        </w:tc>
        <w:tc>
          <w:tcPr>
            <w:tcW w:w="5422"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b/>
                <w:bCs/>
                <w:sz w:val="24"/>
                <w:lang w:eastAsia="zh-CN"/>
              </w:rPr>
            </w:pPr>
            <w:r>
              <w:rPr>
                <w:rFonts w:hint="eastAsia" w:ascii="宋体" w:hAnsi="宋体" w:cs="宋体"/>
                <w:b/>
                <w:bCs/>
                <w:sz w:val="24"/>
              </w:rPr>
              <w:t>3</w:t>
            </w:r>
            <w:r>
              <w:rPr>
                <w:rFonts w:hint="eastAsia" w:ascii="宋体" w:hAnsi="宋体" w:cs="宋体"/>
                <w:b/>
                <w:bCs/>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4" w:hRule="atLeast"/>
        </w:trPr>
        <w:tc>
          <w:tcPr>
            <w:tcW w:w="680" w:type="dxa"/>
            <w:vMerge w:val="continue"/>
            <w:tcBorders>
              <w:top w:val="nil"/>
              <w:left w:val="single" w:color="000000" w:sz="8" w:space="0"/>
              <w:bottom w:val="nil"/>
              <w:right w:val="single" w:color="000000" w:sz="8" w:space="0"/>
            </w:tcBorders>
            <w:vAlign w:val="center"/>
          </w:tcPr>
          <w:p>
            <w:pPr>
              <w:rPr>
                <w:rFonts w:ascii="宋体" w:hAnsi="宋体" w:cs="宋体"/>
                <w:b/>
                <w:bCs/>
                <w:sz w:val="24"/>
              </w:rPr>
            </w:pPr>
          </w:p>
        </w:tc>
        <w:tc>
          <w:tcPr>
            <w:tcW w:w="8642" w:type="dxa"/>
            <w:gridSpan w:val="4"/>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nil"/>
              <w:left w:val="single" w:color="000000" w:sz="8" w:space="0"/>
              <w:bottom w:val="nil"/>
              <w:right w:val="single" w:color="000000" w:sz="8" w:space="0"/>
            </w:tcBorders>
            <w:shd w:val="clear" w:color="auto" w:fill="E6EFFA"/>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15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100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54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nil"/>
              <w:left w:val="single" w:color="000000" w:sz="8" w:space="0"/>
              <w:bottom w:val="single" w:color="auto" w:sz="4" w:space="0"/>
              <w:right w:val="single" w:color="000000" w:sz="8" w:space="0"/>
            </w:tcBorders>
            <w:vAlign w:val="center"/>
          </w:tcPr>
          <w:p>
            <w:pPr>
              <w:rPr>
                <w:rFonts w:ascii="宋体" w:hAnsi="宋体" w:cs="宋体"/>
                <w:b/>
                <w:bCs/>
                <w:sz w:val="24"/>
              </w:rPr>
            </w:pPr>
          </w:p>
        </w:tc>
        <w:tc>
          <w:tcPr>
            <w:tcW w:w="680" w:type="dxa"/>
            <w:tcBorders>
              <w:top w:val="single" w:color="000000" w:sz="8" w:space="0"/>
              <w:left w:val="single" w:color="000000" w:sz="8" w:space="0"/>
              <w:bottom w:val="single" w:color="auto" w:sz="4" w:space="0"/>
              <w:right w:val="single" w:color="000000" w:sz="8" w:space="0"/>
            </w:tcBorders>
            <w:vAlign w:val="center"/>
          </w:tcPr>
          <w:p>
            <w:pPr>
              <w:jc w:val="center"/>
              <w:rPr>
                <w:szCs w:val="21"/>
              </w:rPr>
            </w:pPr>
            <w:r>
              <w:rPr>
                <w:rFonts w:hint="eastAsia"/>
                <w:szCs w:val="21"/>
              </w:rPr>
              <w:t>2</w:t>
            </w: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szCs w:val="21"/>
              </w:rPr>
            </w:pPr>
            <w:r>
              <w:rPr>
                <w:rFonts w:hint="eastAsia" w:ascii="宋体" w:hAnsi="宋体"/>
                <w:szCs w:val="21"/>
              </w:rPr>
              <w:t>项目总体概述及理解</w:t>
            </w:r>
          </w:p>
        </w:tc>
        <w:tc>
          <w:tcPr>
            <w:tcW w:w="100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Cs w:val="21"/>
              </w:rPr>
            </w:pPr>
            <w:r>
              <w:rPr>
                <w:rFonts w:hint="eastAsia" w:ascii="宋体" w:hAnsi="宋体" w:cs="宋体"/>
                <w:szCs w:val="21"/>
              </w:rPr>
              <w:t>15</w:t>
            </w:r>
          </w:p>
        </w:tc>
        <w:tc>
          <w:tcPr>
            <w:tcW w:w="5422" w:type="dxa"/>
            <w:tcBorders>
              <w:top w:val="single" w:color="000000" w:sz="8" w:space="0"/>
              <w:left w:val="single" w:color="000000" w:sz="8" w:space="0"/>
              <w:bottom w:val="single" w:color="000000" w:sz="8" w:space="0"/>
              <w:right w:val="single" w:color="000000" w:sz="8" w:space="0"/>
            </w:tcBorders>
            <w:vAlign w:val="center"/>
          </w:tcPr>
          <w:p>
            <w:pPr>
              <w:rPr>
                <w:rFonts w:ascii="宋体" w:hAnsi="宋体"/>
                <w:b/>
                <w:szCs w:val="21"/>
              </w:rPr>
            </w:pPr>
            <w:r>
              <w:rPr>
                <w:rFonts w:hint="eastAsia" w:ascii="宋体" w:hAnsi="宋体"/>
                <w:b/>
                <w:szCs w:val="21"/>
              </w:rPr>
              <w:t>评审标准：</w:t>
            </w:r>
          </w:p>
          <w:p>
            <w:pPr>
              <w:widowControl/>
              <w:jc w:val="left"/>
            </w:pPr>
            <w:r>
              <w:rPr>
                <w:rFonts w:hint="eastAsia"/>
              </w:rPr>
              <w:t>在投标文件中详细说明项目总体概述及理解响应情况，评标委员会根据以下响应情况评审：</w:t>
            </w:r>
          </w:p>
          <w:p>
            <w:pPr>
              <w:widowControl/>
              <w:jc w:val="left"/>
            </w:pPr>
            <w:r>
              <w:rPr>
                <w:rFonts w:hint="eastAsia"/>
              </w:rPr>
              <w:t>1.总体概述及理解；</w:t>
            </w:r>
          </w:p>
          <w:p>
            <w:pPr>
              <w:widowControl/>
              <w:jc w:val="left"/>
            </w:pPr>
            <w:r>
              <w:rPr>
                <w:rFonts w:hint="eastAsia"/>
              </w:rPr>
              <w:t>2.项目实施内容；</w:t>
            </w:r>
          </w:p>
          <w:p>
            <w:pPr>
              <w:widowControl/>
              <w:jc w:val="left"/>
            </w:pPr>
            <w:r>
              <w:rPr>
                <w:rFonts w:hint="eastAsia"/>
              </w:rPr>
              <w:t>3.项目关键技术。</w:t>
            </w:r>
          </w:p>
          <w:p>
            <w:pPr>
              <w:widowControl/>
              <w:jc w:val="left"/>
            </w:pPr>
            <w:r>
              <w:rPr>
                <w:rFonts w:hint="eastAsia"/>
              </w:rPr>
              <w:t>满足上述三项得6分，满足上述任意二项得4分，满足上述任意一项得2分；未满足不得分。</w:t>
            </w:r>
          </w:p>
          <w:p>
            <w:pPr>
              <w:widowControl/>
              <w:jc w:val="left"/>
            </w:pPr>
            <w:r>
              <w:rPr>
                <w:rFonts w:hint="eastAsia"/>
              </w:rPr>
              <w:t>在此基础上：</w:t>
            </w:r>
          </w:p>
          <w:p>
            <w:pPr>
              <w:widowControl/>
              <w:jc w:val="left"/>
              <w:rPr>
                <w:rFonts w:ascii="Times New Roman" w:hAnsi="Times New Roman" w:cs="Times New Roman"/>
              </w:rPr>
            </w:pPr>
            <w:r>
              <w:rPr>
                <w:rFonts w:hint="eastAsia" w:ascii="Times New Roman" w:hAnsi="Times New Roman" w:cs="Times New Roman"/>
              </w:rPr>
              <w:t>1..项目总体概述及理解全面、科学合理、针对性强、可操作性强，加9分；</w:t>
            </w:r>
          </w:p>
          <w:p>
            <w:pPr>
              <w:widowControl/>
              <w:jc w:val="left"/>
              <w:rPr>
                <w:rFonts w:ascii="Times New Roman" w:hAnsi="Times New Roman" w:cs="Times New Roman"/>
              </w:rPr>
            </w:pPr>
            <w:r>
              <w:rPr>
                <w:rFonts w:hint="eastAsia" w:ascii="Times New Roman" w:hAnsi="Times New Roman" w:cs="Times New Roman"/>
              </w:rPr>
              <w:t>2.项目总体概述及理解较为全面、较科学合理、针对性较强、可操作性较强，加5分；</w:t>
            </w:r>
          </w:p>
          <w:p>
            <w:pPr>
              <w:widowControl/>
              <w:rPr>
                <w:rFonts w:ascii="Times New Roman" w:hAnsi="Times New Roman" w:cs="Times New Roman"/>
              </w:rPr>
            </w:pPr>
            <w:r>
              <w:rPr>
                <w:rFonts w:hint="eastAsia" w:ascii="Times New Roman" w:hAnsi="Times New Roman" w:cs="Times New Roman"/>
              </w:rPr>
              <w:t>3.项目总体概述及理解一般，针对性和可操作性一般，加3分。</w:t>
            </w:r>
          </w:p>
          <w:p>
            <w:pPr>
              <w:widowControl/>
              <w:rPr>
                <w:rFonts w:ascii="宋体" w:hAnsi="宋体"/>
                <w:b/>
                <w:bCs/>
                <w:szCs w:val="21"/>
              </w:rPr>
            </w:pPr>
            <w:r>
              <w:rPr>
                <w:rFonts w:hint="eastAsia" w:ascii="Times New Roman" w:hAnsi="Times New Roman" w:cs="Times New Roman"/>
              </w:rPr>
              <w:t>4.项目总体概述及理解差，针对性和可操作性差，不加分。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35" w:type="dxa"/>
            <w:tcBorders>
              <w:top w:val="single" w:color="000000" w:sz="8" w:space="0"/>
              <w:left w:val="single" w:color="auto" w:sz="4" w:space="0"/>
              <w:bottom w:val="single" w:color="000000" w:sz="8" w:space="0"/>
              <w:right w:val="single" w:color="000000" w:sz="8" w:space="0"/>
            </w:tcBorders>
            <w:vAlign w:val="center"/>
          </w:tcPr>
          <w:p>
            <w:pPr>
              <w:widowControl/>
              <w:jc w:val="center"/>
              <w:rPr>
                <w:rFonts w:ascii="宋体" w:hAnsi="宋体" w:cs="宋体"/>
                <w:kern w:val="0"/>
                <w:szCs w:val="21"/>
              </w:rPr>
            </w:pPr>
            <w:r>
              <w:rPr>
                <w:rFonts w:hint="eastAsia" w:ascii="宋体" w:hAnsi="宋体"/>
                <w:szCs w:val="21"/>
              </w:rPr>
              <w:t>中医氛围提升服务方案</w:t>
            </w:r>
          </w:p>
        </w:tc>
        <w:tc>
          <w:tcPr>
            <w:tcW w:w="100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eastAsia="宋体" w:cs="宋体"/>
                <w:szCs w:val="21"/>
                <w:lang w:val="en-US" w:eastAsia="zh-CN"/>
              </w:rPr>
            </w:pPr>
            <w:r>
              <w:rPr>
                <w:rFonts w:hint="eastAsia" w:ascii="宋体" w:hAnsi="宋体" w:cs="宋体"/>
                <w:kern w:val="0"/>
                <w:szCs w:val="21"/>
                <w:lang w:val="en-US" w:eastAsia="zh-CN"/>
              </w:rPr>
              <w:t>20</w:t>
            </w:r>
          </w:p>
        </w:tc>
        <w:tc>
          <w:tcPr>
            <w:tcW w:w="5422"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b/>
                <w:szCs w:val="21"/>
              </w:rPr>
            </w:pPr>
            <w:r>
              <w:rPr>
                <w:rFonts w:hint="eastAsia" w:ascii="宋体" w:hAnsi="宋体" w:cs="宋体"/>
                <w:b/>
                <w:szCs w:val="21"/>
              </w:rPr>
              <w:t>评审标准：</w:t>
            </w:r>
          </w:p>
          <w:p>
            <w:pPr>
              <w:widowControl/>
              <w:jc w:val="left"/>
              <w:rPr>
                <w:rFonts w:ascii="宋体" w:hAnsi="宋体" w:cs="宋体"/>
                <w:kern w:val="0"/>
                <w:szCs w:val="21"/>
              </w:rPr>
            </w:pPr>
            <w:r>
              <w:rPr>
                <w:rFonts w:hint="eastAsia" w:ascii="宋体" w:hAnsi="宋体" w:cs="宋体"/>
                <w:kern w:val="0"/>
                <w:szCs w:val="21"/>
              </w:rPr>
              <w:t>在投标文件中详细说明服务方案的</w:t>
            </w:r>
            <w:r>
              <w:rPr>
                <w:rFonts w:hint="eastAsia" w:ascii="宋体" w:hAnsi="宋体"/>
                <w:szCs w:val="21"/>
              </w:rPr>
              <w:t>策划创意性</w:t>
            </w:r>
            <w:r>
              <w:rPr>
                <w:rFonts w:hint="eastAsia" w:ascii="宋体" w:hAnsi="宋体" w:cs="宋体"/>
                <w:kern w:val="0"/>
                <w:szCs w:val="21"/>
              </w:rPr>
              <w:t>、</w:t>
            </w:r>
            <w:r>
              <w:rPr>
                <w:rFonts w:hint="eastAsia" w:ascii="宋体" w:hAnsi="宋体" w:cs="宋体"/>
                <w:szCs w:val="21"/>
              </w:rPr>
              <w:t>设计功能性</w:t>
            </w:r>
            <w:r>
              <w:rPr>
                <w:rFonts w:hint="eastAsia" w:ascii="宋体" w:hAnsi="宋体" w:cs="宋体"/>
                <w:kern w:val="0"/>
                <w:szCs w:val="21"/>
              </w:rPr>
              <w:t>、</w:t>
            </w:r>
            <w:r>
              <w:rPr>
                <w:rFonts w:hint="eastAsia" w:ascii="宋体" w:hAnsi="宋体" w:cs="宋体"/>
                <w:szCs w:val="21"/>
              </w:rPr>
              <w:t>设计可行性</w:t>
            </w:r>
            <w:r>
              <w:rPr>
                <w:rFonts w:hint="eastAsia" w:ascii="宋体" w:hAnsi="宋体" w:cs="宋体"/>
                <w:kern w:val="0"/>
                <w:szCs w:val="21"/>
              </w:rPr>
              <w:t>及</w:t>
            </w:r>
            <w:r>
              <w:rPr>
                <w:rFonts w:hint="eastAsia" w:ascii="宋体" w:hAnsi="宋体" w:cs="宋体"/>
                <w:szCs w:val="21"/>
              </w:rPr>
              <w:t>风格契合度</w:t>
            </w:r>
            <w:r>
              <w:rPr>
                <w:rFonts w:hint="eastAsia" w:ascii="宋体" w:hAnsi="宋体" w:cs="宋体"/>
                <w:kern w:val="0"/>
                <w:szCs w:val="21"/>
              </w:rPr>
              <w:t>，评标委员会根据以下响应情况评审：</w:t>
            </w:r>
          </w:p>
          <w:p>
            <w:pPr>
              <w:widowControl/>
              <w:jc w:val="left"/>
              <w:rPr>
                <w:rFonts w:ascii="宋体" w:hAnsi="宋体" w:cs="宋体"/>
                <w:kern w:val="0"/>
                <w:szCs w:val="21"/>
              </w:rPr>
            </w:pPr>
            <w:r>
              <w:rPr>
                <w:rFonts w:hint="eastAsia" w:ascii="宋体" w:hAnsi="宋体" w:cs="宋体"/>
                <w:kern w:val="0"/>
                <w:szCs w:val="21"/>
              </w:rPr>
              <w:t>1.</w:t>
            </w:r>
            <w:r>
              <w:rPr>
                <w:rFonts w:hint="eastAsia" w:ascii="宋体" w:hAnsi="宋体"/>
                <w:szCs w:val="21"/>
              </w:rPr>
              <w:t>策划创意性</w:t>
            </w:r>
            <w:r>
              <w:rPr>
                <w:rFonts w:hint="eastAsia" w:ascii="宋体" w:hAnsi="宋体" w:cs="宋体"/>
                <w:kern w:val="0"/>
                <w:szCs w:val="21"/>
              </w:rPr>
              <w:t>；</w:t>
            </w:r>
          </w:p>
          <w:p>
            <w:pPr>
              <w:widowControl/>
              <w:jc w:val="left"/>
            </w:pPr>
            <w:r>
              <w:rPr>
                <w:rFonts w:hint="eastAsia" w:ascii="宋体" w:hAnsi="宋体" w:cs="宋体"/>
                <w:kern w:val="0"/>
                <w:szCs w:val="21"/>
              </w:rPr>
              <w:t>2.</w:t>
            </w:r>
            <w:r>
              <w:rPr>
                <w:rFonts w:hint="eastAsia" w:ascii="宋体" w:hAnsi="宋体" w:cs="宋体"/>
                <w:szCs w:val="21"/>
              </w:rPr>
              <w:t>设计功能性</w:t>
            </w:r>
            <w:r>
              <w:rPr>
                <w:rFonts w:hint="eastAsia" w:ascii="宋体" w:hAnsi="宋体" w:cs="宋体"/>
                <w:kern w:val="0"/>
                <w:szCs w:val="21"/>
              </w:rPr>
              <w:t>；</w:t>
            </w:r>
          </w:p>
          <w:p>
            <w:pPr>
              <w:widowControl/>
              <w:jc w:val="left"/>
            </w:pPr>
            <w:r>
              <w:rPr>
                <w:rFonts w:hint="eastAsia" w:ascii="宋体" w:hAnsi="宋体" w:cs="宋体"/>
                <w:kern w:val="0"/>
                <w:szCs w:val="21"/>
              </w:rPr>
              <w:t>3.</w:t>
            </w:r>
            <w:r>
              <w:rPr>
                <w:rFonts w:hint="eastAsia" w:ascii="宋体" w:hAnsi="宋体" w:cs="宋体"/>
                <w:szCs w:val="21"/>
              </w:rPr>
              <w:t>设计可行性；</w:t>
            </w:r>
          </w:p>
          <w:p>
            <w:pPr>
              <w:widowControl/>
              <w:jc w:val="left"/>
              <w:rPr>
                <w:rFonts w:ascii="宋体" w:hAnsi="宋体" w:cs="宋体"/>
                <w:kern w:val="0"/>
                <w:szCs w:val="21"/>
              </w:rPr>
            </w:pPr>
            <w:r>
              <w:rPr>
                <w:rFonts w:hint="eastAsia" w:ascii="宋体" w:hAnsi="宋体" w:cs="宋体"/>
                <w:kern w:val="0"/>
                <w:szCs w:val="21"/>
              </w:rPr>
              <w:t>4.</w:t>
            </w:r>
            <w:r>
              <w:rPr>
                <w:rFonts w:hint="eastAsia" w:ascii="宋体" w:hAnsi="宋体" w:cs="宋体"/>
                <w:szCs w:val="21"/>
              </w:rPr>
              <w:t>风格契合度。</w:t>
            </w:r>
          </w:p>
          <w:p>
            <w:pPr>
              <w:widowControl/>
              <w:jc w:val="left"/>
              <w:rPr>
                <w:rFonts w:ascii="宋体" w:hAnsi="宋体" w:cs="宋体"/>
                <w:kern w:val="0"/>
                <w:szCs w:val="21"/>
              </w:rPr>
            </w:pPr>
            <w:r>
              <w:rPr>
                <w:rFonts w:hint="eastAsia" w:ascii="宋体" w:hAnsi="宋体" w:cs="宋体"/>
                <w:kern w:val="0"/>
                <w:szCs w:val="21"/>
              </w:rPr>
              <w:t>满足上述四项得8分，满足上述任意三项得6分，满足上述任意二项得4分；满足上述任意一项得2分，未满足不得分。</w:t>
            </w:r>
          </w:p>
          <w:p>
            <w:pPr>
              <w:widowControl/>
              <w:jc w:val="left"/>
              <w:rPr>
                <w:rFonts w:hint="eastAsia" w:ascii="宋体" w:hAnsi="宋体" w:eastAsia="宋体" w:cs="宋体"/>
                <w:szCs w:val="21"/>
              </w:rPr>
            </w:pPr>
            <w:r>
              <w:rPr>
                <w:rFonts w:hint="eastAsia" w:ascii="宋体" w:hAnsi="宋体" w:eastAsia="宋体" w:cs="宋体"/>
                <w:szCs w:val="21"/>
              </w:rPr>
              <w:t xml:space="preserve">在此基础上，按照下列要求进行加分： </w:t>
            </w:r>
          </w:p>
          <w:p>
            <w:pPr>
              <w:widowControl/>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评审为优（</w:t>
            </w:r>
            <w:r>
              <w:rPr>
                <w:rFonts w:hint="eastAsia" w:ascii="宋体" w:hAnsi="宋体" w:eastAsia="宋体" w:cs="宋体"/>
                <w:szCs w:val="21"/>
              </w:rPr>
              <w:t>服务方案的策划创意性、设计功能性、设计可行性及风格契合度强</w:t>
            </w:r>
            <w:r>
              <w:rPr>
                <w:rFonts w:hint="eastAsia" w:ascii="宋体" w:hAnsi="宋体" w:eastAsia="宋体" w:cs="宋体"/>
                <w:szCs w:val="21"/>
                <w:lang w:val="en-US" w:eastAsia="zh-CN"/>
              </w:rPr>
              <w:t>）</w:t>
            </w:r>
            <w:r>
              <w:rPr>
                <w:rFonts w:hint="eastAsia" w:ascii="宋体" w:hAnsi="宋体" w:eastAsia="宋体" w:cs="宋体"/>
                <w:szCs w:val="21"/>
              </w:rPr>
              <w:t>，得</w:t>
            </w:r>
            <w:r>
              <w:rPr>
                <w:rFonts w:hint="eastAsia" w:ascii="宋体" w:hAnsi="宋体" w:eastAsia="宋体" w:cs="宋体"/>
                <w:szCs w:val="21"/>
                <w:lang w:val="en-US" w:eastAsia="zh-CN"/>
              </w:rPr>
              <w:t>12</w:t>
            </w:r>
            <w:r>
              <w:rPr>
                <w:rFonts w:hint="eastAsia" w:ascii="宋体" w:hAnsi="宋体" w:eastAsia="宋体" w:cs="宋体"/>
                <w:szCs w:val="21"/>
              </w:rPr>
              <w:t>分；</w:t>
            </w:r>
          </w:p>
          <w:p>
            <w:pPr>
              <w:widowControl/>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评审为良（</w:t>
            </w:r>
            <w:r>
              <w:rPr>
                <w:rFonts w:hint="eastAsia" w:ascii="宋体" w:hAnsi="宋体" w:eastAsia="宋体" w:cs="宋体"/>
                <w:szCs w:val="21"/>
              </w:rPr>
              <w:t>服务方案的策划创意性、设计功能性、设计可行性及风格契合度较强</w:t>
            </w:r>
            <w:r>
              <w:rPr>
                <w:rFonts w:hint="eastAsia" w:ascii="宋体" w:hAnsi="宋体" w:eastAsia="宋体" w:cs="宋体"/>
                <w:szCs w:val="21"/>
                <w:lang w:val="en-US" w:eastAsia="zh-CN"/>
              </w:rPr>
              <w:t>）</w:t>
            </w:r>
            <w:r>
              <w:rPr>
                <w:rFonts w:hint="eastAsia" w:ascii="宋体" w:hAnsi="宋体" w:eastAsia="宋体" w:cs="宋体"/>
                <w:szCs w:val="21"/>
              </w:rPr>
              <w:t>，得</w:t>
            </w:r>
            <w:r>
              <w:rPr>
                <w:rFonts w:hint="eastAsia" w:ascii="宋体" w:hAnsi="宋体" w:eastAsia="宋体" w:cs="宋体"/>
                <w:szCs w:val="21"/>
                <w:lang w:val="en-US" w:eastAsia="zh-CN"/>
              </w:rPr>
              <w:t>8</w:t>
            </w:r>
            <w:r>
              <w:rPr>
                <w:rFonts w:hint="eastAsia" w:ascii="宋体" w:hAnsi="宋体" w:eastAsia="宋体" w:cs="宋体"/>
                <w:szCs w:val="21"/>
              </w:rPr>
              <w:t>分；</w:t>
            </w:r>
          </w:p>
          <w:p>
            <w:pPr>
              <w:widowControl/>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评审为中（</w:t>
            </w:r>
            <w:r>
              <w:rPr>
                <w:rFonts w:hint="eastAsia" w:ascii="宋体" w:hAnsi="宋体" w:eastAsia="宋体" w:cs="宋体"/>
                <w:szCs w:val="21"/>
              </w:rPr>
              <w:t>服务方案的策划创意性、设计功能性、设计可行性及风格契合度一般</w:t>
            </w:r>
            <w:r>
              <w:rPr>
                <w:rFonts w:hint="eastAsia" w:ascii="宋体" w:hAnsi="宋体" w:eastAsia="宋体" w:cs="宋体"/>
                <w:szCs w:val="21"/>
                <w:lang w:val="en-US" w:eastAsia="zh-CN"/>
              </w:rPr>
              <w:t>）</w:t>
            </w:r>
            <w:r>
              <w:rPr>
                <w:rFonts w:hint="eastAsia" w:ascii="宋体" w:hAnsi="宋体" w:eastAsia="宋体" w:cs="宋体"/>
                <w:szCs w:val="21"/>
              </w:rPr>
              <w:t>，得</w:t>
            </w:r>
            <w:r>
              <w:rPr>
                <w:rFonts w:hint="eastAsia" w:ascii="宋体" w:hAnsi="宋体" w:eastAsia="宋体" w:cs="宋体"/>
                <w:szCs w:val="21"/>
                <w:lang w:val="en-US" w:eastAsia="zh-CN"/>
              </w:rPr>
              <w:t>5</w:t>
            </w:r>
            <w:r>
              <w:rPr>
                <w:rFonts w:hint="eastAsia" w:ascii="宋体" w:hAnsi="宋体" w:eastAsia="宋体" w:cs="宋体"/>
                <w:szCs w:val="21"/>
              </w:rPr>
              <w:t>分。</w:t>
            </w:r>
          </w:p>
          <w:p>
            <w:pPr>
              <w:widowControl/>
              <w:jc w:val="left"/>
            </w:pPr>
            <w:r>
              <w:rPr>
                <w:rFonts w:hint="eastAsia" w:ascii="宋体" w:hAnsi="宋体" w:eastAsia="宋体" w:cs="宋体"/>
                <w:szCs w:val="21"/>
              </w:rPr>
              <w:t>4.</w:t>
            </w:r>
            <w:r>
              <w:rPr>
                <w:rFonts w:hint="eastAsia" w:ascii="宋体" w:hAnsi="宋体" w:eastAsia="宋体" w:cs="宋体"/>
                <w:szCs w:val="21"/>
                <w:lang w:val="en-US" w:eastAsia="zh-CN"/>
              </w:rPr>
              <w:t>评审为差（</w:t>
            </w:r>
            <w:r>
              <w:rPr>
                <w:rFonts w:hint="eastAsia" w:ascii="宋体" w:hAnsi="宋体" w:cs="宋体"/>
                <w:kern w:val="0"/>
                <w:szCs w:val="21"/>
              </w:rPr>
              <w:t>服务方案的</w:t>
            </w:r>
            <w:r>
              <w:rPr>
                <w:rFonts w:hint="eastAsia" w:ascii="宋体" w:hAnsi="宋体"/>
                <w:szCs w:val="21"/>
              </w:rPr>
              <w:t>策划创意性</w:t>
            </w:r>
            <w:r>
              <w:rPr>
                <w:rFonts w:hint="eastAsia" w:ascii="宋体" w:hAnsi="宋体" w:cs="宋体"/>
                <w:kern w:val="0"/>
                <w:szCs w:val="21"/>
              </w:rPr>
              <w:t>、</w:t>
            </w:r>
            <w:r>
              <w:rPr>
                <w:rFonts w:hint="eastAsia" w:ascii="宋体" w:hAnsi="宋体" w:cs="宋体"/>
                <w:szCs w:val="21"/>
              </w:rPr>
              <w:t>设计功能性</w:t>
            </w:r>
            <w:r>
              <w:rPr>
                <w:rFonts w:hint="eastAsia" w:ascii="宋体" w:hAnsi="宋体" w:cs="宋体"/>
                <w:kern w:val="0"/>
                <w:szCs w:val="21"/>
              </w:rPr>
              <w:t>、</w:t>
            </w:r>
            <w:r>
              <w:rPr>
                <w:rFonts w:hint="eastAsia" w:ascii="宋体" w:hAnsi="宋体" w:cs="宋体"/>
                <w:szCs w:val="21"/>
              </w:rPr>
              <w:t>设计可行性</w:t>
            </w:r>
            <w:r>
              <w:rPr>
                <w:rFonts w:hint="eastAsia" w:ascii="宋体" w:hAnsi="宋体" w:cs="宋体"/>
                <w:kern w:val="0"/>
                <w:szCs w:val="21"/>
              </w:rPr>
              <w:t>及</w:t>
            </w:r>
            <w:r>
              <w:rPr>
                <w:rFonts w:hint="eastAsia" w:ascii="宋体" w:hAnsi="宋体" w:cs="宋体"/>
                <w:szCs w:val="21"/>
              </w:rPr>
              <w:t>风格契合度</w:t>
            </w:r>
            <w:r>
              <w:rPr>
                <w:rFonts w:hint="eastAsia" w:ascii="Times New Roman" w:hAnsi="Times New Roman" w:cs="Times New Roman"/>
              </w:rPr>
              <w:t>差</w:t>
            </w:r>
            <w:r>
              <w:rPr>
                <w:rFonts w:hint="eastAsia" w:ascii="宋体" w:hAnsi="宋体" w:eastAsia="宋体" w:cs="宋体"/>
                <w:bCs/>
                <w:color w:val="auto"/>
                <w:kern w:val="0"/>
                <w:sz w:val="24"/>
                <w:szCs w:val="24"/>
                <w:lang w:val="en-US" w:eastAsia="zh-CN"/>
              </w:rPr>
              <w:t>）</w:t>
            </w:r>
            <w:r>
              <w:rPr>
                <w:rFonts w:hint="eastAsia" w:ascii="Times New Roman" w:hAnsi="Times New Roman" w:cs="Times New Roman"/>
              </w:rPr>
              <w:t>，不加分。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nil"/>
              <w:right w:val="single" w:color="000000" w:sz="8" w:space="0"/>
            </w:tcBorders>
          </w:tcPr>
          <w:p>
            <w:pPr>
              <w:jc w:val="center"/>
              <w:rPr>
                <w:rFonts w:ascii="宋体" w:hAnsi="宋体" w:cs="宋体"/>
                <w:b/>
                <w:bCs/>
                <w:sz w:val="24"/>
              </w:rPr>
            </w:pPr>
            <w:r>
              <w:rPr>
                <w:b/>
                <w:bCs/>
              </w:rPr>
              <w:t>4</w:t>
            </w:r>
          </w:p>
        </w:tc>
        <w:tc>
          <w:tcPr>
            <w:tcW w:w="3220"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rFonts w:hint="eastAsia"/>
                <w:b/>
                <w:bCs/>
              </w:rPr>
              <w:t>诚信</w:t>
            </w:r>
            <w:r>
              <w:rPr>
                <w:b/>
                <w:bCs/>
              </w:rPr>
              <w:t>部分</w:t>
            </w:r>
          </w:p>
        </w:tc>
        <w:tc>
          <w:tcPr>
            <w:tcW w:w="5422"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sz w:val="24"/>
              </w:rPr>
            </w:pPr>
            <w:r>
              <w:rPr>
                <w:rFonts w:hint="eastAsia" w:ascii="Times New Roman" w:hAnsi="Times New Roman" w:cs="Times New Roman"/>
                <w:b/>
                <w:bCs/>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nil"/>
              <w:left w:val="single" w:color="000000" w:sz="8" w:space="0"/>
              <w:bottom w:val="nil"/>
              <w:right w:val="single" w:color="000000" w:sz="8" w:space="0"/>
            </w:tcBorders>
            <w:vAlign w:val="center"/>
          </w:tcPr>
          <w:p>
            <w:pPr>
              <w:rPr>
                <w:rFonts w:ascii="宋体" w:hAnsi="宋体" w:cs="宋体"/>
                <w:b/>
                <w:bCs/>
                <w:sz w:val="24"/>
              </w:rPr>
            </w:pPr>
          </w:p>
        </w:tc>
        <w:tc>
          <w:tcPr>
            <w:tcW w:w="8642" w:type="dxa"/>
            <w:gridSpan w:val="4"/>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nil"/>
              <w:left w:val="single" w:color="000000" w:sz="8" w:space="0"/>
              <w:bottom w:val="nil"/>
              <w:right w:val="single" w:color="000000" w:sz="8" w:space="0"/>
            </w:tcBorders>
            <w:shd w:val="clear" w:color="auto" w:fill="E6EFFA"/>
            <w:vAlign w:val="center"/>
          </w:tcPr>
          <w:p>
            <w:pPr>
              <w:rPr>
                <w:rFonts w:ascii="宋体" w:hAnsi="宋体" w:cs="宋体"/>
                <w:b/>
                <w:bCs/>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15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100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54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nil"/>
              <w:left w:val="single" w:color="000000" w:sz="8" w:space="0"/>
              <w:bottom w:val="single" w:color="auto" w:sz="4" w:space="0"/>
              <w:right w:val="single" w:color="000000" w:sz="8" w:space="0"/>
            </w:tcBorders>
            <w:vAlign w:val="center"/>
          </w:tcPr>
          <w:p>
            <w:pPr>
              <w:rPr>
                <w:rFonts w:ascii="宋体" w:hAnsi="宋体" w:cs="宋体"/>
                <w:b/>
                <w:bCs/>
                <w:sz w:val="24"/>
              </w:rPr>
            </w:pPr>
          </w:p>
        </w:tc>
        <w:tc>
          <w:tcPr>
            <w:tcW w:w="680" w:type="dxa"/>
            <w:tcBorders>
              <w:top w:val="single" w:color="000000" w:sz="8" w:space="0"/>
              <w:left w:val="single" w:color="000000" w:sz="8" w:space="0"/>
              <w:bottom w:val="single" w:color="auto" w:sz="4" w:space="0"/>
              <w:right w:val="single" w:color="000000" w:sz="8" w:space="0"/>
            </w:tcBorders>
            <w:vAlign w:val="center"/>
          </w:tcPr>
          <w:p>
            <w:pPr>
              <w:jc w:val="center"/>
              <w:rPr>
                <w:rFonts w:ascii="宋体" w:hAnsi="宋体" w:cs="宋体"/>
                <w:szCs w:val="21"/>
              </w:rPr>
            </w:pPr>
            <w:r>
              <w:rPr>
                <w:szCs w:val="21"/>
              </w:rPr>
              <w:t>1</w:t>
            </w:r>
          </w:p>
        </w:tc>
        <w:tc>
          <w:tcPr>
            <w:tcW w:w="15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szCs w:val="21"/>
              </w:rPr>
              <w:t>诚信管理情况</w:t>
            </w:r>
          </w:p>
        </w:tc>
        <w:tc>
          <w:tcPr>
            <w:tcW w:w="10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5422"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szCs w:val="21"/>
                <w:highlight w:val="yellow"/>
              </w:rPr>
            </w:pPr>
            <w:r>
              <w:rPr>
                <w:szCs w:val="21"/>
              </w:rPr>
              <w:t>根据《深圳市财政委员会关于印发〈深圳市政府采购供应商诚信管理暂行办法操作细则〉的通知》（深财购[2017]42号）的要求，投标人在参与政府采购活动中存在</w:t>
            </w:r>
            <w:r>
              <w:rPr>
                <w:rFonts w:hint="eastAsia"/>
                <w:szCs w:val="21"/>
              </w:rPr>
              <w:t>被记入诚信档案的情形（被禁止参与政府采购活动除外）</w:t>
            </w:r>
            <w:r>
              <w:rPr>
                <w:szCs w:val="21"/>
              </w:rPr>
              <w:t>且在主管部门相关处理措施实施期限内的，本项不得分，否则得满分。投标人无需提供任何证明材料，由工作人员向评审委员会提供相关信息。</w:t>
            </w:r>
          </w:p>
        </w:tc>
      </w:tr>
    </w:tbl>
    <w:p>
      <w:pPr>
        <w:pStyle w:val="5"/>
        <w:numPr>
          <w:ilvl w:val="0"/>
          <w:numId w:val="0"/>
        </w:numPr>
        <w:adjustRightInd/>
        <w:ind w:left="420" w:leftChars="0"/>
        <w:textAlignment w:val="auto"/>
        <w:rPr>
          <w:rFonts w:hint="eastAsia" w:ascii="黑体" w:hAnsi="黑体" w:eastAsia="黑体" w:cs="黑体"/>
          <w:sz w:val="32"/>
          <w:szCs w:val="32"/>
        </w:rPr>
      </w:pPr>
      <w:r>
        <w:rPr>
          <w:rFonts w:hint="eastAsia" w:ascii="黑体" w:hAnsi="黑体" w:eastAsia="黑体" w:cs="黑体"/>
          <w:b/>
          <w:bCs/>
          <w:kern w:val="0"/>
          <w:sz w:val="32"/>
          <w:szCs w:val="32"/>
          <w:lang w:val="en-US" w:eastAsia="zh-CN" w:bidi="ar-SA"/>
        </w:rPr>
        <w:t>十六、</w:t>
      </w:r>
      <w:r>
        <w:rPr>
          <w:rFonts w:hint="eastAsia" w:ascii="黑体" w:hAnsi="黑体" w:eastAsia="黑体" w:cs="黑体"/>
          <w:sz w:val="32"/>
          <w:szCs w:val="32"/>
        </w:rPr>
        <w:t>政策导向</w:t>
      </w:r>
    </w:p>
    <w:p>
      <w:pPr>
        <w:spacing w:line="360" w:lineRule="auto"/>
        <w:ind w:firstLine="440" w:firstLineChars="200"/>
        <w:rPr>
          <w:rFonts w:ascii="宋体" w:hAnsi="宋体" w:cs="宋体"/>
          <w:sz w:val="22"/>
        </w:rPr>
      </w:pPr>
      <w:r>
        <w:rPr>
          <w:rFonts w:hint="eastAsia" w:ascii="宋体" w:hAnsi="宋体" w:cs="宋体"/>
          <w:sz w:val="22"/>
        </w:rPr>
        <w:t>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宋体" w:hAnsi="宋体" w:cs="宋体"/>
          <w:b/>
          <w:bCs/>
          <w:sz w:val="22"/>
          <w:u w:val="single"/>
          <w:lang w:eastAsia="zh-CN"/>
        </w:rPr>
        <w:t>其他未列明行业</w:t>
      </w:r>
      <w:r>
        <w:rPr>
          <w:rFonts w:hint="eastAsia" w:ascii="宋体" w:hAnsi="宋体" w:cs="宋体"/>
          <w:sz w:val="22"/>
        </w:rPr>
        <w:t>。</w:t>
      </w:r>
    </w:p>
    <w:p>
      <w:pPr>
        <w:pStyle w:val="9"/>
        <w:spacing w:line="360" w:lineRule="auto"/>
        <w:ind w:firstLine="562" w:firstLineChars="200"/>
        <w:rPr>
          <w:rFonts w:hint="eastAsia" w:ascii="仿宋_GB2312" w:hAnsi="仿宋_GB2312" w:eastAsia="仿宋_GB2312" w:cs="仿宋_GB2312"/>
          <w:b/>
          <w:bCs/>
          <w:kern w:val="0"/>
          <w:sz w:val="28"/>
          <w:szCs w:val="28"/>
          <w:lang w:val="en-US" w:eastAsia="zh-CN" w:bidi="ar-S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numPr>
          <w:ilvl w:val="0"/>
          <w:numId w:val="4"/>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投标文件初审表</w:t>
      </w:r>
    </w:p>
    <w:p>
      <w:pPr>
        <w:jc w:val="center"/>
        <w:rPr>
          <w:rFonts w:ascii="仿宋" w:hAnsi="仿宋" w:eastAsia="仿宋" w:cs="仿宋"/>
          <w:sz w:val="22"/>
          <w:szCs w:val="28"/>
        </w:rPr>
      </w:pPr>
      <w:r>
        <w:rPr>
          <w:rFonts w:hint="eastAsia" w:ascii="仿宋" w:hAnsi="仿宋" w:eastAsia="仿宋" w:cs="仿宋"/>
          <w:b/>
          <w:sz w:val="22"/>
          <w:szCs w:val="28"/>
        </w:rPr>
        <w:t>（凡有下列情形之一的，投标文件无效，投标作废标处理）</w:t>
      </w:r>
    </w:p>
    <w:tbl>
      <w:tblPr>
        <w:tblStyle w:val="20"/>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tcPr>
          <w:p>
            <w:pPr>
              <w:jc w:val="center"/>
              <w:rPr>
                <w:rFonts w:ascii="宋体" w:hAnsi="宋体" w:cs="宋体"/>
                <w:sz w:val="20"/>
                <w:szCs w:val="20"/>
              </w:rPr>
            </w:pPr>
            <w:r>
              <w:rPr>
                <w:rFonts w:hint="eastAsia" w:ascii="宋体" w:hAnsi="宋体" w:cs="宋体"/>
                <w:b/>
                <w:bCs/>
                <w:szCs w:val="21"/>
              </w:rPr>
              <w:t>资格性检查表</w:t>
            </w:r>
          </w:p>
        </w:tc>
        <w:tc>
          <w:tcPr>
            <w:tcW w:w="1200" w:type="dxa"/>
            <w:noWrap/>
          </w:tcPr>
          <w:p>
            <w:pPr>
              <w:jc w:val="center"/>
              <w:rPr>
                <w:rFonts w:ascii="宋体" w:hAnsi="宋体" w:cs="宋体"/>
                <w:b/>
                <w:bCs/>
                <w:szCs w:val="21"/>
              </w:rPr>
            </w:pPr>
            <w:r>
              <w:rPr>
                <w:rFonts w:hint="eastAsia" w:ascii="宋体" w:hAnsi="宋体" w:cs="宋体"/>
                <w:b/>
                <w:bCs/>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color w:val="FF0000"/>
                <w:sz w:val="22"/>
                <w:szCs w:val="22"/>
              </w:rPr>
            </w:pPr>
            <w:r>
              <w:rPr>
                <w:rFonts w:hint="eastAsia" w:ascii="宋体" w:hAnsi="宋体" w:cs="宋体"/>
                <w:bCs/>
                <w:sz w:val="22"/>
                <w:szCs w:val="22"/>
              </w:rPr>
              <w:t>投标人不具备招标文件所列的资格要求，或未提交相应的资格证明资料（“参与公开采购供应商资质要求”，其中未列示的资格要求不得导致废标）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ascii="宋体" w:hAnsi="宋体" w:cs="宋体"/>
                <w:bCs/>
                <w:sz w:val="22"/>
                <w:szCs w:val="22"/>
              </w:rPr>
            </w:pPr>
            <w:r>
              <w:rPr>
                <w:rFonts w:hint="eastAsia" w:ascii="宋体" w:hAnsi="宋体" w:cs="宋体"/>
                <w:b/>
                <w:sz w:val="22"/>
                <w:szCs w:val="22"/>
              </w:rPr>
              <w:t>符合性检查表</w:t>
            </w:r>
          </w:p>
        </w:tc>
        <w:tc>
          <w:tcPr>
            <w:tcW w:w="1200" w:type="dxa"/>
            <w:noWrap/>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ascii="宋体" w:hAnsi="宋体" w:cs="宋体"/>
                <w:bCs/>
                <w:sz w:val="22"/>
                <w:szCs w:val="22"/>
              </w:rPr>
              <w:t>将一个包中的内容拆开投标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招标文件未规定允许有替代方案时，对同一货物投标时，同时提供两套或两套以上的投标方案</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投标总价或分项报价高于项目预算限额的</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同一项目出现两个或以上报价、单价汇总与总价不符的，需进行价格修正</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投标报价有缺漏项目或对采购文件规定的服务清单项目及数量进行修改；</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函》、《采购投标承诺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与其他投标供应商的投标文件存在异常雷同现象的；</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招标文件规定的其他投标无效情形；</w:t>
            </w:r>
          </w:p>
        </w:tc>
        <w:tc>
          <w:tcPr>
            <w:tcW w:w="1200" w:type="dxa"/>
            <w:noWrap/>
            <w:vAlign w:val="center"/>
          </w:tcPr>
          <w:p>
            <w:pPr>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c>
          <w:tcPr>
            <w:tcW w:w="1200" w:type="dxa"/>
            <w:noWrap/>
            <w:vAlign w:val="center"/>
          </w:tcPr>
          <w:p>
            <w:pPr>
              <w:jc w:val="left"/>
              <w:rPr>
                <w:rFonts w:ascii="宋体" w:hAnsi="宋体" w:cs="宋体"/>
                <w:bCs/>
                <w:sz w:val="22"/>
                <w:szCs w:val="22"/>
              </w:rPr>
            </w:pPr>
          </w:p>
        </w:tc>
      </w:tr>
    </w:tbl>
    <w:p>
      <w:pPr>
        <w:rPr>
          <w:rFonts w:ascii="仿宋" w:hAnsi="仿宋" w:eastAsia="仿宋" w:cs="仿宋"/>
          <w:b/>
          <w:bCs/>
          <w:sz w:val="36"/>
          <w:szCs w:val="36"/>
        </w:rPr>
      </w:pPr>
    </w:p>
    <w:p>
      <w:pPr>
        <w:pStyle w:val="5"/>
      </w:pPr>
    </w:p>
    <w:p/>
    <w:p>
      <w:pPr>
        <w:pStyle w:val="6"/>
      </w:pPr>
    </w:p>
    <w:p>
      <w:pPr>
        <w:pStyle w:val="25"/>
        <w:ind w:firstLine="0" w:firstLineChars="0"/>
      </w:pPr>
    </w:p>
    <w:p>
      <w:pPr>
        <w:numPr>
          <w:ilvl w:val="0"/>
          <w:numId w:val="4"/>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0"/>
          <w:numId w:val="5"/>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5"/>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5"/>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（六）投标人的产品质量及服务承诺书不能严重低于招标文件中的服务要求标准做出响应，允许出现负偏差，但不得出现严重负偏差。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1、采购人可以对已发出的招标文件进行必要的澄清或者修改。澄清或者修改应当在原公告发布媒体上发布澄清（更正/变更）公告。</w:t>
      </w:r>
    </w:p>
    <w:p>
      <w:pPr>
        <w:pStyle w:val="5"/>
        <w:spacing w:line="460" w:lineRule="exact"/>
        <w:ind w:firstLine="560" w:firstLineChars="200"/>
        <w:rPr>
          <w:rFonts w:ascii="仿宋" w:hAnsi="仿宋" w:eastAsia="仿宋" w:cs="仿宋"/>
          <w:sz w:val="28"/>
          <w:szCs w:val="28"/>
        </w:rPr>
      </w:pPr>
      <w:r>
        <w:rPr>
          <w:rFonts w:ascii="仿宋" w:hAnsi="仿宋" w:eastAsia="仿宋" w:cs="仿宋"/>
          <w:sz w:val="28"/>
          <w:szCs w:val="28"/>
        </w:rPr>
        <w:t>2、采购人对招标文件的补充和修正，将以电子文件等方式发给所有获得招标文件的供应商，补充通知作为招标文件的组成部分，对同意参与招标单位起约束作用。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numPr>
          <w:ilvl w:val="0"/>
          <w:numId w:val="6"/>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numPr>
          <w:ilvl w:val="0"/>
          <w:numId w:val="6"/>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numPr>
          <w:ilvl w:val="0"/>
          <w:numId w:val="6"/>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numPr>
          <w:ilvl w:val="0"/>
          <w:numId w:val="6"/>
        </w:numPr>
        <w:snapToGrid w:val="0"/>
        <w:spacing w:line="500" w:lineRule="exact"/>
        <w:ind w:firstLine="560" w:firstLineChars="200"/>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招采办将做出澄清和解答，逾期未提交质疑文件的视同无问题。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20"/>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snapToGrid w:val="0"/>
              <w:spacing w:line="360" w:lineRule="auto"/>
              <w:ind w:left="2200" w:hanging="2200" w:hangingChars="500"/>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sz w:val="44"/>
                <w:szCs w:val="44"/>
                <w:lang w:eastAsia="zh-CN"/>
              </w:rPr>
              <w:t>沙湾社康和简竹社康</w:t>
            </w:r>
            <w:r>
              <w:rPr>
                <w:rFonts w:hint="eastAsia" w:ascii="仿宋_GB2312" w:hAnsi="仿宋_GB2312" w:eastAsia="仿宋_GB2312" w:cs="仿宋_GB2312"/>
                <w:sz w:val="44"/>
                <w:szCs w:val="44"/>
              </w:rPr>
              <w:t>中医文化氛围提升服务项目</w:t>
            </w:r>
          </w:p>
          <w:p>
            <w:pPr>
              <w:pStyle w:val="27"/>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（深龙七医采[LGQY2024ZW00</w:t>
            </w:r>
            <w:r>
              <w:rPr>
                <w:rFonts w:hint="eastAsia" w:ascii="仿宋_GB2312" w:hAnsi="仿宋_GB2312" w:eastAsia="仿宋_GB2312" w:cs="仿宋_GB2312"/>
                <w:sz w:val="44"/>
                <w:szCs w:val="44"/>
                <w:lang w:val="en-US" w:eastAsia="zh-CN"/>
              </w:rPr>
              <w:t>7</w:t>
            </w:r>
            <w:r>
              <w:rPr>
                <w:rFonts w:hint="eastAsia" w:ascii="仿宋_GB2312" w:hAnsi="仿宋_GB2312" w:eastAsia="仿宋_GB2312" w:cs="仿宋_GB2312"/>
                <w:sz w:val="44"/>
                <w:szCs w:val="44"/>
              </w:rPr>
              <w:t>]）</w:t>
            </w:r>
          </w:p>
          <w:p>
            <w:pPr>
              <w:pStyle w:val="27"/>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2024年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pStyle w:val="6"/>
      </w:pPr>
    </w:p>
    <w:p>
      <w:pPr>
        <w:jc w:val="center"/>
        <w:rPr>
          <w:rFonts w:ascii="宋体" w:hAnsi="宋体" w:cs="宋体"/>
          <w:b/>
          <w:bCs/>
          <w:sz w:val="44"/>
          <w:szCs w:val="44"/>
        </w:rPr>
      </w:pPr>
      <w:r>
        <w:rPr>
          <w:rFonts w:hint="eastAsia" w:ascii="宋体" w:hAnsi="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3.投标文件初审表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4.投标函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5.开标一览表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.龙岗区第七人民医院</w:t>
      </w:r>
      <w:r>
        <w:rPr>
          <w:rFonts w:hint="eastAsia" w:ascii="仿宋_GB2312" w:hAnsi="仿宋_GB2312" w:eastAsia="仿宋_GB2312" w:cs="仿宋_GB2312"/>
          <w:sz w:val="28"/>
          <w:szCs w:val="28"/>
          <w:lang w:val="en-US" w:eastAsia="zh-CN"/>
        </w:rPr>
        <w:t>沙湾</w:t>
      </w:r>
      <w:r>
        <w:rPr>
          <w:rFonts w:hint="eastAsia" w:ascii="仿宋_GB2312" w:hAnsi="仿宋_GB2312" w:eastAsia="仿宋_GB2312" w:cs="仿宋_GB2312"/>
          <w:sz w:val="28"/>
          <w:szCs w:val="28"/>
        </w:rPr>
        <w:t>社康中医文化氛围提升服务项目报价清单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.龙岗区第七人民医院</w:t>
      </w:r>
      <w:r>
        <w:rPr>
          <w:rFonts w:hint="eastAsia" w:ascii="仿宋_GB2312" w:hAnsi="仿宋_GB2312" w:eastAsia="仿宋_GB2312" w:cs="仿宋_GB2312"/>
          <w:sz w:val="28"/>
          <w:szCs w:val="28"/>
          <w:lang w:val="en-US" w:eastAsia="zh-CN"/>
        </w:rPr>
        <w:t>简竹</w:t>
      </w:r>
      <w:r>
        <w:rPr>
          <w:rFonts w:hint="eastAsia" w:ascii="仿宋_GB2312" w:hAnsi="仿宋_GB2312" w:eastAsia="仿宋_GB2312" w:cs="仿宋_GB2312"/>
          <w:sz w:val="28"/>
          <w:szCs w:val="28"/>
        </w:rPr>
        <w:t>社康中医文化氛围提升服务项目报价清单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.投标及履约承诺函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.法人身份证复印件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.法人授权委托人身份证复印件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.法定代表人资格证明书</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.法人授权委托证明书</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.供应商“三证合一”（工商营业执照、组织机构代码证和税务登记证）复印件与生产（经营）许可证的复印件</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.同类项目业绩</w:t>
      </w:r>
    </w:p>
    <w:p>
      <w:pPr>
        <w:tabs>
          <w:tab w:val="left" w:pos="630"/>
          <w:tab w:val="left" w:pos="840"/>
        </w:tabs>
        <w:spacing w:line="500" w:lineRule="exact"/>
        <w:ind w:left="420"/>
        <w:rPr>
          <w:rFonts w:hint="default" w:eastAsia="仿宋_GB2312"/>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履约评价</w:t>
      </w:r>
    </w:p>
    <w:p>
      <w:pPr>
        <w:tabs>
          <w:tab w:val="left" w:pos="630"/>
          <w:tab w:val="left" w:pos="840"/>
        </w:tabs>
        <w:spacing w:line="500" w:lineRule="exact"/>
        <w:ind w:left="420"/>
        <w:rPr>
          <w:b/>
          <w:bC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.服务质量保障方案</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17.项目总体概述及理解</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18.中医氛围提升服务方案</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.中小企业声明函</w:t>
      </w:r>
    </w:p>
    <w:p>
      <w:pPr>
        <w:tabs>
          <w:tab w:val="left" w:pos="630"/>
          <w:tab w:val="left" w:pos="840"/>
        </w:tabs>
        <w:spacing w:line="500" w:lineRule="exact"/>
        <w:ind w:left="420"/>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.其他证明材料</w:t>
      </w: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项目的招标文件，完全同意招标文件中的所有条款，愿意按招标文件要求，决定以总价：￥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元）的投标报价提供与招标文件中描述相一致的产品与服务，并许以如下承诺：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2"/>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法定代表人或其委托人（签字）：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6.与其他投标供应商不存在单位负责人为同一人或者存在直接控股、管理关系。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7.我公司在参与本项目投标过程中，严格遵守政府采购相关法律，不弄虚作假，不隐瞒真实情况，不围标串标，不恶意质疑投诉。我公司已清楚，如违反上述要求，贵方有权废除我公司的投标资格。</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8.我公司如果中标，做到守信，不偷工减料，依照本项目招标文件需求内容、签署的采购合同及本公司在投标中所作的一切承诺履约。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12.我公司保证不转包、不违法分包。</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spacing w:line="440" w:lineRule="exact"/>
        <w:ind w:firstLine="640" w:firstLineChars="200"/>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投标人：（加盖公章）</w:t>
      </w:r>
    </w:p>
    <w:p>
      <w:pPr>
        <w:spacing w:line="44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jc w:val="center"/>
        <w:rPr>
          <w:rFonts w:ascii="宋体" w:hAnsi="宋体" w:cs="宋体"/>
          <w:b/>
          <w:bCs/>
          <w:sz w:val="44"/>
          <w:szCs w:val="44"/>
        </w:rPr>
      </w:pPr>
    </w:p>
    <w:p>
      <w:pPr>
        <w:pStyle w:val="6"/>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4"/>
        <w:spacing w:beforeAutospacing="0" w:afterAutospacing="0" w:line="500" w:lineRule="exact"/>
        <w:jc w:val="center"/>
        <w:rPr>
          <w:rFonts w:hint="default" w:ascii="黑体"/>
          <w:sz w:val="32"/>
          <w:szCs w:val="32"/>
        </w:rPr>
      </w:pPr>
    </w:p>
    <w:p>
      <w:pPr>
        <w:pStyle w:val="4"/>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0"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b/>
          <w:bCs/>
          <w:sz w:val="32"/>
          <w:szCs w:val="32"/>
        </w:rPr>
      </w:pP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sz w:val="32"/>
          <w:szCs w:val="32"/>
        </w:rPr>
        <w:t>，以下简称300号文）；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（2）声明是残疾人福利性单位须填写《残疾人福利性单位声明函》的相关内容，具体参照以上《中小企业声明函》填写要求执行。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（3）声明是监狱企业须填写《监狱企业声明函》的三项内容（填写位置的字体已加粗），具体参照以上《中小企业声明函》填写要求执行。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5、声明函的有效性最终由评审委员会判定；如评审委员会判定声明函无效，相关供应商不享受价格扣除（但不作投标无效处理）。</w:t>
      </w:r>
    </w:p>
    <w:p>
      <w:pPr>
        <w:pStyle w:val="4"/>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rPr>
          <w:b/>
          <w:sz w:val="36"/>
          <w:szCs w:val="36"/>
        </w:rPr>
      </w:pPr>
    </w:p>
    <w:p>
      <w:pPr>
        <w:rPr>
          <w:b/>
          <w:sz w:val="36"/>
          <w:szCs w:val="36"/>
        </w:rPr>
      </w:pPr>
    </w:p>
    <w:p>
      <w:pPr>
        <w:pStyle w:val="25"/>
        <w:ind w:firstLine="723"/>
        <w:rPr>
          <w:b/>
          <w:sz w:val="36"/>
          <w:szCs w:val="36"/>
        </w:rPr>
      </w:pPr>
    </w:p>
    <w:p>
      <w:pPr>
        <w:rPr>
          <w:b/>
          <w:sz w:val="36"/>
          <w:szCs w:val="36"/>
        </w:rPr>
      </w:pPr>
    </w:p>
    <w:p>
      <w:pPr>
        <w:pStyle w:val="2"/>
      </w:pPr>
    </w:p>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2"/>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2"/>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2"/>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sz w:val="32"/>
          <w:szCs w:val="32"/>
        </w:rPr>
      </w:pPr>
    </w:p>
    <w:p>
      <w:pPr>
        <w:pStyle w:val="25"/>
      </w:pPr>
    </w:p>
    <w:p/>
    <w:p/>
    <w:p/>
    <w:p>
      <w:pPr>
        <w:numPr>
          <w:ilvl w:val="0"/>
          <w:numId w:val="7"/>
        </w:numPr>
        <w:spacing w:line="500" w:lineRule="exact"/>
        <w:jc w:val="center"/>
        <w:rPr>
          <w:b/>
          <w:sz w:val="36"/>
          <w:szCs w:val="36"/>
        </w:rPr>
      </w:pPr>
      <w:r>
        <w:rPr>
          <w:rFonts w:hint="eastAsia"/>
          <w:b/>
          <w:sz w:val="36"/>
          <w:szCs w:val="36"/>
        </w:rPr>
        <w:t>监狱企业声明函</w:t>
      </w:r>
    </w:p>
    <w:p>
      <w:pPr>
        <w:pStyle w:val="2"/>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2"/>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4"/>
        <w:spacing w:beforeAutospacing="0" w:afterAutospacing="0" w:line="500" w:lineRule="exact"/>
        <w:ind w:firstLine="643" w:firstLineChars="200"/>
        <w:jc w:val="both"/>
        <w:rPr>
          <w:rFonts w:hint="default" w:ascii="Calibri" w:hAnsi="Calibri" w:cs="黑体"/>
          <w:b/>
          <w:kern w:val="2"/>
          <w:sz w:val="32"/>
          <w:szCs w:val="32"/>
        </w:rPr>
      </w:pPr>
    </w:p>
    <w:p>
      <w:pPr>
        <w:pStyle w:val="4"/>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0"/>
        <w:tblW w:w="13061" w:type="dxa"/>
        <w:tblInd w:w="0" w:type="dxa"/>
        <w:tblLayout w:type="fixed"/>
        <w:tblCellMar>
          <w:top w:w="15" w:type="dxa"/>
          <w:left w:w="15" w:type="dxa"/>
          <w:bottom w:w="15" w:type="dxa"/>
          <w:right w:w="15" w:type="dxa"/>
        </w:tblCellMar>
      </w:tblPr>
      <w:tblGrid>
        <w:gridCol w:w="574"/>
        <w:gridCol w:w="2745"/>
        <w:gridCol w:w="3262"/>
        <w:gridCol w:w="2490"/>
        <w:gridCol w:w="2459"/>
        <w:gridCol w:w="1531"/>
      </w:tblGrid>
      <w:tr>
        <w:tblPrEx>
          <w:tblCellMar>
            <w:top w:w="15" w:type="dxa"/>
            <w:left w:w="15" w:type="dxa"/>
            <w:bottom w:w="15" w:type="dxa"/>
            <w:right w:w="15" w:type="dxa"/>
          </w:tblCellMar>
        </w:tblPrEx>
        <w:trPr>
          <w:trHeight w:val="705" w:hRule="atLeast"/>
        </w:trPr>
        <w:tc>
          <w:tcPr>
            <w:tcW w:w="13061" w:type="dxa"/>
            <w:gridSpan w:val="6"/>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907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p>
        </w:tc>
        <w:tc>
          <w:tcPr>
            <w:tcW w:w="39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280" w:firstLineChars="100"/>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8"/>
                <w:szCs w:val="28"/>
              </w:rPr>
              <w:t>采购项目编号:LGQY2024ZW00</w:t>
            </w:r>
            <w:r>
              <w:rPr>
                <w:rFonts w:hint="eastAsia" w:ascii="仿宋" w:hAnsi="仿宋" w:eastAsia="仿宋" w:cs="仿宋"/>
                <w:color w:val="000000"/>
                <w:kern w:val="0"/>
                <w:sz w:val="28"/>
                <w:szCs w:val="28"/>
                <w:lang w:val="en-US" w:eastAsia="zh-CN"/>
              </w:rPr>
              <w:t>7</w:t>
            </w:r>
          </w:p>
        </w:tc>
      </w:tr>
      <w:tr>
        <w:tblPrEx>
          <w:tblCellMar>
            <w:top w:w="15" w:type="dxa"/>
            <w:left w:w="15" w:type="dxa"/>
            <w:bottom w:w="15" w:type="dxa"/>
            <w:right w:w="15" w:type="dxa"/>
          </w:tblCellMar>
        </w:tblPrEx>
        <w:trPr>
          <w:trHeight w:val="75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0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总价（元）</w:t>
            </w:r>
          </w:p>
        </w:tc>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交货期</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60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5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645"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投标总价(人民币大写)</w:t>
            </w:r>
          </w:p>
        </w:tc>
        <w:tc>
          <w:tcPr>
            <w:tcW w:w="32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人民币小写</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元</w:t>
            </w:r>
            <w:r>
              <w:rPr>
                <w:rFonts w:hint="eastAsia" w:ascii="仿宋" w:hAnsi="仿宋" w:eastAsia="仿宋" w:cs="仿宋"/>
                <w:color w:val="000000"/>
                <w:kern w:val="0"/>
                <w:sz w:val="22"/>
                <w:szCs w:val="22"/>
                <w:lang w:eastAsia="zh-CN"/>
              </w:rPr>
              <w:t>）</w:t>
            </w:r>
          </w:p>
        </w:tc>
        <w:tc>
          <w:tcPr>
            <w:tcW w:w="3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r>
    </w:tbl>
    <w:p>
      <w:pPr>
        <w:numPr>
          <w:ilvl w:val="0"/>
          <w:numId w:val="8"/>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8"/>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8"/>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ascii="仿宋" w:hAnsi="仿宋" w:eastAsia="仿宋" w:cs="仿宋"/>
          <w:sz w:val="28"/>
          <w:szCs w:val="28"/>
          <w:lang w:eastAsia="zh-CN"/>
        </w:rPr>
      </w:pPr>
      <w:r>
        <w:rPr>
          <w:rFonts w:hint="eastAsia" w:ascii="仿宋" w:hAnsi="仿宋" w:eastAsia="仿宋" w:cs="仿宋"/>
          <w:sz w:val="28"/>
          <w:szCs w:val="28"/>
        </w:rPr>
        <w:t xml:space="preserve">  投标单位全称（加盖公章）</w:t>
      </w:r>
      <w:r>
        <w:rPr>
          <w:rFonts w:hint="eastAsia" w:ascii="仿宋" w:hAnsi="仿宋" w:eastAsia="仿宋" w:cs="仿宋"/>
          <w:sz w:val="28"/>
          <w:szCs w:val="28"/>
          <w:lang w:eastAsia="zh-CN"/>
        </w:rPr>
        <w:t>：</w:t>
      </w:r>
    </w:p>
    <w:p>
      <w:pPr>
        <w:pStyle w:val="2"/>
        <w:rPr>
          <w:rFonts w:hint="eastAsia"/>
          <w:lang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802"/>
        <w:gridCol w:w="3400"/>
        <w:gridCol w:w="1660"/>
        <w:gridCol w:w="908"/>
        <w:gridCol w:w="859"/>
        <w:gridCol w:w="2063"/>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36"/>
                <w:szCs w:val="36"/>
                <w:u w:val="none"/>
                <w:lang w:val="en-US"/>
              </w:rPr>
            </w:pPr>
            <w:r>
              <w:rPr>
                <w:rFonts w:hint="eastAsia" w:ascii="微软雅黑" w:hAnsi="微软雅黑" w:eastAsia="微软雅黑" w:cs="微软雅黑"/>
                <w:b/>
                <w:bCs/>
                <w:i w:val="0"/>
                <w:iCs w:val="0"/>
                <w:color w:val="000000"/>
                <w:kern w:val="0"/>
                <w:sz w:val="36"/>
                <w:szCs w:val="36"/>
                <w:u w:val="none"/>
                <w:lang w:val="en-US" w:eastAsia="zh-CN" w:bidi="ar"/>
              </w:rPr>
              <w:t>简竹社康中医文化氛围服务项目清单分项报价表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DBDBDB"/>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w:t>
            </w:r>
          </w:p>
        </w:tc>
        <w:tc>
          <w:tcPr>
            <w:tcW w:w="1311"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说明</w:t>
            </w:r>
          </w:p>
        </w:tc>
        <w:tc>
          <w:tcPr>
            <w:tcW w:w="640"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尺寸</w:t>
            </w:r>
          </w:p>
        </w:tc>
        <w:tc>
          <w:tcPr>
            <w:tcW w:w="350"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331"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95"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材质</w:t>
            </w:r>
          </w:p>
        </w:tc>
        <w:tc>
          <w:tcPr>
            <w:tcW w:w="622" w:type="pct"/>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中医阁</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中医阁牌匾</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100*30cm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立体字</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中医文化科普角立体字</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180*20cm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大厅展示墙</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草本展示墙面  </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 *100cm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窗帘</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诊室百叶窗帘</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230*180cm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门帘</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布艺半截门帘</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90*120cm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设计费</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制作画面设计</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人工搬运安装等</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工</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运输</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材料运输</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bl>
    <w:p>
      <w:pPr>
        <w:spacing w:line="360" w:lineRule="auto"/>
        <w:rPr>
          <w:rFonts w:ascii="宋体" w:hAnsi="宋体" w:cs="宋体"/>
          <w:sz w:val="32"/>
          <w:szCs w:val="32"/>
        </w:rPr>
      </w:pPr>
      <w:r>
        <w:rPr>
          <w:rFonts w:hint="eastAsia" w:ascii="宋体" w:hAnsi="宋体" w:cs="宋体"/>
          <w:sz w:val="32"/>
          <w:szCs w:val="32"/>
        </w:rPr>
        <w:t xml:space="preserve">投标人名称（盖章）：                        </w:t>
      </w:r>
    </w:p>
    <w:p>
      <w:pPr>
        <w:spacing w:line="360" w:lineRule="auto"/>
        <w:rPr>
          <w:rFonts w:hint="eastAsia" w:ascii="宋体" w:hAnsi="宋体" w:cs="宋体"/>
          <w:sz w:val="32"/>
          <w:szCs w:val="32"/>
          <w:lang w:val="en-US" w:eastAsia="zh-CN"/>
        </w:rPr>
      </w:pPr>
      <w:r>
        <w:rPr>
          <w:rFonts w:hint="eastAsia" w:ascii="宋体" w:hAnsi="宋体" w:cs="宋体"/>
          <w:sz w:val="32"/>
          <w:szCs w:val="32"/>
        </w:rPr>
        <w:t xml:space="preserve">日期：   年   月  </w:t>
      </w:r>
      <w:r>
        <w:rPr>
          <w:rFonts w:hint="eastAsia" w:ascii="宋体" w:hAnsi="宋体" w:cs="宋体"/>
          <w:sz w:val="32"/>
          <w:szCs w:val="32"/>
          <w:lang w:val="en-US" w:eastAsia="zh-CN"/>
        </w:rPr>
        <w:t>日</w:t>
      </w:r>
    </w:p>
    <w:p>
      <w:pPr>
        <w:pStyle w:val="2"/>
        <w:rPr>
          <w:rFonts w:hint="eastAsia" w:ascii="宋体" w:hAnsi="宋体" w:cs="宋体"/>
          <w:sz w:val="32"/>
          <w:szCs w:val="32"/>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121"/>
        <w:gridCol w:w="4084"/>
        <w:gridCol w:w="1569"/>
        <w:gridCol w:w="900"/>
        <w:gridCol w:w="915"/>
        <w:gridCol w:w="1794"/>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8"/>
                <w:szCs w:val="48"/>
                <w:u w:val="none"/>
              </w:rPr>
            </w:pPr>
            <w:r>
              <w:rPr>
                <w:rFonts w:hint="eastAsia" w:ascii="微软雅黑" w:hAnsi="微软雅黑" w:eastAsia="微软雅黑" w:cs="微软雅黑"/>
                <w:b/>
                <w:bCs/>
                <w:i w:val="0"/>
                <w:iCs w:val="0"/>
                <w:color w:val="000000"/>
                <w:kern w:val="0"/>
                <w:sz w:val="36"/>
                <w:szCs w:val="36"/>
                <w:u w:val="none"/>
                <w:lang w:val="en-US" w:eastAsia="zh-CN" w:bidi="ar"/>
              </w:rPr>
              <w:t>沙湾社康中医文化氛围提升服务项目分项报价表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DCDCDC"/>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w:t>
            </w:r>
          </w:p>
        </w:tc>
        <w:tc>
          <w:tcPr>
            <w:tcW w:w="1574"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说明</w:t>
            </w:r>
          </w:p>
        </w:tc>
        <w:tc>
          <w:tcPr>
            <w:tcW w:w="604"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尺寸</w:t>
            </w:r>
          </w:p>
        </w:tc>
        <w:tc>
          <w:tcPr>
            <w:tcW w:w="346"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691"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材质</w:t>
            </w:r>
          </w:p>
        </w:tc>
        <w:tc>
          <w:tcPr>
            <w:tcW w:w="745" w:type="pct"/>
            <w:tcBorders>
              <w:top w:val="single" w:color="000000" w:sz="4" w:space="0"/>
              <w:left w:val="single" w:color="000000" w:sz="4" w:space="0"/>
              <w:bottom w:val="single" w:color="000000" w:sz="4" w:space="0"/>
              <w:right w:val="single" w:color="000000" w:sz="4" w:space="0"/>
            </w:tcBorders>
            <w:shd w:val="clear" w:color="auto" w:fill="DCDCDC"/>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信息栏</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定制中医信息栏  </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380*170cm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射灯</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格栅墙面装饰</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中医阁牌匾</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165*70cm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牌匾：针灸、艾灸、刮痧、拔罐、推拿、正骨</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40cm*37cm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射灯</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科普文化角</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立体字：中医文化科普角</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200*30cm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草本展示墙面   </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200*100cm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组</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实木展示柜   定制实木烤漆抽拉展示柜</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200*50*110cm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组</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射灯</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中医诊室</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大医精诚牌匾  </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130*60cm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中式门牌：诊室   </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25*16cm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实木百叶窗帘</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230*205cm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组</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治疗室</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实木装饰画：中医推拿、艾灸等装饰画</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50*70cm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中式门牌：诊室   实木雕刻喷漆门牌 </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25*16cm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磨纱玻璃贴、小儿推拿宣传</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200*180cm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实木百叶窗帘（大）</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230*205cm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组</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实木百叶窗帘（小）</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90*205cm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组</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中式门牌</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定制诊室、艾灸室等中式门牌 </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25*16cm</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走电</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电路铺设含线材等</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设计费</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制作画面设计</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运输费</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物料运输</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人工费</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工</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4"/>
                <w:szCs w:val="24"/>
                <w:u w:val="none"/>
              </w:rPr>
            </w:pPr>
          </w:p>
        </w:tc>
      </w:tr>
    </w:tbl>
    <w:p>
      <w:pPr>
        <w:spacing w:line="360" w:lineRule="auto"/>
        <w:rPr>
          <w:rFonts w:hint="eastAsia"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t xml:space="preserve">投标人名称（盖章）：                        </w:t>
      </w:r>
    </w:p>
    <w:p>
      <w:pPr>
        <w:spacing w:line="360" w:lineRule="auto"/>
        <w:rPr>
          <w:rFonts w:hint="eastAsia"/>
          <w:lang w:val="en-US" w:eastAsia="zh-CN"/>
        </w:rPr>
        <w:sectPr>
          <w:pgSz w:w="16838" w:h="11906" w:orient="landscape"/>
          <w:pgMar w:top="1304" w:right="2098" w:bottom="1474" w:left="1984" w:header="851" w:footer="1417" w:gutter="0"/>
          <w:pgNumType w:fmt="numberInDash"/>
          <w:cols w:space="0" w:num="1"/>
          <w:docGrid w:type="lines" w:linePitch="327" w:charSpace="0"/>
        </w:sectPr>
      </w:pPr>
      <w:r>
        <w:rPr>
          <w:rFonts w:hint="eastAsia" w:ascii="宋体" w:hAnsi="宋体" w:cs="宋体"/>
          <w:sz w:val="32"/>
          <w:szCs w:val="32"/>
        </w:rPr>
        <w:t xml:space="preserve">日期：   年   月  </w:t>
      </w:r>
      <w:r>
        <w:rPr>
          <w:rFonts w:hint="eastAsia" w:ascii="宋体" w:hAnsi="宋体" w:cs="宋体"/>
          <w:sz w:val="32"/>
          <w:szCs w:val="32"/>
          <w:lang w:val="en-US" w:eastAsia="zh-CN"/>
        </w:rPr>
        <w:t>日</w:t>
      </w:r>
    </w:p>
    <w:p>
      <w:pPr>
        <w:pStyle w:val="2"/>
      </w:pPr>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2"/>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6"/>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6"/>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帐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8"/>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8"/>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8"/>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587" w:header="851" w:footer="1417" w:gutter="0"/>
          <w:pgNumType w:fmt="numberInDash"/>
          <w:cols w:space="0" w:num="1"/>
          <w:docGrid w:type="lines" w:linePitch="327"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委托代理人签名：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2"/>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2"/>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sectPr>
      <w:headerReference r:id="rId6" w:type="default"/>
      <w:footerReference r:id="rId7"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3"/>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37C1C332"/>
    <w:multiLevelType w:val="singleLevel"/>
    <w:tmpl w:val="37C1C332"/>
    <w:lvl w:ilvl="0" w:tentative="0">
      <w:start w:val="2"/>
      <w:numFmt w:val="chineseCounting"/>
      <w:suff w:val="space"/>
      <w:lvlText w:val="第%1章"/>
      <w:lvlJc w:val="left"/>
      <w:rPr>
        <w:rFonts w:hint="eastAsia"/>
      </w:rPr>
    </w:lvl>
  </w:abstractNum>
  <w:abstractNum w:abstractNumId="3">
    <w:nsid w:val="5874376B"/>
    <w:multiLevelType w:val="singleLevel"/>
    <w:tmpl w:val="5874376B"/>
    <w:lvl w:ilvl="0" w:tentative="0">
      <w:start w:val="1"/>
      <w:numFmt w:val="decimal"/>
      <w:lvlText w:val="%1."/>
      <w:lvlJc w:val="left"/>
      <w:pPr>
        <w:ind w:left="425" w:hanging="425"/>
      </w:pPr>
      <w:rPr>
        <w:rFonts w:hint="default"/>
      </w:rPr>
    </w:lvl>
  </w:abstractNum>
  <w:abstractNum w:abstractNumId="4">
    <w:nsid w:val="58C64E55"/>
    <w:multiLevelType w:val="singleLevel"/>
    <w:tmpl w:val="58C64E55"/>
    <w:lvl w:ilvl="0" w:tentative="0">
      <w:start w:val="1"/>
      <w:numFmt w:val="decimal"/>
      <w:lvlText w:val="%1."/>
      <w:lvlJc w:val="left"/>
      <w:pPr>
        <w:ind w:left="425" w:hanging="425"/>
      </w:pPr>
      <w:rPr>
        <w:rFonts w:hint="default"/>
      </w:rPr>
    </w:lvl>
  </w:abstractNum>
  <w:abstractNum w:abstractNumId="5">
    <w:nsid w:val="597FE803"/>
    <w:multiLevelType w:val="singleLevel"/>
    <w:tmpl w:val="597FE803"/>
    <w:lvl w:ilvl="0" w:tentative="0">
      <w:start w:val="3"/>
      <w:numFmt w:val="chineseCounting"/>
      <w:suff w:val="space"/>
      <w:lvlText w:val="第%1章"/>
      <w:lvlJc w:val="left"/>
    </w:lvl>
  </w:abstractNum>
  <w:abstractNum w:abstractNumId="6">
    <w:nsid w:val="5983D421"/>
    <w:multiLevelType w:val="singleLevel"/>
    <w:tmpl w:val="5983D421"/>
    <w:lvl w:ilvl="0" w:tentative="0">
      <w:start w:val="1"/>
      <w:numFmt w:val="decimal"/>
      <w:suff w:val="nothing"/>
      <w:lvlText w:val="%1．"/>
      <w:lvlJc w:val="left"/>
      <w:pPr>
        <w:ind w:left="0" w:firstLine="400"/>
      </w:pPr>
      <w:rPr>
        <w:rFonts w:hint="default"/>
      </w:rPr>
    </w:lvl>
  </w:abstractNum>
  <w:abstractNum w:abstractNumId="7">
    <w:nsid w:val="734F7D83"/>
    <w:multiLevelType w:val="multilevel"/>
    <w:tmpl w:val="734F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B72B85"/>
    <w:rsid w:val="00B925D1"/>
    <w:rsid w:val="00BC3C6E"/>
    <w:rsid w:val="00D743B5"/>
    <w:rsid w:val="00DE5384"/>
    <w:rsid w:val="00E35822"/>
    <w:rsid w:val="00E64BFF"/>
    <w:rsid w:val="00F32166"/>
    <w:rsid w:val="00FB1A0F"/>
    <w:rsid w:val="018127EE"/>
    <w:rsid w:val="01A4698D"/>
    <w:rsid w:val="01AA1AC9"/>
    <w:rsid w:val="021A09FD"/>
    <w:rsid w:val="02652F99"/>
    <w:rsid w:val="0374413D"/>
    <w:rsid w:val="03D16D75"/>
    <w:rsid w:val="04AE18D1"/>
    <w:rsid w:val="04AE60AB"/>
    <w:rsid w:val="04B942F4"/>
    <w:rsid w:val="04BF2C00"/>
    <w:rsid w:val="058C7E64"/>
    <w:rsid w:val="06301F59"/>
    <w:rsid w:val="06640499"/>
    <w:rsid w:val="07126147"/>
    <w:rsid w:val="071E2D3E"/>
    <w:rsid w:val="073F0F06"/>
    <w:rsid w:val="075157E3"/>
    <w:rsid w:val="07BC60B3"/>
    <w:rsid w:val="07BD64DF"/>
    <w:rsid w:val="07CF5DE6"/>
    <w:rsid w:val="08C54B35"/>
    <w:rsid w:val="092F7FCE"/>
    <w:rsid w:val="09433D1A"/>
    <w:rsid w:val="097924AD"/>
    <w:rsid w:val="097C7EC3"/>
    <w:rsid w:val="09B35A64"/>
    <w:rsid w:val="09B55410"/>
    <w:rsid w:val="0A2A37A7"/>
    <w:rsid w:val="0B4A355A"/>
    <w:rsid w:val="0B6158EF"/>
    <w:rsid w:val="0BC35C62"/>
    <w:rsid w:val="0C217FB9"/>
    <w:rsid w:val="0D0429D6"/>
    <w:rsid w:val="0D556D8D"/>
    <w:rsid w:val="0E320E7D"/>
    <w:rsid w:val="0EE859DF"/>
    <w:rsid w:val="0F9A771C"/>
    <w:rsid w:val="0FA20284"/>
    <w:rsid w:val="0FD85A54"/>
    <w:rsid w:val="10341E1C"/>
    <w:rsid w:val="10533B3A"/>
    <w:rsid w:val="10AA5642"/>
    <w:rsid w:val="10C7659F"/>
    <w:rsid w:val="111A61E1"/>
    <w:rsid w:val="114D677E"/>
    <w:rsid w:val="12301B77"/>
    <w:rsid w:val="12A045C5"/>
    <w:rsid w:val="12B80982"/>
    <w:rsid w:val="12D55CE4"/>
    <w:rsid w:val="13EB54F9"/>
    <w:rsid w:val="13EC7D20"/>
    <w:rsid w:val="144E2788"/>
    <w:rsid w:val="144E4536"/>
    <w:rsid w:val="154C6CC8"/>
    <w:rsid w:val="15530355"/>
    <w:rsid w:val="159E5049"/>
    <w:rsid w:val="15F07F9B"/>
    <w:rsid w:val="15F86E50"/>
    <w:rsid w:val="1604435F"/>
    <w:rsid w:val="16412C4F"/>
    <w:rsid w:val="173E7811"/>
    <w:rsid w:val="17953E93"/>
    <w:rsid w:val="17E727FA"/>
    <w:rsid w:val="18C451BC"/>
    <w:rsid w:val="18FA3739"/>
    <w:rsid w:val="19B64970"/>
    <w:rsid w:val="19D811F5"/>
    <w:rsid w:val="19D84FCE"/>
    <w:rsid w:val="19FB0CBC"/>
    <w:rsid w:val="1A7B1DFD"/>
    <w:rsid w:val="1AED4883"/>
    <w:rsid w:val="1AF2200F"/>
    <w:rsid w:val="1B3F4FA9"/>
    <w:rsid w:val="1CD84004"/>
    <w:rsid w:val="1D4961E3"/>
    <w:rsid w:val="1D752B34"/>
    <w:rsid w:val="1D862F93"/>
    <w:rsid w:val="1D8B67FB"/>
    <w:rsid w:val="1DFD108C"/>
    <w:rsid w:val="1EC24C8C"/>
    <w:rsid w:val="1EDD3086"/>
    <w:rsid w:val="1EEC5078"/>
    <w:rsid w:val="1F6F0182"/>
    <w:rsid w:val="1FBF614E"/>
    <w:rsid w:val="1FF22B62"/>
    <w:rsid w:val="20465A95"/>
    <w:rsid w:val="20EA55E7"/>
    <w:rsid w:val="21AC5E36"/>
    <w:rsid w:val="224B10B0"/>
    <w:rsid w:val="22520A20"/>
    <w:rsid w:val="233D2346"/>
    <w:rsid w:val="23562E58"/>
    <w:rsid w:val="23582CDC"/>
    <w:rsid w:val="24AF4B7D"/>
    <w:rsid w:val="24F9229C"/>
    <w:rsid w:val="250255F5"/>
    <w:rsid w:val="256242E5"/>
    <w:rsid w:val="25C91C6F"/>
    <w:rsid w:val="25D23219"/>
    <w:rsid w:val="25E1520A"/>
    <w:rsid w:val="25E665E2"/>
    <w:rsid w:val="262B18C3"/>
    <w:rsid w:val="26D905D7"/>
    <w:rsid w:val="272555CB"/>
    <w:rsid w:val="276F4634"/>
    <w:rsid w:val="28D0778C"/>
    <w:rsid w:val="28ED5768"/>
    <w:rsid w:val="28F60FCD"/>
    <w:rsid w:val="292E22DB"/>
    <w:rsid w:val="294C017B"/>
    <w:rsid w:val="29507635"/>
    <w:rsid w:val="2959155B"/>
    <w:rsid w:val="29CB461F"/>
    <w:rsid w:val="2A8645D2"/>
    <w:rsid w:val="2A8B3997"/>
    <w:rsid w:val="2AB23619"/>
    <w:rsid w:val="2AE232B1"/>
    <w:rsid w:val="2B585F6F"/>
    <w:rsid w:val="2B726905"/>
    <w:rsid w:val="2BED3949"/>
    <w:rsid w:val="2D033C32"/>
    <w:rsid w:val="2DF21B43"/>
    <w:rsid w:val="2E1168A9"/>
    <w:rsid w:val="2E33112D"/>
    <w:rsid w:val="2E8C7518"/>
    <w:rsid w:val="2F5126FB"/>
    <w:rsid w:val="2F661D69"/>
    <w:rsid w:val="2F7E1D1C"/>
    <w:rsid w:val="2F860BD0"/>
    <w:rsid w:val="2FF975F4"/>
    <w:rsid w:val="30416508"/>
    <w:rsid w:val="30711881"/>
    <w:rsid w:val="307F5D4C"/>
    <w:rsid w:val="30C9346B"/>
    <w:rsid w:val="30D065A7"/>
    <w:rsid w:val="311E2BD7"/>
    <w:rsid w:val="313755DD"/>
    <w:rsid w:val="317F0E37"/>
    <w:rsid w:val="31975317"/>
    <w:rsid w:val="31B23A0E"/>
    <w:rsid w:val="31C003CA"/>
    <w:rsid w:val="31C12394"/>
    <w:rsid w:val="32A36DF8"/>
    <w:rsid w:val="32CF78F1"/>
    <w:rsid w:val="33477044"/>
    <w:rsid w:val="33552D94"/>
    <w:rsid w:val="337C2A16"/>
    <w:rsid w:val="33CB12A8"/>
    <w:rsid w:val="341E7629"/>
    <w:rsid w:val="34D50F94"/>
    <w:rsid w:val="35063ED8"/>
    <w:rsid w:val="35550C3B"/>
    <w:rsid w:val="35656D09"/>
    <w:rsid w:val="35A31149"/>
    <w:rsid w:val="36737BCD"/>
    <w:rsid w:val="36AA64F4"/>
    <w:rsid w:val="36CD25AD"/>
    <w:rsid w:val="36D30B9F"/>
    <w:rsid w:val="36E65199"/>
    <w:rsid w:val="3717474B"/>
    <w:rsid w:val="37A75B88"/>
    <w:rsid w:val="37D56B99"/>
    <w:rsid w:val="385B628E"/>
    <w:rsid w:val="388F0AF6"/>
    <w:rsid w:val="38F46ED0"/>
    <w:rsid w:val="397D3044"/>
    <w:rsid w:val="399F07E5"/>
    <w:rsid w:val="39C96289"/>
    <w:rsid w:val="39EE5CF0"/>
    <w:rsid w:val="3ADD50BB"/>
    <w:rsid w:val="3ADF24A2"/>
    <w:rsid w:val="3BDF5CF7"/>
    <w:rsid w:val="3BEE0229"/>
    <w:rsid w:val="3C2809C3"/>
    <w:rsid w:val="3C300842"/>
    <w:rsid w:val="3C616C4D"/>
    <w:rsid w:val="3C7D7AB1"/>
    <w:rsid w:val="3CC316B6"/>
    <w:rsid w:val="3CCA057D"/>
    <w:rsid w:val="3CDD1AFD"/>
    <w:rsid w:val="3D5E4F3B"/>
    <w:rsid w:val="3DA212CB"/>
    <w:rsid w:val="3DD5344F"/>
    <w:rsid w:val="3DED3697"/>
    <w:rsid w:val="3E3068D7"/>
    <w:rsid w:val="3E3208A1"/>
    <w:rsid w:val="3E3A575D"/>
    <w:rsid w:val="3EB968CD"/>
    <w:rsid w:val="3EC040FF"/>
    <w:rsid w:val="3F0E1732"/>
    <w:rsid w:val="3F713F31"/>
    <w:rsid w:val="3FE756BB"/>
    <w:rsid w:val="3FEC4A80"/>
    <w:rsid w:val="41847666"/>
    <w:rsid w:val="41923405"/>
    <w:rsid w:val="41C5246F"/>
    <w:rsid w:val="42A7780B"/>
    <w:rsid w:val="42B639E7"/>
    <w:rsid w:val="42CE5496"/>
    <w:rsid w:val="439E0787"/>
    <w:rsid w:val="43B27D8E"/>
    <w:rsid w:val="4450382F"/>
    <w:rsid w:val="4517259F"/>
    <w:rsid w:val="453273D9"/>
    <w:rsid w:val="453F180C"/>
    <w:rsid w:val="45905269"/>
    <w:rsid w:val="45F94D3F"/>
    <w:rsid w:val="46192347"/>
    <w:rsid w:val="4648427E"/>
    <w:rsid w:val="46C87FF5"/>
    <w:rsid w:val="47160F4D"/>
    <w:rsid w:val="48A00AFD"/>
    <w:rsid w:val="495D2015"/>
    <w:rsid w:val="496F6A33"/>
    <w:rsid w:val="49991D28"/>
    <w:rsid w:val="49AF724A"/>
    <w:rsid w:val="4ABA5EC7"/>
    <w:rsid w:val="4B426083"/>
    <w:rsid w:val="4C0F5D7E"/>
    <w:rsid w:val="4C7402D7"/>
    <w:rsid w:val="4D6640C3"/>
    <w:rsid w:val="4DE568B7"/>
    <w:rsid w:val="4E940EAA"/>
    <w:rsid w:val="4E942433"/>
    <w:rsid w:val="4F563CC4"/>
    <w:rsid w:val="4FBC446F"/>
    <w:rsid w:val="4FDA1FB0"/>
    <w:rsid w:val="50680152"/>
    <w:rsid w:val="50760AC1"/>
    <w:rsid w:val="51D11D27"/>
    <w:rsid w:val="520B5935"/>
    <w:rsid w:val="52102850"/>
    <w:rsid w:val="528154FB"/>
    <w:rsid w:val="52880638"/>
    <w:rsid w:val="52C35B14"/>
    <w:rsid w:val="53486019"/>
    <w:rsid w:val="534C5B09"/>
    <w:rsid w:val="54A95743"/>
    <w:rsid w:val="54EF492F"/>
    <w:rsid w:val="55275FF4"/>
    <w:rsid w:val="557E5D22"/>
    <w:rsid w:val="55E62245"/>
    <w:rsid w:val="55E83420"/>
    <w:rsid w:val="560E5F06"/>
    <w:rsid w:val="56265BD3"/>
    <w:rsid w:val="569C2904"/>
    <w:rsid w:val="569D234C"/>
    <w:rsid w:val="56D71A69"/>
    <w:rsid w:val="56FE711B"/>
    <w:rsid w:val="573610DF"/>
    <w:rsid w:val="57CF2FF1"/>
    <w:rsid w:val="58BD150F"/>
    <w:rsid w:val="59B12B6A"/>
    <w:rsid w:val="59CB1616"/>
    <w:rsid w:val="5B376423"/>
    <w:rsid w:val="5B5C08B4"/>
    <w:rsid w:val="5BA02E96"/>
    <w:rsid w:val="5BE34B31"/>
    <w:rsid w:val="5C4F0418"/>
    <w:rsid w:val="5C6B1F9F"/>
    <w:rsid w:val="5C8C0F8F"/>
    <w:rsid w:val="5CA34C23"/>
    <w:rsid w:val="5CEE2462"/>
    <w:rsid w:val="5D6132D5"/>
    <w:rsid w:val="5D9205BD"/>
    <w:rsid w:val="5DC566D1"/>
    <w:rsid w:val="5E3E6996"/>
    <w:rsid w:val="5E816429"/>
    <w:rsid w:val="5EEC63F2"/>
    <w:rsid w:val="5F6E2A90"/>
    <w:rsid w:val="5FBE7D8F"/>
    <w:rsid w:val="602120CC"/>
    <w:rsid w:val="60363DC9"/>
    <w:rsid w:val="60940AF0"/>
    <w:rsid w:val="60966616"/>
    <w:rsid w:val="609D5BF6"/>
    <w:rsid w:val="61475B62"/>
    <w:rsid w:val="617E2342"/>
    <w:rsid w:val="61A51E1D"/>
    <w:rsid w:val="6283185C"/>
    <w:rsid w:val="634265E1"/>
    <w:rsid w:val="63E61662"/>
    <w:rsid w:val="64874BF3"/>
    <w:rsid w:val="65293EFC"/>
    <w:rsid w:val="65515201"/>
    <w:rsid w:val="65962C14"/>
    <w:rsid w:val="661E50E3"/>
    <w:rsid w:val="67811660"/>
    <w:rsid w:val="682C2166"/>
    <w:rsid w:val="68B735CD"/>
    <w:rsid w:val="68BA0AFA"/>
    <w:rsid w:val="68E1798E"/>
    <w:rsid w:val="68E51EE8"/>
    <w:rsid w:val="694035C3"/>
    <w:rsid w:val="697A703D"/>
    <w:rsid w:val="69BF430A"/>
    <w:rsid w:val="6A152CA1"/>
    <w:rsid w:val="6A301889"/>
    <w:rsid w:val="6A4946F9"/>
    <w:rsid w:val="6ABC5F37"/>
    <w:rsid w:val="6AE85CC0"/>
    <w:rsid w:val="6B1116BB"/>
    <w:rsid w:val="6BB8314C"/>
    <w:rsid w:val="6BD44496"/>
    <w:rsid w:val="6C4B6506"/>
    <w:rsid w:val="6C937EAD"/>
    <w:rsid w:val="6D2A6A64"/>
    <w:rsid w:val="6D486EEA"/>
    <w:rsid w:val="6D526EEE"/>
    <w:rsid w:val="6D7D3037"/>
    <w:rsid w:val="6DA2484C"/>
    <w:rsid w:val="6DA560EA"/>
    <w:rsid w:val="6DB66549"/>
    <w:rsid w:val="6E0E3C8F"/>
    <w:rsid w:val="6E4E094B"/>
    <w:rsid w:val="6EB26D11"/>
    <w:rsid w:val="6F6376FF"/>
    <w:rsid w:val="6F7B35A7"/>
    <w:rsid w:val="6FA46CEA"/>
    <w:rsid w:val="702E0619"/>
    <w:rsid w:val="7056191E"/>
    <w:rsid w:val="705F6A24"/>
    <w:rsid w:val="72126D4C"/>
    <w:rsid w:val="725D51E5"/>
    <w:rsid w:val="72DB72A3"/>
    <w:rsid w:val="73102258"/>
    <w:rsid w:val="73816170"/>
    <w:rsid w:val="73AF03FD"/>
    <w:rsid w:val="73DE5EB2"/>
    <w:rsid w:val="741C4C2C"/>
    <w:rsid w:val="74E219D2"/>
    <w:rsid w:val="75530B22"/>
    <w:rsid w:val="75954C96"/>
    <w:rsid w:val="766905FD"/>
    <w:rsid w:val="76E060E7"/>
    <w:rsid w:val="77383B2B"/>
    <w:rsid w:val="77495D38"/>
    <w:rsid w:val="78144598"/>
    <w:rsid w:val="788039DC"/>
    <w:rsid w:val="78D42106"/>
    <w:rsid w:val="78F80D78"/>
    <w:rsid w:val="7BBF55AB"/>
    <w:rsid w:val="7C584880"/>
    <w:rsid w:val="7C662EE9"/>
    <w:rsid w:val="7CE63A60"/>
    <w:rsid w:val="7D171B39"/>
    <w:rsid w:val="7D5B39DC"/>
    <w:rsid w:val="7D7D673C"/>
    <w:rsid w:val="7E5D6B27"/>
    <w:rsid w:val="7E855D33"/>
    <w:rsid w:val="7EAF0B77"/>
    <w:rsid w:val="7F015C77"/>
    <w:rsid w:val="7F945FBF"/>
    <w:rsid w:val="7F963AE5"/>
    <w:rsid w:val="7FC76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4"/>
    <w:next w:val="1"/>
    <w:autoRedefine/>
    <w:qFormat/>
    <w:uiPriority w:val="0"/>
    <w:pPr>
      <w:widowControl/>
      <w:spacing w:before="480" w:line="276" w:lineRule="auto"/>
      <w:outlineLvl w:val="0"/>
    </w:pPr>
    <w:rPr>
      <w:color w:val="365F91"/>
      <w:sz w:val="28"/>
      <w:szCs w:val="28"/>
    </w:rPr>
  </w:style>
  <w:style w:type="paragraph" w:styleId="5">
    <w:name w:val="heading 2"/>
    <w:basedOn w:val="1"/>
    <w:next w:val="1"/>
    <w:autoRedefine/>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宋体" w:hAnsi="宋体"/>
      <w:kern w:val="0"/>
      <w:sz w:val="32"/>
      <w:szCs w:val="32"/>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style>
  <w:style w:type="paragraph" w:styleId="9">
    <w:name w:val="annotation text"/>
    <w:basedOn w:val="1"/>
    <w:qFormat/>
    <w:uiPriority w:val="99"/>
    <w:pPr>
      <w:jc w:val="left"/>
    </w:pPr>
  </w:style>
  <w:style w:type="paragraph" w:styleId="10">
    <w:name w:val="Body Text Indent"/>
    <w:basedOn w:val="1"/>
    <w:next w:val="11"/>
    <w:qFormat/>
    <w:uiPriority w:val="0"/>
    <w:pPr>
      <w:tabs>
        <w:tab w:val="left" w:pos="72"/>
      </w:tabs>
      <w:ind w:firstLine="480" w:firstLineChars="200"/>
      <w:jc w:val="center"/>
    </w:pPr>
    <w:rPr>
      <w:sz w:val="24"/>
    </w:rPr>
  </w:style>
  <w:style w:type="paragraph" w:styleId="11">
    <w:name w:val="envelope return"/>
    <w:basedOn w:val="1"/>
    <w:autoRedefine/>
    <w:qFormat/>
    <w:uiPriority w:val="0"/>
    <w:pPr>
      <w:widowControl/>
    </w:pPr>
    <w:rPr>
      <w:rFonts w:ascii="Arial" w:hAnsi="Arial" w:eastAsia="Arial"/>
      <w:sz w:val="20"/>
    </w:rPr>
  </w:style>
  <w:style w:type="paragraph" w:styleId="12">
    <w:name w:val="Plain Text"/>
    <w:basedOn w:val="1"/>
    <w:next w:val="7"/>
    <w:autoRedefine/>
    <w:qFormat/>
    <w:uiPriority w:val="0"/>
    <w:rPr>
      <w:rFonts w:hint="eastAsia" w:ascii="宋体" w:hAnsi="Courier New"/>
      <w:kern w:val="0"/>
      <w:sz w:val="20"/>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footnote text"/>
    <w:basedOn w:val="1"/>
    <w:autoRedefine/>
    <w:qFormat/>
    <w:uiPriority w:val="0"/>
    <w:pPr>
      <w:snapToGrid w:val="0"/>
      <w:jc w:val="left"/>
    </w:pPr>
    <w:rPr>
      <w:sz w:val="18"/>
      <w:szCs w:val="18"/>
    </w:rPr>
  </w:style>
  <w:style w:type="paragraph" w:styleId="17">
    <w:name w:val="Body Text 2"/>
    <w:basedOn w:val="1"/>
    <w:next w:val="2"/>
    <w:autoRedefine/>
    <w:qFormat/>
    <w:uiPriority w:val="0"/>
    <w:pPr>
      <w:spacing w:line="360" w:lineRule="auto"/>
    </w:pPr>
    <w:rPr>
      <w:rFonts w:ascii="Times New Roman" w:hAnsi="Times New Roman"/>
      <w:kern w:val="0"/>
      <w:sz w:val="24"/>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0"/>
    <w:qFormat/>
    <w:uiPriority w:val="0"/>
    <w:pPr>
      <w:spacing w:after="120"/>
      <w:ind w:left="420" w:leftChars="200"/>
    </w:pPr>
    <w:rPr>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qFormat/>
    <w:uiPriority w:val="0"/>
    <w:rPr>
      <w:color w:val="0000FF"/>
      <w:u w:val="single"/>
    </w:rPr>
  </w:style>
  <w:style w:type="character" w:styleId="24">
    <w:name w:val="footnote reference"/>
    <w:qFormat/>
    <w:uiPriority w:val="0"/>
    <w:rPr>
      <w:vertAlign w:val="superscript"/>
    </w:rPr>
  </w:style>
  <w:style w:type="paragraph" w:customStyle="1" w:styleId="25">
    <w:name w:val="_Style 1"/>
    <w:basedOn w:val="1"/>
    <w:next w:val="1"/>
    <w:qFormat/>
    <w:uiPriority w:val="99"/>
    <w:pPr>
      <w:ind w:firstLine="420" w:firstLineChars="200"/>
    </w:pPr>
  </w:style>
  <w:style w:type="paragraph" w:customStyle="1" w:styleId="26">
    <w:name w:val="p0"/>
    <w:basedOn w:val="1"/>
    <w:autoRedefine/>
    <w:qFormat/>
    <w:uiPriority w:val="0"/>
    <w:pPr>
      <w:widowControl/>
    </w:pPr>
    <w:rPr>
      <w:kern w:val="0"/>
      <w:szCs w:val="21"/>
    </w:rPr>
  </w:style>
  <w:style w:type="paragraph" w:customStyle="1" w:styleId="27">
    <w:name w:val="列出段落1"/>
    <w:basedOn w:val="1"/>
    <w:autoRedefine/>
    <w:qFormat/>
    <w:uiPriority w:val="34"/>
    <w:pPr>
      <w:ind w:firstLine="420" w:firstLineChars="200"/>
    </w:pPr>
  </w:style>
  <w:style w:type="paragraph" w:customStyle="1" w:styleId="28">
    <w:name w:val="列出段落111"/>
    <w:basedOn w:val="1"/>
    <w:autoRedefine/>
    <w:qFormat/>
    <w:uiPriority w:val="0"/>
    <w:pPr>
      <w:ind w:firstLine="420" w:firstLineChars="200"/>
    </w:pPr>
  </w:style>
  <w:style w:type="character" w:customStyle="1" w:styleId="29">
    <w:name w:val="font31"/>
    <w:basedOn w:val="22"/>
    <w:autoRedefine/>
    <w:qFormat/>
    <w:uiPriority w:val="0"/>
    <w:rPr>
      <w:rFonts w:hint="eastAsia" w:ascii="宋体" w:hAnsi="宋体" w:eastAsia="宋体" w:cs="宋体"/>
      <w:color w:val="000000"/>
      <w:sz w:val="24"/>
      <w:szCs w:val="24"/>
      <w:u w:val="none"/>
    </w:rPr>
  </w:style>
  <w:style w:type="character" w:customStyle="1" w:styleId="30">
    <w:name w:val="font51"/>
    <w:basedOn w:val="22"/>
    <w:autoRedefine/>
    <w:qFormat/>
    <w:uiPriority w:val="0"/>
    <w:rPr>
      <w:rFonts w:hint="eastAsia" w:ascii="宋体" w:hAnsi="宋体" w:eastAsia="宋体" w:cs="宋体"/>
      <w:b/>
      <w:bCs/>
      <w:color w:val="FF0000"/>
      <w:sz w:val="24"/>
      <w:szCs w:val="24"/>
      <w:u w:val="none"/>
    </w:rPr>
  </w:style>
  <w:style w:type="paragraph" w:customStyle="1" w:styleId="31">
    <w:name w:val="表格文字"/>
    <w:basedOn w:val="1"/>
    <w:autoRedefine/>
    <w:qFormat/>
    <w:uiPriority w:val="0"/>
    <w:pPr>
      <w:spacing w:before="25" w:after="25"/>
      <w:jc w:val="left"/>
    </w:pPr>
    <w:rPr>
      <w:bCs/>
      <w:spacing w:val="10"/>
      <w:kern w:val="0"/>
      <w:sz w:val="24"/>
    </w:rPr>
  </w:style>
  <w:style w:type="paragraph" w:customStyle="1" w:styleId="32">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3">
    <w:name w:val="列出段落11"/>
    <w:basedOn w:val="1"/>
    <w:autoRedefine/>
    <w:qFormat/>
    <w:uiPriority w:val="0"/>
    <w:pPr>
      <w:ind w:firstLine="420"/>
    </w:pPr>
  </w:style>
  <w:style w:type="paragraph" w:customStyle="1" w:styleId="34">
    <w:name w:val="样式2"/>
    <w:basedOn w:val="1"/>
    <w:autoRedefine/>
    <w:qFormat/>
    <w:uiPriority w:val="0"/>
    <w:rPr>
      <w:rFonts w:ascii="楷体_GB2312" w:eastAsia="楷体_GB2312"/>
      <w:color w:val="000000"/>
      <w:sz w:val="24"/>
    </w:rPr>
  </w:style>
  <w:style w:type="paragraph" w:customStyle="1" w:styleId="35">
    <w:name w:val="0级"/>
    <w:basedOn w:val="1"/>
    <w:autoRedefine/>
    <w:qFormat/>
    <w:uiPriority w:val="0"/>
    <w:pPr>
      <w:ind w:left="420" w:hanging="420"/>
    </w:pPr>
    <w:rPr>
      <w:rFonts w:ascii="宋体" w:hAnsi="宋体" w:cs="Times New Roman"/>
      <w:color w:val="000000"/>
      <w:szCs w:val="21"/>
    </w:rPr>
  </w:style>
  <w:style w:type="paragraph" w:styleId="3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17397</Words>
  <Characters>2458</Characters>
  <Lines>20</Lines>
  <Paragraphs>39</Paragraphs>
  <TotalTime>8</TotalTime>
  <ScaleCrop>false</ScaleCrop>
  <LinksUpToDate>false</LinksUpToDate>
  <CharactersWithSpaces>19816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HyoQi</cp:lastModifiedBy>
  <cp:lastPrinted>2024-02-20T03:28:00Z</cp:lastPrinted>
  <dcterms:modified xsi:type="dcterms:W3CDTF">2024-05-17T08:48:24Z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2F27237DD17A45F88CA47BEBAF948BF4</vt:lpwstr>
  </property>
</Properties>
</file>