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b/>
          <w:bCs/>
        </w:rPr>
        <w:t xml:space="preserve">   </w:t>
      </w:r>
      <w:r>
        <w:rPr>
          <w:rFonts w:hint="eastAsia"/>
          <w:b/>
          <w:bCs/>
          <w:lang w:val="en-US" w:eastAsia="zh-CN"/>
        </w:rPr>
        <w:t>附件3：评分表（</w:t>
      </w:r>
      <w:r>
        <w:rPr>
          <w:b/>
          <w:bCs/>
        </w:rPr>
        <w:t>综合评分法</w:t>
      </w:r>
      <w:r>
        <w:rPr>
          <w:rFonts w:hint="eastAsia"/>
          <w:b/>
          <w:bCs/>
          <w:lang w:eastAsia="zh-CN"/>
        </w:rPr>
        <w:t>）</w:t>
      </w:r>
    </w:p>
    <w:tbl>
      <w:tblPr>
        <w:tblStyle w:val="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2"/>
        <w:gridCol w:w="550"/>
        <w:gridCol w:w="1647"/>
        <w:gridCol w:w="791"/>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序号</w:t>
            </w:r>
          </w:p>
        </w:tc>
        <w:tc>
          <w:tcPr>
            <w:tcW w:w="298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评分项</w:t>
            </w:r>
          </w:p>
        </w:tc>
        <w:tc>
          <w:tcPr>
            <w:tcW w:w="55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olor w:val="auto"/>
                <w:szCs w:val="21"/>
              </w:rPr>
            </w:pPr>
            <w:r>
              <w:rPr>
                <w:rFonts w:ascii="宋体" w:hAnsi="宋体"/>
                <w:color w:val="auto"/>
                <w:szCs w:val="21"/>
              </w:rPr>
              <w:t>1</w:t>
            </w:r>
          </w:p>
        </w:tc>
        <w:tc>
          <w:tcPr>
            <w:tcW w:w="298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宋体"/>
                <w:color w:val="auto"/>
                <w:szCs w:val="21"/>
                <w:lang w:val="en-US" w:eastAsia="zh-CN"/>
              </w:rPr>
            </w:pPr>
            <w:r>
              <w:rPr>
                <w:rFonts w:hint="eastAsia" w:ascii="宋体" w:hAnsi="宋体"/>
                <w:color w:val="auto"/>
                <w:szCs w:val="21"/>
              </w:rPr>
              <w:t>价格</w:t>
            </w:r>
            <w:r>
              <w:rPr>
                <w:rFonts w:hint="eastAsia" w:ascii="宋体" w:hAnsi="宋体"/>
                <w:color w:val="auto"/>
                <w:szCs w:val="21"/>
                <w:lang w:eastAsia="zh-CN"/>
              </w:rPr>
              <w:t>（</w:t>
            </w:r>
            <w:r>
              <w:rPr>
                <w:rFonts w:hint="eastAsia" w:ascii="宋体" w:hAnsi="宋体"/>
                <w:color w:val="auto"/>
                <w:szCs w:val="21"/>
                <w:lang w:val="en-US" w:eastAsia="zh-CN"/>
              </w:rPr>
              <w:t>报价单格式后附）</w:t>
            </w:r>
          </w:p>
        </w:tc>
        <w:tc>
          <w:tcPr>
            <w:tcW w:w="55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lang w:val="en-US" w:eastAsia="zh-CN"/>
              </w:rPr>
              <w:t>2</w:t>
            </w:r>
            <w:r>
              <w:rPr>
                <w:rFonts w:ascii="宋体" w:hAnsi="宋体"/>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vMerge w:val="continue"/>
            <w:tcBorders>
              <w:left w:val="single" w:color="auto" w:sz="4" w:space="0"/>
              <w:right w:val="single" w:color="auto" w:sz="4" w:space="0"/>
            </w:tcBorders>
            <w:vAlign w:val="center"/>
          </w:tcPr>
          <w:p>
            <w:pPr>
              <w:adjustRightInd w:val="0"/>
              <w:snapToGrid w:val="0"/>
              <w:jc w:val="center"/>
              <w:rPr>
                <w:rFonts w:ascii="宋体" w:hAnsi="宋体"/>
                <w:color w:val="auto"/>
                <w:szCs w:val="21"/>
              </w:rPr>
            </w:pPr>
          </w:p>
        </w:tc>
        <w:tc>
          <w:tcPr>
            <w:tcW w:w="298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宋体"/>
                <w:color w:val="auto"/>
                <w:szCs w:val="21"/>
                <w:lang w:val="en-US" w:eastAsia="zh-CN"/>
              </w:rPr>
            </w:pPr>
            <w:r>
              <w:rPr>
                <w:rFonts w:hint="eastAsia" w:ascii="宋体" w:hAnsi="宋体"/>
                <w:color w:val="auto"/>
                <w:szCs w:val="21"/>
                <w:lang w:val="en-US" w:eastAsia="zh-CN"/>
              </w:rPr>
              <w:t>价格评分规则</w:t>
            </w:r>
          </w:p>
        </w:tc>
        <w:tc>
          <w:tcPr>
            <w:tcW w:w="55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color w:val="auto"/>
                <w:szCs w:val="21"/>
                <w:lang w:val="en-US" w:eastAsia="zh-CN"/>
              </w:rPr>
            </w:pPr>
            <w:r>
              <w:rPr>
                <w:rFonts w:hint="eastAsia" w:ascii="宋体" w:hAnsi="宋体"/>
                <w:color w:val="auto"/>
                <w:szCs w:val="21"/>
                <w:lang w:val="en-US" w:eastAsia="zh-CN"/>
              </w:rPr>
              <w:t xml:space="preserve"> 价格分计算方法：</w:t>
            </w:r>
          </w:p>
          <w:p>
            <w:pPr>
              <w:adjustRightInd w:val="0"/>
              <w:snapToGrid w:val="0"/>
              <w:jc w:val="left"/>
              <w:rPr>
                <w:rFonts w:ascii="宋体" w:hAnsi="宋体"/>
                <w:color w:val="auto"/>
                <w:szCs w:val="21"/>
              </w:rPr>
            </w:pPr>
            <w:r>
              <w:rPr>
                <w:rFonts w:hint="eastAsia" w:ascii="宋体" w:hAnsi="宋体"/>
                <w:color w:val="auto"/>
                <w:szCs w:val="21"/>
                <w:lang w:val="en-US" w:eastAsia="zh-CN"/>
              </w:rPr>
              <w:t xml:space="preserve">    采用低价优先法计算，即满足招标文件要求且投标价格最低的投标报价为评标基准价，其价格分为满分。其他投标人的价格分统一按照下列公式计算： </w:t>
            </w:r>
            <w:r>
              <w:rPr>
                <w:rFonts w:hint="eastAsia" w:ascii="宋体" w:hAnsi="宋体"/>
                <w:color w:val="auto"/>
                <w:szCs w:val="21"/>
                <w:lang w:val="en-US" w:eastAsia="zh-CN"/>
              </w:rPr>
              <w:br w:type="textWrapping"/>
            </w:r>
            <w:r>
              <w:rPr>
                <w:rFonts w:hint="eastAsia" w:ascii="宋体" w:hAnsi="宋体"/>
                <w:color w:val="auto"/>
                <w:szCs w:val="21"/>
                <w:lang w:val="en-US" w:eastAsia="zh-CN"/>
              </w:rPr>
              <w:t xml:space="preserve">    投标报价得分=(评标基准价／投标报价)×20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ascii="宋体" w:hAnsi="宋体"/>
                <w:color w:val="auto"/>
                <w:szCs w:val="21"/>
              </w:rPr>
              <w:t>2</w:t>
            </w:r>
          </w:p>
        </w:tc>
        <w:tc>
          <w:tcPr>
            <w:tcW w:w="298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技术</w:t>
            </w:r>
          </w:p>
        </w:tc>
        <w:tc>
          <w:tcPr>
            <w:tcW w:w="55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522"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行号</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内容</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权重</w:t>
            </w:r>
          </w:p>
        </w:tc>
        <w:tc>
          <w:tcPr>
            <w:tcW w:w="55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ascii="宋体" w:hAnsi="宋体"/>
                <w:color w:val="auto"/>
                <w:szCs w:val="21"/>
              </w:rPr>
              <w:t>1</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实施方案</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10</w:t>
            </w:r>
          </w:p>
        </w:tc>
        <w:tc>
          <w:tcPr>
            <w:tcW w:w="552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hAnsi="宋体" w:cs="宋体"/>
                <w:bCs/>
                <w:iCs/>
                <w:color w:val="auto"/>
                <w:szCs w:val="21"/>
              </w:rPr>
            </w:pPr>
            <w:r>
              <w:rPr>
                <w:rFonts w:hint="eastAsia" w:ascii="宋体" w:hAnsi="宋体" w:cs="宋体"/>
                <w:bCs/>
                <w:iCs/>
                <w:color w:val="auto"/>
                <w:szCs w:val="21"/>
              </w:rPr>
              <w:t xml:space="preserve">评审内容：根据本项目建设内容，考察投标人对项目实施方案编制的目标理解准确、任务分解得当、工作安排合理。投标人结合本项目实际提供项目实施方案，应包括： </w:t>
            </w:r>
          </w:p>
          <w:p>
            <w:pPr>
              <w:spacing w:line="380" w:lineRule="exact"/>
              <w:jc w:val="left"/>
              <w:rPr>
                <w:rFonts w:hint="eastAsia" w:ascii="宋体" w:hAnsi="宋体" w:cs="宋体"/>
                <w:bCs/>
                <w:iCs/>
                <w:color w:val="auto"/>
                <w:szCs w:val="21"/>
              </w:rPr>
            </w:pPr>
            <w:r>
              <w:rPr>
                <w:rFonts w:hint="eastAsia" w:ascii="宋体" w:hAnsi="宋体" w:cs="宋体"/>
                <w:bCs/>
                <w:iCs/>
                <w:color w:val="auto"/>
                <w:szCs w:val="21"/>
              </w:rPr>
              <w:t>1、内外部环境与政策分析；</w:t>
            </w:r>
          </w:p>
          <w:p>
            <w:pPr>
              <w:spacing w:line="380" w:lineRule="exact"/>
              <w:jc w:val="left"/>
              <w:rPr>
                <w:rFonts w:hint="eastAsia" w:ascii="宋体" w:hAnsi="宋体" w:cs="宋体"/>
                <w:bCs/>
                <w:iCs/>
                <w:color w:val="auto"/>
                <w:szCs w:val="21"/>
              </w:rPr>
            </w:pPr>
            <w:r>
              <w:rPr>
                <w:rFonts w:ascii="宋体" w:hAnsi="宋体" w:cs="宋体"/>
                <w:bCs/>
                <w:iCs/>
                <w:color w:val="auto"/>
                <w:szCs w:val="21"/>
              </w:rPr>
              <w:t>2</w:t>
            </w:r>
            <w:r>
              <w:rPr>
                <w:rFonts w:hint="eastAsia" w:ascii="宋体" w:hAnsi="宋体" w:cs="宋体"/>
                <w:bCs/>
                <w:iCs/>
                <w:color w:val="auto"/>
                <w:szCs w:val="21"/>
              </w:rPr>
              <w:t>、业务理解与蓝图设计；</w:t>
            </w:r>
          </w:p>
          <w:p>
            <w:pPr>
              <w:spacing w:line="380" w:lineRule="exact"/>
              <w:jc w:val="left"/>
              <w:rPr>
                <w:rFonts w:ascii="宋体" w:hAnsi="宋体" w:cs="宋体"/>
                <w:bCs/>
                <w:iCs/>
                <w:color w:val="auto"/>
                <w:szCs w:val="21"/>
              </w:rPr>
            </w:pPr>
            <w:r>
              <w:rPr>
                <w:rFonts w:hint="eastAsia" w:ascii="宋体" w:hAnsi="宋体" w:cs="宋体"/>
                <w:bCs/>
                <w:iCs/>
                <w:color w:val="auto"/>
                <w:szCs w:val="21"/>
              </w:rPr>
              <w:t>3、业务、数据、技术、应用架构设计；</w:t>
            </w:r>
          </w:p>
          <w:p>
            <w:pPr>
              <w:spacing w:line="380" w:lineRule="exact"/>
              <w:jc w:val="left"/>
              <w:rPr>
                <w:rFonts w:hint="eastAsia" w:ascii="宋体" w:hAnsi="宋体" w:cs="宋体"/>
                <w:bCs/>
                <w:iCs/>
                <w:color w:val="auto"/>
                <w:szCs w:val="21"/>
              </w:rPr>
            </w:pPr>
            <w:r>
              <w:rPr>
                <w:rFonts w:ascii="宋体" w:hAnsi="宋体" w:cs="宋体"/>
                <w:bCs/>
                <w:iCs/>
                <w:color w:val="auto"/>
                <w:szCs w:val="21"/>
              </w:rPr>
              <w:t>4</w:t>
            </w:r>
            <w:r>
              <w:rPr>
                <w:rFonts w:hint="eastAsia" w:ascii="宋体" w:hAnsi="宋体" w:cs="宋体"/>
                <w:bCs/>
                <w:iCs/>
                <w:color w:val="auto"/>
                <w:szCs w:val="21"/>
              </w:rPr>
              <w:t>、路径设计与保障举措；</w:t>
            </w:r>
          </w:p>
          <w:p>
            <w:pPr>
              <w:spacing w:line="380" w:lineRule="exact"/>
              <w:jc w:val="left"/>
              <w:rPr>
                <w:rFonts w:ascii="宋体" w:hAnsi="宋体" w:cs="宋体"/>
                <w:bCs/>
                <w:iCs/>
                <w:color w:val="auto"/>
                <w:szCs w:val="21"/>
              </w:rPr>
            </w:pPr>
            <w:r>
              <w:rPr>
                <w:rFonts w:hint="eastAsia" w:ascii="宋体" w:hAnsi="宋体" w:cs="宋体"/>
                <w:bCs/>
                <w:iCs/>
                <w:color w:val="auto"/>
                <w:szCs w:val="21"/>
              </w:rPr>
              <w:t>5、数字化项目指导与管理。</w:t>
            </w:r>
          </w:p>
          <w:p>
            <w:pPr>
              <w:spacing w:line="380" w:lineRule="exact"/>
              <w:jc w:val="left"/>
              <w:rPr>
                <w:rFonts w:ascii="宋体" w:hAnsi="宋体" w:cs="宋体"/>
                <w:bCs/>
                <w:iCs/>
                <w:color w:val="auto"/>
                <w:szCs w:val="21"/>
              </w:rPr>
            </w:pPr>
            <w:r>
              <w:rPr>
                <w:rFonts w:hint="eastAsia" w:ascii="宋体" w:hAnsi="宋体" w:cs="宋体"/>
                <w:bCs/>
                <w:iCs/>
                <w:color w:val="auto"/>
                <w:szCs w:val="21"/>
              </w:rPr>
              <w:t>评审标准：</w:t>
            </w:r>
          </w:p>
          <w:p>
            <w:pPr>
              <w:spacing w:line="380" w:lineRule="exact"/>
              <w:jc w:val="left"/>
              <w:rPr>
                <w:rFonts w:ascii="宋体" w:hAnsi="宋体" w:cs="宋体"/>
                <w:bCs/>
                <w:iCs/>
                <w:color w:val="auto"/>
                <w:szCs w:val="21"/>
              </w:rPr>
            </w:pPr>
            <w:r>
              <w:rPr>
                <w:rFonts w:hint="eastAsia" w:ascii="宋体" w:hAnsi="宋体" w:cs="宋体"/>
                <w:bCs/>
                <w:iCs/>
                <w:color w:val="auto"/>
                <w:szCs w:val="21"/>
              </w:rPr>
              <w:t>满足以上五项要求，得5分，满足以上三项要求，得3分，满足以上一项要求，得1分，其它情况不得分。</w:t>
            </w:r>
          </w:p>
          <w:p>
            <w:pPr>
              <w:spacing w:line="380" w:lineRule="exact"/>
              <w:jc w:val="left"/>
              <w:rPr>
                <w:rFonts w:ascii="宋体" w:hAnsi="宋体"/>
                <w:color w:val="auto"/>
                <w:szCs w:val="21"/>
              </w:rPr>
            </w:pPr>
            <w:r>
              <w:rPr>
                <w:rFonts w:hint="eastAsia" w:ascii="宋体" w:hAnsi="宋体" w:cs="宋体"/>
                <w:bCs/>
                <w:iCs/>
                <w:color w:val="auto"/>
                <w:szCs w:val="21"/>
              </w:rPr>
              <w:t>在此基础上，横向比较：优</w:t>
            </w:r>
            <w:r>
              <w:rPr>
                <w:rFonts w:hint="eastAsia" w:ascii="宋体" w:hAnsi="宋体" w:cs="宋体"/>
                <w:bCs/>
                <w:iCs/>
                <w:color w:val="auto"/>
                <w:szCs w:val="21"/>
                <w:lang w:val="en-US" w:eastAsia="zh-CN"/>
              </w:rPr>
              <w:t>得5分</w:t>
            </w:r>
            <w:r>
              <w:rPr>
                <w:rFonts w:hint="eastAsia" w:ascii="宋体" w:hAnsi="宋体" w:cs="宋体"/>
                <w:bCs/>
                <w:iCs/>
                <w:color w:val="auto"/>
                <w:szCs w:val="21"/>
              </w:rPr>
              <w:t>；良</w:t>
            </w:r>
            <w:r>
              <w:rPr>
                <w:rFonts w:hint="eastAsia" w:ascii="宋体" w:hAnsi="宋体" w:cs="宋体"/>
                <w:bCs/>
                <w:iCs/>
                <w:color w:val="auto"/>
                <w:szCs w:val="21"/>
                <w:lang w:val="en-US" w:eastAsia="zh-CN"/>
              </w:rPr>
              <w:t>得3分</w:t>
            </w:r>
            <w:r>
              <w:rPr>
                <w:rFonts w:hint="eastAsia" w:ascii="宋体" w:hAnsi="宋体" w:cs="宋体"/>
                <w:bCs/>
                <w:iCs/>
                <w:color w:val="auto"/>
                <w:szCs w:val="21"/>
              </w:rPr>
              <w:t>；中</w:t>
            </w:r>
            <w:r>
              <w:rPr>
                <w:rFonts w:hint="eastAsia" w:ascii="宋体" w:hAnsi="宋体" w:cs="宋体"/>
                <w:bCs/>
                <w:iCs/>
                <w:color w:val="auto"/>
                <w:szCs w:val="21"/>
                <w:lang w:val="en-US" w:eastAsia="zh-CN"/>
              </w:rPr>
              <w:t>得1分</w:t>
            </w:r>
            <w:r>
              <w:rPr>
                <w:rFonts w:hint="eastAsia" w:ascii="宋体" w:hAnsi="宋体" w:cs="宋体"/>
                <w:bCs/>
                <w:iCs/>
                <w:color w:val="auto"/>
                <w:szCs w:val="21"/>
              </w:rPr>
              <w:t>；差</w:t>
            </w:r>
            <w:r>
              <w:rPr>
                <w:rFonts w:hint="eastAsia" w:ascii="宋体" w:hAnsi="宋体" w:cs="宋体"/>
                <w:bCs/>
                <w:iCs/>
                <w:color w:val="auto"/>
                <w:szCs w:val="21"/>
                <w:lang w:val="en-US" w:eastAsia="zh-CN"/>
              </w:rPr>
              <w:t>不得分</w:t>
            </w:r>
            <w:r>
              <w:rPr>
                <w:rFonts w:hint="eastAsia" w:ascii="宋体" w:hAnsi="宋体" w:cs="宋体"/>
                <w:bCs/>
                <w:i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ascii="宋体" w:hAnsi="宋体"/>
                <w:color w:val="auto"/>
                <w:szCs w:val="21"/>
              </w:rPr>
              <w:t>2</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项目重点难点分析、应对措施及相关的合理化建议</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10</w:t>
            </w:r>
          </w:p>
        </w:tc>
        <w:tc>
          <w:tcPr>
            <w:tcW w:w="552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hAnsi="宋体" w:cs="宋体"/>
                <w:bCs/>
                <w:iCs/>
                <w:color w:val="auto"/>
                <w:szCs w:val="21"/>
              </w:rPr>
            </w:pPr>
            <w:r>
              <w:rPr>
                <w:rFonts w:hint="eastAsia" w:ascii="宋体" w:hAnsi="宋体" w:cs="宋体"/>
                <w:color w:val="auto"/>
                <w:szCs w:val="21"/>
              </w:rPr>
              <w:t>评审内容：</w:t>
            </w:r>
            <w:r>
              <w:rPr>
                <w:rFonts w:hint="eastAsia" w:ascii="宋体" w:hAnsi="宋体" w:cs="宋体"/>
                <w:bCs/>
                <w:iCs/>
                <w:color w:val="auto"/>
                <w:szCs w:val="21"/>
              </w:rPr>
              <w:t>评审投标人针对本项目的项目重点难点分析、应对措施及相关的合理化建议，包括但不限于：</w:t>
            </w:r>
          </w:p>
          <w:p>
            <w:pPr>
              <w:pStyle w:val="8"/>
              <w:snapToGrid/>
              <w:spacing w:line="380" w:lineRule="exact"/>
              <w:rPr>
                <w:rFonts w:ascii="宋体" w:hAnsi="宋体" w:cs="宋体"/>
                <w:iCs/>
                <w:color w:val="auto"/>
                <w:spacing w:val="0"/>
                <w:kern w:val="2"/>
                <w:sz w:val="21"/>
                <w:szCs w:val="21"/>
              </w:rPr>
            </w:pPr>
            <w:r>
              <w:rPr>
                <w:rFonts w:hint="eastAsia" w:ascii="宋体" w:hAnsi="宋体" w:cs="宋体"/>
                <w:iCs/>
                <w:color w:val="auto"/>
                <w:spacing w:val="0"/>
                <w:kern w:val="2"/>
                <w:sz w:val="21"/>
                <w:szCs w:val="21"/>
              </w:rPr>
              <w:t>1、项目重点理解分析；</w:t>
            </w:r>
          </w:p>
          <w:p>
            <w:pPr>
              <w:pStyle w:val="8"/>
              <w:snapToGrid/>
              <w:spacing w:line="380" w:lineRule="exact"/>
              <w:rPr>
                <w:rFonts w:ascii="宋体" w:hAnsi="宋体" w:cs="宋体"/>
                <w:iCs/>
                <w:color w:val="auto"/>
                <w:spacing w:val="0"/>
                <w:kern w:val="2"/>
                <w:sz w:val="21"/>
                <w:szCs w:val="21"/>
              </w:rPr>
            </w:pPr>
            <w:r>
              <w:rPr>
                <w:rFonts w:hint="eastAsia" w:ascii="宋体" w:hAnsi="宋体" w:cs="宋体"/>
                <w:iCs/>
                <w:color w:val="auto"/>
                <w:spacing w:val="0"/>
                <w:kern w:val="2"/>
                <w:sz w:val="21"/>
                <w:szCs w:val="21"/>
              </w:rPr>
              <w:t>2、项目难点理解分析；</w:t>
            </w:r>
          </w:p>
          <w:p>
            <w:pPr>
              <w:pStyle w:val="3"/>
              <w:spacing w:line="380" w:lineRule="exact"/>
              <w:rPr>
                <w:rFonts w:ascii="宋体" w:hAnsi="宋体" w:cs="宋体"/>
                <w:color w:val="auto"/>
                <w:szCs w:val="21"/>
              </w:rPr>
            </w:pPr>
            <w:r>
              <w:rPr>
                <w:rFonts w:hint="eastAsia" w:ascii="宋体" w:hAnsi="宋体" w:cs="宋体"/>
                <w:color w:val="auto"/>
                <w:szCs w:val="21"/>
              </w:rPr>
              <w:t>3、相关的合理化建议。</w:t>
            </w:r>
          </w:p>
          <w:p>
            <w:pPr>
              <w:spacing w:line="380" w:lineRule="exact"/>
              <w:jc w:val="left"/>
              <w:rPr>
                <w:rFonts w:ascii="宋体" w:hAnsi="宋体"/>
                <w:color w:val="auto"/>
                <w:szCs w:val="21"/>
              </w:rPr>
            </w:pPr>
            <w:r>
              <w:rPr>
                <w:rFonts w:hint="eastAsia" w:ascii="宋体" w:hAnsi="宋体" w:cs="宋体"/>
                <w:color w:val="auto"/>
                <w:szCs w:val="21"/>
              </w:rPr>
              <w:t>满足以上三项要求，得5分，满足以上两项要求，得3分，满足以上一项要求，得1分，其它情况不得分。</w:t>
            </w:r>
            <w:r>
              <w:rPr>
                <w:rFonts w:hint="eastAsia" w:ascii="宋体" w:hAnsi="宋体" w:cs="宋体"/>
                <w:bCs/>
                <w:iCs/>
                <w:color w:val="auto"/>
                <w:szCs w:val="21"/>
              </w:rPr>
              <w:t>在此基础上，横向比较：优</w:t>
            </w:r>
            <w:r>
              <w:rPr>
                <w:rFonts w:hint="eastAsia" w:ascii="宋体" w:hAnsi="宋体" w:cs="宋体"/>
                <w:bCs/>
                <w:iCs/>
                <w:color w:val="auto"/>
                <w:szCs w:val="21"/>
                <w:lang w:val="en-US" w:eastAsia="zh-CN"/>
              </w:rPr>
              <w:t>得5分</w:t>
            </w:r>
            <w:r>
              <w:rPr>
                <w:rFonts w:hint="eastAsia" w:ascii="宋体" w:hAnsi="宋体" w:cs="宋体"/>
                <w:bCs/>
                <w:iCs/>
                <w:color w:val="auto"/>
                <w:szCs w:val="21"/>
              </w:rPr>
              <w:t>；良</w:t>
            </w:r>
            <w:r>
              <w:rPr>
                <w:rFonts w:hint="eastAsia" w:ascii="宋体" w:hAnsi="宋体" w:cs="宋体"/>
                <w:bCs/>
                <w:iCs/>
                <w:color w:val="auto"/>
                <w:szCs w:val="21"/>
                <w:lang w:val="en-US" w:eastAsia="zh-CN"/>
              </w:rPr>
              <w:t>得3分</w:t>
            </w:r>
            <w:r>
              <w:rPr>
                <w:rFonts w:hint="eastAsia" w:ascii="宋体" w:hAnsi="宋体" w:cs="宋体"/>
                <w:bCs/>
                <w:iCs/>
                <w:color w:val="auto"/>
                <w:szCs w:val="21"/>
              </w:rPr>
              <w:t>；中</w:t>
            </w:r>
            <w:r>
              <w:rPr>
                <w:rFonts w:hint="eastAsia" w:ascii="宋体" w:hAnsi="宋体" w:cs="宋体"/>
                <w:bCs/>
                <w:iCs/>
                <w:color w:val="auto"/>
                <w:szCs w:val="21"/>
                <w:lang w:val="en-US" w:eastAsia="zh-CN"/>
              </w:rPr>
              <w:t>得1分</w:t>
            </w:r>
            <w:r>
              <w:rPr>
                <w:rFonts w:hint="eastAsia" w:ascii="宋体" w:hAnsi="宋体" w:cs="宋体"/>
                <w:bCs/>
                <w:iCs/>
                <w:color w:val="auto"/>
                <w:szCs w:val="21"/>
              </w:rPr>
              <w:t>；差</w:t>
            </w:r>
            <w:r>
              <w:rPr>
                <w:rFonts w:hint="eastAsia" w:ascii="宋体" w:hAnsi="宋体" w:cs="宋体"/>
                <w:bCs/>
                <w:iCs/>
                <w:color w:val="auto"/>
                <w:szCs w:val="21"/>
                <w:lang w:val="en-US" w:eastAsia="zh-CN"/>
              </w:rPr>
              <w:t>不得分</w:t>
            </w:r>
            <w:r>
              <w:rPr>
                <w:rFonts w:hint="eastAsia" w:ascii="宋体" w:hAnsi="宋体" w:cs="宋体"/>
                <w:bCs/>
                <w:i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ascii="宋体" w:hAnsi="宋体"/>
                <w:color w:val="auto"/>
                <w:szCs w:val="21"/>
              </w:rPr>
              <w:t>3</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质量（完成时间、安全、环保）保障措施及方案</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10</w:t>
            </w:r>
          </w:p>
        </w:tc>
        <w:tc>
          <w:tcPr>
            <w:tcW w:w="552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hAnsi="宋体" w:cs="宋体"/>
                <w:bCs/>
                <w:iCs/>
                <w:color w:val="auto"/>
                <w:szCs w:val="21"/>
              </w:rPr>
            </w:pPr>
            <w:r>
              <w:rPr>
                <w:rFonts w:hint="eastAsia" w:ascii="宋体" w:hAnsi="宋体" w:cs="宋体"/>
                <w:color w:val="auto"/>
                <w:szCs w:val="21"/>
              </w:rPr>
              <w:t>评审内容：</w:t>
            </w:r>
            <w:r>
              <w:rPr>
                <w:rFonts w:hint="eastAsia" w:ascii="宋体" w:hAnsi="宋体" w:cs="宋体"/>
                <w:bCs/>
                <w:iCs/>
                <w:color w:val="auto"/>
                <w:szCs w:val="21"/>
              </w:rPr>
              <w:t>评审投标人针对本项目的保障措施方案，包括但不限于：</w:t>
            </w:r>
          </w:p>
          <w:p>
            <w:pPr>
              <w:spacing w:line="380" w:lineRule="exact"/>
              <w:jc w:val="left"/>
              <w:rPr>
                <w:rFonts w:ascii="宋体" w:hAnsi="宋体" w:cs="宋体"/>
                <w:bCs/>
                <w:iCs/>
                <w:color w:val="auto"/>
                <w:szCs w:val="21"/>
              </w:rPr>
            </w:pPr>
            <w:r>
              <w:rPr>
                <w:rFonts w:hint="eastAsia" w:ascii="宋体" w:hAnsi="宋体" w:cs="宋体"/>
                <w:bCs/>
                <w:iCs/>
                <w:color w:val="auto"/>
                <w:szCs w:val="21"/>
              </w:rPr>
              <w:t>1、质量保障；</w:t>
            </w:r>
          </w:p>
          <w:p>
            <w:pPr>
              <w:spacing w:line="380" w:lineRule="exact"/>
              <w:jc w:val="left"/>
              <w:rPr>
                <w:rFonts w:ascii="宋体" w:hAnsi="宋体" w:cs="宋体"/>
                <w:bCs/>
                <w:iCs/>
                <w:color w:val="auto"/>
                <w:szCs w:val="21"/>
              </w:rPr>
            </w:pPr>
            <w:r>
              <w:rPr>
                <w:rFonts w:hint="eastAsia" w:ascii="宋体" w:hAnsi="宋体" w:cs="宋体"/>
                <w:bCs/>
                <w:iCs/>
                <w:color w:val="auto"/>
                <w:szCs w:val="21"/>
              </w:rPr>
              <w:t>2、进度保障；</w:t>
            </w:r>
          </w:p>
          <w:p>
            <w:pPr>
              <w:spacing w:line="380" w:lineRule="exact"/>
              <w:jc w:val="left"/>
              <w:rPr>
                <w:rFonts w:ascii="宋体" w:hAnsi="宋体" w:cs="宋体"/>
                <w:bCs/>
                <w:iCs/>
                <w:color w:val="auto"/>
                <w:szCs w:val="21"/>
              </w:rPr>
            </w:pPr>
            <w:r>
              <w:rPr>
                <w:rFonts w:hint="eastAsia" w:ascii="宋体" w:hAnsi="宋体" w:cs="宋体"/>
                <w:bCs/>
                <w:iCs/>
                <w:color w:val="auto"/>
                <w:szCs w:val="21"/>
              </w:rPr>
              <w:t>3、安全及环保保障。</w:t>
            </w:r>
          </w:p>
          <w:p>
            <w:pPr>
              <w:spacing w:line="380" w:lineRule="exact"/>
              <w:jc w:val="left"/>
              <w:rPr>
                <w:rFonts w:ascii="宋体" w:hAnsi="宋体"/>
                <w:color w:val="auto"/>
                <w:szCs w:val="21"/>
              </w:rPr>
            </w:pPr>
            <w:r>
              <w:rPr>
                <w:rFonts w:hint="eastAsia" w:ascii="宋体" w:hAnsi="宋体" w:cs="宋体"/>
                <w:color w:val="auto"/>
                <w:szCs w:val="21"/>
              </w:rPr>
              <w:t>满足以上三项要求，得5分，满足以上两项要求，得3分，满足以上一项要求，得1分，其它情况不得分。</w:t>
            </w:r>
            <w:r>
              <w:rPr>
                <w:rFonts w:hint="eastAsia" w:ascii="宋体" w:hAnsi="宋体" w:cs="宋体"/>
                <w:bCs/>
                <w:iCs/>
                <w:color w:val="auto"/>
                <w:szCs w:val="21"/>
              </w:rPr>
              <w:t>在此基础上，横向比较：优</w:t>
            </w:r>
            <w:r>
              <w:rPr>
                <w:rFonts w:hint="eastAsia" w:ascii="宋体" w:hAnsi="宋体" w:cs="宋体"/>
                <w:bCs/>
                <w:iCs/>
                <w:color w:val="auto"/>
                <w:szCs w:val="21"/>
                <w:lang w:val="en-US" w:eastAsia="zh-CN"/>
              </w:rPr>
              <w:t>得5分</w:t>
            </w:r>
            <w:r>
              <w:rPr>
                <w:rFonts w:hint="eastAsia" w:ascii="宋体" w:hAnsi="宋体" w:cs="宋体"/>
                <w:bCs/>
                <w:iCs/>
                <w:color w:val="auto"/>
                <w:szCs w:val="21"/>
              </w:rPr>
              <w:t>；良</w:t>
            </w:r>
            <w:r>
              <w:rPr>
                <w:rFonts w:hint="eastAsia" w:ascii="宋体" w:hAnsi="宋体" w:cs="宋体"/>
                <w:bCs/>
                <w:iCs/>
                <w:color w:val="auto"/>
                <w:szCs w:val="21"/>
                <w:lang w:val="en-US" w:eastAsia="zh-CN"/>
              </w:rPr>
              <w:t>得3分</w:t>
            </w:r>
            <w:r>
              <w:rPr>
                <w:rFonts w:hint="eastAsia" w:ascii="宋体" w:hAnsi="宋体" w:cs="宋体"/>
                <w:bCs/>
                <w:iCs/>
                <w:color w:val="auto"/>
                <w:szCs w:val="21"/>
              </w:rPr>
              <w:t>；中</w:t>
            </w:r>
            <w:r>
              <w:rPr>
                <w:rFonts w:hint="eastAsia" w:ascii="宋体" w:hAnsi="宋体" w:cs="宋体"/>
                <w:bCs/>
                <w:iCs/>
                <w:color w:val="auto"/>
                <w:szCs w:val="21"/>
                <w:lang w:val="en-US" w:eastAsia="zh-CN"/>
              </w:rPr>
              <w:t>得1分</w:t>
            </w:r>
            <w:r>
              <w:rPr>
                <w:rFonts w:hint="eastAsia" w:ascii="宋体" w:hAnsi="宋体" w:cs="宋体"/>
                <w:bCs/>
                <w:iCs/>
                <w:color w:val="auto"/>
                <w:szCs w:val="21"/>
              </w:rPr>
              <w:t>；差</w:t>
            </w:r>
            <w:r>
              <w:rPr>
                <w:rFonts w:hint="eastAsia" w:ascii="宋体" w:hAnsi="宋体" w:cs="宋体"/>
                <w:bCs/>
                <w:iCs/>
                <w:color w:val="auto"/>
                <w:szCs w:val="21"/>
                <w:lang w:val="en-US" w:eastAsia="zh-CN"/>
              </w:rPr>
              <w:t>不得分</w:t>
            </w:r>
            <w:r>
              <w:rPr>
                <w:rFonts w:hint="eastAsia" w:ascii="宋体" w:hAnsi="宋体" w:cs="宋体"/>
                <w:bCs/>
                <w:i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4</w:t>
            </w:r>
          </w:p>
        </w:tc>
        <w:tc>
          <w:tcPr>
            <w:tcW w:w="164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auto"/>
                <w:szCs w:val="21"/>
              </w:rPr>
            </w:pPr>
            <w:r>
              <w:rPr>
                <w:rFonts w:hint="eastAsia" w:ascii="宋体" w:hAnsi="宋体" w:cs="宋体"/>
                <w:color w:val="auto"/>
                <w:szCs w:val="21"/>
              </w:rPr>
              <w:t>拟安排的项目负责人情况（仅限一人）</w:t>
            </w:r>
          </w:p>
        </w:tc>
        <w:tc>
          <w:tcPr>
            <w:tcW w:w="79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auto"/>
                <w:szCs w:val="21"/>
              </w:rPr>
            </w:pPr>
            <w:r>
              <w:rPr>
                <w:rFonts w:hint="eastAsia" w:ascii="宋体" w:hAnsi="宋体" w:cs="宋体"/>
                <w:color w:val="auto"/>
                <w:szCs w:val="21"/>
              </w:rPr>
              <w:t>10</w:t>
            </w:r>
          </w:p>
        </w:tc>
        <w:tc>
          <w:tcPr>
            <w:tcW w:w="5529" w:type="dxa"/>
            <w:tcBorders>
              <w:top w:val="single" w:color="auto" w:sz="4" w:space="0"/>
              <w:left w:val="single" w:color="auto" w:sz="4" w:space="0"/>
              <w:bottom w:val="single" w:color="auto" w:sz="4" w:space="0"/>
              <w:right w:val="single" w:color="auto" w:sz="4" w:space="0"/>
            </w:tcBorders>
          </w:tcPr>
          <w:p>
            <w:pPr>
              <w:spacing w:line="380" w:lineRule="exact"/>
              <w:jc w:val="left"/>
              <w:rPr>
                <w:rFonts w:ascii="宋体" w:hAnsi="宋体" w:cs="宋体"/>
                <w:color w:val="auto"/>
                <w:szCs w:val="21"/>
              </w:rPr>
            </w:pPr>
            <w:r>
              <w:rPr>
                <w:rFonts w:hint="eastAsia" w:ascii="宋体" w:hAnsi="宋体" w:cs="宋体"/>
                <w:color w:val="auto"/>
                <w:szCs w:val="21"/>
              </w:rPr>
              <w:t>（一）评分内容：</w:t>
            </w:r>
          </w:p>
          <w:p>
            <w:pPr>
              <w:spacing w:line="380" w:lineRule="exact"/>
              <w:ind w:firstLine="206" w:firstLineChars="100"/>
              <w:jc w:val="left"/>
              <w:rPr>
                <w:rFonts w:ascii="宋体" w:hAnsi="宋体" w:cs="宋体"/>
                <w:color w:val="auto"/>
                <w:szCs w:val="21"/>
              </w:rPr>
            </w:pPr>
            <w:r>
              <w:rPr>
                <w:rFonts w:hint="eastAsia" w:ascii="宋体" w:hAnsi="宋体" w:cs="宋体"/>
                <w:color w:val="auto"/>
                <w:szCs w:val="21"/>
              </w:rPr>
              <w:t>本项目负责人具有正高级工程师职称证书，同时具备信息化或通信类相关专业硕士研究生或以上学历（提供毕业证书证明文件）的前提下（否则，以下不得分），根据以下资质情况进行评分：</w:t>
            </w:r>
          </w:p>
          <w:p>
            <w:pPr>
              <w:spacing w:line="380" w:lineRule="exact"/>
              <w:jc w:val="left"/>
              <w:rPr>
                <w:rFonts w:ascii="宋体" w:hAnsi="宋体" w:cs="宋体"/>
                <w:color w:val="auto"/>
                <w:szCs w:val="21"/>
              </w:rPr>
            </w:pPr>
            <w:r>
              <w:rPr>
                <w:rFonts w:hint="eastAsia" w:ascii="宋体" w:hAnsi="宋体" w:cs="宋体"/>
                <w:color w:val="auto"/>
                <w:szCs w:val="21"/>
              </w:rPr>
              <w:t>1、具有中国计算机软件专业技术资格和水平考试中心颁发的计算机技术与软件专业技术资格证书（专业：软件设计师（原高级程序员）证书，得2分；</w:t>
            </w:r>
          </w:p>
          <w:p>
            <w:pPr>
              <w:spacing w:line="380" w:lineRule="exact"/>
              <w:jc w:val="left"/>
              <w:rPr>
                <w:rFonts w:ascii="宋体" w:hAnsi="宋体" w:cs="宋体"/>
                <w:color w:val="auto"/>
                <w:szCs w:val="21"/>
              </w:rPr>
            </w:pPr>
            <w:r>
              <w:rPr>
                <w:rFonts w:hint="eastAsia" w:ascii="宋体" w:hAnsi="宋体" w:cs="宋体"/>
                <w:color w:val="auto"/>
                <w:szCs w:val="21"/>
              </w:rPr>
              <w:t>2、具有广东省人力资源和社会保障厅颁发的信息系统项目管理师（高级）证书，得2分；</w:t>
            </w:r>
          </w:p>
          <w:p>
            <w:pPr>
              <w:spacing w:line="380" w:lineRule="exact"/>
              <w:jc w:val="left"/>
              <w:rPr>
                <w:rFonts w:ascii="宋体" w:hAnsi="宋体" w:cs="宋体"/>
                <w:color w:val="auto"/>
                <w:szCs w:val="21"/>
              </w:rPr>
            </w:pPr>
            <w:r>
              <w:rPr>
                <w:rFonts w:hint="eastAsia" w:ascii="宋体" w:hAnsi="宋体" w:cs="宋体"/>
                <w:color w:val="auto"/>
                <w:szCs w:val="21"/>
              </w:rPr>
              <w:t>3、具有中国信息安全测评中心颁发的注册信息安全专业人员</w:t>
            </w:r>
            <w:r>
              <w:rPr>
                <w:rFonts w:ascii="宋体" w:hAnsi="宋体" w:cs="宋体"/>
                <w:color w:val="auto"/>
                <w:szCs w:val="21"/>
              </w:rPr>
              <w:t>(CISP)</w:t>
            </w:r>
            <w:r>
              <w:rPr>
                <w:rFonts w:hint="eastAsia" w:ascii="宋体" w:hAnsi="宋体" w:cs="宋体"/>
                <w:color w:val="auto"/>
                <w:szCs w:val="21"/>
              </w:rPr>
              <w:t>证书，得2分；</w:t>
            </w:r>
          </w:p>
          <w:p>
            <w:pPr>
              <w:spacing w:line="380" w:lineRule="exact"/>
              <w:jc w:val="left"/>
              <w:rPr>
                <w:rFonts w:ascii="宋体" w:hAnsi="宋体" w:cs="宋体"/>
                <w:color w:val="auto"/>
                <w:szCs w:val="21"/>
              </w:rPr>
            </w:pPr>
            <w:r>
              <w:rPr>
                <w:rFonts w:hint="eastAsia" w:ascii="宋体" w:hAnsi="宋体" w:cs="宋体"/>
                <w:color w:val="auto"/>
                <w:szCs w:val="21"/>
              </w:rPr>
              <w:t>4、具有工业和信息化部教育与考试中心颁发的软件工程造价师证书，得2分；</w:t>
            </w:r>
          </w:p>
          <w:p>
            <w:pPr>
              <w:spacing w:line="380" w:lineRule="exact"/>
              <w:jc w:val="left"/>
              <w:rPr>
                <w:rFonts w:ascii="宋体" w:hAnsi="宋体" w:cs="宋体"/>
                <w:color w:val="auto"/>
                <w:szCs w:val="21"/>
              </w:rPr>
            </w:pPr>
            <w:r>
              <w:rPr>
                <w:rFonts w:hint="eastAsia" w:ascii="宋体" w:hAnsi="宋体" w:cs="宋体"/>
                <w:color w:val="auto"/>
                <w:szCs w:val="21"/>
              </w:rPr>
              <w:t>5、具有中国工程咨询协会颁发的主专业为电子、信息工程类的咨询工程师（投资）登记证书，得2分。</w:t>
            </w:r>
          </w:p>
          <w:p>
            <w:pPr>
              <w:spacing w:line="380" w:lineRule="exact"/>
              <w:jc w:val="left"/>
              <w:rPr>
                <w:rFonts w:ascii="宋体" w:hAnsi="宋体" w:cs="宋体"/>
                <w:color w:val="auto"/>
                <w:szCs w:val="21"/>
              </w:rPr>
            </w:pPr>
            <w:r>
              <w:rPr>
                <w:rFonts w:hint="eastAsia" w:ascii="宋体" w:hAnsi="宋体" w:cs="宋体"/>
                <w:color w:val="auto"/>
                <w:szCs w:val="21"/>
              </w:rPr>
              <w:t>（二）评分依据：</w:t>
            </w:r>
          </w:p>
          <w:p>
            <w:pPr>
              <w:spacing w:line="400" w:lineRule="exact"/>
              <w:rPr>
                <w:rFonts w:ascii="宋体" w:hAnsi="宋体" w:cs="宋体"/>
                <w:color w:val="auto"/>
                <w:kern w:val="0"/>
                <w:szCs w:val="21"/>
                <w:lang w:bidi="ar"/>
              </w:rPr>
            </w:pPr>
            <w:r>
              <w:rPr>
                <w:rFonts w:hint="eastAsia" w:ascii="宋体" w:hAnsi="宋体" w:cs="宋体"/>
                <w:color w:val="auto"/>
                <w:spacing w:val="15"/>
                <w:szCs w:val="21"/>
              </w:rPr>
              <w:t>1.提供该</w:t>
            </w:r>
            <w:r>
              <w:rPr>
                <w:rFonts w:hint="eastAsia" w:ascii="宋体" w:hAnsi="宋体" w:cs="宋体"/>
                <w:color w:val="auto"/>
                <w:szCs w:val="21"/>
              </w:rPr>
              <w:t>人员开</w:t>
            </w:r>
            <w:r>
              <w:rPr>
                <w:rFonts w:hint="eastAsia" w:ascii="宋体" w:hAnsi="宋体" w:cs="宋体"/>
                <w:color w:val="auto"/>
                <w:spacing w:val="-1"/>
                <w:szCs w:val="21"/>
              </w:rPr>
              <w:t>标日</w:t>
            </w:r>
            <w:r>
              <w:rPr>
                <w:rFonts w:hint="eastAsia" w:ascii="宋体" w:hAnsi="宋体" w:cs="宋体"/>
                <w:color w:val="auto"/>
                <w:szCs w:val="21"/>
              </w:rPr>
              <w:t>前近三个月（</w:t>
            </w:r>
            <w:r>
              <w:rPr>
                <w:rFonts w:hint="eastAsia"/>
                <w:color w:val="auto"/>
              </w:rPr>
              <w:t>具体指投标截止日所在月的上一个月起倒算）</w:t>
            </w:r>
            <w:r>
              <w:rPr>
                <w:rFonts w:hint="eastAsia" w:ascii="宋体" w:hAnsi="宋体" w:cs="宋体"/>
                <w:color w:val="auto"/>
                <w:szCs w:val="21"/>
              </w:rPr>
              <w:t>在本公司缴纳且载有社保</w:t>
            </w:r>
            <w:r>
              <w:rPr>
                <w:rFonts w:hint="eastAsia" w:ascii="宋体" w:hAnsi="宋体" w:cs="宋体"/>
                <w:color w:val="auto"/>
                <w:spacing w:val="23"/>
                <w:szCs w:val="21"/>
              </w:rPr>
              <w:t>部</w:t>
            </w:r>
            <w:r>
              <w:rPr>
                <w:rFonts w:hint="eastAsia" w:ascii="宋体" w:hAnsi="宋体" w:cs="宋体"/>
                <w:color w:val="auto"/>
                <w:spacing w:val="15"/>
                <w:szCs w:val="21"/>
              </w:rPr>
              <w:t>门公章(或税务部门公章)的社保缴交</w:t>
            </w:r>
            <w:r>
              <w:rPr>
                <w:rFonts w:hint="eastAsia" w:ascii="宋体" w:hAnsi="宋体" w:cs="宋体"/>
                <w:color w:val="auto"/>
                <w:spacing w:val="14"/>
                <w:szCs w:val="21"/>
              </w:rPr>
              <w:t>证</w:t>
            </w:r>
            <w:r>
              <w:rPr>
                <w:rFonts w:hint="eastAsia" w:ascii="宋体" w:hAnsi="宋体" w:cs="宋体"/>
                <w:color w:val="auto"/>
                <w:spacing w:val="12"/>
                <w:szCs w:val="21"/>
              </w:rPr>
              <w:t>明</w:t>
            </w:r>
            <w:r>
              <w:rPr>
                <w:rFonts w:hint="eastAsia" w:ascii="宋体" w:hAnsi="宋体" w:cs="宋体"/>
                <w:color w:val="auto"/>
                <w:spacing w:val="7"/>
                <w:szCs w:val="21"/>
              </w:rPr>
              <w:t>材料(如开标日近一个月的社保材料</w:t>
            </w:r>
            <w:r>
              <w:rPr>
                <w:rFonts w:hint="eastAsia" w:ascii="宋体" w:hAnsi="宋体" w:cs="宋体"/>
                <w:color w:val="auto"/>
                <w:spacing w:val="12"/>
                <w:szCs w:val="21"/>
              </w:rPr>
              <w:t>因</w:t>
            </w:r>
            <w:r>
              <w:rPr>
                <w:rFonts w:hint="eastAsia" w:ascii="宋体" w:hAnsi="宋体" w:cs="宋体"/>
                <w:color w:val="auto"/>
                <w:spacing w:val="7"/>
                <w:szCs w:val="21"/>
              </w:rPr>
              <w:t>社保部门(或税务部门)原因暂时无法</w:t>
            </w:r>
            <w:r>
              <w:rPr>
                <w:rFonts w:hint="eastAsia" w:ascii="宋体" w:hAnsi="宋体" w:cs="宋体"/>
                <w:color w:val="auto"/>
                <w:spacing w:val="14"/>
                <w:szCs w:val="21"/>
              </w:rPr>
              <w:t>取</w:t>
            </w:r>
            <w:r>
              <w:rPr>
                <w:rFonts w:hint="eastAsia" w:ascii="宋体" w:hAnsi="宋体" w:cs="宋体"/>
                <w:color w:val="auto"/>
                <w:spacing w:val="12"/>
                <w:szCs w:val="21"/>
              </w:rPr>
              <w:t>得</w:t>
            </w:r>
            <w:r>
              <w:rPr>
                <w:rFonts w:hint="eastAsia" w:ascii="宋体" w:hAnsi="宋体" w:cs="宋体"/>
                <w:color w:val="auto"/>
                <w:spacing w:val="7"/>
                <w:szCs w:val="21"/>
              </w:rPr>
              <w:t>，则可以往前顺延一个月)</w:t>
            </w:r>
            <w:r>
              <w:rPr>
                <w:rFonts w:hint="eastAsia" w:ascii="宋体" w:hAnsi="宋体" w:cs="宋体"/>
                <w:bCs/>
                <w:color w:val="auto"/>
                <w:sz w:val="22"/>
                <w:szCs w:val="22"/>
              </w:rPr>
              <w:t>，</w:t>
            </w:r>
            <w:r>
              <w:rPr>
                <w:rFonts w:hint="eastAsia" w:ascii="宋体" w:hAnsi="宋体" w:cs="宋体"/>
                <w:bCs/>
                <w:color w:val="auto"/>
                <w:szCs w:val="21"/>
              </w:rPr>
              <w:t>或已退休返聘人员无社保的需提供聘用合同及退休证明</w:t>
            </w:r>
            <w:r>
              <w:rPr>
                <w:rFonts w:hint="eastAsia" w:ascii="宋体" w:hAnsi="宋体"/>
                <w:bCs/>
                <w:color w:val="auto"/>
                <w:szCs w:val="21"/>
              </w:rPr>
              <w:t>。</w:t>
            </w:r>
            <w:r>
              <w:rPr>
                <w:rFonts w:hint="eastAsia" w:ascii="宋体" w:hAnsi="宋体" w:cs="宋体"/>
                <w:color w:val="auto"/>
                <w:szCs w:val="21"/>
              </w:rPr>
              <w:t>如供应商为新成立企业且成立时间不足三个月可提供加盖公章的情况说明或者证明材料亦视为符合</w:t>
            </w:r>
            <w:r>
              <w:rPr>
                <w:rFonts w:hint="eastAsia" w:ascii="宋体" w:hAnsi="宋体" w:cs="宋体"/>
                <w:color w:val="auto"/>
                <w:spacing w:val="7"/>
                <w:szCs w:val="21"/>
              </w:rPr>
              <w:t>。不满足上述要求此项不得分。</w:t>
            </w:r>
          </w:p>
          <w:p>
            <w:pPr>
              <w:widowControl/>
              <w:spacing w:line="380" w:lineRule="exact"/>
              <w:jc w:val="left"/>
              <w:textAlignment w:val="top"/>
              <w:rPr>
                <w:rFonts w:ascii="宋体" w:hAnsi="宋体" w:cs="宋体"/>
                <w:color w:val="auto"/>
                <w:kern w:val="0"/>
                <w:szCs w:val="21"/>
                <w:lang w:bidi="ar"/>
              </w:rPr>
            </w:pPr>
            <w:r>
              <w:rPr>
                <w:rFonts w:hint="eastAsia" w:ascii="宋体" w:hAnsi="宋体" w:cs="宋体"/>
                <w:color w:val="auto"/>
                <w:kern w:val="0"/>
                <w:szCs w:val="21"/>
              </w:rPr>
              <w:t>2.</w:t>
            </w:r>
            <w:r>
              <w:rPr>
                <w:rFonts w:hint="eastAsia" w:ascii="宋体" w:hAnsi="宋体" w:cs="宋体"/>
                <w:color w:val="auto"/>
                <w:kern w:val="0"/>
                <w:szCs w:val="21"/>
                <w:lang w:bidi="ar"/>
              </w:rPr>
              <w:t>提供学历证书（</w:t>
            </w:r>
            <w:r>
              <w:rPr>
                <w:rFonts w:hint="eastAsia" w:ascii="宋体" w:hAnsi="宋体" w:cs="宋体"/>
                <w:color w:val="auto"/>
                <w:sz w:val="22"/>
                <w:szCs w:val="22"/>
              </w:rPr>
              <w:t>非国内学历应当提供教育部留学服务中心出具的国外学历学位认证证书</w:t>
            </w:r>
            <w:r>
              <w:rPr>
                <w:rFonts w:hint="eastAsia" w:ascii="宋体" w:hAnsi="宋体" w:cs="宋体"/>
                <w:color w:val="auto"/>
                <w:kern w:val="0"/>
                <w:szCs w:val="21"/>
                <w:lang w:bidi="ar"/>
              </w:rPr>
              <w:t>）及有效的资格证书扫描件。</w:t>
            </w:r>
          </w:p>
          <w:p>
            <w:pPr>
              <w:spacing w:line="380" w:lineRule="exact"/>
              <w:jc w:val="left"/>
              <w:rPr>
                <w:rFonts w:ascii="宋体" w:hAnsi="宋体" w:cs="宋体"/>
                <w:color w:val="auto"/>
                <w:szCs w:val="21"/>
              </w:rPr>
            </w:pPr>
            <w:r>
              <w:rPr>
                <w:rFonts w:hint="eastAsia" w:ascii="宋体" w:hAnsi="宋体" w:cs="宋体"/>
                <w:color w:val="auto"/>
                <w:kern w:val="0"/>
                <w:szCs w:val="21"/>
              </w:rPr>
              <w:t>3.</w:t>
            </w:r>
            <w:r>
              <w:rPr>
                <w:rFonts w:hint="eastAsia" w:ascii="宋体" w:hAnsi="宋体" w:cs="宋体"/>
                <w:color w:val="auto"/>
                <w:kern w:val="0"/>
                <w:szCs w:val="21"/>
                <w:lang w:bidi="ar"/>
              </w:rPr>
              <w:t>评分中出现无证明资料或专家无法凭所提供资料判断是否得分的情况，一律作不得分处理。以上证书原件备查。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5</w:t>
            </w:r>
          </w:p>
        </w:tc>
        <w:tc>
          <w:tcPr>
            <w:tcW w:w="164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auto"/>
                <w:szCs w:val="21"/>
              </w:rPr>
            </w:pPr>
            <w:r>
              <w:rPr>
                <w:rFonts w:hint="eastAsia" w:ascii="宋体" w:hAnsi="宋体" w:cs="宋体"/>
                <w:color w:val="auto"/>
                <w:szCs w:val="21"/>
              </w:rPr>
              <w:t>拟安排的项目主要团队成员（主要技术人员）情况（项目负责人除外）</w:t>
            </w:r>
          </w:p>
        </w:tc>
        <w:tc>
          <w:tcPr>
            <w:tcW w:w="79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color w:val="auto"/>
                <w:szCs w:val="21"/>
              </w:rPr>
            </w:pPr>
            <w:r>
              <w:rPr>
                <w:rFonts w:hint="eastAsia" w:ascii="宋体" w:hAnsi="宋体" w:cs="宋体"/>
                <w:color w:val="auto"/>
                <w:szCs w:val="21"/>
              </w:rPr>
              <w:t>12</w:t>
            </w:r>
          </w:p>
        </w:tc>
        <w:tc>
          <w:tcPr>
            <w:tcW w:w="5529" w:type="dxa"/>
            <w:tcBorders>
              <w:top w:val="single" w:color="auto" w:sz="4" w:space="0"/>
              <w:left w:val="single" w:color="auto" w:sz="4" w:space="0"/>
              <w:bottom w:val="single" w:color="auto" w:sz="4" w:space="0"/>
              <w:right w:val="single" w:color="auto" w:sz="4" w:space="0"/>
            </w:tcBorders>
          </w:tcPr>
          <w:p>
            <w:pPr>
              <w:keepNext w:val="0"/>
              <w:keepLines w:val="0"/>
              <w:pageBreakBefore w:val="0"/>
              <w:numPr>
                <w:ilvl w:val="0"/>
                <w:numId w:val="1"/>
              </w:numPr>
              <w:kinsoku/>
              <w:wordWrap/>
              <w:overflowPunct/>
              <w:topLinePunct w:val="0"/>
              <w:autoSpaceDE/>
              <w:autoSpaceDN/>
              <w:bidi w:val="0"/>
              <w:adjustRightInd/>
              <w:snapToGrid/>
              <w:spacing w:line="400" w:lineRule="exact"/>
              <w:jc w:val="left"/>
              <w:rPr>
                <w:rFonts w:ascii="宋体" w:hAnsi="宋体" w:cs="宋体"/>
                <w:color w:val="auto"/>
                <w:szCs w:val="21"/>
                <w:u w:val="none"/>
              </w:rPr>
            </w:pPr>
            <w:r>
              <w:rPr>
                <w:rFonts w:hint="eastAsia" w:ascii="宋体" w:hAnsi="宋体" w:cs="宋体"/>
                <w:color w:val="auto"/>
                <w:szCs w:val="21"/>
                <w:u w:val="none"/>
              </w:rPr>
              <w:t>评分内容：</w:t>
            </w:r>
          </w:p>
          <w:p>
            <w:pPr>
              <w:pStyle w:val="4"/>
              <w:keepNext w:val="0"/>
              <w:keepLines w:val="0"/>
              <w:pageBreakBefore w:val="0"/>
              <w:kinsoku/>
              <w:wordWrap/>
              <w:overflowPunct/>
              <w:topLinePunct w:val="0"/>
              <w:autoSpaceDE/>
              <w:autoSpaceDN/>
              <w:bidi w:val="0"/>
              <w:adjustRightInd/>
              <w:snapToGrid/>
              <w:spacing w:line="400" w:lineRule="exact"/>
              <w:ind w:firstLine="412" w:firstLineChars="200"/>
              <w:rPr>
                <w:rFonts w:hAnsi="宋体" w:cs="宋体"/>
                <w:color w:val="auto"/>
                <w:szCs w:val="21"/>
                <w:u w:val="none"/>
              </w:rPr>
            </w:pPr>
            <w:r>
              <w:rPr>
                <w:rFonts w:hint="eastAsia"/>
                <w:color w:val="auto"/>
                <w:u w:val="none"/>
              </w:rPr>
              <w:t>本项目拟投入的</w:t>
            </w:r>
            <w:r>
              <w:rPr>
                <w:rFonts w:hint="eastAsia" w:hAnsi="宋体" w:cs="宋体"/>
                <w:color w:val="auto"/>
                <w:szCs w:val="21"/>
                <w:u w:val="none"/>
              </w:rPr>
              <w:t>团队成员不少于5人，且</w:t>
            </w:r>
            <w:r>
              <w:rPr>
                <w:rFonts w:hint="eastAsia"/>
                <w:color w:val="auto"/>
                <w:u w:val="none"/>
              </w:rPr>
              <w:t>为投标单位正式聘用员工，项目团队成员具有5年以上咨询类工作经验，具备中级以上职称，在此基础上进行以下评审：</w:t>
            </w:r>
          </w:p>
          <w:p>
            <w:pPr>
              <w:pStyle w:val="2"/>
              <w:keepNext w:val="0"/>
              <w:keepLines w:val="0"/>
              <w:pageBreakBefore w:val="0"/>
              <w:kinsoku/>
              <w:wordWrap/>
              <w:overflowPunct/>
              <w:topLinePunct w:val="0"/>
              <w:autoSpaceDE/>
              <w:autoSpaceDN/>
              <w:bidi w:val="0"/>
              <w:adjustRightInd/>
              <w:snapToGrid/>
              <w:spacing w:line="400" w:lineRule="exact"/>
              <w:ind w:left="0" w:leftChars="0"/>
              <w:rPr>
                <w:rFonts w:ascii="宋体" w:hAnsi="宋体" w:cs="宋体"/>
                <w:color w:val="auto"/>
                <w:szCs w:val="21"/>
              </w:rPr>
            </w:pPr>
            <w:r>
              <w:rPr>
                <w:rFonts w:hint="eastAsia" w:ascii="宋体" w:hAnsi="Courier New"/>
                <w:color w:val="auto"/>
                <w:szCs w:val="20"/>
              </w:rPr>
              <w:t>1、有一人同时具有信息系统项目管理师（高级）证书或PMP、系统架构设计师证书，得3分；</w:t>
            </w:r>
            <w:r>
              <w:rPr>
                <w:rFonts w:hint="eastAsia" w:ascii="宋体" w:hAnsi="Courier New"/>
                <w:color w:val="auto"/>
                <w:szCs w:val="20"/>
              </w:rPr>
              <w:br w:type="textWrapping"/>
            </w:r>
            <w:r>
              <w:rPr>
                <w:rFonts w:hint="eastAsia" w:ascii="宋体" w:hAnsi="Courier New"/>
                <w:color w:val="auto"/>
                <w:szCs w:val="20"/>
              </w:rPr>
              <w:t>2、有一人同时具有信息系统项目管理师（高级）证书或PMP、注册信息安全专业人员证书（CISP）或CISA、高级系统分析师证书、得3分；</w:t>
            </w:r>
            <w:r>
              <w:rPr>
                <w:rFonts w:hint="eastAsia" w:ascii="宋体" w:hAnsi="Courier New"/>
                <w:color w:val="auto"/>
                <w:szCs w:val="20"/>
              </w:rPr>
              <w:br w:type="textWrapping"/>
            </w:r>
            <w:r>
              <w:rPr>
                <w:rFonts w:hint="eastAsia" w:ascii="宋体" w:hAnsi="Courier New"/>
                <w:color w:val="auto"/>
                <w:szCs w:val="20"/>
              </w:rPr>
              <w:t>3、有一人同时具有咨询工程师（电子、信息工程）证书、注册信息安全专业人员证书（CISP）或CISA，得3分；</w:t>
            </w:r>
            <w:r>
              <w:rPr>
                <w:rFonts w:hint="eastAsia" w:ascii="宋体" w:hAnsi="Courier New"/>
                <w:color w:val="auto"/>
                <w:szCs w:val="20"/>
              </w:rPr>
              <w:br w:type="textWrapping"/>
            </w:r>
            <w:r>
              <w:rPr>
                <w:rFonts w:hint="eastAsia" w:ascii="宋体" w:hAnsi="Courier New"/>
                <w:color w:val="auto"/>
                <w:szCs w:val="20"/>
              </w:rPr>
              <w:t>4、有一人同时具有信息系统项目管理师或PMP、软件工程造价师证书、高级系统分析师证书的，得3分。</w:t>
            </w:r>
            <w:r>
              <w:rPr>
                <w:rFonts w:hint="eastAsia" w:ascii="宋体" w:hAnsi="Courier New"/>
                <w:color w:val="auto"/>
                <w:szCs w:val="20"/>
              </w:rPr>
              <w:br w:type="textWrapping"/>
            </w:r>
            <w:r>
              <w:rPr>
                <w:rFonts w:hint="eastAsia" w:ascii="宋体" w:hAnsi="宋体" w:cs="宋体"/>
                <w:color w:val="auto"/>
                <w:szCs w:val="21"/>
              </w:rPr>
              <w:t>（二）评分依据：</w:t>
            </w:r>
          </w:p>
          <w:p>
            <w:pPr>
              <w:keepNext w:val="0"/>
              <w:keepLines w:val="0"/>
              <w:pageBreakBefore w:val="0"/>
              <w:kinsoku/>
              <w:wordWrap/>
              <w:overflowPunct/>
              <w:topLinePunct w:val="0"/>
              <w:autoSpaceDE/>
              <w:autoSpaceDN/>
              <w:bidi w:val="0"/>
              <w:adjustRightInd/>
              <w:snapToGrid/>
              <w:spacing w:line="400" w:lineRule="exact"/>
              <w:jc w:val="left"/>
              <w:rPr>
                <w:rFonts w:ascii="宋体" w:hAnsi="宋体" w:cs="宋体"/>
                <w:color w:val="auto"/>
                <w:kern w:val="0"/>
                <w:szCs w:val="21"/>
              </w:rPr>
            </w:pPr>
            <w:r>
              <w:rPr>
                <w:rFonts w:hint="eastAsia" w:ascii="宋体" w:hAnsi="宋体" w:cs="宋体"/>
                <w:color w:val="auto"/>
                <w:kern w:val="0"/>
                <w:szCs w:val="21"/>
              </w:rPr>
              <w:t>1.每人只计算1次得分（按得分最高项计算）</w:t>
            </w:r>
          </w:p>
          <w:p>
            <w:pPr>
              <w:keepNext w:val="0"/>
              <w:keepLines w:val="0"/>
              <w:pageBreakBefore w:val="0"/>
              <w:kinsoku/>
              <w:wordWrap/>
              <w:overflowPunct/>
              <w:topLinePunct w:val="0"/>
              <w:autoSpaceDE/>
              <w:autoSpaceDN/>
              <w:bidi w:val="0"/>
              <w:adjustRightInd/>
              <w:snapToGrid/>
              <w:spacing w:line="400" w:lineRule="exact"/>
              <w:rPr>
                <w:rFonts w:ascii="宋体" w:hAnsi="宋体" w:cs="宋体"/>
                <w:color w:val="auto"/>
                <w:kern w:val="0"/>
                <w:szCs w:val="21"/>
                <w:lang w:bidi="ar"/>
              </w:rPr>
            </w:pPr>
            <w:r>
              <w:rPr>
                <w:rFonts w:hint="eastAsia" w:ascii="宋体" w:hAnsi="宋体" w:cs="宋体"/>
                <w:color w:val="auto"/>
                <w:spacing w:val="15"/>
                <w:szCs w:val="21"/>
              </w:rPr>
              <w:t>2.提供相关</w:t>
            </w:r>
            <w:r>
              <w:rPr>
                <w:rFonts w:hint="eastAsia" w:ascii="宋体" w:hAnsi="宋体" w:cs="宋体"/>
                <w:color w:val="auto"/>
                <w:szCs w:val="21"/>
              </w:rPr>
              <w:t>人员开</w:t>
            </w:r>
            <w:r>
              <w:rPr>
                <w:rFonts w:hint="eastAsia" w:ascii="宋体" w:hAnsi="宋体" w:cs="宋体"/>
                <w:color w:val="auto"/>
                <w:spacing w:val="-1"/>
                <w:szCs w:val="21"/>
              </w:rPr>
              <w:t>标日</w:t>
            </w:r>
            <w:r>
              <w:rPr>
                <w:rFonts w:hint="eastAsia" w:ascii="宋体" w:hAnsi="宋体" w:cs="宋体"/>
                <w:color w:val="auto"/>
                <w:szCs w:val="21"/>
              </w:rPr>
              <w:t>前近三个月（</w:t>
            </w:r>
            <w:r>
              <w:rPr>
                <w:rFonts w:hint="eastAsia"/>
                <w:color w:val="auto"/>
              </w:rPr>
              <w:t>具体指投标截止日所在月的上一个月起倒算）</w:t>
            </w:r>
            <w:r>
              <w:rPr>
                <w:rFonts w:hint="eastAsia" w:ascii="宋体" w:hAnsi="宋体" w:cs="宋体"/>
                <w:color w:val="auto"/>
                <w:szCs w:val="21"/>
              </w:rPr>
              <w:t>在本公司缴纳且载有社保</w:t>
            </w:r>
            <w:r>
              <w:rPr>
                <w:rFonts w:hint="eastAsia" w:ascii="宋体" w:hAnsi="宋体" w:cs="宋体"/>
                <w:color w:val="auto"/>
                <w:spacing w:val="23"/>
                <w:szCs w:val="21"/>
              </w:rPr>
              <w:t>部</w:t>
            </w:r>
            <w:r>
              <w:rPr>
                <w:rFonts w:hint="eastAsia" w:ascii="宋体" w:hAnsi="宋体" w:cs="宋体"/>
                <w:color w:val="auto"/>
                <w:spacing w:val="15"/>
                <w:szCs w:val="21"/>
              </w:rPr>
              <w:t>门公章(或税务部门公章)的社保缴交</w:t>
            </w:r>
            <w:r>
              <w:rPr>
                <w:rFonts w:hint="eastAsia" w:ascii="宋体" w:hAnsi="宋体" w:cs="宋体"/>
                <w:color w:val="auto"/>
                <w:spacing w:val="14"/>
                <w:szCs w:val="21"/>
              </w:rPr>
              <w:t>证</w:t>
            </w:r>
            <w:r>
              <w:rPr>
                <w:rFonts w:hint="eastAsia" w:ascii="宋体" w:hAnsi="宋体" w:cs="宋体"/>
                <w:color w:val="auto"/>
                <w:spacing w:val="12"/>
                <w:szCs w:val="21"/>
              </w:rPr>
              <w:t>明</w:t>
            </w:r>
            <w:r>
              <w:rPr>
                <w:rFonts w:hint="eastAsia" w:ascii="宋体" w:hAnsi="宋体" w:cs="宋体"/>
                <w:color w:val="auto"/>
                <w:spacing w:val="7"/>
                <w:szCs w:val="21"/>
              </w:rPr>
              <w:t>材料(如开标日近一个月的社保材料</w:t>
            </w:r>
            <w:r>
              <w:rPr>
                <w:rFonts w:hint="eastAsia" w:ascii="宋体" w:hAnsi="宋体" w:cs="宋体"/>
                <w:color w:val="auto"/>
                <w:spacing w:val="12"/>
                <w:szCs w:val="21"/>
              </w:rPr>
              <w:t>因</w:t>
            </w:r>
            <w:r>
              <w:rPr>
                <w:rFonts w:hint="eastAsia" w:ascii="宋体" w:hAnsi="宋体" w:cs="宋体"/>
                <w:color w:val="auto"/>
                <w:spacing w:val="7"/>
                <w:szCs w:val="21"/>
              </w:rPr>
              <w:t>社保部门(或税务部门)原因暂时无法</w:t>
            </w:r>
            <w:r>
              <w:rPr>
                <w:rFonts w:hint="eastAsia" w:ascii="宋体" w:hAnsi="宋体" w:cs="宋体"/>
                <w:color w:val="auto"/>
                <w:spacing w:val="14"/>
                <w:szCs w:val="21"/>
              </w:rPr>
              <w:t>取</w:t>
            </w:r>
            <w:r>
              <w:rPr>
                <w:rFonts w:hint="eastAsia" w:ascii="宋体" w:hAnsi="宋体" w:cs="宋体"/>
                <w:color w:val="auto"/>
                <w:spacing w:val="12"/>
                <w:szCs w:val="21"/>
              </w:rPr>
              <w:t>得</w:t>
            </w:r>
            <w:r>
              <w:rPr>
                <w:rFonts w:hint="eastAsia" w:ascii="宋体" w:hAnsi="宋体" w:cs="宋体"/>
                <w:color w:val="auto"/>
                <w:spacing w:val="7"/>
                <w:szCs w:val="21"/>
              </w:rPr>
              <w:t>，则可以往前顺延一个月)</w:t>
            </w:r>
            <w:r>
              <w:rPr>
                <w:rFonts w:hint="eastAsia" w:ascii="宋体" w:hAnsi="宋体" w:cs="宋体"/>
                <w:bCs/>
                <w:color w:val="auto"/>
                <w:sz w:val="22"/>
                <w:szCs w:val="22"/>
              </w:rPr>
              <w:t>，</w:t>
            </w:r>
            <w:r>
              <w:rPr>
                <w:rFonts w:hint="eastAsia" w:ascii="宋体" w:hAnsi="宋体" w:cs="宋体"/>
                <w:bCs/>
                <w:color w:val="auto"/>
                <w:szCs w:val="21"/>
              </w:rPr>
              <w:t>或已退休返聘人员无社保的需提供聘用合同及退休证明</w:t>
            </w:r>
            <w:r>
              <w:rPr>
                <w:rFonts w:hint="eastAsia" w:ascii="宋体" w:hAnsi="宋体"/>
                <w:bCs/>
                <w:color w:val="auto"/>
                <w:szCs w:val="21"/>
              </w:rPr>
              <w:t>。</w:t>
            </w:r>
            <w:r>
              <w:rPr>
                <w:rFonts w:hint="eastAsia" w:ascii="宋体" w:hAnsi="宋体" w:cs="宋体"/>
                <w:color w:val="auto"/>
                <w:szCs w:val="21"/>
              </w:rPr>
              <w:t>如供应商为新成立企业且成立时间不足三个月可提供加盖公章的情况说明或者证明材料亦视为符合</w:t>
            </w:r>
            <w:r>
              <w:rPr>
                <w:rFonts w:hint="eastAsia" w:ascii="宋体" w:hAnsi="宋体" w:cs="宋体"/>
                <w:color w:val="auto"/>
                <w:spacing w:val="7"/>
                <w:szCs w:val="21"/>
              </w:rPr>
              <w:t>。不满足上述要求此项不得分。</w:t>
            </w:r>
          </w:p>
          <w:p>
            <w:pPr>
              <w:keepNext w:val="0"/>
              <w:keepLines w:val="0"/>
              <w:pageBreakBefore w:val="0"/>
              <w:widowControl/>
              <w:kinsoku/>
              <w:wordWrap/>
              <w:overflowPunct/>
              <w:topLinePunct w:val="0"/>
              <w:autoSpaceDE/>
              <w:autoSpaceDN/>
              <w:bidi w:val="0"/>
              <w:adjustRightInd/>
              <w:snapToGrid/>
              <w:spacing w:line="400" w:lineRule="exact"/>
              <w:jc w:val="left"/>
              <w:textAlignment w:val="top"/>
              <w:rPr>
                <w:rFonts w:ascii="宋体" w:hAnsi="宋体" w:cs="宋体"/>
                <w:color w:val="auto"/>
                <w:kern w:val="0"/>
                <w:szCs w:val="21"/>
                <w:lang w:bidi="ar"/>
              </w:rPr>
            </w:pPr>
            <w:r>
              <w:rPr>
                <w:rFonts w:hint="eastAsia" w:ascii="宋体" w:hAnsi="宋体" w:cs="宋体"/>
                <w:color w:val="auto"/>
                <w:kern w:val="0"/>
                <w:szCs w:val="21"/>
              </w:rPr>
              <w:t>3.</w:t>
            </w:r>
            <w:r>
              <w:rPr>
                <w:rFonts w:hint="eastAsia" w:ascii="宋体" w:hAnsi="宋体" w:cs="宋体"/>
                <w:color w:val="auto"/>
                <w:kern w:val="0"/>
                <w:szCs w:val="21"/>
                <w:lang w:bidi="ar"/>
              </w:rPr>
              <w:t>提供有效的资格证书扫描件。</w:t>
            </w:r>
          </w:p>
          <w:p>
            <w:pPr>
              <w:keepNext w:val="0"/>
              <w:keepLines w:val="0"/>
              <w:pageBreakBefore w:val="0"/>
              <w:kinsoku/>
              <w:wordWrap/>
              <w:overflowPunct/>
              <w:topLinePunct w:val="0"/>
              <w:autoSpaceDE/>
              <w:autoSpaceDN/>
              <w:bidi w:val="0"/>
              <w:adjustRightInd/>
              <w:snapToGrid/>
              <w:spacing w:line="400" w:lineRule="exact"/>
              <w:jc w:val="left"/>
              <w:rPr>
                <w:rFonts w:ascii="宋体" w:hAnsi="宋体" w:cs="宋体"/>
                <w:color w:val="auto"/>
                <w:szCs w:val="21"/>
              </w:rPr>
            </w:pPr>
            <w:r>
              <w:rPr>
                <w:rFonts w:hint="eastAsia" w:ascii="宋体" w:hAnsi="宋体" w:cs="宋体"/>
                <w:color w:val="auto"/>
                <w:kern w:val="0"/>
                <w:szCs w:val="21"/>
              </w:rPr>
              <w:t>4.</w:t>
            </w:r>
            <w:r>
              <w:rPr>
                <w:rFonts w:hint="eastAsia" w:ascii="宋体" w:hAnsi="宋体" w:cs="宋体"/>
                <w:color w:val="auto"/>
                <w:kern w:val="0"/>
                <w:szCs w:val="21"/>
                <w:lang w:bidi="ar"/>
              </w:rPr>
              <w:t>评分中出现无证明资料或专家无法凭所提供资料判断是否得分的情况，一律作不得分处理。以上证书原件备查。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6</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项目完成（服务期满）后的服务承诺</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2</w:t>
            </w:r>
          </w:p>
        </w:tc>
        <w:tc>
          <w:tcPr>
            <w:tcW w:w="552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hAnsi="宋体" w:cs="宋体"/>
                <w:b/>
                <w:i/>
                <w:color w:val="auto"/>
                <w:szCs w:val="21"/>
              </w:rPr>
            </w:pPr>
            <w:r>
              <w:rPr>
                <w:rFonts w:hint="eastAsia" w:ascii="宋体" w:hAnsi="宋体" w:cs="宋体"/>
                <w:color w:val="auto"/>
                <w:szCs w:val="21"/>
              </w:rPr>
              <w:t>评审内容：</w:t>
            </w:r>
            <w:r>
              <w:rPr>
                <w:rFonts w:hint="eastAsia" w:ascii="宋体" w:hAnsi="宋体" w:cs="宋体"/>
                <w:bCs/>
                <w:iCs/>
                <w:color w:val="auto"/>
                <w:szCs w:val="21"/>
              </w:rPr>
              <w:t>投标人提供项目完成（服务期满）后的服务承诺（格式自定），要求包括但不限于，提供施工配合、后续设计变更配合等。根据响应情况进行评审。</w:t>
            </w:r>
          </w:p>
          <w:p>
            <w:pPr>
              <w:adjustRightInd w:val="0"/>
              <w:snapToGrid w:val="0"/>
              <w:rPr>
                <w:rFonts w:ascii="宋体" w:hAnsi="宋体"/>
                <w:color w:val="auto"/>
                <w:szCs w:val="21"/>
              </w:rPr>
            </w:pPr>
            <w:r>
              <w:rPr>
                <w:rFonts w:hint="eastAsia" w:ascii="宋体" w:hAnsi="宋体" w:cs="宋体"/>
                <w:color w:val="auto"/>
                <w:szCs w:val="21"/>
              </w:rPr>
              <w:t>评审标准：</w:t>
            </w:r>
            <w:r>
              <w:rPr>
                <w:rFonts w:hint="eastAsia" w:ascii="宋体" w:hAnsi="宋体" w:cs="宋体"/>
                <w:bCs/>
                <w:iCs/>
                <w:color w:val="auto"/>
                <w:szCs w:val="21"/>
              </w:rPr>
              <w:t>项目完成（服务期满）后的服务承诺内容具体，满足项目需求的得满分，要求提供承诺（格式自定）作为得分依据，未提供承诺或承诺内容不满足要求不得分。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7</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违约承诺</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1</w:t>
            </w:r>
          </w:p>
        </w:tc>
        <w:tc>
          <w:tcPr>
            <w:tcW w:w="552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hAnsi="宋体" w:cs="宋体"/>
                <w:bCs/>
                <w:iCs/>
                <w:color w:val="auto"/>
                <w:szCs w:val="21"/>
              </w:rPr>
            </w:pPr>
            <w:r>
              <w:rPr>
                <w:rFonts w:hint="eastAsia" w:ascii="宋体" w:hAnsi="宋体" w:cs="宋体"/>
                <w:color w:val="auto"/>
                <w:szCs w:val="21"/>
              </w:rPr>
              <w:t>评审内容：</w:t>
            </w:r>
            <w:r>
              <w:rPr>
                <w:rFonts w:hint="eastAsia" w:ascii="宋体" w:hAnsi="宋体" w:cs="宋体"/>
                <w:bCs/>
                <w:iCs/>
                <w:color w:val="auto"/>
                <w:szCs w:val="21"/>
              </w:rPr>
              <w:t>根据投标人提供的违约承诺（格式自定）响应情况进行评审，包括人员严格按照招标文件及投标承诺配置、服务质量达到招标文件要求等；</w:t>
            </w:r>
          </w:p>
          <w:p>
            <w:pPr>
              <w:adjustRightInd w:val="0"/>
              <w:snapToGrid w:val="0"/>
              <w:rPr>
                <w:rFonts w:ascii="宋体" w:hAnsi="宋体"/>
                <w:color w:val="auto"/>
                <w:szCs w:val="21"/>
              </w:rPr>
            </w:pPr>
            <w:r>
              <w:rPr>
                <w:rFonts w:hint="eastAsia" w:ascii="宋体" w:hAnsi="宋体" w:cs="宋体"/>
                <w:bCs/>
                <w:iCs/>
                <w:color w:val="auto"/>
                <w:szCs w:val="21"/>
              </w:rPr>
              <w:t>评审标准：要求提供承诺（格式自定）作为得分依据，未提供承诺或承诺内容不满足要求不得分；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ascii="宋体" w:hAnsi="宋体"/>
                <w:color w:val="auto"/>
                <w:szCs w:val="21"/>
              </w:rPr>
              <w:t>3</w:t>
            </w:r>
          </w:p>
        </w:tc>
        <w:tc>
          <w:tcPr>
            <w:tcW w:w="298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商务部分</w:t>
            </w:r>
          </w:p>
        </w:tc>
        <w:tc>
          <w:tcPr>
            <w:tcW w:w="55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lang w:val="en-US" w:eastAsia="zh-CN"/>
              </w:rPr>
              <w:t>2</w:t>
            </w:r>
            <w:r>
              <w:rPr>
                <w:rFonts w:hint="eastAsia" w:ascii="宋体" w:hAnsi="宋体"/>
                <w:color w:val="auto"/>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trPr>
        <w:tc>
          <w:tcPr>
            <w:tcW w:w="522"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行号</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内容</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权重</w:t>
            </w:r>
          </w:p>
        </w:tc>
        <w:tc>
          <w:tcPr>
            <w:tcW w:w="55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ascii="宋体" w:hAnsi="宋体"/>
                <w:color w:val="auto"/>
                <w:szCs w:val="21"/>
              </w:rPr>
              <w:t>1</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投标人通过相关认证情况</w:t>
            </w:r>
          </w:p>
          <w:p>
            <w:pPr>
              <w:adjustRightInd w:val="0"/>
              <w:snapToGrid w:val="0"/>
              <w:jc w:val="center"/>
              <w:rPr>
                <w:rFonts w:ascii="宋体" w:hAnsi="宋体"/>
                <w:color w:val="auto"/>
                <w:szCs w:val="21"/>
              </w:rPr>
            </w:pP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13</w:t>
            </w:r>
          </w:p>
        </w:tc>
        <w:tc>
          <w:tcPr>
            <w:tcW w:w="5529" w:type="dxa"/>
            <w:tcBorders>
              <w:top w:val="single" w:color="auto" w:sz="4" w:space="0"/>
              <w:left w:val="single" w:color="auto" w:sz="4" w:space="0"/>
              <w:bottom w:val="single" w:color="auto" w:sz="4" w:space="0"/>
              <w:right w:val="single" w:color="auto" w:sz="4" w:space="0"/>
            </w:tcBorders>
          </w:tcPr>
          <w:p>
            <w:pPr>
              <w:spacing w:line="380" w:lineRule="exact"/>
              <w:jc w:val="left"/>
              <w:rPr>
                <w:rFonts w:ascii="宋体" w:hAnsi="宋体" w:cs="宋体"/>
                <w:color w:val="auto"/>
                <w:szCs w:val="21"/>
              </w:rPr>
            </w:pPr>
            <w:r>
              <w:rPr>
                <w:rFonts w:hint="eastAsia" w:ascii="宋体" w:hAnsi="宋体" w:cs="宋体"/>
                <w:color w:val="auto"/>
                <w:szCs w:val="21"/>
              </w:rPr>
              <w:t>（一）评分内容：</w:t>
            </w:r>
          </w:p>
          <w:p>
            <w:pPr>
              <w:spacing w:line="380" w:lineRule="exact"/>
              <w:jc w:val="left"/>
              <w:rPr>
                <w:rFonts w:ascii="宋体" w:hAnsi="宋体" w:cs="宋体"/>
                <w:color w:val="auto"/>
                <w:szCs w:val="21"/>
              </w:rPr>
            </w:pPr>
            <w:r>
              <w:rPr>
                <w:rFonts w:hint="eastAsia" w:ascii="宋体" w:hAnsi="宋体" w:cs="宋体"/>
                <w:color w:val="auto"/>
                <w:szCs w:val="21"/>
              </w:rPr>
              <w:t>1.投标人同时具有质量管理体系认证、信息技术服务管理体系认证、信息安全管理体系认证得2分；</w:t>
            </w:r>
          </w:p>
          <w:p>
            <w:pPr>
              <w:spacing w:line="380" w:lineRule="exact"/>
              <w:jc w:val="left"/>
              <w:rPr>
                <w:rFonts w:ascii="宋体" w:hAnsi="宋体" w:cs="宋体"/>
                <w:color w:val="auto"/>
                <w:szCs w:val="21"/>
              </w:rPr>
            </w:pPr>
            <w:r>
              <w:rPr>
                <w:rFonts w:hint="eastAsia" w:ascii="宋体" w:hAnsi="宋体" w:cs="宋体"/>
                <w:color w:val="auto"/>
                <w:szCs w:val="21"/>
              </w:rPr>
              <w:t>2、全过程工程咨询服务认证证书（一级）得2分</w:t>
            </w:r>
            <w:r>
              <w:rPr>
                <w:rFonts w:hint="eastAsia" w:ascii="宋体" w:hAnsi="宋体" w:cs="宋体"/>
                <w:color w:val="auto"/>
                <w:szCs w:val="21"/>
              </w:rPr>
              <w:br w:type="textWrapping"/>
            </w:r>
            <w:r>
              <w:rPr>
                <w:rFonts w:hint="eastAsia" w:ascii="宋体" w:hAnsi="宋体" w:cs="宋体"/>
                <w:color w:val="auto"/>
                <w:szCs w:val="21"/>
              </w:rPr>
              <w:t>3、具有CMMI软件能力成熟度集成模型等级5认证证书得3分；</w:t>
            </w:r>
            <w:r>
              <w:rPr>
                <w:rFonts w:hint="eastAsia" w:ascii="宋体" w:hAnsi="宋体" w:cs="宋体"/>
                <w:color w:val="auto"/>
                <w:szCs w:val="21"/>
              </w:rPr>
              <w:br w:type="textWrapping"/>
            </w:r>
            <w:r>
              <w:rPr>
                <w:rFonts w:hint="eastAsia" w:ascii="宋体" w:hAnsi="宋体" w:cs="宋体"/>
                <w:color w:val="auto"/>
                <w:szCs w:val="21"/>
              </w:rPr>
              <w:t>4、ITSS信息技术服务咨询设计标准符合性证书得3分；</w:t>
            </w:r>
            <w:r>
              <w:rPr>
                <w:rFonts w:hint="eastAsia" w:ascii="宋体" w:hAnsi="宋体" w:cs="宋体"/>
                <w:color w:val="auto"/>
                <w:szCs w:val="21"/>
              </w:rPr>
              <w:br w:type="textWrapping"/>
            </w:r>
            <w:r>
              <w:rPr>
                <w:rFonts w:hint="eastAsia" w:ascii="宋体" w:hAnsi="宋体" w:cs="宋体"/>
                <w:color w:val="auto"/>
                <w:szCs w:val="21"/>
              </w:rPr>
              <w:t>5、具备中国网络安全审查技术与认证中心(CCRC)颁发的信息安全服务（信息系统安全集成服务资质）壹级资质证书得3分；</w:t>
            </w:r>
          </w:p>
          <w:p>
            <w:pPr>
              <w:spacing w:line="380" w:lineRule="exact"/>
              <w:jc w:val="left"/>
              <w:rPr>
                <w:rFonts w:ascii="宋体" w:hAnsi="宋体" w:cs="宋体"/>
                <w:color w:val="auto"/>
                <w:szCs w:val="21"/>
              </w:rPr>
            </w:pPr>
            <w:r>
              <w:rPr>
                <w:rFonts w:hint="eastAsia" w:ascii="宋体" w:hAnsi="宋体" w:cs="宋体"/>
                <w:color w:val="auto"/>
                <w:szCs w:val="21"/>
              </w:rPr>
              <w:t>（二）评分依据：</w:t>
            </w:r>
          </w:p>
          <w:p>
            <w:pPr>
              <w:spacing w:line="380" w:lineRule="exact"/>
              <w:jc w:val="left"/>
              <w:rPr>
                <w:rFonts w:ascii="宋体" w:hAnsi="宋体" w:cs="宋体"/>
                <w:color w:val="auto"/>
                <w:szCs w:val="21"/>
              </w:rPr>
            </w:pPr>
            <w:r>
              <w:rPr>
                <w:rFonts w:hint="eastAsia" w:ascii="宋体" w:hAnsi="宋体" w:cs="宋体"/>
                <w:color w:val="auto"/>
                <w:szCs w:val="21"/>
              </w:rPr>
              <w:t>1.要求提供有效的资格（认证）证书作为得分依据。</w:t>
            </w:r>
          </w:p>
          <w:p>
            <w:pPr>
              <w:spacing w:line="380" w:lineRule="exact"/>
              <w:jc w:val="left"/>
              <w:rPr>
                <w:rFonts w:ascii="宋体" w:hAnsi="宋体" w:cs="宋体"/>
                <w:color w:val="auto"/>
                <w:kern w:val="0"/>
                <w:szCs w:val="21"/>
              </w:rPr>
            </w:pPr>
            <w:r>
              <w:rPr>
                <w:rFonts w:hint="eastAsia" w:ascii="宋体" w:hAnsi="宋体" w:cs="宋体"/>
                <w:color w:val="auto"/>
                <w:szCs w:val="21"/>
              </w:rPr>
              <w:t>2.以上资料均要求提供扫描件（或官方网站截图），原件备查。评分中出现无证明资料或专家无法凭所提供资料判断是否得分的情况，一律作不得分处理。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trPr>
        <w:tc>
          <w:tcPr>
            <w:tcW w:w="522" w:type="dxa"/>
            <w:vMerge w:val="continue"/>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2</w:t>
            </w:r>
          </w:p>
        </w:tc>
        <w:tc>
          <w:tcPr>
            <w:tcW w:w="1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投标人同类项目业绩情况</w:t>
            </w:r>
          </w:p>
        </w:tc>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auto"/>
                <w:szCs w:val="21"/>
              </w:rPr>
            </w:pPr>
            <w:r>
              <w:rPr>
                <w:rFonts w:hint="eastAsia" w:ascii="宋体" w:hAnsi="宋体"/>
                <w:color w:val="auto"/>
                <w:szCs w:val="21"/>
              </w:rPr>
              <w:t>5</w:t>
            </w:r>
          </w:p>
        </w:tc>
        <w:tc>
          <w:tcPr>
            <w:tcW w:w="552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380" w:lineRule="exact"/>
              <w:jc w:val="left"/>
              <w:rPr>
                <w:rFonts w:ascii="宋体" w:hAnsi="宋体" w:cs="宋体"/>
                <w:color w:val="auto"/>
                <w:szCs w:val="21"/>
              </w:rPr>
            </w:pPr>
            <w:r>
              <w:rPr>
                <w:rFonts w:hint="eastAsia" w:ascii="宋体" w:hAnsi="宋体" w:cs="宋体"/>
                <w:color w:val="auto"/>
                <w:szCs w:val="21"/>
              </w:rPr>
              <w:t>评分内容：</w:t>
            </w:r>
          </w:p>
          <w:p>
            <w:pPr>
              <w:adjustRightInd w:val="0"/>
              <w:snapToGrid w:val="0"/>
              <w:rPr>
                <w:rFonts w:ascii="宋体" w:hAnsi="宋体" w:cs="宋体"/>
                <w:color w:val="auto"/>
                <w:szCs w:val="21"/>
              </w:rPr>
            </w:pPr>
            <w:r>
              <w:rPr>
                <w:rFonts w:hint="eastAsia" w:ascii="宋体" w:hAnsi="宋体" w:cs="宋体"/>
                <w:color w:val="auto"/>
                <w:szCs w:val="21"/>
              </w:rPr>
              <w:t>近3年供应商在全国范围内有企业数字化、数字政府、智慧城市、智慧行业等咨询、规划、设计业绩，评审内容如下：</w:t>
            </w:r>
          </w:p>
          <w:p>
            <w:pPr>
              <w:adjustRightInd w:val="0"/>
              <w:snapToGrid w:val="0"/>
              <w:rPr>
                <w:rFonts w:ascii="宋体" w:hAnsi="宋体" w:cs="宋体"/>
                <w:color w:val="auto"/>
                <w:szCs w:val="21"/>
              </w:rPr>
            </w:pPr>
            <w:r>
              <w:rPr>
                <w:rFonts w:hint="eastAsia" w:ascii="宋体" w:hAnsi="宋体" w:cs="宋体"/>
                <w:color w:val="auto"/>
                <w:szCs w:val="21"/>
              </w:rPr>
              <w:t>1、咨询设计类业绩：单个数字化咨询设计项目合同金额1000万及以上的，每提供一个业绩得1分；单个数字化咨询设计项目合同金额500万及以上的，每提供一个业绩得0.5分，本项最多得3分；</w:t>
            </w:r>
            <w:r>
              <w:rPr>
                <w:rFonts w:hint="eastAsia" w:ascii="宋体" w:hAnsi="宋体" w:cs="宋体"/>
                <w:color w:val="auto"/>
                <w:szCs w:val="21"/>
              </w:rPr>
              <w:br w:type="textWrapping"/>
            </w:r>
            <w:r>
              <w:rPr>
                <w:rFonts w:hint="eastAsia" w:ascii="宋体" w:hAnsi="宋体" w:cs="宋体"/>
                <w:color w:val="auto"/>
                <w:szCs w:val="21"/>
              </w:rPr>
              <w:t>2、投咨询规划类业绩：单个咨询规划类项目合同额200万及以上的，每提供一个业绩得0.5分，最多得2分。</w:t>
            </w:r>
          </w:p>
          <w:p>
            <w:pPr>
              <w:spacing w:line="380" w:lineRule="exact"/>
              <w:jc w:val="left"/>
              <w:rPr>
                <w:rFonts w:ascii="宋体" w:hAnsi="宋体" w:cs="宋体"/>
                <w:color w:val="auto"/>
                <w:szCs w:val="21"/>
              </w:rPr>
            </w:pPr>
            <w:r>
              <w:rPr>
                <w:rFonts w:hint="eastAsia" w:ascii="宋体" w:hAnsi="宋体" w:cs="宋体"/>
                <w:color w:val="auto"/>
                <w:szCs w:val="21"/>
              </w:rPr>
              <w:t>（二）评分依据：</w:t>
            </w:r>
          </w:p>
          <w:p>
            <w:pPr>
              <w:adjustRightInd w:val="0"/>
              <w:snapToGrid w:val="0"/>
              <w:rPr>
                <w:rFonts w:ascii="宋体" w:hAnsi="宋体"/>
                <w:color w:val="auto"/>
                <w:szCs w:val="21"/>
              </w:rPr>
            </w:pPr>
            <w:r>
              <w:rPr>
                <w:rFonts w:hint="eastAsia" w:ascii="宋体" w:hAnsi="宋体" w:cs="宋体"/>
                <w:color w:val="auto"/>
                <w:szCs w:val="21"/>
              </w:rPr>
              <w:t>以上业绩要求提供合同关键页（包括签约时间、项目名称、关键服务内容、双方盖章等关键页）扫描件，原件备查。</w:t>
            </w:r>
            <w:r>
              <w:rPr>
                <w:rFonts w:hint="eastAsia" w:ascii="宋体" w:hAnsi="宋体" w:cs="宋体"/>
                <w:color w:val="auto"/>
                <w:sz w:val="22"/>
                <w:szCs w:val="22"/>
              </w:rPr>
              <w:t>评分中出现无证明资料或专家无法凭所提供资料判断是否得分的情况，一律作不得分处理。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trPr>
        <w:tc>
          <w:tcPr>
            <w:tcW w:w="522" w:type="dxa"/>
            <w:tcBorders>
              <w:left w:val="single" w:color="auto" w:sz="4" w:space="0"/>
              <w:right w:val="single" w:color="auto" w:sz="4" w:space="0"/>
            </w:tcBorders>
            <w:vAlign w:val="center"/>
          </w:tcPr>
          <w:p>
            <w:pPr>
              <w:widowControl/>
              <w:adjustRightInd w:val="0"/>
              <w:snapToGrid w:val="0"/>
              <w:jc w:val="center"/>
              <w:rPr>
                <w:rFonts w:ascii="宋体" w:hAnsi="宋体"/>
                <w:color w:val="auto"/>
                <w:szCs w:val="21"/>
              </w:rPr>
            </w:pPr>
          </w:p>
        </w:tc>
        <w:tc>
          <w:tcPr>
            <w:tcW w:w="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olor w:val="auto"/>
                <w:szCs w:val="21"/>
                <w:lang w:eastAsia="zh-CN"/>
              </w:rPr>
            </w:pPr>
            <w:r>
              <w:rPr>
                <w:rFonts w:hint="eastAsia" w:ascii="宋体" w:hAnsi="宋体" w:cs="宋体"/>
                <w:color w:val="auto"/>
                <w:szCs w:val="21"/>
                <w:lang w:val="en-US" w:eastAsia="zh-CN"/>
              </w:rPr>
              <w:t>3</w:t>
            </w:r>
          </w:p>
        </w:tc>
        <w:tc>
          <w:tcPr>
            <w:tcW w:w="164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bCs/>
                <w:color w:val="auto"/>
                <w:szCs w:val="21"/>
              </w:rPr>
            </w:pPr>
            <w:r>
              <w:rPr>
                <w:rFonts w:hint="eastAsia" w:ascii="宋体" w:hAnsi="宋体" w:cs="宋体"/>
                <w:color w:val="auto"/>
                <w:szCs w:val="21"/>
              </w:rPr>
              <w:t>诚信情况</w:t>
            </w:r>
          </w:p>
        </w:tc>
        <w:tc>
          <w:tcPr>
            <w:tcW w:w="7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7</w:t>
            </w:r>
          </w:p>
        </w:tc>
        <w:tc>
          <w:tcPr>
            <w:tcW w:w="552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auto"/>
                <w:szCs w:val="21"/>
              </w:rPr>
            </w:pPr>
            <w:r>
              <w:rPr>
                <w:rFonts w:hint="eastAsia" w:ascii="宋体" w:hAnsi="宋体" w:cs="宋体"/>
                <w:color w:val="auto"/>
                <w:szCs w:val="21"/>
              </w:rPr>
              <w:t>投标人在参与政府采购活动中出现诚信相关问题且在相关主管部门处理措施实施期限内的本项不得分，否则得满分。投标人需按招标文件格式提供《诚信承诺函》并加盖投标人公章，如被认定提供的陈述与事实不符的，此项不得分并依法追究其责任。</w:t>
            </w:r>
          </w:p>
        </w:tc>
      </w:tr>
    </w:tbl>
    <w:p/>
    <w:p/>
    <w:p/>
    <w:p/>
    <w:p/>
    <w:p/>
    <w:p/>
    <w:p/>
    <w:p/>
    <w:p/>
    <w:p/>
    <w:p/>
    <w:p/>
    <w:p/>
    <w:p/>
    <w:p/>
    <w:p/>
    <w:p>
      <w:pPr>
        <w:pStyle w:val="3"/>
        <w:keepNext w:val="0"/>
        <w:keepLines w:val="0"/>
        <w:pageBreakBefore w:val="0"/>
        <w:widowControl w:val="0"/>
        <w:kinsoku/>
        <w:wordWrap/>
        <w:overflowPunct/>
        <w:topLinePunct w:val="0"/>
        <w:autoSpaceDE w:val="0"/>
        <w:autoSpaceDN w:val="0"/>
        <w:bidi w:val="0"/>
        <w:adjustRightInd/>
        <w:snapToGrid/>
        <w:spacing w:before="11" w:after="0" w:line="360" w:lineRule="auto"/>
        <w:ind w:left="0" w:leftChars="0" w:right="0" w:rightChars="0" w:firstLine="412" w:firstLineChars="200"/>
        <w:jc w:val="both"/>
        <w:textAlignment w:val="auto"/>
        <w:outlineLvl w:val="9"/>
        <w:rPr>
          <w:rFonts w:hint="default" w:eastAsia="宋体"/>
          <w:b w:val="0"/>
          <w:bCs/>
          <w:sz w:val="21"/>
          <w:szCs w:val="21"/>
          <w:lang w:val="en-US" w:eastAsia="zh-CN"/>
        </w:rPr>
      </w:pPr>
      <w:r>
        <w:rPr>
          <w:rFonts w:hint="eastAsia"/>
          <w:b w:val="0"/>
          <w:bCs/>
          <w:sz w:val="21"/>
          <w:szCs w:val="21"/>
          <w:lang w:val="en-US" w:eastAsia="zh-CN"/>
        </w:rPr>
        <w:t>附件：报价单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2101"/>
        <w:gridCol w:w="1954"/>
        <w:gridCol w:w="2150"/>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998"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default" w:eastAsia="宋体"/>
                <w:b w:val="0"/>
                <w:bCs/>
                <w:sz w:val="21"/>
                <w:szCs w:val="21"/>
                <w:vertAlign w:val="baseline"/>
                <w:lang w:val="en-US" w:eastAsia="zh-CN"/>
              </w:rPr>
            </w:pPr>
            <w:r>
              <w:rPr>
                <w:rFonts w:hint="eastAsia"/>
                <w:b w:val="0"/>
                <w:bCs/>
                <w:sz w:val="21"/>
                <w:szCs w:val="21"/>
                <w:vertAlign w:val="baseline"/>
                <w:lang w:val="en-US" w:eastAsia="zh-CN"/>
              </w:rPr>
              <w:t>项目名称</w:t>
            </w:r>
          </w:p>
        </w:tc>
        <w:tc>
          <w:tcPr>
            <w:tcW w:w="1160"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default" w:eastAsia="宋体"/>
                <w:b w:val="0"/>
                <w:bCs/>
                <w:sz w:val="21"/>
                <w:szCs w:val="21"/>
                <w:vertAlign w:val="baseline"/>
                <w:lang w:val="en-US" w:eastAsia="zh-CN"/>
              </w:rPr>
            </w:pPr>
            <w:r>
              <w:rPr>
                <w:rFonts w:hint="eastAsia"/>
                <w:b w:val="0"/>
                <w:bCs/>
                <w:sz w:val="21"/>
                <w:szCs w:val="21"/>
                <w:vertAlign w:val="baseline"/>
                <w:lang w:val="en-US" w:eastAsia="zh-CN"/>
              </w:rPr>
              <w:t>含税总金额（万元）</w:t>
            </w:r>
          </w:p>
        </w:tc>
        <w:tc>
          <w:tcPr>
            <w:tcW w:w="1079"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default" w:eastAsia="宋体"/>
                <w:b w:val="0"/>
                <w:bCs/>
                <w:sz w:val="21"/>
                <w:szCs w:val="21"/>
                <w:vertAlign w:val="baseline"/>
                <w:lang w:val="en-US" w:eastAsia="zh-CN"/>
              </w:rPr>
            </w:pPr>
            <w:r>
              <w:rPr>
                <w:rFonts w:hint="eastAsia"/>
                <w:b w:val="0"/>
                <w:bCs/>
                <w:sz w:val="21"/>
                <w:szCs w:val="21"/>
                <w:vertAlign w:val="baseline"/>
                <w:lang w:val="en-US" w:eastAsia="zh-CN"/>
              </w:rPr>
              <w:t>规划编制周期（月）</w:t>
            </w:r>
          </w:p>
        </w:tc>
        <w:tc>
          <w:tcPr>
            <w:tcW w:w="1187"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eastAsia="宋体"/>
                <w:b w:val="0"/>
                <w:bCs/>
                <w:sz w:val="21"/>
                <w:szCs w:val="21"/>
                <w:vertAlign w:val="baseline"/>
                <w:lang w:val="en-US" w:eastAsia="zh-CN"/>
              </w:rPr>
            </w:pPr>
            <w:r>
              <w:rPr>
                <w:rFonts w:hint="eastAsia"/>
                <w:b w:val="0"/>
                <w:bCs/>
                <w:sz w:val="21"/>
                <w:szCs w:val="21"/>
                <w:vertAlign w:val="baseline"/>
                <w:lang w:val="en-US" w:eastAsia="zh-CN"/>
              </w:rPr>
              <w:t>技术支撑周期（月）</w:t>
            </w:r>
          </w:p>
        </w:tc>
        <w:tc>
          <w:tcPr>
            <w:tcW w:w="573"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eastAsia="宋体"/>
                <w:b w:val="0"/>
                <w:bCs/>
                <w:sz w:val="21"/>
                <w:szCs w:val="21"/>
                <w:vertAlign w:val="baseline"/>
                <w:lang w:val="en-US" w:eastAsia="zh-CN"/>
              </w:rPr>
            </w:pPr>
            <w:r>
              <w:rPr>
                <w:rFonts w:hint="eastAsia"/>
                <w:b w:val="0"/>
                <w:bCs/>
                <w:sz w:val="21"/>
                <w:szCs w:val="21"/>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998"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center"/>
              <w:textAlignment w:val="auto"/>
              <w:outlineLvl w:val="9"/>
              <w:rPr>
                <w:rFonts w:hint="eastAsia"/>
                <w:b w:val="0"/>
                <w:bCs/>
                <w:sz w:val="21"/>
                <w:szCs w:val="21"/>
                <w:vertAlign w:val="baseline"/>
              </w:rPr>
            </w:pPr>
            <w:r>
              <w:rPr>
                <w:rFonts w:hint="eastAsia"/>
                <w:b w:val="0"/>
                <w:bCs/>
                <w:sz w:val="21"/>
                <w:szCs w:val="21"/>
              </w:rPr>
              <w:t>龙岗区城投集团数字化发展规划编制及技术支撑项目</w:t>
            </w:r>
          </w:p>
        </w:tc>
        <w:tc>
          <w:tcPr>
            <w:tcW w:w="1160"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tc>
        <w:tc>
          <w:tcPr>
            <w:tcW w:w="1079"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tc>
        <w:tc>
          <w:tcPr>
            <w:tcW w:w="1187"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tc>
        <w:tc>
          <w:tcPr>
            <w:tcW w:w="573" w:type="pct"/>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4" w:hRule="atLeast"/>
        </w:trPr>
        <w:tc>
          <w:tcPr>
            <w:tcW w:w="5000" w:type="pct"/>
            <w:gridSpan w:val="5"/>
          </w:tcPr>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r>
              <w:rPr>
                <w:rFonts w:hint="eastAsia"/>
                <w:b w:val="0"/>
                <w:bCs/>
                <w:sz w:val="21"/>
                <w:szCs w:val="21"/>
              </w:rPr>
              <w:t>投标单位名称：（盖章）</w:t>
            </w: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r>
              <w:rPr>
                <w:rFonts w:hint="eastAsia"/>
                <w:b w:val="0"/>
                <w:bCs/>
                <w:sz w:val="21"/>
                <w:szCs w:val="21"/>
              </w:rPr>
              <w:t>法定代表人或授权代理人签字：</w:t>
            </w: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r>
              <w:rPr>
                <w:rFonts w:hint="eastAsia"/>
                <w:b w:val="0"/>
                <w:bCs/>
                <w:sz w:val="21"/>
                <w:szCs w:val="21"/>
              </w:rPr>
              <w:t xml:space="preserve">时间： </w:t>
            </w:r>
            <w:r>
              <w:rPr>
                <w:rFonts w:hint="eastAsia"/>
                <w:b w:val="0"/>
                <w:bCs/>
                <w:sz w:val="21"/>
                <w:szCs w:val="21"/>
                <w:lang w:val="en-US" w:eastAsia="zh-CN"/>
              </w:rPr>
              <w:t xml:space="preserve">   </w:t>
            </w:r>
            <w:r>
              <w:rPr>
                <w:rFonts w:hint="eastAsia"/>
                <w:b w:val="0"/>
                <w:bCs/>
                <w:sz w:val="21"/>
                <w:szCs w:val="21"/>
              </w:rPr>
              <w:t>年</w:t>
            </w:r>
            <w:r>
              <w:rPr>
                <w:rFonts w:hint="eastAsia"/>
                <w:b w:val="0"/>
                <w:bCs/>
                <w:sz w:val="21"/>
                <w:szCs w:val="21"/>
                <w:lang w:val="en-US" w:eastAsia="zh-CN"/>
              </w:rPr>
              <w:t xml:space="preserve"> </w:t>
            </w:r>
            <w:r>
              <w:rPr>
                <w:rFonts w:hint="eastAsia"/>
                <w:b w:val="0"/>
                <w:bCs/>
                <w:sz w:val="21"/>
                <w:szCs w:val="21"/>
              </w:rPr>
              <w:t xml:space="preserve"> 月 </w:t>
            </w:r>
            <w:r>
              <w:rPr>
                <w:rFonts w:hint="eastAsia"/>
                <w:b w:val="0"/>
                <w:bCs/>
                <w:sz w:val="21"/>
                <w:szCs w:val="21"/>
                <w:lang w:val="en-US" w:eastAsia="zh-CN"/>
              </w:rPr>
              <w:t xml:space="preserve"> </w:t>
            </w:r>
            <w:r>
              <w:rPr>
                <w:rFonts w:hint="eastAsia"/>
                <w:b w:val="0"/>
                <w:bCs/>
                <w:sz w:val="21"/>
                <w:szCs w:val="21"/>
              </w:rPr>
              <w:t>日</w:t>
            </w: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p>
        </w:tc>
      </w:tr>
    </w:tbl>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说明： 1、 本报价包含调研、 开发、 培训、 税费、 差旅、 食宿及交通费等全面完成招标文件要求的所有工作范围及内容的全部相关费用。</w:t>
      </w:r>
    </w:p>
    <w:p>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2</w:t>
      </w:r>
      <w:r>
        <w:rPr>
          <w:rFonts w:hint="eastAsia"/>
          <w:b w:val="0"/>
          <w:bCs/>
          <w:sz w:val="21"/>
          <w:szCs w:val="21"/>
        </w:rPr>
        <w:t xml:space="preserve">、本项目付款进度安排为： 按照项目阶段性验收付款， 付款比例遵循合同总价的 </w:t>
      </w:r>
      <w:r>
        <w:rPr>
          <w:rFonts w:hint="eastAsia"/>
          <w:b w:val="0"/>
          <w:bCs/>
          <w:sz w:val="21"/>
          <w:szCs w:val="21"/>
          <w:lang w:val="en-US" w:eastAsia="zh-CN"/>
        </w:rPr>
        <w:t>2:3:1:1.5:1.5:1</w:t>
      </w:r>
      <w:r>
        <w:rPr>
          <w:rFonts w:hint="eastAsia"/>
          <w:b w:val="0"/>
          <w:bCs/>
          <w:sz w:val="21"/>
          <w:szCs w:val="21"/>
        </w:rPr>
        <w:t xml:space="preserve"> 的方式。</w:t>
      </w:r>
    </w:p>
    <w:p/>
    <w:sectPr>
      <w:pgSz w:w="11906" w:h="16838"/>
      <w:pgMar w:top="2098" w:right="1474" w:bottom="1984" w:left="1587" w:header="851" w:footer="1417" w:gutter="0"/>
      <w:pgNumType w:fmt="numberInDash"/>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FE1FE3"/>
    <w:multiLevelType w:val="singleLevel"/>
    <w:tmpl w:val="BAFE1FE3"/>
    <w:lvl w:ilvl="0" w:tentative="0">
      <w:start w:val="1"/>
      <w:numFmt w:val="chineseCounting"/>
      <w:suff w:val="nothing"/>
      <w:lvlText w:val="%1）"/>
      <w:lvlJc w:val="left"/>
      <w:rPr>
        <w:rFonts w:hint="eastAsia"/>
      </w:rPr>
    </w:lvl>
  </w:abstractNum>
  <w:abstractNum w:abstractNumId="1">
    <w:nsid w:val="6DB6DC5A"/>
    <w:multiLevelType w:val="singleLevel"/>
    <w:tmpl w:val="6DB6DC5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F0A6C"/>
    <w:rsid w:val="009431C0"/>
    <w:rsid w:val="01357BF7"/>
    <w:rsid w:val="06076D25"/>
    <w:rsid w:val="0C9D4C66"/>
    <w:rsid w:val="0D650ADD"/>
    <w:rsid w:val="0E3D7E2C"/>
    <w:rsid w:val="0F093690"/>
    <w:rsid w:val="111A7D2B"/>
    <w:rsid w:val="13C8141C"/>
    <w:rsid w:val="14EC7508"/>
    <w:rsid w:val="182B2CD5"/>
    <w:rsid w:val="1A242C23"/>
    <w:rsid w:val="1CDD4178"/>
    <w:rsid w:val="1D073566"/>
    <w:rsid w:val="1D8F2B60"/>
    <w:rsid w:val="20151A60"/>
    <w:rsid w:val="206226B2"/>
    <w:rsid w:val="20C30FA7"/>
    <w:rsid w:val="234276E7"/>
    <w:rsid w:val="2ABA64D5"/>
    <w:rsid w:val="2B0D530E"/>
    <w:rsid w:val="2BDC53DF"/>
    <w:rsid w:val="2D3814CC"/>
    <w:rsid w:val="31D82659"/>
    <w:rsid w:val="329775F6"/>
    <w:rsid w:val="32E01149"/>
    <w:rsid w:val="389954BF"/>
    <w:rsid w:val="38E64F14"/>
    <w:rsid w:val="39703499"/>
    <w:rsid w:val="399D2026"/>
    <w:rsid w:val="3A98558B"/>
    <w:rsid w:val="3DE567A4"/>
    <w:rsid w:val="3E914837"/>
    <w:rsid w:val="40A67B9B"/>
    <w:rsid w:val="41570E1E"/>
    <w:rsid w:val="429D2441"/>
    <w:rsid w:val="43316BE5"/>
    <w:rsid w:val="45FE0135"/>
    <w:rsid w:val="468F0A6C"/>
    <w:rsid w:val="4BE07FAE"/>
    <w:rsid w:val="4DA03157"/>
    <w:rsid w:val="4EB732CA"/>
    <w:rsid w:val="4EF45DDA"/>
    <w:rsid w:val="50CA3E02"/>
    <w:rsid w:val="541212D9"/>
    <w:rsid w:val="5967795D"/>
    <w:rsid w:val="5A5F2810"/>
    <w:rsid w:val="5C5565E6"/>
    <w:rsid w:val="5C95096A"/>
    <w:rsid w:val="5CF35767"/>
    <w:rsid w:val="608929BE"/>
    <w:rsid w:val="622B4242"/>
    <w:rsid w:val="627E4530"/>
    <w:rsid w:val="63E26D53"/>
    <w:rsid w:val="66D52867"/>
    <w:rsid w:val="6E18097A"/>
    <w:rsid w:val="6F013295"/>
    <w:rsid w:val="700D605A"/>
    <w:rsid w:val="72C10427"/>
    <w:rsid w:val="73A82EE7"/>
    <w:rsid w:val="76D45F4C"/>
    <w:rsid w:val="7AE47175"/>
    <w:rsid w:val="7B1F61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3">
    <w:name w:val="Body Text"/>
    <w:basedOn w:val="1"/>
    <w:qFormat/>
    <w:uiPriority w:val="0"/>
    <w:pPr>
      <w:spacing w:after="120"/>
    </w:pPr>
  </w:style>
  <w:style w:type="paragraph" w:styleId="4">
    <w:name w:val="Plain Text"/>
    <w:basedOn w:val="1"/>
    <w:next w:val="2"/>
    <w:qFormat/>
    <w:uiPriority w:val="99"/>
    <w:rPr>
      <w:rFonts w:ascii="宋体" w:hAnsi="Courier New"/>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表格文字"/>
    <w:basedOn w:val="9"/>
    <w:next w:val="3"/>
    <w:qFormat/>
    <w:uiPriority w:val="0"/>
    <w:pPr>
      <w:spacing w:before="25" w:after="25"/>
      <w:jc w:val="left"/>
    </w:pPr>
    <w:rPr>
      <w:bCs/>
      <w:spacing w:val="10"/>
      <w:sz w:val="24"/>
    </w:rPr>
  </w:style>
  <w:style w:type="paragraph" w:customStyle="1" w:styleId="9">
    <w:name w:val="表格文字（两侧对齐）"/>
    <w:basedOn w:val="1"/>
    <w:qFormat/>
    <w:uiPriority w:val="0"/>
    <w:pPr>
      <w:snapToGrid w:val="0"/>
    </w:pPr>
    <w:rPr>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2024-04-26T12:40:00Z</dcterms:created>
  <dc:creator>徐明伟</dc:creator>
  <cp:lastModifiedBy>徐明伟</cp:lastModifiedBy>
  <dcterms:modified xsi:type="dcterms:W3CDTF">2024-05-16T03:55:03Z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CB772230FD9B428797F43391994046D1</vt:lpwstr>
  </property>
</Properties>
</file>