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bCs/>
          <w:sz w:val="30"/>
          <w:szCs w:val="30"/>
        </w:rPr>
      </w:pPr>
      <w:bookmarkStart w:id="1" w:name="_GoBack"/>
      <w:r>
        <w:rPr>
          <w:rFonts w:hint="eastAsia" w:ascii="仿宋_GB2312" w:eastAsia="仿宋_GB2312"/>
          <w:b/>
          <w:bCs/>
          <w:sz w:val="30"/>
          <w:szCs w:val="30"/>
        </w:rPr>
        <w:t>附件</w:t>
      </w:r>
      <w:r>
        <w:rPr>
          <w:rFonts w:hint="eastAsia" w:ascii="仿宋_GB2312" w:eastAsia="仿宋_GB2312"/>
          <w:b/>
          <w:bCs/>
          <w:sz w:val="30"/>
          <w:szCs w:val="30"/>
          <w:lang w:val="en-US" w:eastAsia="zh-CN"/>
        </w:rPr>
        <w:t>二</w:t>
      </w:r>
      <w:r>
        <w:rPr>
          <w:rFonts w:hint="eastAsia" w:ascii="仿宋_GB2312" w:eastAsia="仿宋_GB2312"/>
          <w:b/>
          <w:bCs/>
          <w:sz w:val="30"/>
          <w:szCs w:val="30"/>
        </w:rPr>
        <w:t>：综合评审表</w:t>
      </w:r>
    </w:p>
    <w:bookmarkEnd w:id="1"/>
    <w:tbl>
      <w:tblPr>
        <w:tblStyle w:val="3"/>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25"/>
        <w:gridCol w:w="4484"/>
        <w:gridCol w:w="1259"/>
        <w:gridCol w:w="584"/>
        <w:gridCol w:w="649"/>
        <w:gridCol w:w="610"/>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blHeader/>
          <w:jc w:val="center"/>
        </w:trPr>
        <w:tc>
          <w:tcPr>
            <w:tcW w:w="263" w:type="pct"/>
            <w:shd w:val="clear" w:color="auto" w:fill="DEEAF6"/>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bookmarkStart w:id="0" w:name="_Hlk17297611"/>
            <w:r>
              <w:rPr>
                <w:rFonts w:hint="eastAsia" w:ascii="宋体" w:hAnsi="宋体" w:eastAsia="宋体" w:cs="宋体"/>
                <w:b/>
                <w:sz w:val="18"/>
                <w:szCs w:val="18"/>
              </w:rPr>
              <w:t>序号</w:t>
            </w:r>
          </w:p>
        </w:tc>
        <w:tc>
          <w:tcPr>
            <w:tcW w:w="385" w:type="pct"/>
            <w:shd w:val="clear" w:color="auto" w:fill="DEEAF6"/>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评审</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项目</w:t>
            </w:r>
          </w:p>
        </w:tc>
        <w:tc>
          <w:tcPr>
            <w:tcW w:w="2385" w:type="pct"/>
            <w:shd w:val="clear" w:color="auto" w:fill="DEEAF6"/>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评审标准</w:t>
            </w:r>
          </w:p>
        </w:tc>
        <w:tc>
          <w:tcPr>
            <w:tcW w:w="670" w:type="pct"/>
            <w:shd w:val="clear" w:color="auto" w:fill="DEEAF6"/>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证明</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材料</w:t>
            </w:r>
          </w:p>
        </w:tc>
        <w:tc>
          <w:tcPr>
            <w:tcW w:w="311" w:type="pct"/>
            <w:shd w:val="clear" w:color="auto" w:fill="DEEAF6"/>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分值</w:t>
            </w:r>
          </w:p>
        </w:tc>
        <w:tc>
          <w:tcPr>
            <w:tcW w:w="344" w:type="pct"/>
            <w:shd w:val="clear" w:color="auto" w:fill="DEEAF6"/>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单位</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A</w:t>
            </w:r>
          </w:p>
        </w:tc>
        <w:tc>
          <w:tcPr>
            <w:tcW w:w="324" w:type="pct"/>
            <w:shd w:val="clear" w:color="auto" w:fill="DEEAF6"/>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单位</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B</w:t>
            </w:r>
          </w:p>
        </w:tc>
        <w:tc>
          <w:tcPr>
            <w:tcW w:w="315" w:type="pct"/>
            <w:shd w:val="clear" w:color="auto" w:fill="DEEAF6"/>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单位</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263" w:type="pct"/>
            <w:noWrap w:val="0"/>
            <w:vAlign w:val="center"/>
          </w:tcPr>
          <w:p>
            <w:pPr>
              <w:widowControl/>
              <w:adjustRightInd w:val="0"/>
              <w:snapToGrid w:val="0"/>
              <w:spacing w:line="0" w:lineRule="atLeast"/>
              <w:jc w:val="center"/>
              <w:rPr>
                <w:rFonts w:hint="eastAsia" w:ascii="宋体" w:hAnsi="宋体" w:eastAsia="宋体" w:cs="宋体"/>
                <w:b/>
                <w:bCs/>
                <w:sz w:val="18"/>
                <w:szCs w:val="18"/>
              </w:rPr>
            </w:pPr>
            <w:r>
              <w:rPr>
                <w:rFonts w:hint="eastAsia" w:ascii="宋体" w:hAnsi="宋体" w:eastAsia="宋体" w:cs="宋体"/>
                <w:b/>
                <w:bCs/>
                <w:sz w:val="18"/>
                <w:szCs w:val="18"/>
              </w:rPr>
              <w:t>1</w:t>
            </w:r>
          </w:p>
        </w:tc>
        <w:tc>
          <w:tcPr>
            <w:tcW w:w="385" w:type="pct"/>
            <w:noWrap w:val="0"/>
            <w:vAlign w:val="center"/>
          </w:tcPr>
          <w:p>
            <w:pPr>
              <w:spacing w:line="0" w:lineRule="atLeast"/>
              <w:jc w:val="center"/>
              <w:rPr>
                <w:rFonts w:hint="eastAsia" w:ascii="宋体" w:hAnsi="宋体" w:eastAsia="宋体" w:cs="宋体"/>
                <w:b/>
                <w:bCs/>
                <w:sz w:val="18"/>
                <w:szCs w:val="18"/>
              </w:rPr>
            </w:pPr>
            <w:r>
              <w:rPr>
                <w:rFonts w:hint="eastAsia" w:ascii="宋体" w:hAnsi="宋体" w:eastAsia="宋体" w:cs="宋体"/>
                <w:b/>
                <w:bCs/>
                <w:sz w:val="18"/>
                <w:szCs w:val="18"/>
              </w:rPr>
              <w:t>公司实力</w:t>
            </w:r>
          </w:p>
        </w:tc>
        <w:tc>
          <w:tcPr>
            <w:tcW w:w="238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获得有效环境管理体系认证证书及质量管理体系认证证书得</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sz w:val="18"/>
                <w:szCs w:val="18"/>
              </w:rPr>
            </w:pPr>
            <w:r>
              <w:rPr>
                <w:rFonts w:hint="eastAsia" w:ascii="宋体" w:hAnsi="宋体" w:eastAsia="宋体" w:cs="宋体"/>
                <w:kern w:val="0"/>
                <w:sz w:val="18"/>
                <w:szCs w:val="18"/>
                <w:lang w:val="en-US" w:eastAsia="zh-CN"/>
              </w:rPr>
              <w:t>提供证书文件，并加盖公章</w:t>
            </w:r>
          </w:p>
        </w:tc>
        <w:tc>
          <w:tcPr>
            <w:tcW w:w="311" w:type="pct"/>
            <w:noWrap w:val="0"/>
            <w:vAlign w:val="center"/>
          </w:tcPr>
          <w:p>
            <w:pPr>
              <w:widowControl/>
              <w:adjustRightInd w:val="0"/>
              <w:snapToGrid w:val="0"/>
              <w:spacing w:line="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344" w:type="pct"/>
            <w:noWrap w:val="0"/>
            <w:vAlign w:val="center"/>
          </w:tcPr>
          <w:p>
            <w:pPr>
              <w:widowControl/>
              <w:adjustRightInd w:val="0"/>
              <w:snapToGrid w:val="0"/>
              <w:spacing w:line="0" w:lineRule="atLeast"/>
              <w:jc w:val="center"/>
              <w:rPr>
                <w:rFonts w:hint="eastAsia" w:ascii="宋体" w:hAnsi="宋体" w:eastAsia="宋体" w:cs="宋体"/>
                <w:sz w:val="18"/>
                <w:szCs w:val="18"/>
              </w:rPr>
            </w:pPr>
          </w:p>
        </w:tc>
        <w:tc>
          <w:tcPr>
            <w:tcW w:w="324" w:type="pct"/>
            <w:noWrap w:val="0"/>
            <w:vAlign w:val="center"/>
          </w:tcPr>
          <w:p>
            <w:pPr>
              <w:widowControl/>
              <w:adjustRightInd w:val="0"/>
              <w:snapToGrid w:val="0"/>
              <w:spacing w:line="0" w:lineRule="atLeast"/>
              <w:jc w:val="center"/>
              <w:rPr>
                <w:rFonts w:hint="eastAsia" w:ascii="宋体" w:hAnsi="宋体" w:eastAsia="宋体" w:cs="宋体"/>
                <w:sz w:val="18"/>
                <w:szCs w:val="18"/>
              </w:rPr>
            </w:pPr>
          </w:p>
        </w:tc>
        <w:tc>
          <w:tcPr>
            <w:tcW w:w="315" w:type="pct"/>
            <w:noWrap w:val="0"/>
            <w:vAlign w:val="center"/>
          </w:tcPr>
          <w:p>
            <w:pPr>
              <w:widowControl/>
              <w:adjustRightInd w:val="0"/>
              <w:snapToGrid w:val="0"/>
              <w:spacing w:line="0" w:lineRule="atLeas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263" w:type="pct"/>
            <w:noWrap w:val="0"/>
            <w:vAlign w:val="center"/>
          </w:tcPr>
          <w:p>
            <w:pPr>
              <w:widowControl/>
              <w:adjustRightInd w:val="0"/>
              <w:snapToGrid w:val="0"/>
              <w:spacing w:line="0" w:lineRule="atLeast"/>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w:t>
            </w:r>
          </w:p>
        </w:tc>
        <w:tc>
          <w:tcPr>
            <w:tcW w:w="385" w:type="pct"/>
            <w:vMerge w:val="restart"/>
            <w:noWrap w:val="0"/>
            <w:vAlign w:val="center"/>
          </w:tcPr>
          <w:p>
            <w:pPr>
              <w:spacing w:line="0" w:lineRule="atLeast"/>
              <w:jc w:val="center"/>
              <w:rPr>
                <w:rFonts w:hint="eastAsia" w:ascii="宋体" w:hAnsi="宋体" w:eastAsia="宋体" w:cs="宋体"/>
                <w:b/>
                <w:bCs/>
                <w:sz w:val="18"/>
                <w:szCs w:val="18"/>
              </w:rPr>
            </w:pPr>
            <w:r>
              <w:rPr>
                <w:rFonts w:hint="eastAsia" w:ascii="宋体" w:hAnsi="宋体" w:eastAsia="宋体" w:cs="宋体"/>
                <w:b/>
                <w:bCs/>
                <w:sz w:val="18"/>
                <w:szCs w:val="18"/>
              </w:rPr>
              <w:t>同类业绩情况</w:t>
            </w:r>
          </w:p>
        </w:tc>
        <w:tc>
          <w:tcPr>
            <w:tcW w:w="238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近五年（2019年3月1日起至本项目开标之日止），投标人提供第三方安全巡检服务合同不少于5份（15分，每少一份扣3分）。</w:t>
            </w:r>
          </w:p>
        </w:tc>
        <w:tc>
          <w:tcPr>
            <w:tcW w:w="6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提供相应合同文件，并加盖公章</w:t>
            </w:r>
          </w:p>
        </w:tc>
        <w:tc>
          <w:tcPr>
            <w:tcW w:w="311" w:type="pct"/>
            <w:noWrap w:val="0"/>
            <w:vAlign w:val="center"/>
          </w:tcPr>
          <w:p>
            <w:pPr>
              <w:widowControl/>
              <w:adjustRightInd w:val="0"/>
              <w:snapToGrid w:val="0"/>
              <w:spacing w:line="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15分</w:t>
            </w:r>
          </w:p>
        </w:tc>
        <w:tc>
          <w:tcPr>
            <w:tcW w:w="344" w:type="pct"/>
            <w:noWrap w:val="0"/>
            <w:vAlign w:val="center"/>
          </w:tcPr>
          <w:p>
            <w:pPr>
              <w:widowControl/>
              <w:adjustRightInd w:val="0"/>
              <w:snapToGrid w:val="0"/>
              <w:spacing w:line="0" w:lineRule="atLeast"/>
              <w:jc w:val="center"/>
              <w:rPr>
                <w:rFonts w:hint="eastAsia" w:ascii="宋体" w:hAnsi="宋体" w:eastAsia="宋体" w:cs="宋体"/>
                <w:sz w:val="18"/>
                <w:szCs w:val="18"/>
              </w:rPr>
            </w:pPr>
          </w:p>
        </w:tc>
        <w:tc>
          <w:tcPr>
            <w:tcW w:w="324" w:type="pct"/>
            <w:noWrap w:val="0"/>
            <w:vAlign w:val="center"/>
          </w:tcPr>
          <w:p>
            <w:pPr>
              <w:widowControl/>
              <w:adjustRightInd w:val="0"/>
              <w:snapToGrid w:val="0"/>
              <w:spacing w:line="0" w:lineRule="atLeast"/>
              <w:jc w:val="center"/>
              <w:rPr>
                <w:rFonts w:hint="eastAsia" w:ascii="宋体" w:hAnsi="宋体" w:eastAsia="宋体" w:cs="宋体"/>
                <w:sz w:val="18"/>
                <w:szCs w:val="18"/>
              </w:rPr>
            </w:pPr>
          </w:p>
        </w:tc>
        <w:tc>
          <w:tcPr>
            <w:tcW w:w="315" w:type="pct"/>
            <w:noWrap w:val="0"/>
            <w:vAlign w:val="center"/>
          </w:tcPr>
          <w:p>
            <w:pPr>
              <w:widowControl/>
              <w:adjustRightInd w:val="0"/>
              <w:snapToGrid w:val="0"/>
              <w:spacing w:line="0" w:lineRule="atLeas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263" w:type="pct"/>
            <w:noWrap w:val="0"/>
            <w:vAlign w:val="center"/>
          </w:tcPr>
          <w:p>
            <w:pPr>
              <w:widowControl/>
              <w:adjustRightInd w:val="0"/>
              <w:snapToGrid w:val="0"/>
              <w:spacing w:line="0" w:lineRule="atLeast"/>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3</w:t>
            </w:r>
          </w:p>
        </w:tc>
        <w:tc>
          <w:tcPr>
            <w:tcW w:w="385" w:type="pct"/>
            <w:vMerge w:val="continue"/>
            <w:noWrap w:val="0"/>
            <w:vAlign w:val="center"/>
          </w:tcPr>
          <w:p>
            <w:pPr>
              <w:spacing w:line="0" w:lineRule="atLeast"/>
              <w:jc w:val="center"/>
              <w:rPr>
                <w:rFonts w:hint="eastAsia" w:ascii="宋体" w:hAnsi="宋体" w:eastAsia="宋体" w:cs="宋体"/>
                <w:b/>
                <w:bCs/>
                <w:sz w:val="18"/>
                <w:szCs w:val="18"/>
              </w:rPr>
            </w:pPr>
          </w:p>
        </w:tc>
        <w:tc>
          <w:tcPr>
            <w:tcW w:w="238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近五年（2019年3月1日起至本项目开标之日止），投标人提供开展安全管理类制度或手册或标准图集编制相关服务合同不少于5份（15分，每少一份扣3分）。</w:t>
            </w:r>
          </w:p>
        </w:tc>
        <w:tc>
          <w:tcPr>
            <w:tcW w:w="6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提供相应合同文件，并加盖公章</w:t>
            </w:r>
          </w:p>
        </w:tc>
        <w:tc>
          <w:tcPr>
            <w:tcW w:w="311" w:type="pct"/>
            <w:noWrap w:val="0"/>
            <w:vAlign w:val="center"/>
          </w:tcPr>
          <w:p>
            <w:pPr>
              <w:widowControl/>
              <w:adjustRightInd w:val="0"/>
              <w:snapToGrid w:val="0"/>
              <w:spacing w:line="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15分</w:t>
            </w:r>
          </w:p>
        </w:tc>
        <w:tc>
          <w:tcPr>
            <w:tcW w:w="344" w:type="pct"/>
            <w:noWrap w:val="0"/>
            <w:vAlign w:val="center"/>
          </w:tcPr>
          <w:p>
            <w:pPr>
              <w:widowControl/>
              <w:adjustRightInd w:val="0"/>
              <w:snapToGrid w:val="0"/>
              <w:spacing w:line="0" w:lineRule="atLeast"/>
              <w:jc w:val="center"/>
              <w:rPr>
                <w:rFonts w:hint="eastAsia" w:ascii="宋体" w:hAnsi="宋体" w:eastAsia="宋体" w:cs="宋体"/>
                <w:sz w:val="18"/>
                <w:szCs w:val="18"/>
              </w:rPr>
            </w:pPr>
          </w:p>
        </w:tc>
        <w:tc>
          <w:tcPr>
            <w:tcW w:w="324" w:type="pct"/>
            <w:noWrap w:val="0"/>
            <w:vAlign w:val="center"/>
          </w:tcPr>
          <w:p>
            <w:pPr>
              <w:widowControl/>
              <w:adjustRightInd w:val="0"/>
              <w:snapToGrid w:val="0"/>
              <w:spacing w:line="0" w:lineRule="atLeast"/>
              <w:jc w:val="center"/>
              <w:rPr>
                <w:rFonts w:hint="eastAsia" w:ascii="宋体" w:hAnsi="宋体" w:eastAsia="宋体" w:cs="宋体"/>
                <w:sz w:val="18"/>
                <w:szCs w:val="18"/>
              </w:rPr>
            </w:pPr>
          </w:p>
        </w:tc>
        <w:tc>
          <w:tcPr>
            <w:tcW w:w="315" w:type="pct"/>
            <w:noWrap w:val="0"/>
            <w:vAlign w:val="center"/>
          </w:tcPr>
          <w:p>
            <w:pPr>
              <w:widowControl/>
              <w:adjustRightInd w:val="0"/>
              <w:snapToGrid w:val="0"/>
              <w:spacing w:line="0" w:lineRule="atLeas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263" w:type="pct"/>
            <w:noWrap w:val="0"/>
            <w:vAlign w:val="center"/>
          </w:tcPr>
          <w:p>
            <w:pPr>
              <w:widowControl/>
              <w:adjustRightInd w:val="0"/>
              <w:snapToGrid w:val="0"/>
              <w:spacing w:line="0" w:lineRule="atLeast"/>
              <w:jc w:val="center"/>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4</w:t>
            </w:r>
          </w:p>
        </w:tc>
        <w:tc>
          <w:tcPr>
            <w:tcW w:w="385" w:type="pct"/>
            <w:vMerge w:val="restart"/>
            <w:noWrap w:val="0"/>
            <w:vAlign w:val="center"/>
          </w:tcPr>
          <w:p>
            <w:pPr>
              <w:spacing w:line="0" w:lineRule="atLeast"/>
              <w:jc w:val="center"/>
              <w:rPr>
                <w:rFonts w:hint="eastAsia" w:ascii="宋体" w:hAnsi="宋体" w:eastAsia="宋体" w:cs="宋体"/>
                <w:b/>
                <w:bCs/>
                <w:sz w:val="18"/>
                <w:szCs w:val="18"/>
              </w:rPr>
            </w:pPr>
            <w:r>
              <w:rPr>
                <w:rFonts w:hint="eastAsia" w:ascii="宋体" w:hAnsi="宋体" w:eastAsia="宋体" w:cs="宋体"/>
                <w:b/>
                <w:bCs/>
                <w:sz w:val="18"/>
                <w:szCs w:val="18"/>
              </w:rPr>
              <w:t>拟派遣专家配置评分</w:t>
            </w:r>
          </w:p>
          <w:p>
            <w:pPr>
              <w:spacing w:line="0" w:lineRule="atLeast"/>
              <w:jc w:val="center"/>
              <w:rPr>
                <w:rFonts w:hint="eastAsia" w:ascii="宋体" w:hAnsi="宋体" w:eastAsia="宋体" w:cs="宋体"/>
                <w:b/>
                <w:bCs/>
                <w:sz w:val="18"/>
                <w:szCs w:val="18"/>
              </w:rPr>
            </w:pPr>
          </w:p>
        </w:tc>
        <w:tc>
          <w:tcPr>
            <w:tcW w:w="2385"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kern w:val="0"/>
                <w:sz w:val="18"/>
                <w:szCs w:val="18"/>
              </w:rPr>
            </w:pPr>
            <w:r>
              <w:rPr>
                <w:rFonts w:hint="eastAsia" w:ascii="宋体" w:hAnsi="宋体" w:eastAsia="宋体" w:cs="宋体"/>
                <w:kern w:val="0"/>
                <w:sz w:val="18"/>
                <w:szCs w:val="18"/>
              </w:rPr>
              <w:t>拟服务本项目一类专家：具备注册安全工程师资格，且具有建筑工程或安全工程相关专业高级工程师及以上职称，从事工程建设工作经验不少于10年（9分），近五年（2019年3月1日起至本项目开标之日止）以项目负责人身份担任过类似业绩不少于3个（6分，少一个扣2分），需提供相关业绩证明文件。</w:t>
            </w:r>
          </w:p>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kern w:val="0"/>
                <w:sz w:val="18"/>
                <w:szCs w:val="18"/>
              </w:rPr>
            </w:pPr>
            <w:r>
              <w:rPr>
                <w:rFonts w:hint="eastAsia" w:ascii="宋体" w:hAnsi="宋体" w:eastAsia="宋体" w:cs="宋体"/>
                <w:kern w:val="0"/>
                <w:sz w:val="18"/>
                <w:szCs w:val="18"/>
              </w:rPr>
              <w:t>注：工作经验按毕业证书时间起算。</w:t>
            </w:r>
          </w:p>
        </w:tc>
        <w:tc>
          <w:tcPr>
            <w:tcW w:w="67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提供拟派人员相关证书（如工作经历、学历证书、职称证书、执业资格证书、业绩证明文件）复印件、并加盖公章</w:t>
            </w:r>
          </w:p>
        </w:tc>
        <w:tc>
          <w:tcPr>
            <w:tcW w:w="311" w:type="pct"/>
            <w:noWrap w:val="0"/>
            <w:vAlign w:val="center"/>
          </w:tcPr>
          <w:p>
            <w:pPr>
              <w:widowControl/>
              <w:adjustRightInd w:val="0"/>
              <w:snapToGrid w:val="0"/>
              <w:spacing w:line="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15分</w:t>
            </w:r>
          </w:p>
        </w:tc>
        <w:tc>
          <w:tcPr>
            <w:tcW w:w="344" w:type="pct"/>
            <w:vMerge w:val="restart"/>
            <w:noWrap w:val="0"/>
            <w:vAlign w:val="center"/>
          </w:tcPr>
          <w:p>
            <w:pPr>
              <w:widowControl/>
              <w:adjustRightInd w:val="0"/>
              <w:snapToGrid w:val="0"/>
              <w:spacing w:line="0" w:lineRule="atLeast"/>
              <w:jc w:val="center"/>
              <w:rPr>
                <w:rFonts w:hint="eastAsia" w:ascii="宋体" w:hAnsi="宋体" w:eastAsia="宋体" w:cs="宋体"/>
                <w:sz w:val="18"/>
                <w:szCs w:val="18"/>
              </w:rPr>
            </w:pPr>
          </w:p>
        </w:tc>
        <w:tc>
          <w:tcPr>
            <w:tcW w:w="324" w:type="pct"/>
            <w:vMerge w:val="restart"/>
            <w:noWrap w:val="0"/>
            <w:vAlign w:val="center"/>
          </w:tcPr>
          <w:p>
            <w:pPr>
              <w:widowControl/>
              <w:adjustRightInd w:val="0"/>
              <w:snapToGrid w:val="0"/>
              <w:spacing w:line="0" w:lineRule="atLeast"/>
              <w:jc w:val="center"/>
              <w:rPr>
                <w:rFonts w:hint="eastAsia" w:ascii="宋体" w:hAnsi="宋体" w:eastAsia="宋体" w:cs="宋体"/>
                <w:sz w:val="18"/>
                <w:szCs w:val="18"/>
              </w:rPr>
            </w:pPr>
          </w:p>
        </w:tc>
        <w:tc>
          <w:tcPr>
            <w:tcW w:w="315" w:type="pct"/>
            <w:vMerge w:val="restart"/>
            <w:noWrap w:val="0"/>
            <w:vAlign w:val="center"/>
          </w:tcPr>
          <w:p>
            <w:pPr>
              <w:widowControl/>
              <w:adjustRightInd w:val="0"/>
              <w:snapToGrid w:val="0"/>
              <w:spacing w:line="0" w:lineRule="atLeas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jc w:val="center"/>
        </w:trPr>
        <w:tc>
          <w:tcPr>
            <w:tcW w:w="263"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18"/>
                <w:szCs w:val="18"/>
                <w:lang w:val="en-US" w:eastAsia="zh-CN"/>
              </w:rPr>
            </w:pPr>
            <w:r>
              <w:rPr>
                <w:rFonts w:hint="eastAsia" w:ascii="宋体" w:hAnsi="宋体" w:eastAsia="宋体" w:cs="宋体"/>
                <w:b/>
                <w:bCs/>
                <w:sz w:val="18"/>
                <w:szCs w:val="18"/>
                <w:lang w:val="en-US" w:eastAsia="zh-CN"/>
              </w:rPr>
              <w:t>5</w:t>
            </w:r>
          </w:p>
        </w:tc>
        <w:tc>
          <w:tcPr>
            <w:tcW w:w="385" w:type="pct"/>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sz w:val="18"/>
                <w:szCs w:val="18"/>
              </w:rPr>
            </w:pPr>
          </w:p>
        </w:tc>
        <w:tc>
          <w:tcPr>
            <w:tcW w:w="2385"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拟服务本项目二类专家：拟投入人员不少于2名，且均具有建筑工程或安全工程相关专业工程师及以上职称，从事工程建设工作经验不少于五年（5分，1人合格得2.5分），且具有注册安全工程师证书（5分，1人合格得2.5分）。</w:t>
            </w:r>
          </w:p>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注：工作经验按毕业证书时间起算。</w:t>
            </w:r>
          </w:p>
        </w:tc>
        <w:tc>
          <w:tcPr>
            <w:tcW w:w="670" w:type="pct"/>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kern w:val="0"/>
                <w:sz w:val="18"/>
                <w:szCs w:val="18"/>
              </w:rPr>
            </w:pPr>
          </w:p>
        </w:tc>
        <w:tc>
          <w:tcPr>
            <w:tcW w:w="311"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sz w:val="18"/>
                <w:szCs w:val="18"/>
                <w:lang w:val="en-US" w:eastAsia="zh-CN"/>
              </w:rPr>
              <w:t>10分</w:t>
            </w:r>
          </w:p>
        </w:tc>
        <w:tc>
          <w:tcPr>
            <w:tcW w:w="344" w:type="pct"/>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kern w:val="0"/>
                <w:sz w:val="18"/>
                <w:szCs w:val="18"/>
              </w:rPr>
            </w:pPr>
          </w:p>
        </w:tc>
        <w:tc>
          <w:tcPr>
            <w:tcW w:w="324" w:type="pct"/>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kern w:val="0"/>
                <w:sz w:val="18"/>
                <w:szCs w:val="18"/>
              </w:rPr>
            </w:pPr>
          </w:p>
        </w:tc>
        <w:tc>
          <w:tcPr>
            <w:tcW w:w="315" w:type="pct"/>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263"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6</w:t>
            </w:r>
          </w:p>
        </w:tc>
        <w:tc>
          <w:tcPr>
            <w:tcW w:w="385" w:type="pct"/>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sz w:val="18"/>
                <w:szCs w:val="18"/>
              </w:rPr>
            </w:pPr>
          </w:p>
        </w:tc>
        <w:tc>
          <w:tcPr>
            <w:tcW w:w="2385"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拟服务本项目安全管理体系制度建设负责人：具有建筑工程或安全工程相关专业高级工程师及以上职称，从事工程建设工作经验不少于10年（5分）。</w:t>
            </w:r>
          </w:p>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注：工作经验按毕业证书时间起算。</w:t>
            </w:r>
          </w:p>
        </w:tc>
        <w:tc>
          <w:tcPr>
            <w:tcW w:w="670" w:type="pct"/>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kern w:val="0"/>
                <w:sz w:val="18"/>
                <w:szCs w:val="18"/>
              </w:rPr>
            </w:pPr>
          </w:p>
        </w:tc>
        <w:tc>
          <w:tcPr>
            <w:tcW w:w="311"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5分</w:t>
            </w:r>
          </w:p>
        </w:tc>
        <w:tc>
          <w:tcPr>
            <w:tcW w:w="344"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kern w:val="0"/>
                <w:sz w:val="18"/>
                <w:szCs w:val="18"/>
              </w:rPr>
            </w:pPr>
          </w:p>
        </w:tc>
        <w:tc>
          <w:tcPr>
            <w:tcW w:w="324"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kern w:val="0"/>
                <w:sz w:val="18"/>
                <w:szCs w:val="18"/>
              </w:rPr>
            </w:pPr>
          </w:p>
        </w:tc>
        <w:tc>
          <w:tcPr>
            <w:tcW w:w="315"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263" w:type="pct"/>
            <w:noWrap w:val="0"/>
            <w:vAlign w:val="center"/>
          </w:tcPr>
          <w:p>
            <w:pPr>
              <w:widowControl/>
              <w:adjustRightInd w:val="0"/>
              <w:snapToGrid w:val="0"/>
              <w:spacing w:line="0" w:lineRule="atLeast"/>
              <w:jc w:val="center"/>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7</w:t>
            </w:r>
          </w:p>
        </w:tc>
        <w:tc>
          <w:tcPr>
            <w:tcW w:w="385" w:type="pct"/>
            <w:noWrap w:val="0"/>
            <w:vAlign w:val="center"/>
          </w:tcPr>
          <w:p>
            <w:pPr>
              <w:spacing w:line="0" w:lineRule="atLeast"/>
              <w:jc w:val="center"/>
              <w:rPr>
                <w:rFonts w:hint="eastAsia" w:ascii="宋体" w:hAnsi="宋体" w:eastAsia="宋体" w:cs="宋体"/>
                <w:b/>
                <w:bCs/>
                <w:sz w:val="18"/>
                <w:szCs w:val="18"/>
              </w:rPr>
            </w:pPr>
            <w:r>
              <w:rPr>
                <w:rFonts w:hint="eastAsia" w:ascii="宋体" w:hAnsi="宋体" w:eastAsia="宋体" w:cs="宋体"/>
                <w:b/>
                <w:bCs/>
                <w:sz w:val="18"/>
                <w:szCs w:val="18"/>
              </w:rPr>
              <w:t>技术服务方案评审</w:t>
            </w:r>
          </w:p>
        </w:tc>
        <w:tc>
          <w:tcPr>
            <w:tcW w:w="23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对本项目工作内容的理解是否全面、准确进行横向比较评分：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评优得21～25分，良得16～20分，中得11～15分，差得0～10分。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打分参考：综合评审服务方案中对我公司服务需求及配套需求进行任务分解情况、拟派遣专家工作职责及运作安排情况、各项过程第三方安全技术服务成果质量把控能力、安全管理体系制度建设进度及质量把控计划、过程资料及档案管理、其他相关事宜。</w:t>
            </w:r>
          </w:p>
        </w:tc>
        <w:tc>
          <w:tcPr>
            <w:tcW w:w="6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提供</w:t>
            </w:r>
            <w:r>
              <w:rPr>
                <w:rFonts w:hint="eastAsia" w:ascii="宋体" w:hAnsi="宋体" w:eastAsia="宋体" w:cs="宋体"/>
                <w:sz w:val="18"/>
                <w:szCs w:val="18"/>
                <w:lang w:val="en-US" w:eastAsia="zh-CN"/>
              </w:rPr>
              <w:t>完整的</w:t>
            </w:r>
            <w:r>
              <w:rPr>
                <w:rFonts w:hint="eastAsia" w:ascii="宋体" w:hAnsi="宋体" w:eastAsia="宋体" w:cs="宋体"/>
                <w:sz w:val="18"/>
                <w:szCs w:val="18"/>
              </w:rPr>
              <w:t>技术服务方案，并加盖公章</w:t>
            </w:r>
          </w:p>
        </w:tc>
        <w:tc>
          <w:tcPr>
            <w:tcW w:w="311" w:type="pct"/>
            <w:noWrap w:val="0"/>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25</w:t>
            </w:r>
            <w:r>
              <w:rPr>
                <w:rFonts w:hint="eastAsia" w:ascii="宋体" w:hAnsi="宋体" w:eastAsia="宋体" w:cs="宋体"/>
                <w:sz w:val="18"/>
                <w:szCs w:val="18"/>
              </w:rPr>
              <w:t>分</w:t>
            </w:r>
          </w:p>
        </w:tc>
        <w:tc>
          <w:tcPr>
            <w:tcW w:w="344" w:type="pct"/>
            <w:noWrap w:val="0"/>
            <w:vAlign w:val="center"/>
          </w:tcPr>
          <w:p>
            <w:pPr>
              <w:spacing w:line="0" w:lineRule="atLeast"/>
              <w:jc w:val="center"/>
              <w:rPr>
                <w:rFonts w:hint="eastAsia" w:ascii="宋体" w:hAnsi="宋体" w:eastAsia="宋体" w:cs="宋体"/>
                <w:sz w:val="18"/>
                <w:szCs w:val="18"/>
              </w:rPr>
            </w:pPr>
          </w:p>
        </w:tc>
        <w:tc>
          <w:tcPr>
            <w:tcW w:w="324" w:type="pct"/>
            <w:noWrap w:val="0"/>
            <w:vAlign w:val="center"/>
          </w:tcPr>
          <w:p>
            <w:pPr>
              <w:spacing w:line="0" w:lineRule="atLeast"/>
              <w:jc w:val="center"/>
              <w:rPr>
                <w:rFonts w:hint="eastAsia" w:ascii="宋体" w:hAnsi="宋体" w:eastAsia="宋体" w:cs="宋体"/>
                <w:sz w:val="18"/>
                <w:szCs w:val="18"/>
              </w:rPr>
            </w:pPr>
          </w:p>
        </w:tc>
        <w:tc>
          <w:tcPr>
            <w:tcW w:w="315" w:type="pct"/>
            <w:noWrap w:val="0"/>
            <w:vAlign w:val="center"/>
          </w:tcPr>
          <w:p>
            <w:pPr>
              <w:spacing w:line="0" w:lineRule="atLeas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263" w:type="pct"/>
            <w:noWrap w:val="0"/>
            <w:vAlign w:val="center"/>
          </w:tcPr>
          <w:p>
            <w:pPr>
              <w:widowControl/>
              <w:adjustRightInd w:val="0"/>
              <w:snapToGrid w:val="0"/>
              <w:spacing w:line="0" w:lineRule="atLeast"/>
              <w:jc w:val="center"/>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8</w:t>
            </w:r>
          </w:p>
        </w:tc>
        <w:tc>
          <w:tcPr>
            <w:tcW w:w="385" w:type="pct"/>
            <w:noWrap w:val="0"/>
            <w:vAlign w:val="center"/>
          </w:tcPr>
          <w:p>
            <w:pPr>
              <w:spacing w:line="0" w:lineRule="atLeast"/>
              <w:jc w:val="center"/>
              <w:rPr>
                <w:rFonts w:hint="eastAsia" w:ascii="宋体" w:hAnsi="宋体" w:eastAsia="宋体" w:cs="宋体"/>
                <w:b/>
                <w:bCs/>
                <w:sz w:val="18"/>
                <w:szCs w:val="18"/>
              </w:rPr>
            </w:pPr>
            <w:r>
              <w:rPr>
                <w:rFonts w:hint="eastAsia" w:ascii="宋体" w:hAnsi="宋体" w:eastAsia="宋体" w:cs="宋体"/>
                <w:b/>
                <w:bCs/>
                <w:sz w:val="18"/>
                <w:szCs w:val="18"/>
              </w:rPr>
              <w:t>报价</w:t>
            </w:r>
          </w:p>
          <w:p>
            <w:pPr>
              <w:spacing w:line="0" w:lineRule="atLeast"/>
              <w:jc w:val="center"/>
              <w:rPr>
                <w:rFonts w:hint="eastAsia" w:ascii="宋体" w:hAnsi="宋体" w:eastAsia="宋体" w:cs="宋体"/>
                <w:b/>
                <w:bCs/>
                <w:sz w:val="18"/>
                <w:szCs w:val="18"/>
              </w:rPr>
            </w:pPr>
            <w:r>
              <w:rPr>
                <w:rFonts w:hint="eastAsia" w:ascii="宋体" w:hAnsi="宋体" w:eastAsia="宋体" w:cs="宋体"/>
                <w:b/>
                <w:bCs/>
                <w:sz w:val="18"/>
                <w:szCs w:val="18"/>
              </w:rPr>
              <w:t>得分</w:t>
            </w:r>
          </w:p>
        </w:tc>
        <w:tc>
          <w:tcPr>
            <w:tcW w:w="23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1.符合要求且最低的响应报价为基准价，其价格分为满分。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2.其他响应承包商的价格分统一按照：报价得分=(基准价/响应报价)×10。</w:t>
            </w:r>
          </w:p>
        </w:tc>
        <w:tc>
          <w:tcPr>
            <w:tcW w:w="6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提供响应报价，并加盖公章</w:t>
            </w:r>
          </w:p>
        </w:tc>
        <w:tc>
          <w:tcPr>
            <w:tcW w:w="311" w:type="pct"/>
            <w:noWrap w:val="0"/>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10</w:t>
            </w:r>
            <w:r>
              <w:rPr>
                <w:rFonts w:hint="eastAsia" w:ascii="宋体" w:hAnsi="宋体" w:eastAsia="宋体" w:cs="宋体"/>
                <w:sz w:val="18"/>
                <w:szCs w:val="18"/>
              </w:rPr>
              <w:t>分</w:t>
            </w:r>
          </w:p>
        </w:tc>
        <w:tc>
          <w:tcPr>
            <w:tcW w:w="344" w:type="pct"/>
            <w:noWrap w:val="0"/>
            <w:vAlign w:val="center"/>
          </w:tcPr>
          <w:p>
            <w:pPr>
              <w:spacing w:line="0" w:lineRule="atLeast"/>
              <w:jc w:val="center"/>
              <w:rPr>
                <w:rFonts w:hint="eastAsia" w:ascii="宋体" w:hAnsi="宋体" w:eastAsia="宋体" w:cs="宋体"/>
                <w:sz w:val="18"/>
                <w:szCs w:val="18"/>
              </w:rPr>
            </w:pPr>
          </w:p>
        </w:tc>
        <w:tc>
          <w:tcPr>
            <w:tcW w:w="324" w:type="pct"/>
            <w:noWrap w:val="0"/>
            <w:vAlign w:val="center"/>
          </w:tcPr>
          <w:p>
            <w:pPr>
              <w:spacing w:line="0" w:lineRule="atLeast"/>
              <w:jc w:val="center"/>
              <w:rPr>
                <w:rFonts w:hint="eastAsia" w:ascii="宋体" w:hAnsi="宋体" w:eastAsia="宋体" w:cs="宋体"/>
                <w:sz w:val="18"/>
                <w:szCs w:val="18"/>
              </w:rPr>
            </w:pPr>
          </w:p>
        </w:tc>
        <w:tc>
          <w:tcPr>
            <w:tcW w:w="315" w:type="pct"/>
            <w:noWrap w:val="0"/>
            <w:vAlign w:val="center"/>
          </w:tcPr>
          <w:p>
            <w:pPr>
              <w:spacing w:line="0" w:lineRule="atLeas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3703" w:type="pct"/>
            <w:gridSpan w:val="4"/>
            <w:noWrap w:val="0"/>
            <w:vAlign w:val="center"/>
          </w:tcPr>
          <w:p>
            <w:pPr>
              <w:widowControl/>
              <w:adjustRightInd w:val="0"/>
              <w:snapToGrid w:val="0"/>
              <w:spacing w:line="0" w:lineRule="atLeast"/>
              <w:jc w:val="center"/>
              <w:rPr>
                <w:rFonts w:hint="eastAsia" w:ascii="宋体" w:hAnsi="宋体" w:eastAsia="宋体" w:cs="宋体"/>
                <w:b/>
                <w:bCs/>
                <w:sz w:val="18"/>
                <w:szCs w:val="18"/>
              </w:rPr>
            </w:pPr>
            <w:r>
              <w:rPr>
                <w:rFonts w:hint="eastAsia" w:ascii="宋体" w:hAnsi="宋体" w:eastAsia="宋体" w:cs="宋体"/>
                <w:b/>
                <w:bCs/>
                <w:sz w:val="18"/>
                <w:szCs w:val="18"/>
              </w:rPr>
              <w:t>合计</w:t>
            </w:r>
          </w:p>
        </w:tc>
        <w:tc>
          <w:tcPr>
            <w:tcW w:w="311" w:type="pct"/>
            <w:noWrap w:val="0"/>
            <w:vAlign w:val="center"/>
          </w:tcPr>
          <w:p>
            <w:pPr>
              <w:widowControl/>
              <w:adjustRightInd w:val="0"/>
              <w:snapToGrid w:val="0"/>
              <w:spacing w:line="0" w:lineRule="atLeast"/>
              <w:jc w:val="center"/>
              <w:rPr>
                <w:rFonts w:hint="eastAsia" w:ascii="宋体" w:hAnsi="宋体" w:eastAsia="宋体" w:cs="宋体"/>
                <w:b/>
                <w:bCs/>
                <w:sz w:val="18"/>
                <w:szCs w:val="18"/>
              </w:rPr>
            </w:pPr>
            <w:r>
              <w:rPr>
                <w:rFonts w:hint="eastAsia" w:ascii="宋体" w:hAnsi="宋体" w:eastAsia="宋体" w:cs="宋体"/>
                <w:b/>
                <w:bCs/>
                <w:sz w:val="18"/>
                <w:szCs w:val="18"/>
              </w:rPr>
              <w:t>100分</w:t>
            </w:r>
          </w:p>
        </w:tc>
        <w:tc>
          <w:tcPr>
            <w:tcW w:w="344" w:type="pct"/>
            <w:noWrap w:val="0"/>
            <w:vAlign w:val="center"/>
          </w:tcPr>
          <w:p>
            <w:pPr>
              <w:adjustRightInd w:val="0"/>
              <w:snapToGrid w:val="0"/>
              <w:spacing w:line="0" w:lineRule="atLeast"/>
              <w:jc w:val="center"/>
              <w:rPr>
                <w:rFonts w:hint="eastAsia" w:ascii="宋体" w:hAnsi="宋体" w:eastAsia="宋体" w:cs="宋体"/>
                <w:b/>
                <w:bCs/>
                <w:sz w:val="18"/>
                <w:szCs w:val="18"/>
              </w:rPr>
            </w:pPr>
          </w:p>
        </w:tc>
        <w:tc>
          <w:tcPr>
            <w:tcW w:w="324" w:type="pct"/>
            <w:noWrap w:val="0"/>
            <w:vAlign w:val="center"/>
          </w:tcPr>
          <w:p>
            <w:pPr>
              <w:adjustRightInd w:val="0"/>
              <w:snapToGrid w:val="0"/>
              <w:spacing w:line="0" w:lineRule="atLeast"/>
              <w:jc w:val="center"/>
              <w:rPr>
                <w:rFonts w:hint="eastAsia" w:ascii="宋体" w:hAnsi="宋体" w:eastAsia="宋体" w:cs="宋体"/>
                <w:b/>
                <w:bCs/>
                <w:sz w:val="18"/>
                <w:szCs w:val="18"/>
              </w:rPr>
            </w:pPr>
          </w:p>
        </w:tc>
        <w:tc>
          <w:tcPr>
            <w:tcW w:w="315" w:type="pct"/>
            <w:noWrap w:val="0"/>
            <w:vAlign w:val="center"/>
          </w:tcPr>
          <w:p>
            <w:pPr>
              <w:adjustRightInd w:val="0"/>
              <w:snapToGrid w:val="0"/>
              <w:spacing w:line="0" w:lineRule="atLeast"/>
              <w:jc w:val="center"/>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703" w:type="pct"/>
            <w:gridSpan w:val="4"/>
            <w:noWrap w:val="0"/>
            <w:vAlign w:val="center"/>
          </w:tcPr>
          <w:p>
            <w:pPr>
              <w:widowControl/>
              <w:adjustRightInd w:val="0"/>
              <w:snapToGrid w:val="0"/>
              <w:spacing w:line="0" w:lineRule="atLeast"/>
              <w:jc w:val="center"/>
              <w:rPr>
                <w:rFonts w:hint="eastAsia" w:ascii="宋体" w:hAnsi="宋体" w:eastAsia="宋体" w:cs="宋体"/>
                <w:b/>
                <w:bCs/>
                <w:sz w:val="18"/>
                <w:szCs w:val="18"/>
              </w:rPr>
            </w:pPr>
            <w:r>
              <w:rPr>
                <w:rFonts w:hint="eastAsia" w:ascii="宋体" w:hAnsi="宋体" w:eastAsia="宋体" w:cs="宋体"/>
                <w:b/>
                <w:bCs/>
                <w:sz w:val="18"/>
                <w:szCs w:val="18"/>
              </w:rPr>
              <w:t>拟推荐成交候选供应商（原则推荐评审综合得分最高的单位）</w:t>
            </w:r>
          </w:p>
        </w:tc>
        <w:tc>
          <w:tcPr>
            <w:tcW w:w="311" w:type="pct"/>
            <w:noWrap w:val="0"/>
            <w:vAlign w:val="center"/>
          </w:tcPr>
          <w:p>
            <w:pPr>
              <w:widowControl/>
              <w:adjustRightInd w:val="0"/>
              <w:snapToGrid w:val="0"/>
              <w:spacing w:line="0" w:lineRule="atLeast"/>
              <w:jc w:val="center"/>
              <w:rPr>
                <w:rFonts w:hint="eastAsia" w:ascii="宋体" w:hAnsi="宋体" w:eastAsia="宋体" w:cs="宋体"/>
                <w:b/>
                <w:bCs/>
                <w:sz w:val="18"/>
                <w:szCs w:val="18"/>
              </w:rPr>
            </w:pPr>
          </w:p>
        </w:tc>
        <w:tc>
          <w:tcPr>
            <w:tcW w:w="344" w:type="pct"/>
            <w:noWrap w:val="0"/>
            <w:vAlign w:val="center"/>
          </w:tcPr>
          <w:p>
            <w:pPr>
              <w:adjustRightInd w:val="0"/>
              <w:snapToGrid w:val="0"/>
              <w:spacing w:line="0" w:lineRule="atLeast"/>
              <w:jc w:val="center"/>
              <w:rPr>
                <w:rFonts w:hint="eastAsia" w:ascii="宋体" w:hAnsi="宋体" w:eastAsia="宋体" w:cs="宋体"/>
                <w:b/>
                <w:bCs/>
                <w:sz w:val="18"/>
                <w:szCs w:val="18"/>
              </w:rPr>
            </w:pPr>
          </w:p>
        </w:tc>
        <w:tc>
          <w:tcPr>
            <w:tcW w:w="324" w:type="pct"/>
            <w:noWrap w:val="0"/>
            <w:vAlign w:val="center"/>
          </w:tcPr>
          <w:p>
            <w:pPr>
              <w:adjustRightInd w:val="0"/>
              <w:snapToGrid w:val="0"/>
              <w:spacing w:line="0" w:lineRule="atLeast"/>
              <w:jc w:val="center"/>
              <w:rPr>
                <w:rFonts w:hint="eastAsia" w:ascii="宋体" w:hAnsi="宋体" w:eastAsia="宋体" w:cs="宋体"/>
                <w:b/>
                <w:bCs/>
                <w:sz w:val="18"/>
                <w:szCs w:val="18"/>
              </w:rPr>
            </w:pPr>
          </w:p>
        </w:tc>
        <w:tc>
          <w:tcPr>
            <w:tcW w:w="315" w:type="pct"/>
            <w:noWrap w:val="0"/>
            <w:vAlign w:val="center"/>
          </w:tcPr>
          <w:p>
            <w:pPr>
              <w:adjustRightInd w:val="0"/>
              <w:snapToGrid w:val="0"/>
              <w:spacing w:line="0" w:lineRule="atLeast"/>
              <w:jc w:val="center"/>
              <w:rPr>
                <w:rFonts w:hint="eastAsia" w:ascii="宋体" w:hAnsi="宋体" w:eastAsia="宋体" w:cs="宋体"/>
                <w:b/>
                <w:bCs/>
                <w:sz w:val="18"/>
                <w:szCs w:val="18"/>
              </w:rPr>
            </w:pPr>
          </w:p>
        </w:tc>
      </w:tr>
      <w:bookmarkEnd w:id="0"/>
    </w:tbl>
    <w:p>
      <w:pPr>
        <w:keepNext w:val="0"/>
        <w:keepLines w:val="0"/>
        <w:pageBreakBefore w:val="0"/>
        <w:widowControl w:val="0"/>
        <w:kinsoku/>
        <w:wordWrap/>
        <w:overflowPunct/>
        <w:topLinePunct w:val="0"/>
        <w:autoSpaceDE/>
        <w:autoSpaceDN/>
        <w:bidi w:val="0"/>
        <w:adjustRightInd/>
        <w:snapToGrid/>
        <w:ind w:firstLine="361" w:firstLineChars="200"/>
        <w:textAlignment w:val="auto"/>
        <w:rPr>
          <w:rFonts w:hint="eastAsia" w:ascii="宋体" w:hAnsi="宋体" w:eastAsia="宋体" w:cs="宋体"/>
          <w:b/>
          <w:bCs/>
          <w:sz w:val="18"/>
          <w:szCs w:val="18"/>
        </w:rPr>
      </w:pPr>
      <w:r>
        <w:rPr>
          <w:rFonts w:hint="eastAsia" w:ascii="宋体" w:hAnsi="宋体" w:eastAsia="宋体" w:cs="宋体"/>
          <w:b/>
          <w:bCs/>
          <w:sz w:val="18"/>
          <w:szCs w:val="18"/>
        </w:rPr>
        <w:t>备注：1.各项评审打分按照四舍五入，小数点后保留2位进行计算；</w:t>
      </w:r>
    </w:p>
    <w:p>
      <w:pPr>
        <w:keepNext w:val="0"/>
        <w:keepLines w:val="0"/>
        <w:pageBreakBefore w:val="0"/>
        <w:widowControl w:val="0"/>
        <w:kinsoku/>
        <w:wordWrap/>
        <w:overflowPunct/>
        <w:topLinePunct w:val="0"/>
        <w:autoSpaceDE/>
        <w:autoSpaceDN/>
        <w:bidi w:val="0"/>
        <w:adjustRightInd/>
        <w:snapToGrid/>
        <w:ind w:firstLine="361" w:firstLineChars="200"/>
        <w:textAlignment w:val="auto"/>
      </w:pPr>
      <w:r>
        <w:rPr>
          <w:rFonts w:hint="eastAsia" w:ascii="宋体" w:hAnsi="宋体" w:eastAsia="宋体" w:cs="宋体"/>
          <w:b/>
          <w:bCs/>
          <w:sz w:val="18"/>
          <w:szCs w:val="18"/>
        </w:rPr>
        <w:t xml:space="preserve"> 2.若出现拟推荐成交候选供应商票数相同的情况，以未推荐上述单位的评审专家对并列第一的候选供应商既定打分排序作为最终选定依据。</w:t>
      </w:r>
    </w:p>
    <w:sectPr>
      <w:pgSz w:w="11906" w:h="16838"/>
      <w:pgMar w:top="1327"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F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2024-03-08T07:19:22Z</dcterms:created>
  <dc:creator>HUAWEI</dc:creator>
  <cp:lastModifiedBy>陈明明</cp:lastModifiedBy>
  <dcterms:modified xsi:type="dcterms:W3CDTF">2024-03-08T07:19:57Z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601533D6AAE349A59B135E758BF39E78</vt:lpwstr>
  </property>
</Properties>
</file>