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：龙岗区进一步规范政商交往行为告知书</w:t>
      </w:r>
    </w:p>
    <w:p>
      <w:pPr>
        <w:pStyle w:val="4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jc w:val="center"/>
        <w:textAlignment w:val="auto"/>
        <w:rPr>
          <w:rFonts w:ascii="宋体" w:hAnsi="宋体" w:eastAsia="宋体" w:cs="宋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Cs/>
          <w:sz w:val="40"/>
          <w:szCs w:val="40"/>
          <w:shd w:val="clear" w:color="auto" w:fill="FFFFFF"/>
        </w:rPr>
        <w:t>龙岗区进一步规范政商交往行为告知书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一、不得向公职人员赠送礼品、礼金、消费卡等财物。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二、不得违规向公职人员提供宴请、旅游、娱乐等安排。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三、不得通过打麻将等形式向公职人员输送利益。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四、不得为公职人员报销应由其个人支付的费用。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五、不得违规向公职人员及其亲友借贷款。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六、不得违规将车辆、住房等借给公职人员使用。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七、不得在招投标中与公职人员搞暗箱操作、围标串标。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八、不得为利益相关人和公职人员牵线搭桥或者代为传递信息、传递财物。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九、不得让公职人员在企业违规兼职取酬。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十、不得为公职人员亲友违规承揽业务提供便利。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300"/>
        <w:jc w:val="both"/>
        <w:textAlignment w:val="auto"/>
        <w:rPr>
          <w:rFonts w:ascii="仿宋_GB2312" w:hAnsi="仿宋_GB2312" w:eastAsia="仿宋_GB2312" w:cs="仿宋_GB2312"/>
          <w:spacing w:val="-2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>本人已知晓上述告知内容，并愿意遵照执行（签名）：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00" w:firstLineChars="200"/>
        <w:jc w:val="both"/>
        <w:textAlignment w:val="auto"/>
        <w:rPr>
          <w:rFonts w:ascii="仿宋_GB2312" w:hAnsi="仿宋_GB2312" w:eastAsia="仿宋_GB2312" w:cs="仿宋_GB2312"/>
          <w:spacing w:val="-20"/>
          <w:sz w:val="24"/>
          <w:szCs w:val="24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qFormat/>
    <w:uiPriority w:val="99"/>
    <w:rPr>
      <w:rFonts w:ascii="宋体" w:hAnsi="Courier New"/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2024-03-08T07:13:58Z</dcterms:created>
  <dc:creator>HUAWEI</dc:creator>
  <cp:lastModifiedBy>陈明明</cp:lastModifiedBy>
  <dcterms:modified xsi:type="dcterms:W3CDTF">2024-03-08T07:14:06Z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E8777B9ABBF24375B2A74102436203B5</vt:lpwstr>
  </property>
</Properties>
</file>