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sz w:val="32"/>
          <w:szCs w:val="32"/>
        </w:rPr>
        <w:t>深圳市龙岗区人力资源服务中心202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人事档案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信息化加工项目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7" o:spid="_x0000_s4097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21A04463"/>
    <w:rsid w:val="21D33356"/>
    <w:rsid w:val="27F36327"/>
    <w:rsid w:val="67DB3A2A"/>
    <w:rsid w:val="7FAEC211"/>
    <w:rsid w:val="933708C1"/>
    <w:rsid w:val="BAF69658"/>
    <w:rsid w:val="BC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7</TotalTime>
  <ScaleCrop>false</ScaleCrop>
  <LinksUpToDate>false</LinksUpToDate>
  <CharactersWithSpaces>693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2008-09-13T01:20:00Z</dcterms:created>
  <dc:creator>Administrator</dc:creator>
  <cp:lastModifiedBy>刘丹</cp:lastModifiedBy>
  <cp:lastPrinted>2020-07-04T15:03:00Z</cp:lastPrinted>
  <dcterms:modified xsi:type="dcterms:W3CDTF">2024-02-28T10:22:07Z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FE842874C6656A263167B36574FC72B3</vt:lpwstr>
  </property>
</Properties>
</file>