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附件3：不得承接我局小型建设工程的9种情形查询指引</w:t>
      </w:r>
    </w:p>
    <w:tbl>
      <w:tblPr>
        <w:tblStyle w:val="5"/>
        <w:tblW w:w="20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12"/>
        <w:gridCol w:w="449"/>
        <w:gridCol w:w="1125"/>
        <w:gridCol w:w="1118"/>
        <w:gridCol w:w="709"/>
        <w:gridCol w:w="750"/>
        <w:gridCol w:w="927"/>
        <w:gridCol w:w="1036"/>
        <w:gridCol w:w="860"/>
        <w:gridCol w:w="872"/>
        <w:gridCol w:w="1459"/>
        <w:gridCol w:w="873"/>
        <w:gridCol w:w="1173"/>
        <w:gridCol w:w="1172"/>
        <w:gridCol w:w="1255"/>
        <w:gridCol w:w="805"/>
        <w:gridCol w:w="1186"/>
        <w:gridCol w:w="1132"/>
        <w:gridCol w:w="175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0900" w:type="dxa"/>
            <w:gridSpan w:val="2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</w:rPr>
              <w:t>淘汰情形查询指引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5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投标单位</w:t>
            </w:r>
          </w:p>
        </w:tc>
        <w:tc>
          <w:tcPr>
            <w:tcW w:w="4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查询情形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龙岗区住房和建设局信用信息管理平台</w:t>
            </w:r>
          </w:p>
        </w:tc>
        <w:tc>
          <w:tcPr>
            <w:tcW w:w="257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深圳市住房和建设局</w:t>
            </w:r>
          </w:p>
        </w:tc>
        <w:tc>
          <w:tcPr>
            <w:tcW w:w="19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广东省住房和城乡建设三库一平台管理信息服务系统</w:t>
            </w:r>
          </w:p>
        </w:tc>
        <w:tc>
          <w:tcPr>
            <w:tcW w:w="17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全国建筑市场监管公共服务平台</w:t>
            </w:r>
          </w:p>
        </w:tc>
        <w:tc>
          <w:tcPr>
            <w:tcW w:w="23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国家企业信用信息公示系统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深圳信用网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信用中国</w:t>
            </w:r>
          </w:p>
        </w:tc>
        <w:tc>
          <w:tcPr>
            <w:tcW w:w="20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全国水利建设市场信用信息平台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rPr>
                <w:rFonts w:hint="default" w:eastAsia="宋体"/>
                <w:color w:val="auto"/>
                <w:sz w:val="28"/>
                <w:szCs w:val="32"/>
                <w:lang w:val="en-US" w:eastAsia="zh-CN"/>
              </w:rPr>
            </w:pPr>
          </w:p>
        </w:tc>
        <w:tc>
          <w:tcPr>
            <w:tcW w:w="11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深圳市水务局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中国裁判文书网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龙岗区公共信用信息平台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深圳市建设工程全生命周期信息监管平台（施工类、监理类）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77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2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查询路径：“行政处罚”栏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查询路径：“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  <w:t>信用信息公示-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行政处罚”栏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查询路径：“红色警示”栏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查询路径：“建筑市场劳资纠纷曝光台”栏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查询路径：数据开放平台“诚信信息”中“企业欠薪投诉”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查询路径：数据开放平台“诚信信息”中“企业黑名单”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查询路径：“信用建设”栏中的“黑名单”栏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查询路径：“信用建设”栏中的“失信联合惩戒记录”栏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查询路径：“行政处罚信息”栏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查询路径：“列入严重违法失信名单（黑名单）信息”栏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查询路径：“查行政处罚”栏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“信用服务”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  <w:t>重点领域严重失信主体名单查询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查询路径：“失信惩戒”栏中“行政处罚”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查询路径：“失信惩戒”栏中“失信黑名单”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查询路径：市场主体不良行为信息公示中不良行为等级为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特别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严重且在公告期内的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查询路径：行贿、索贿犯罪记录结果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查询路径：龙岗区诚信网中“国家黑名单”、“深圳市黑名单”、“龙岗区黑名单”）--由招标人查询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查询项目经理、总监锁定信息---由招标代理至交易中心窗口查询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449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淘汰情形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、近1年内（公开询价择优方式从清标之日起倒算，直接委托和邀请3家择优方式从发起委托、邀请之日起倒算）因串通投标、转包、以他人名义投标或者违法分包、因弄虚作假骗取中标等违法行为受到住建、交通、水务、财政部门行政处罚的。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、近1年内（公开询价择优方式从清标之日起倒算，直接委托和邀请3家择优方式从发起委托、邀请之日起倒算）因串通投标、转包、以他人名义投标或者违法分包、因弄虚作假骗取中标等违法行为受到住建、交通、水务、财政部门行政处罚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3、因违反工程质量、安全生产管理规定等原因被建设部门给予红色警示且在警示期内的。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8、拖欠工人工资被有关部门责令改正而未改正的。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8、拖欠工人工资被有关部门责令改正而未改正的。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6、被建设行政部门列入建筑市场主体“黑名单”的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6、被建设行政部门列入建筑市场主体“黑名单”的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7、属于联合惩戒且被限制参与工程建设项目招投标的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、近1年内（公开询价择优方式从清标之日起倒算，直接委托和邀请3家择优方式从发起委托、邀请之日起倒算）因串通投标、转包、以他人名义投标或者违法分包、因弄虚作假骗取中标等违法行为受到住建、交通、水务、财政部门行政处罚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6、被建设行政部门列入建筑市场主体“黑名单”的。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2、近1年内（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公开询价择优方式从清标之日起倒算，直接委托和邀请3家择优方式从发起委托、邀请之日起倒算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）因串通投标、转包、以他人名义投标或者违法分包、因弄虚作假骗取中标等违法行为受到住建、交通、水务、财政部门行政处罚的。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5、在有效期内信用等级为C级或被列入“信用中国”网站的“失信被执行人”、“重大税收违法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案件当事人名单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”或“政府采购严重违法失信名单”的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、近1年内（公开询价择优方式从清标之日起倒算，直接委托和邀请3家择优方式从发起委托、邀请之日起倒算）因串通投标、转包、以他人名义投标或者违法分包、因弄虚作假骗取中标等违法行为受到住建、交通、水务、财政部门行政处罚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6、被建设行政部门列入建筑市场主体“黑名单”的。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4、被水务部门认定为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特别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严重不良行为且在公告期内的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、近</w:t>
            </w:r>
            <w:r>
              <w:rPr>
                <w:rFonts w:ascii="Arial" w:hAnsi="Arial" w:cs="Arial"/>
                <w:color w:val="auto"/>
                <w:sz w:val="18"/>
                <w:szCs w:val="36"/>
              </w:rPr>
              <w:t>3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年内（</w:t>
            </w:r>
            <w:r>
              <w:rPr>
                <w:rFonts w:hint="eastAsia" w:ascii="宋体" w:hAnsi="宋体" w:cs="宋体"/>
                <w:color w:val="auto"/>
                <w:sz w:val="18"/>
                <w:szCs w:val="36"/>
              </w:rPr>
              <w:t>公开询价择优方式从清标之日起倒算，直接委托和邀请3家择优方式从发起委托、邀请之日起倒算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）投标人或者其法定代表人有行贿犯罪记录的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。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36"/>
              </w:rPr>
              <w:t>7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、属于联合惩戒且被限制参与工程建设项目招投标的。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36"/>
              </w:rPr>
              <w:t>拟派项目经理</w:t>
            </w:r>
            <w:r>
              <w:rPr>
                <w:rFonts w:ascii="宋体" w:hAnsi="宋体" w:eastAsia="宋体" w:cs="宋体"/>
                <w:color w:val="auto"/>
                <w:sz w:val="18"/>
                <w:szCs w:val="36"/>
                <w:lang w:val="en-US"/>
              </w:rPr>
              <w:t>、总监</w:t>
            </w:r>
            <w:r>
              <w:rPr>
                <w:rFonts w:ascii="宋体" w:hAnsi="宋体" w:eastAsia="宋体" w:cs="宋体"/>
                <w:color w:val="auto"/>
                <w:sz w:val="18"/>
                <w:szCs w:val="36"/>
              </w:rPr>
              <w:t>任职数量超过限额导致不能满足办理施工许可证条件的</w:t>
            </w:r>
            <w:r>
              <w:rPr>
                <w:rFonts w:ascii="宋体" w:hAnsi="宋体" w:cs="宋体"/>
                <w:color w:val="auto"/>
                <w:sz w:val="18"/>
                <w:szCs w:val="36"/>
              </w:rPr>
              <w:t>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NDVjOGI1OTIyZjRiY2E3MTdlN2U4YjljMmQwMzMifQ=="/>
  </w:docVars>
  <w:rsids>
    <w:rsidRoot w:val="3C997589"/>
    <w:rsid w:val="0FBF69A2"/>
    <w:rsid w:val="3C997589"/>
    <w:rsid w:val="3FF5C0AF"/>
    <w:rsid w:val="4C7F652B"/>
    <w:rsid w:val="5A758493"/>
    <w:rsid w:val="5BBA6DA6"/>
    <w:rsid w:val="73FFFA4F"/>
    <w:rsid w:val="7D27411D"/>
    <w:rsid w:val="9FA37174"/>
    <w:rsid w:val="B2FF675D"/>
    <w:rsid w:val="B7A70CB0"/>
    <w:rsid w:val="F3B76EEE"/>
    <w:rsid w:val="FF7F629B"/>
    <w:rsid w:val="FFE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2024-01-29T23:32:00Z</dcterms:created>
  <dc:creator>LJY</dc:creator>
  <cp:lastModifiedBy>朱琳</cp:lastModifiedBy>
  <dcterms:modified xsi:type="dcterms:W3CDTF">2024-02-02T17:35:18Z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F861C733B3184B83950F5E7C81BDAB92_11</vt:lpwstr>
  </property>
</Properties>
</file>