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cs="宋体"/>
          <w:b/>
          <w:bCs/>
          <w:kern w:val="0"/>
          <w:sz w:val="36"/>
          <w:szCs w:val="36"/>
        </w:rPr>
      </w:pPr>
      <w:r>
        <w:rPr>
          <w:rFonts w:hint="eastAsia" w:ascii="宋体" w:hAnsi="宋体" w:cs="宋体"/>
          <w:b/>
          <w:bCs/>
          <w:kern w:val="0"/>
          <w:sz w:val="36"/>
          <w:szCs w:val="36"/>
        </w:rPr>
        <w:t>深圳市龙岗区第三人民医院公开遴选综合评分表</w:t>
      </w:r>
    </w:p>
    <w:p>
      <w:pPr>
        <w:pStyle w:val="3"/>
        <w:jc w:val="left"/>
        <w:rPr>
          <w:rFonts w:ascii="宋体" w:hAnsi="宋体" w:cs="宋体"/>
          <w:bCs/>
          <w:kern w:val="0"/>
          <w:sz w:val="28"/>
          <w:szCs w:val="28"/>
        </w:rPr>
      </w:pPr>
      <w:r>
        <w:rPr>
          <w:rFonts w:hint="eastAsia" w:ascii="宋体" w:hAnsi="宋体" w:cs="宋体"/>
          <w:bCs/>
          <w:kern w:val="0"/>
          <w:sz w:val="28"/>
          <w:szCs w:val="28"/>
        </w:rPr>
        <w:t>项目：</w:t>
      </w:r>
      <w:bookmarkStart w:id="0" w:name="_GoBack"/>
      <w:bookmarkEnd w:id="0"/>
    </w:p>
    <w:tbl>
      <w:tblPr>
        <w:tblStyle w:val="7"/>
        <w:tblW w:w="15463" w:type="dxa"/>
        <w:jc w:val="center"/>
        <w:tblLayout w:type="fixed"/>
        <w:tblCellMar>
          <w:top w:w="0" w:type="dxa"/>
          <w:left w:w="108" w:type="dxa"/>
          <w:bottom w:w="0" w:type="dxa"/>
          <w:right w:w="108" w:type="dxa"/>
        </w:tblCellMar>
      </w:tblPr>
      <w:tblGrid>
        <w:gridCol w:w="720"/>
        <w:gridCol w:w="1145"/>
        <w:gridCol w:w="1319"/>
        <w:gridCol w:w="1309"/>
        <w:gridCol w:w="1828"/>
        <w:gridCol w:w="1922"/>
        <w:gridCol w:w="2237"/>
        <w:gridCol w:w="1650"/>
        <w:gridCol w:w="1348"/>
        <w:gridCol w:w="1135"/>
        <w:gridCol w:w="850"/>
      </w:tblGrid>
      <w:tr>
        <w:tblPrEx>
          <w:tblCellMar>
            <w:top w:w="0" w:type="dxa"/>
            <w:left w:w="108" w:type="dxa"/>
            <w:bottom w:w="0" w:type="dxa"/>
            <w:right w:w="108" w:type="dxa"/>
          </w:tblCellMar>
        </w:tblPrEx>
        <w:trPr>
          <w:trHeight w:val="512" w:hRule="atLeast"/>
          <w:jc w:val="center"/>
        </w:trPr>
        <w:tc>
          <w:tcPr>
            <w:tcW w:w="186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20"/>
                <w:szCs w:val="20"/>
              </w:rPr>
            </w:pPr>
            <w:r>
              <w:rPr>
                <w:rFonts w:hint="eastAsia" w:ascii="宋体" w:hAnsi="宋体" w:cs="宋体"/>
                <w:bCs/>
                <w:kern w:val="0"/>
                <w:sz w:val="20"/>
                <w:szCs w:val="20"/>
              </w:rPr>
              <w:t>评分要素</w:t>
            </w:r>
          </w:p>
        </w:tc>
        <w:tc>
          <w:tcPr>
            <w:tcW w:w="445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Cs/>
                <w:kern w:val="0"/>
                <w:sz w:val="18"/>
                <w:szCs w:val="18"/>
              </w:rPr>
            </w:pPr>
            <w:r>
              <w:rPr>
                <w:rFonts w:hint="eastAsia" w:ascii="宋体" w:hAnsi="宋体" w:cs="宋体"/>
                <w:bCs/>
                <w:kern w:val="0"/>
                <w:sz w:val="18"/>
                <w:szCs w:val="18"/>
              </w:rPr>
              <w:t>产品质量及齐全度（40）</w:t>
            </w:r>
          </w:p>
        </w:tc>
        <w:tc>
          <w:tcPr>
            <w:tcW w:w="1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Cs/>
                <w:kern w:val="0"/>
                <w:sz w:val="18"/>
                <w:szCs w:val="18"/>
              </w:rPr>
            </w:pPr>
            <w:r>
              <w:rPr>
                <w:rFonts w:hint="eastAsia" w:ascii="宋体" w:hAnsi="宋体" w:cs="宋体"/>
                <w:bCs/>
                <w:kern w:val="0"/>
                <w:sz w:val="18"/>
                <w:szCs w:val="18"/>
              </w:rPr>
              <w:t>价格部分（25）</w:t>
            </w:r>
          </w:p>
        </w:tc>
        <w:tc>
          <w:tcPr>
            <w:tcW w:w="52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bCs/>
                <w:kern w:val="0"/>
                <w:sz w:val="18"/>
                <w:szCs w:val="18"/>
              </w:rPr>
              <w:t>综合实力（25）</w:t>
            </w:r>
          </w:p>
        </w:tc>
        <w:tc>
          <w:tcPr>
            <w:tcW w:w="11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服务及其他部分（10）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849" w:hRule="atLeast"/>
          <w:jc w:val="center"/>
        </w:trPr>
        <w:tc>
          <w:tcPr>
            <w:tcW w:w="18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0"/>
                <w:szCs w:val="20"/>
              </w:rPr>
            </w:pP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评标专家通过对样品、产品质量评价</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评标专家通过对品牌知名度、认可度方面评价</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w:t>
            </w:r>
            <w:r>
              <w:rPr>
                <w:rFonts w:hint="eastAsia" w:ascii="宋体" w:hAnsi="宋体" w:cs="宋体"/>
                <w:color w:val="000000"/>
                <w:kern w:val="0"/>
                <w:sz w:val="18"/>
                <w:szCs w:val="18"/>
              </w:rPr>
              <w:t>投标报价</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企业诚信</w:t>
            </w:r>
          </w:p>
        </w:tc>
        <w:tc>
          <w:tcPr>
            <w:tcW w:w="13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企业资质</w:t>
            </w:r>
          </w:p>
        </w:tc>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配送/售后服务</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总分</w:t>
            </w:r>
          </w:p>
        </w:tc>
      </w:tr>
      <w:tr>
        <w:tblPrEx>
          <w:tblCellMar>
            <w:top w:w="0" w:type="dxa"/>
            <w:left w:w="108" w:type="dxa"/>
            <w:bottom w:w="0" w:type="dxa"/>
            <w:right w:w="108" w:type="dxa"/>
          </w:tblCellMar>
        </w:tblPrEx>
        <w:trPr>
          <w:trHeight w:val="1387"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9"/>
                <w:szCs w:val="19"/>
              </w:rPr>
            </w:pPr>
            <w:r>
              <w:rPr>
                <w:rFonts w:hint="eastAsia" w:ascii="宋体" w:hAnsi="宋体" w:cs="宋体"/>
                <w:kern w:val="0"/>
                <w:sz w:val="19"/>
                <w:szCs w:val="19"/>
              </w:rPr>
              <w:t>序号</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评标专家对投标产品进行横向比较，进行打分。</w:t>
            </w:r>
            <w:r>
              <w:rPr>
                <w:rFonts w:hint="eastAsia" w:ascii="宋体" w:hAnsi="宋体" w:cs="宋体"/>
                <w:kern w:val="0"/>
                <w:sz w:val="15"/>
                <w:szCs w:val="15"/>
              </w:rPr>
              <w:br w:type="textWrapping"/>
            </w:r>
            <w:r>
              <w:rPr>
                <w:rFonts w:hint="eastAsia" w:ascii="宋体" w:hAnsi="宋体" w:cs="宋体"/>
                <w:kern w:val="0"/>
                <w:sz w:val="15"/>
                <w:szCs w:val="15"/>
              </w:rPr>
              <w:t>优 15分</w:t>
            </w:r>
            <w:r>
              <w:rPr>
                <w:rFonts w:hint="eastAsia" w:ascii="宋体" w:hAnsi="宋体" w:cs="宋体"/>
                <w:kern w:val="0"/>
                <w:sz w:val="15"/>
                <w:szCs w:val="15"/>
              </w:rPr>
              <w:br w:type="textWrapping"/>
            </w:r>
            <w:r>
              <w:rPr>
                <w:rFonts w:hint="eastAsia" w:ascii="宋体" w:hAnsi="宋体" w:cs="宋体"/>
                <w:kern w:val="0"/>
                <w:sz w:val="15"/>
                <w:szCs w:val="15"/>
              </w:rPr>
              <w:t>良 10分</w:t>
            </w:r>
          </w:p>
          <w:p>
            <w:pPr>
              <w:widowControl/>
              <w:jc w:val="center"/>
              <w:rPr>
                <w:rFonts w:ascii="宋体" w:hAnsi="宋体" w:cs="宋体"/>
                <w:kern w:val="0"/>
                <w:sz w:val="15"/>
                <w:szCs w:val="15"/>
              </w:rPr>
            </w:pPr>
            <w:r>
              <w:rPr>
                <w:rFonts w:hint="eastAsia" w:ascii="宋体" w:hAnsi="宋体" w:cs="宋体"/>
                <w:kern w:val="0"/>
                <w:sz w:val="15"/>
                <w:szCs w:val="15"/>
              </w:rPr>
              <w:t>中6分</w:t>
            </w:r>
            <w:r>
              <w:rPr>
                <w:rFonts w:hint="eastAsia" w:ascii="宋体" w:hAnsi="宋体" w:cs="宋体"/>
                <w:kern w:val="0"/>
                <w:sz w:val="15"/>
                <w:szCs w:val="15"/>
              </w:rPr>
              <w:br w:type="textWrapping"/>
            </w:r>
            <w:r>
              <w:rPr>
                <w:rFonts w:hint="eastAsia" w:ascii="宋体" w:hAnsi="宋体" w:cs="宋体"/>
                <w:kern w:val="0"/>
                <w:sz w:val="15"/>
                <w:szCs w:val="15"/>
              </w:rPr>
              <w:t>差 1分</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评标专家对投标产品品牌认可度进行横向比较，进行打分。</w:t>
            </w:r>
            <w:r>
              <w:rPr>
                <w:rFonts w:hint="eastAsia" w:ascii="宋体" w:hAnsi="宋体" w:cs="宋体"/>
                <w:kern w:val="0"/>
                <w:sz w:val="15"/>
                <w:szCs w:val="15"/>
              </w:rPr>
              <w:br w:type="textWrapping"/>
            </w:r>
            <w:r>
              <w:rPr>
                <w:rFonts w:hint="eastAsia" w:ascii="宋体" w:hAnsi="宋体" w:cs="宋体"/>
                <w:kern w:val="0"/>
                <w:sz w:val="15"/>
                <w:szCs w:val="15"/>
              </w:rPr>
              <w:t>优 10分</w:t>
            </w:r>
            <w:r>
              <w:rPr>
                <w:rFonts w:hint="eastAsia" w:ascii="宋体" w:hAnsi="宋体" w:cs="宋体"/>
                <w:kern w:val="0"/>
                <w:sz w:val="15"/>
                <w:szCs w:val="15"/>
              </w:rPr>
              <w:br w:type="textWrapping"/>
            </w:r>
            <w:r>
              <w:rPr>
                <w:rFonts w:hint="eastAsia" w:ascii="宋体" w:hAnsi="宋体" w:cs="宋体"/>
                <w:kern w:val="0"/>
                <w:sz w:val="15"/>
                <w:szCs w:val="15"/>
              </w:rPr>
              <w:t>良 7分</w:t>
            </w:r>
          </w:p>
          <w:p>
            <w:pPr>
              <w:widowControl/>
              <w:jc w:val="center"/>
              <w:rPr>
                <w:rFonts w:ascii="宋体" w:hAnsi="宋体" w:cs="宋体"/>
                <w:kern w:val="0"/>
                <w:sz w:val="15"/>
                <w:szCs w:val="15"/>
              </w:rPr>
            </w:pPr>
            <w:r>
              <w:rPr>
                <w:rFonts w:hint="eastAsia" w:ascii="宋体" w:hAnsi="宋体" w:cs="宋体"/>
                <w:kern w:val="0"/>
                <w:sz w:val="15"/>
                <w:szCs w:val="15"/>
              </w:rPr>
              <w:t>中4分</w:t>
            </w:r>
            <w:r>
              <w:rPr>
                <w:rFonts w:hint="eastAsia" w:ascii="宋体" w:hAnsi="宋体" w:cs="宋体"/>
                <w:kern w:val="0"/>
                <w:sz w:val="15"/>
                <w:szCs w:val="15"/>
              </w:rPr>
              <w:br w:type="textWrapping"/>
            </w:r>
            <w:r>
              <w:rPr>
                <w:rFonts w:hint="eastAsia" w:ascii="宋体" w:hAnsi="宋体" w:cs="宋体"/>
                <w:kern w:val="0"/>
                <w:sz w:val="15"/>
                <w:szCs w:val="15"/>
              </w:rPr>
              <w:t>差 1分</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评标专家对投标公司投标产品进行横向比较，进行打分。</w:t>
            </w:r>
            <w:r>
              <w:rPr>
                <w:rFonts w:hint="eastAsia" w:ascii="宋体" w:hAnsi="宋体" w:cs="宋体"/>
                <w:kern w:val="0"/>
                <w:sz w:val="15"/>
                <w:szCs w:val="15"/>
              </w:rPr>
              <w:br w:type="textWrapping"/>
            </w:r>
            <w:r>
              <w:rPr>
                <w:rFonts w:hint="eastAsia" w:ascii="宋体" w:hAnsi="宋体" w:cs="宋体"/>
                <w:kern w:val="0"/>
                <w:sz w:val="15"/>
                <w:szCs w:val="15"/>
              </w:rPr>
              <w:t>全部满足 15分</w:t>
            </w:r>
            <w:r>
              <w:rPr>
                <w:rFonts w:hint="eastAsia" w:ascii="宋体" w:hAnsi="宋体" w:cs="宋体"/>
                <w:kern w:val="0"/>
                <w:sz w:val="15"/>
                <w:szCs w:val="15"/>
              </w:rPr>
              <w:br w:type="textWrapping"/>
            </w:r>
            <w:r>
              <w:rPr>
                <w:rFonts w:hint="eastAsia" w:ascii="宋体" w:hAnsi="宋体" w:cs="宋体"/>
                <w:kern w:val="0"/>
                <w:sz w:val="15"/>
                <w:szCs w:val="15"/>
              </w:rPr>
              <w:t>大部分满足 10分</w:t>
            </w:r>
            <w:r>
              <w:rPr>
                <w:rFonts w:hint="eastAsia" w:ascii="宋体" w:hAnsi="宋体" w:cs="宋体"/>
                <w:kern w:val="0"/>
                <w:sz w:val="15"/>
                <w:szCs w:val="15"/>
              </w:rPr>
              <w:br w:type="textWrapping"/>
            </w:r>
            <w:r>
              <w:rPr>
                <w:rFonts w:hint="eastAsia" w:ascii="宋体" w:hAnsi="宋体" w:cs="宋体"/>
                <w:kern w:val="0"/>
                <w:sz w:val="15"/>
                <w:szCs w:val="15"/>
              </w:rPr>
              <w:t>部分满足 5分</w:t>
            </w:r>
          </w:p>
          <w:p>
            <w:pPr>
              <w:widowControl/>
              <w:jc w:val="center"/>
              <w:rPr>
                <w:rFonts w:ascii="宋体" w:hAnsi="宋体" w:cs="宋体"/>
                <w:kern w:val="0"/>
                <w:sz w:val="15"/>
                <w:szCs w:val="15"/>
              </w:rPr>
            </w:pPr>
            <w:r>
              <w:rPr>
                <w:rFonts w:hint="eastAsia" w:ascii="宋体" w:hAnsi="宋体" w:cs="宋体"/>
                <w:kern w:val="0"/>
                <w:sz w:val="15"/>
                <w:szCs w:val="15"/>
              </w:rPr>
              <w:t>少部分满足 1分</w:t>
            </w:r>
          </w:p>
        </w:tc>
        <w:tc>
          <w:tcPr>
            <w:tcW w:w="192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rPr>
            </w:pPr>
            <w:r>
              <w:rPr>
                <w:rFonts w:hint="eastAsia" w:ascii="宋体" w:hAnsi="宋体" w:cs="宋体"/>
                <w:color w:val="000000"/>
                <w:kern w:val="0"/>
                <w:sz w:val="15"/>
                <w:szCs w:val="15"/>
              </w:rPr>
              <w:t>价格分应当采用低价优先法计算，即满足招标文件要求且投标价格最低的投标报价为评标基准价，其价格分为满分。</w:t>
            </w:r>
          </w:p>
          <w:p>
            <w:pPr>
              <w:widowControl/>
              <w:jc w:val="center"/>
              <w:textAlignment w:val="center"/>
              <w:rPr>
                <w:rFonts w:ascii="宋体" w:hAnsi="宋体" w:cs="宋体"/>
                <w:color w:val="000000"/>
                <w:kern w:val="0"/>
                <w:sz w:val="15"/>
                <w:szCs w:val="15"/>
              </w:rPr>
            </w:pPr>
            <w:r>
              <w:rPr>
                <w:rFonts w:hint="eastAsia" w:ascii="宋体" w:hAnsi="宋体" w:cs="宋体"/>
                <w:color w:val="000000"/>
                <w:kern w:val="0"/>
                <w:sz w:val="15"/>
                <w:szCs w:val="15"/>
              </w:rPr>
              <w:t>其他投标人的价格分统一按照下列公式计算：</w:t>
            </w:r>
          </w:p>
          <w:p>
            <w:pPr>
              <w:widowControl/>
              <w:jc w:val="center"/>
              <w:rPr>
                <w:rFonts w:ascii="宋体" w:hAnsi="宋体" w:cs="宋体"/>
                <w:kern w:val="0"/>
                <w:sz w:val="15"/>
                <w:szCs w:val="15"/>
              </w:rPr>
            </w:pPr>
            <w:r>
              <w:rPr>
                <w:rFonts w:hint="eastAsia" w:ascii="宋体" w:hAnsi="宋体" w:cs="宋体"/>
                <w:color w:val="000000"/>
                <w:kern w:val="0"/>
                <w:sz w:val="15"/>
                <w:szCs w:val="15"/>
              </w:rPr>
              <w:t>投标报价得分=最低价/投标报价*价格分值</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使用证明仅限投标产品中</w:t>
            </w:r>
            <w:r>
              <w:rPr>
                <w:rFonts w:hint="eastAsia" w:ascii="宋体" w:hAnsi="宋体" w:cs="宋体"/>
                <w:kern w:val="0"/>
                <w:sz w:val="15"/>
                <w:szCs w:val="15"/>
                <w:lang w:eastAsia="zh-CN"/>
              </w:rPr>
              <w:t>《京津冀“3+N”联盟骨科创伤类医用耗材中选产品》</w:t>
            </w:r>
            <w:r>
              <w:rPr>
                <w:rFonts w:hint="eastAsia" w:ascii="宋体" w:hAnsi="宋体" w:cs="宋体"/>
                <w:kern w:val="0"/>
                <w:sz w:val="15"/>
                <w:szCs w:val="15"/>
              </w:rPr>
              <w:t>的业绩，分别各提供4家，每提供一家得2.5分，满分20分。提供资料（发票、合同、中标通知书）必须是</w:t>
            </w:r>
            <w:r>
              <w:rPr>
                <w:rFonts w:hint="eastAsia" w:ascii="宋体" w:hAnsi="宋体" w:cs="宋体"/>
                <w:kern w:val="0"/>
                <w:sz w:val="15"/>
                <w:szCs w:val="15"/>
                <w:lang w:eastAsia="zh-CN"/>
              </w:rPr>
              <w:t>发布公告前</w:t>
            </w:r>
            <w:r>
              <w:rPr>
                <w:rFonts w:hint="eastAsia" w:ascii="宋体" w:hAnsi="宋体" w:cs="宋体"/>
                <w:kern w:val="0"/>
                <w:sz w:val="15"/>
                <w:szCs w:val="15"/>
              </w:rPr>
              <w:t>2</w:t>
            </w:r>
            <w:r>
              <w:rPr>
                <w:rFonts w:ascii="宋体" w:hAnsi="宋体" w:cs="宋体"/>
                <w:kern w:val="0"/>
                <w:sz w:val="15"/>
                <w:szCs w:val="15"/>
              </w:rPr>
              <w:t>4个月内</w:t>
            </w:r>
            <w:r>
              <w:rPr>
                <w:rFonts w:hint="eastAsia" w:ascii="宋体" w:hAnsi="宋体" w:cs="宋体"/>
                <w:kern w:val="0"/>
                <w:sz w:val="15"/>
                <w:szCs w:val="15"/>
              </w:rPr>
              <w:t>的广东省内三甲医院使用证明（业绩证明必须附带三甲医院证明）</w:t>
            </w: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1.投标人诚信状态良好得2分；具有诚信管理体系认证证书和企业信用等级证书各1分，2.投标人存在诚信相关问题且在主管部门相关处理措施实施期限内的，本项不得分；3.不提供不得分。满分2分</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投标产品生产厂家和投标公司都具有有效时间内医疗器械质量管理体系认证证书、环境管理体系认证证书、职业健康安全管理体系认证证书。满分3分</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根据售后服务承诺情况及投标公司服务能力打分，优 10分，良 7分，中4分，</w:t>
            </w:r>
            <w:r>
              <w:rPr>
                <w:rFonts w:hint="eastAsia" w:ascii="宋体" w:hAnsi="宋体" w:cs="宋体"/>
                <w:kern w:val="0"/>
                <w:sz w:val="15"/>
                <w:szCs w:val="15"/>
              </w:rPr>
              <w:br w:type="textWrapping"/>
            </w:r>
            <w:r>
              <w:rPr>
                <w:rFonts w:hint="eastAsia" w:ascii="宋体" w:hAnsi="宋体" w:cs="宋体"/>
                <w:kern w:val="0"/>
                <w:sz w:val="15"/>
                <w:szCs w:val="15"/>
              </w:rPr>
              <w:t>差 1分</w:t>
            </w: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kern w:val="0"/>
                <w:sz w:val="18"/>
                <w:szCs w:val="18"/>
              </w:rPr>
            </w:pPr>
          </w:p>
        </w:tc>
      </w:tr>
      <w:tr>
        <w:tblPrEx>
          <w:tblCellMar>
            <w:top w:w="0" w:type="dxa"/>
            <w:left w:w="108" w:type="dxa"/>
            <w:bottom w:w="0" w:type="dxa"/>
            <w:right w:w="108" w:type="dxa"/>
          </w:tblCellMar>
        </w:tblPrEx>
        <w:trPr>
          <w:trHeight w:val="514"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319"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32"/>
                <w:szCs w:val="32"/>
              </w:rPr>
            </w:pPr>
          </w:p>
        </w:tc>
        <w:tc>
          <w:tcPr>
            <w:tcW w:w="1309"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32"/>
                <w:szCs w:val="32"/>
              </w:rPr>
            </w:pPr>
          </w:p>
        </w:tc>
        <w:tc>
          <w:tcPr>
            <w:tcW w:w="1828"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32"/>
                <w:szCs w:val="32"/>
              </w:rPr>
            </w:pPr>
          </w:p>
        </w:tc>
        <w:tc>
          <w:tcPr>
            <w:tcW w:w="1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18"/>
                <w:szCs w:val="18"/>
              </w:rPr>
            </w:pP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419"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2"/>
                <w:szCs w:val="32"/>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2"/>
                <w:szCs w:val="3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2"/>
                <w:szCs w:val="32"/>
              </w:rPr>
            </w:pPr>
          </w:p>
        </w:tc>
        <w:tc>
          <w:tcPr>
            <w:tcW w:w="1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18"/>
                <w:szCs w:val="18"/>
              </w:rPr>
            </w:pP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524"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2"/>
                <w:szCs w:val="32"/>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2"/>
                <w:szCs w:val="3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2"/>
                <w:szCs w:val="32"/>
              </w:rPr>
            </w:pPr>
          </w:p>
        </w:tc>
        <w:tc>
          <w:tcPr>
            <w:tcW w:w="1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18"/>
                <w:szCs w:val="18"/>
              </w:rPr>
            </w:pP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524"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2"/>
                <w:szCs w:val="32"/>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2"/>
                <w:szCs w:val="3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2"/>
                <w:szCs w:val="32"/>
              </w:rPr>
            </w:pPr>
          </w:p>
        </w:tc>
        <w:tc>
          <w:tcPr>
            <w:tcW w:w="1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18"/>
                <w:szCs w:val="18"/>
              </w:rPr>
            </w:pP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40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2"/>
                <w:szCs w:val="32"/>
              </w:rPr>
            </w:pP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2"/>
                <w:szCs w:val="3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2"/>
                <w:szCs w:val="32"/>
              </w:rPr>
            </w:pPr>
          </w:p>
        </w:tc>
        <w:tc>
          <w:tcPr>
            <w:tcW w:w="1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18"/>
                <w:szCs w:val="18"/>
              </w:rPr>
            </w:pPr>
          </w:p>
        </w:tc>
        <w:tc>
          <w:tcPr>
            <w:tcW w:w="1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750" w:hRule="atLeast"/>
          <w:jc w:val="center"/>
        </w:trPr>
        <w:tc>
          <w:tcPr>
            <w:tcW w:w="15463"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专家签名：</w:t>
            </w:r>
            <w:r>
              <w:rPr>
                <w:rFonts w:hint="eastAsia" w:ascii="宋体" w:hAnsi="宋体" w:cs="宋体"/>
                <w:kern w:val="0"/>
                <w:sz w:val="24"/>
              </w:rPr>
              <w:br w:type="textWrapping"/>
            </w:r>
            <w:r>
              <w:rPr>
                <w:rFonts w:hint="eastAsia" w:ascii="宋体" w:hAnsi="宋体" w:cs="宋体"/>
                <w:kern w:val="0"/>
                <w:sz w:val="24"/>
              </w:rPr>
              <w:br w:type="textWrapping"/>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年  </w:t>
            </w:r>
            <w:r>
              <w:rPr>
                <w:rFonts w:hint="eastAsia" w:ascii="宋体" w:hAnsi="宋体" w:cs="宋体"/>
                <w:kern w:val="0"/>
                <w:sz w:val="24"/>
                <w:lang w:val="en-US" w:eastAsia="zh-CN"/>
              </w:rPr>
              <w:t xml:space="preserve"> </w:t>
            </w:r>
            <w:r>
              <w:rPr>
                <w:rFonts w:hint="eastAsia" w:ascii="宋体" w:hAnsi="宋体" w:cs="宋体"/>
                <w:kern w:val="0"/>
                <w:sz w:val="24"/>
              </w:rPr>
              <w:t xml:space="preserve">月 </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tc>
      </w:tr>
    </w:tbl>
    <w:p>
      <w:pPr>
        <w:pStyle w:val="4"/>
        <w:jc w:val="left"/>
      </w:pPr>
    </w:p>
    <w:sectPr>
      <w:pgSz w:w="16838" w:h="11906" w:orient="landscape"/>
      <w:pgMar w:top="284" w:right="851" w:bottom="567"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GYxYzRmYWNhNzEyNDRmYWRjYmQyMjhiYWIxNWEifQ=="/>
  </w:docVars>
  <w:rsids>
    <w:rsidRoot w:val="0045108E"/>
    <w:rsid w:val="00001445"/>
    <w:rsid w:val="00024C95"/>
    <w:rsid w:val="000602EB"/>
    <w:rsid w:val="00073359"/>
    <w:rsid w:val="000C0642"/>
    <w:rsid w:val="00121A90"/>
    <w:rsid w:val="0012459E"/>
    <w:rsid w:val="001439B5"/>
    <w:rsid w:val="00163D0B"/>
    <w:rsid w:val="00176791"/>
    <w:rsid w:val="001E7DBA"/>
    <w:rsid w:val="00252C19"/>
    <w:rsid w:val="002D3C02"/>
    <w:rsid w:val="002E03E3"/>
    <w:rsid w:val="00385B33"/>
    <w:rsid w:val="00396E0B"/>
    <w:rsid w:val="003E3AA2"/>
    <w:rsid w:val="00430DA1"/>
    <w:rsid w:val="00437AF0"/>
    <w:rsid w:val="004405B7"/>
    <w:rsid w:val="0045108E"/>
    <w:rsid w:val="0046288E"/>
    <w:rsid w:val="00525515"/>
    <w:rsid w:val="005426A4"/>
    <w:rsid w:val="00593D3F"/>
    <w:rsid w:val="00617F2E"/>
    <w:rsid w:val="006350AA"/>
    <w:rsid w:val="0063766E"/>
    <w:rsid w:val="006550F7"/>
    <w:rsid w:val="006E199D"/>
    <w:rsid w:val="00713DEA"/>
    <w:rsid w:val="00750D32"/>
    <w:rsid w:val="00760BDB"/>
    <w:rsid w:val="007C2224"/>
    <w:rsid w:val="008369FA"/>
    <w:rsid w:val="00883448"/>
    <w:rsid w:val="008E0CC3"/>
    <w:rsid w:val="00973B60"/>
    <w:rsid w:val="009B3C5D"/>
    <w:rsid w:val="00AD39E2"/>
    <w:rsid w:val="00B26408"/>
    <w:rsid w:val="00B72B6F"/>
    <w:rsid w:val="00BA6276"/>
    <w:rsid w:val="00BD09F1"/>
    <w:rsid w:val="00BE2743"/>
    <w:rsid w:val="00C26715"/>
    <w:rsid w:val="00C26DA4"/>
    <w:rsid w:val="00CA644E"/>
    <w:rsid w:val="00CE787A"/>
    <w:rsid w:val="00D8793E"/>
    <w:rsid w:val="00E02E8E"/>
    <w:rsid w:val="00E33CFA"/>
    <w:rsid w:val="00E60D21"/>
    <w:rsid w:val="00E65A43"/>
    <w:rsid w:val="00ED2456"/>
    <w:rsid w:val="00ED25BB"/>
    <w:rsid w:val="00F73905"/>
    <w:rsid w:val="00F73EE4"/>
    <w:rsid w:val="00FC0934"/>
    <w:rsid w:val="00FE0642"/>
    <w:rsid w:val="05243ECD"/>
    <w:rsid w:val="0EB81AF6"/>
    <w:rsid w:val="1BC00931"/>
    <w:rsid w:val="22316AE6"/>
    <w:rsid w:val="2CBD345D"/>
    <w:rsid w:val="384E34A3"/>
    <w:rsid w:val="48593477"/>
    <w:rsid w:val="50997208"/>
    <w:rsid w:val="51993E87"/>
    <w:rsid w:val="5A5E6A0F"/>
    <w:rsid w:val="77DE0C38"/>
    <w:rsid w:val="7E2266D1"/>
    <w:rsid w:val="7F0A3D33"/>
    <w:rsid w:val="7FAF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rPr>
      <w:szCs w:val="21"/>
    </w:rPr>
  </w:style>
  <w:style w:type="paragraph" w:styleId="3">
    <w:name w:val="Body Text"/>
    <w:basedOn w:val="1"/>
    <w:next w:val="4"/>
    <w:unhideWhenUsed/>
    <w:qFormat/>
    <w:uiPriority w:val="99"/>
    <w:pPr>
      <w:spacing w:after="120"/>
    </w:pPr>
  </w:style>
  <w:style w:type="paragraph" w:styleId="4">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5">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143</Words>
  <Characters>820</Characters>
  <Lines>6</Lines>
  <Paragraphs>1</Paragraphs>
  <TotalTime>2</TotalTime>
  <ScaleCrop>false</ScaleCrop>
  <LinksUpToDate>false</LinksUpToDate>
  <CharactersWithSpaces>962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2023-11-21T06:47:00Z</dcterms:created>
  <dc:creator>郑剑锋</dc:creator>
  <cp:lastModifiedBy>、Sun</cp:lastModifiedBy>
  <cp:lastPrinted>2020-04-27T09:18:00Z</cp:lastPrinted>
  <dcterms:modified xsi:type="dcterms:W3CDTF">2024-01-25T02:59:30Z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4D1A6DD921E2448BAA29D178E91FCF62_13</vt:lpwstr>
  </property>
</Properties>
</file>