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  <w:t>附件4：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333333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龙岗区进一步规范政商交往行为告知书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深入构建“亲”“清”新型政商关系，努力打造尊商、亲商、助商、安商良好营商环境，龙岗区委区政府制定了《龙岗区公职人员政商交往“十个不准”》，严明公职人员在政商交往中的纪律要求。请参与龙岗建设的广大企业及其从业人员，严格监督我区公职人员落实“十个不准”，并在与我区公职人员交往中切实做到“十个不得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一、不得向公职人员赠送礼品、礼金、消费卡等财物。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二、不得违规向公职人员提供宴请、旅游、娱乐等安排。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三、不得通过打麻将等形式向公职人员输送利益。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四、不得为公职人员报销应由其个人支付的费用。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五、不得违规向公职人员及其亲友借贷款。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六、不得违规将车辆、住房等借给公职人员使用。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七、不得在招投标中与公职人员搞暗箱操作、围标串标。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八、不得为利益相关人和公职人员牵线搭桥或者代为传递信息、传递财物。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九、不得让公职人员在企业违规兼职取酬。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十、不得为公职人员亲友违规承揽业务提供便利。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述“十个不得”，请您严格遵守。同时，在政商交往中，如有发现我区公职人员存在违反“十个不准”的问题，请及时通过网络举报平台或者12388举报电话等方式，向纪检监察机关反映举报，我们将一律严格保密、一律优先处置、一律严肃查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lang w:eastAsia="zh-CN"/>
        </w:rPr>
        <w:t>本人已知晓上述告知内容，并愿意遵照执行（签名）：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        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 xml:space="preserve">                                         20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20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snapToGrid/>
          <w:color w:val="auto"/>
          <w:kern w:val="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52393D7C"/>
    <w:rsid w:val="41F136F7"/>
    <w:rsid w:val="52393D7C"/>
    <w:rsid w:val="5CBF7757"/>
    <w:rsid w:val="753E26F5"/>
    <w:rsid w:val="7CE1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535</Words>
  <Characters>540</Characters>
  <Lines>0</Lines>
  <Paragraphs>0</Paragraphs>
  <TotalTime>28</TotalTime>
  <ScaleCrop>false</ScaleCrop>
  <LinksUpToDate>false</LinksUpToDate>
  <CharactersWithSpaces>606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2021-06-23T16:10:00Z</dcterms:created>
  <dc:creator>candi </dc:creator>
  <cp:lastModifiedBy>张道文</cp:lastModifiedBy>
  <cp:lastPrinted>2024-01-24T06:15:41Z</cp:lastPrinted>
  <dcterms:modified xsi:type="dcterms:W3CDTF">2024-01-24T06:15:49Z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0EE11CA5AC63487D897FD7BA0C8330F8</vt:lpwstr>
  </property>
</Properties>
</file>